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C1756E" w14:textId="77777777" w:rsidR="0036377D" w:rsidRDefault="0036377D" w:rsidP="0036377D">
      <w:pPr>
        <w:jc w:val="center"/>
        <w:rPr>
          <w:b/>
          <w:sz w:val="24"/>
        </w:rPr>
      </w:pPr>
    </w:p>
    <w:p w14:paraId="5A8956BF" w14:textId="0AE46EF6" w:rsidR="003A188A" w:rsidRDefault="00A813A0" w:rsidP="003A188A">
      <w:pPr>
        <w:jc w:val="center"/>
        <w:rPr>
          <w:b/>
          <w:color w:val="0D0D0D" w:themeColor="text1" w:themeTint="F2"/>
          <w:sz w:val="24"/>
          <w:szCs w:val="24"/>
        </w:rPr>
      </w:pPr>
      <w:r>
        <w:rPr>
          <w:b/>
          <w:color w:val="0D0D0D" w:themeColor="text1" w:themeTint="F2"/>
          <w:sz w:val="24"/>
          <w:szCs w:val="24"/>
        </w:rPr>
        <w:t>Liquidez de mercado: P</w:t>
      </w:r>
      <w:bookmarkStart w:id="0" w:name="_GoBack"/>
      <w:bookmarkEnd w:id="0"/>
      <w:r w:rsidR="00633AD3">
        <w:rPr>
          <w:b/>
          <w:color w:val="0D0D0D" w:themeColor="text1" w:themeTint="F2"/>
          <w:sz w:val="24"/>
          <w:szCs w:val="24"/>
        </w:rPr>
        <w:t xml:space="preserve">rodução científica brasileira no período </w:t>
      </w:r>
      <w:r w:rsidR="00CE227A">
        <w:rPr>
          <w:b/>
          <w:color w:val="0D0D0D" w:themeColor="text1" w:themeTint="F2"/>
          <w:sz w:val="24"/>
          <w:szCs w:val="24"/>
        </w:rPr>
        <w:t>2007</w:t>
      </w:r>
      <w:r w:rsidR="003A188A">
        <w:rPr>
          <w:b/>
          <w:color w:val="0D0D0D" w:themeColor="text1" w:themeTint="F2"/>
          <w:sz w:val="24"/>
          <w:szCs w:val="24"/>
        </w:rPr>
        <w:t>-2016</w:t>
      </w:r>
    </w:p>
    <w:p w14:paraId="65865454" w14:textId="77777777" w:rsidR="0036377D" w:rsidRDefault="0036377D" w:rsidP="0036377D">
      <w:pPr>
        <w:jc w:val="center"/>
        <w:rPr>
          <w:color w:val="999999"/>
        </w:rPr>
      </w:pPr>
    </w:p>
    <w:p w14:paraId="6D5E0583" w14:textId="77777777" w:rsidR="0036377D" w:rsidRDefault="0036377D" w:rsidP="0036377D">
      <w:pPr>
        <w:rPr>
          <w:color w:val="999999"/>
        </w:rPr>
      </w:pPr>
    </w:p>
    <w:p w14:paraId="6DD274FE" w14:textId="74DF1C60" w:rsidR="00633AD3" w:rsidRDefault="00CE227A" w:rsidP="00633AD3">
      <w:pPr>
        <w:jc w:val="right"/>
        <w:rPr>
          <w:b/>
          <w:sz w:val="24"/>
          <w:szCs w:val="24"/>
        </w:rPr>
      </w:pPr>
      <w:r>
        <w:rPr>
          <w:b/>
          <w:sz w:val="24"/>
          <w:szCs w:val="24"/>
        </w:rPr>
        <w:t xml:space="preserve">João Eduardo </w:t>
      </w:r>
      <w:r w:rsidR="003A188A">
        <w:rPr>
          <w:b/>
          <w:sz w:val="24"/>
          <w:szCs w:val="24"/>
        </w:rPr>
        <w:t>Ribeiro</w:t>
      </w:r>
    </w:p>
    <w:p w14:paraId="4DE2505C" w14:textId="3B8345E9" w:rsidR="0036377D" w:rsidRPr="00633AD3" w:rsidRDefault="00633AD3" w:rsidP="00633AD3">
      <w:pPr>
        <w:jc w:val="right"/>
        <w:rPr>
          <w:b/>
          <w:sz w:val="24"/>
          <w:szCs w:val="24"/>
        </w:rPr>
      </w:pPr>
      <w:r>
        <w:rPr>
          <w:b/>
          <w:sz w:val="24"/>
          <w:szCs w:val="24"/>
        </w:rPr>
        <w:t>Centro Federal de Educação Tecnológica de Minas Gerais (</w:t>
      </w:r>
      <w:r w:rsidR="003A188A">
        <w:rPr>
          <w:b/>
          <w:sz w:val="24"/>
          <w:szCs w:val="24"/>
        </w:rPr>
        <w:t>CEFET-MG</w:t>
      </w:r>
      <w:r>
        <w:rPr>
          <w:b/>
          <w:sz w:val="24"/>
          <w:szCs w:val="24"/>
        </w:rPr>
        <w:t>)</w:t>
      </w:r>
    </w:p>
    <w:p w14:paraId="7E31B7AE" w14:textId="77FDF55E" w:rsidR="0036377D" w:rsidRDefault="003A188A" w:rsidP="0036377D">
      <w:pPr>
        <w:jc w:val="right"/>
        <w:rPr>
          <w:b/>
          <w:sz w:val="24"/>
          <w:szCs w:val="24"/>
        </w:rPr>
      </w:pPr>
      <w:r>
        <w:rPr>
          <w:b/>
          <w:i/>
          <w:sz w:val="24"/>
          <w:szCs w:val="24"/>
        </w:rPr>
        <w:t>eduardoribeiro.cco@gmail.com</w:t>
      </w:r>
    </w:p>
    <w:p w14:paraId="54607B61" w14:textId="77777777" w:rsidR="0036377D" w:rsidRDefault="0036377D" w:rsidP="0036377D">
      <w:pPr>
        <w:jc w:val="right"/>
        <w:rPr>
          <w:b/>
          <w:sz w:val="24"/>
          <w:szCs w:val="24"/>
        </w:rPr>
      </w:pPr>
    </w:p>
    <w:p w14:paraId="067B81F7" w14:textId="77777777" w:rsidR="003A188A" w:rsidRDefault="003A188A" w:rsidP="003A188A">
      <w:pPr>
        <w:jc w:val="right"/>
        <w:rPr>
          <w:b/>
          <w:sz w:val="24"/>
          <w:szCs w:val="24"/>
        </w:rPr>
      </w:pPr>
      <w:r w:rsidRPr="003A188A">
        <w:rPr>
          <w:b/>
          <w:sz w:val="24"/>
          <w:szCs w:val="24"/>
        </w:rPr>
        <w:t xml:space="preserve">Gabriel Augusto de Carvalho </w:t>
      </w:r>
    </w:p>
    <w:p w14:paraId="7D50CAF8" w14:textId="3000FBA1" w:rsidR="00633AD3" w:rsidRDefault="00633AD3" w:rsidP="00633AD3">
      <w:pPr>
        <w:jc w:val="right"/>
        <w:rPr>
          <w:b/>
          <w:sz w:val="24"/>
          <w:szCs w:val="24"/>
        </w:rPr>
      </w:pPr>
      <w:r>
        <w:rPr>
          <w:b/>
          <w:sz w:val="24"/>
          <w:szCs w:val="24"/>
        </w:rPr>
        <w:t>Centro Federal de Educação Tecnológica de Minas Gerais (CEFET-MG)</w:t>
      </w:r>
    </w:p>
    <w:p w14:paraId="5671C2A3" w14:textId="70948F9C" w:rsidR="003A188A" w:rsidRPr="003A188A" w:rsidRDefault="00D3628A" w:rsidP="003A188A">
      <w:pPr>
        <w:jc w:val="right"/>
        <w:rPr>
          <w:b/>
          <w:i/>
          <w:sz w:val="24"/>
          <w:szCs w:val="24"/>
        </w:rPr>
      </w:pPr>
      <w:hyperlink r:id="rId7" w:history="1">
        <w:r w:rsidR="003A188A" w:rsidRPr="003A188A">
          <w:rPr>
            <w:b/>
            <w:i/>
            <w:sz w:val="24"/>
            <w:szCs w:val="24"/>
          </w:rPr>
          <w:t>ga09carvalho@gmail.com</w:t>
        </w:r>
      </w:hyperlink>
    </w:p>
    <w:p w14:paraId="2702A93A" w14:textId="77777777" w:rsidR="003A188A" w:rsidRDefault="003A188A" w:rsidP="003A188A">
      <w:pPr>
        <w:jc w:val="right"/>
        <w:rPr>
          <w:b/>
          <w:sz w:val="24"/>
          <w:szCs w:val="24"/>
        </w:rPr>
      </w:pPr>
    </w:p>
    <w:p w14:paraId="4FF1927D" w14:textId="77777777" w:rsidR="003A188A" w:rsidRDefault="003A188A" w:rsidP="003A188A">
      <w:pPr>
        <w:jc w:val="right"/>
        <w:rPr>
          <w:b/>
          <w:sz w:val="24"/>
          <w:szCs w:val="24"/>
        </w:rPr>
      </w:pPr>
      <w:r w:rsidRPr="003A188A">
        <w:rPr>
          <w:b/>
          <w:sz w:val="24"/>
          <w:szCs w:val="24"/>
        </w:rPr>
        <w:t>Cláudia Faria Maciel</w:t>
      </w:r>
    </w:p>
    <w:p w14:paraId="30C22E0D" w14:textId="77777777" w:rsidR="00633AD3" w:rsidRPr="00633AD3" w:rsidRDefault="00633AD3" w:rsidP="00633AD3">
      <w:pPr>
        <w:jc w:val="right"/>
        <w:rPr>
          <w:b/>
          <w:sz w:val="24"/>
          <w:szCs w:val="24"/>
        </w:rPr>
      </w:pPr>
      <w:r>
        <w:rPr>
          <w:b/>
          <w:sz w:val="24"/>
          <w:szCs w:val="24"/>
        </w:rPr>
        <w:t>Centro Federal de Educação Tecnológica de Minas Gerais (CEFET-MG)</w:t>
      </w:r>
    </w:p>
    <w:p w14:paraId="5F34B397" w14:textId="06163763" w:rsidR="003A188A" w:rsidRPr="003A188A" w:rsidRDefault="00D3628A" w:rsidP="003A188A">
      <w:pPr>
        <w:jc w:val="right"/>
        <w:rPr>
          <w:b/>
          <w:i/>
          <w:sz w:val="24"/>
          <w:szCs w:val="24"/>
        </w:rPr>
      </w:pPr>
      <w:hyperlink r:id="rId8" w:history="1">
        <w:r w:rsidR="003A188A" w:rsidRPr="003A188A">
          <w:rPr>
            <w:rStyle w:val="Hyperlink"/>
            <w:b/>
            <w:i/>
            <w:color w:val="auto"/>
            <w:sz w:val="24"/>
            <w:szCs w:val="24"/>
            <w:u w:val="none"/>
          </w:rPr>
          <w:t>cfariam@gmail.com</w:t>
        </w:r>
      </w:hyperlink>
    </w:p>
    <w:p w14:paraId="12D5A8DA" w14:textId="77777777" w:rsidR="003A188A" w:rsidRDefault="003A188A" w:rsidP="003A188A">
      <w:pPr>
        <w:jc w:val="right"/>
        <w:rPr>
          <w:b/>
          <w:i/>
          <w:sz w:val="24"/>
          <w:szCs w:val="24"/>
        </w:rPr>
      </w:pPr>
    </w:p>
    <w:p w14:paraId="13CA12F1" w14:textId="74162F83" w:rsidR="00633AD3" w:rsidRPr="00633AD3" w:rsidRDefault="00633AD3" w:rsidP="003A188A">
      <w:pPr>
        <w:jc w:val="right"/>
        <w:rPr>
          <w:b/>
          <w:sz w:val="24"/>
          <w:szCs w:val="24"/>
        </w:rPr>
      </w:pPr>
      <w:r>
        <w:rPr>
          <w:b/>
          <w:sz w:val="24"/>
          <w:szCs w:val="24"/>
        </w:rPr>
        <w:t>Fabrício Molica de Mendonça</w:t>
      </w:r>
    </w:p>
    <w:p w14:paraId="3E6BD9B7" w14:textId="54C2A558" w:rsidR="0036377D" w:rsidRDefault="00633AD3" w:rsidP="00C22565">
      <w:pPr>
        <w:jc w:val="right"/>
        <w:rPr>
          <w:b/>
          <w:sz w:val="24"/>
          <w:szCs w:val="24"/>
        </w:rPr>
      </w:pPr>
      <w:r>
        <w:rPr>
          <w:b/>
          <w:sz w:val="24"/>
          <w:szCs w:val="24"/>
        </w:rPr>
        <w:t>Centro Federal de Educação Tecnológica de Minas Gerais (CEFET-MG)</w:t>
      </w:r>
    </w:p>
    <w:p w14:paraId="4A4DF2A4" w14:textId="1EDB5C7A" w:rsidR="00C22565" w:rsidRPr="00C22565" w:rsidRDefault="00C22565" w:rsidP="00C22565">
      <w:pPr>
        <w:jc w:val="right"/>
        <w:rPr>
          <w:b/>
          <w:i/>
          <w:sz w:val="24"/>
          <w:szCs w:val="24"/>
        </w:rPr>
      </w:pPr>
      <w:r w:rsidRPr="00C22565">
        <w:rPr>
          <w:b/>
          <w:i/>
          <w:color w:val="000000"/>
          <w:sz w:val="24"/>
          <w:szCs w:val="24"/>
          <w:shd w:val="clear" w:color="auto" w:fill="FFFFFF"/>
        </w:rPr>
        <w:t>fabriciomolica@yahoo.com.br</w:t>
      </w:r>
    </w:p>
    <w:p w14:paraId="4A8C1A6C" w14:textId="77777777" w:rsidR="0036377D" w:rsidRDefault="0036377D" w:rsidP="0036377D">
      <w:pPr>
        <w:jc w:val="center"/>
        <w:rPr>
          <w:b/>
          <w:color w:val="999999"/>
        </w:rPr>
      </w:pPr>
    </w:p>
    <w:p w14:paraId="7BDE6C02" w14:textId="77777777" w:rsidR="0036377D" w:rsidRDefault="0036377D" w:rsidP="0036377D">
      <w:pPr>
        <w:jc w:val="center"/>
        <w:rPr>
          <w:b/>
          <w:color w:val="999999"/>
        </w:rPr>
      </w:pPr>
    </w:p>
    <w:p w14:paraId="754411D7" w14:textId="7A0F9D03" w:rsidR="0036377D" w:rsidRDefault="0036377D" w:rsidP="0036377D">
      <w:pPr>
        <w:jc w:val="both"/>
        <w:rPr>
          <w:b/>
          <w:sz w:val="24"/>
          <w:szCs w:val="24"/>
        </w:rPr>
      </w:pPr>
      <w:r>
        <w:rPr>
          <w:b/>
          <w:sz w:val="24"/>
          <w:szCs w:val="24"/>
        </w:rPr>
        <w:t xml:space="preserve">Resumo: </w:t>
      </w:r>
      <w:r w:rsidR="006661D7">
        <w:rPr>
          <w:color w:val="000000" w:themeColor="text1"/>
          <w:sz w:val="24"/>
          <w:szCs w:val="24"/>
        </w:rPr>
        <w:t>A</w:t>
      </w:r>
      <w:r w:rsidR="006661D7" w:rsidRPr="00310BFE">
        <w:rPr>
          <w:color w:val="000000" w:themeColor="text1"/>
          <w:sz w:val="24"/>
          <w:szCs w:val="24"/>
        </w:rPr>
        <w:t xml:space="preserve"> liquidez de um ativo está relacionada à sua capacidade de ser negociado de forma rápida, com baixo custo, em grandes quantidades e com baixo impacto em seu preço. </w:t>
      </w:r>
      <w:r w:rsidR="006661D7">
        <w:rPr>
          <w:sz w:val="24"/>
          <w:szCs w:val="24"/>
        </w:rPr>
        <w:t xml:space="preserve">Este trabalho teve por objetivo </w:t>
      </w:r>
      <w:r w:rsidR="006661D7" w:rsidRPr="008F4163">
        <w:rPr>
          <w:sz w:val="24"/>
          <w:szCs w:val="24"/>
        </w:rPr>
        <w:t>analisar</w:t>
      </w:r>
      <w:r w:rsidR="006661D7">
        <w:rPr>
          <w:sz w:val="24"/>
          <w:szCs w:val="24"/>
        </w:rPr>
        <w:t>, por meio de uma pesquisa bibliométrica,</w:t>
      </w:r>
      <w:r w:rsidR="006661D7" w:rsidRPr="008F4163">
        <w:rPr>
          <w:sz w:val="24"/>
          <w:szCs w:val="24"/>
        </w:rPr>
        <w:t xml:space="preserve"> a produção científica </w:t>
      </w:r>
      <w:r w:rsidR="006661D7">
        <w:rPr>
          <w:sz w:val="24"/>
          <w:szCs w:val="24"/>
        </w:rPr>
        <w:t xml:space="preserve">sobre liquidez de mercado no Brasil no período de 2007 a 2016, de modo a compreender como a academia tem tratado esse tema nos periódicos de relevância. Para isso foram selecionados 27 artigos em periódicos </w:t>
      </w:r>
      <w:r w:rsidR="006661D7" w:rsidRPr="0013692B">
        <w:rPr>
          <w:sz w:val="24"/>
          <w:szCs w:val="24"/>
        </w:rPr>
        <w:t xml:space="preserve">nacionais </w:t>
      </w:r>
      <w:r w:rsidR="006661D7">
        <w:rPr>
          <w:sz w:val="24"/>
          <w:szCs w:val="24"/>
        </w:rPr>
        <w:t xml:space="preserve">A2 </w:t>
      </w:r>
      <w:r w:rsidR="006661D7" w:rsidRPr="0013692B">
        <w:rPr>
          <w:sz w:val="24"/>
          <w:szCs w:val="24"/>
        </w:rPr>
        <w:t xml:space="preserve">de </w:t>
      </w:r>
      <w:r w:rsidR="006661D7">
        <w:rPr>
          <w:sz w:val="24"/>
          <w:szCs w:val="24"/>
        </w:rPr>
        <w:t xml:space="preserve">administração, finanças e </w:t>
      </w:r>
      <w:r w:rsidR="006661D7" w:rsidRPr="0013692B">
        <w:rPr>
          <w:sz w:val="24"/>
          <w:szCs w:val="24"/>
        </w:rPr>
        <w:t>contabilidade</w:t>
      </w:r>
      <w:r w:rsidR="006661D7">
        <w:rPr>
          <w:sz w:val="24"/>
          <w:szCs w:val="24"/>
        </w:rPr>
        <w:t xml:space="preserve">. Os resultados mostraram que: a) no tocante ao número de artigos distribuídos por ano de publicação nos periódicos analisados pode-se observar que o ano de 2014 foi o mais produtivo em relação ao número de publicações sobre o tema; b) o periódico mais prolífico do ano foi o </w:t>
      </w:r>
      <w:r w:rsidR="006661D7" w:rsidRPr="0089086F">
        <w:rPr>
          <w:i/>
          <w:sz w:val="24"/>
          <w:szCs w:val="24"/>
        </w:rPr>
        <w:t>Brazilian Business Review</w:t>
      </w:r>
      <w:r w:rsidR="006661D7">
        <w:rPr>
          <w:sz w:val="24"/>
          <w:szCs w:val="24"/>
        </w:rPr>
        <w:t>, com 3 publicações; c) a maior parte dos periódicos não teve nenhum artigo que tratasse especificamente do tema, em nenhum dos anos; d) há uma predominância de doutores trabalhando o tema em questão; e) grande parte dos autores que trabalham com o tema é da Universidade de São Paulo (USP), apesar do autor que mais publica sobre o tema ser da Universidade Federal da Paraíba (UFPB); f) O tema tem sido tratado por autores em parceria. Percebe-se então, que apesar de modesto, há pesquisadores preocupados em tratar a liquidez de mercado nos seus artigos científicos, contribuindo para os estudos de finanças. Essa pesquisa se ateve</w:t>
      </w:r>
      <w:r w:rsidR="006661D7" w:rsidRPr="003D0B52">
        <w:rPr>
          <w:sz w:val="24"/>
          <w:szCs w:val="24"/>
        </w:rPr>
        <w:t xml:space="preserve"> ao tamanho da amostra selecionada</w:t>
      </w:r>
      <w:r w:rsidR="006661D7">
        <w:rPr>
          <w:sz w:val="24"/>
          <w:szCs w:val="24"/>
        </w:rPr>
        <w:t>. Apesar de trazer contribuições ao tema,</w:t>
      </w:r>
      <w:r w:rsidR="006661D7" w:rsidRPr="003D0B52">
        <w:rPr>
          <w:sz w:val="24"/>
          <w:szCs w:val="24"/>
        </w:rPr>
        <w:t xml:space="preserve"> essa análise não deve ser generalizada.</w:t>
      </w:r>
    </w:p>
    <w:p w14:paraId="3258BEEF" w14:textId="77777777" w:rsidR="0036377D" w:rsidRDefault="0036377D" w:rsidP="0036377D">
      <w:pPr>
        <w:rPr>
          <w:b/>
          <w:sz w:val="24"/>
          <w:szCs w:val="24"/>
        </w:rPr>
      </w:pPr>
    </w:p>
    <w:p w14:paraId="1D05F770" w14:textId="2830DF96" w:rsidR="002251AB" w:rsidRDefault="0036377D" w:rsidP="002251AB">
      <w:pPr>
        <w:rPr>
          <w:sz w:val="24"/>
          <w:szCs w:val="24"/>
        </w:rPr>
      </w:pPr>
      <w:r>
        <w:rPr>
          <w:b/>
          <w:sz w:val="24"/>
          <w:szCs w:val="24"/>
        </w:rPr>
        <w:t xml:space="preserve">Palavras-chave: </w:t>
      </w:r>
      <w:r w:rsidR="002251AB">
        <w:rPr>
          <w:color w:val="0D0D0D" w:themeColor="text1" w:themeTint="F2"/>
          <w:sz w:val="24"/>
          <w:szCs w:val="24"/>
        </w:rPr>
        <w:t xml:space="preserve">Liquidez de Mercado; </w:t>
      </w:r>
      <w:r w:rsidR="006661D7">
        <w:rPr>
          <w:color w:val="0D0D0D" w:themeColor="text1" w:themeTint="F2"/>
          <w:sz w:val="24"/>
          <w:szCs w:val="24"/>
        </w:rPr>
        <w:t>Estudo Bibliométrico</w:t>
      </w:r>
      <w:r w:rsidR="002251AB">
        <w:rPr>
          <w:color w:val="0D0D0D" w:themeColor="text1" w:themeTint="F2"/>
          <w:sz w:val="24"/>
          <w:szCs w:val="24"/>
        </w:rPr>
        <w:t xml:space="preserve">; Periódicos </w:t>
      </w:r>
      <w:r w:rsidR="006661D7">
        <w:rPr>
          <w:color w:val="0D0D0D" w:themeColor="text1" w:themeTint="F2"/>
          <w:sz w:val="24"/>
          <w:szCs w:val="24"/>
        </w:rPr>
        <w:t>Nacionais</w:t>
      </w:r>
      <w:r w:rsidR="002251AB">
        <w:rPr>
          <w:color w:val="0D0D0D" w:themeColor="text1" w:themeTint="F2"/>
          <w:sz w:val="24"/>
          <w:szCs w:val="24"/>
        </w:rPr>
        <w:t>.</w:t>
      </w:r>
    </w:p>
    <w:p w14:paraId="42811FFC" w14:textId="2B8EB6C2" w:rsidR="0036377D" w:rsidRDefault="0036377D" w:rsidP="0036377D">
      <w:pPr>
        <w:rPr>
          <w:sz w:val="24"/>
          <w:szCs w:val="24"/>
        </w:rPr>
      </w:pPr>
    </w:p>
    <w:p w14:paraId="6EB4D033" w14:textId="3145442F" w:rsidR="0036377D" w:rsidRPr="0036377D" w:rsidRDefault="0036377D" w:rsidP="002251AB">
      <w:pPr>
        <w:rPr>
          <w:sz w:val="24"/>
          <w:szCs w:val="24"/>
        </w:rPr>
      </w:pPr>
      <w:r>
        <w:rPr>
          <w:b/>
          <w:sz w:val="24"/>
          <w:szCs w:val="24"/>
        </w:rPr>
        <w:t xml:space="preserve">Linha Temática: </w:t>
      </w:r>
      <w:r w:rsidR="002251AB" w:rsidRPr="00452FE5">
        <w:rPr>
          <w:sz w:val="24"/>
          <w:szCs w:val="24"/>
        </w:rPr>
        <w:t>Mercado de capitais</w:t>
      </w:r>
    </w:p>
    <w:p w14:paraId="7376362B" w14:textId="77777777" w:rsidR="00CC2B1F" w:rsidRDefault="00CC2B1F"/>
    <w:p w14:paraId="2EB3ECF5" w14:textId="72A86D97" w:rsidR="0036377D" w:rsidRDefault="0036377D"/>
    <w:p w14:paraId="4D755F5F" w14:textId="77777777" w:rsidR="00E6136F" w:rsidRDefault="00E6136F"/>
    <w:p w14:paraId="2AD8AD5C" w14:textId="77777777" w:rsidR="00E6136F" w:rsidRDefault="00E6136F"/>
    <w:p w14:paraId="557F60D6" w14:textId="77777777" w:rsidR="00E6136F" w:rsidRDefault="00E6136F"/>
    <w:p w14:paraId="12B2D759" w14:textId="77777777" w:rsidR="00E6136F" w:rsidRDefault="00E6136F"/>
    <w:p w14:paraId="71FC307E" w14:textId="77777777" w:rsidR="00E6136F" w:rsidRDefault="00E6136F"/>
    <w:p w14:paraId="72DD56B2" w14:textId="77777777" w:rsidR="00E6136F" w:rsidRDefault="00E6136F"/>
    <w:p w14:paraId="3053CD7F" w14:textId="77777777" w:rsidR="00E6136F" w:rsidRDefault="00E6136F"/>
    <w:p w14:paraId="050DE1CE" w14:textId="77777777" w:rsidR="00A02650" w:rsidRDefault="00A02650">
      <w:pPr>
        <w:rPr>
          <w:b/>
          <w:sz w:val="24"/>
          <w:szCs w:val="24"/>
        </w:rPr>
        <w:sectPr w:rsidR="00A02650" w:rsidSect="0036377D">
          <w:headerReference w:type="default" r:id="rId9"/>
          <w:footerReference w:type="default" r:id="rId10"/>
          <w:pgSz w:w="11900" w:h="16840"/>
          <w:pgMar w:top="1701" w:right="1134" w:bottom="1134" w:left="1701" w:header="372" w:footer="708" w:gutter="0"/>
          <w:cols w:space="708"/>
          <w:docGrid w:linePitch="360"/>
        </w:sectPr>
      </w:pPr>
    </w:p>
    <w:p w14:paraId="2969F8CD" w14:textId="77777777" w:rsidR="00CC2B1F" w:rsidRPr="001C4185" w:rsidRDefault="00CC2B1F" w:rsidP="00CC2B1F">
      <w:pPr>
        <w:spacing w:before="240" w:after="240"/>
        <w:rPr>
          <w:b/>
          <w:sz w:val="24"/>
          <w:szCs w:val="24"/>
        </w:rPr>
      </w:pPr>
      <w:r>
        <w:rPr>
          <w:b/>
          <w:sz w:val="24"/>
          <w:szCs w:val="24"/>
        </w:rPr>
        <w:lastRenderedPageBreak/>
        <w:t xml:space="preserve">1 </w:t>
      </w:r>
      <w:r w:rsidRPr="001C4185">
        <w:rPr>
          <w:b/>
          <w:sz w:val="24"/>
          <w:szCs w:val="24"/>
        </w:rPr>
        <w:t>Introdução</w:t>
      </w:r>
    </w:p>
    <w:p w14:paraId="617AAC42" w14:textId="77777777" w:rsidR="00CC2B1F" w:rsidRDefault="00CC2B1F" w:rsidP="00CC2B1F">
      <w:pPr>
        <w:ind w:firstLine="709"/>
        <w:jc w:val="both"/>
        <w:rPr>
          <w:sz w:val="24"/>
          <w:szCs w:val="24"/>
        </w:rPr>
      </w:pPr>
      <w:r>
        <w:rPr>
          <w:sz w:val="24"/>
          <w:szCs w:val="24"/>
        </w:rPr>
        <w:t>A</w:t>
      </w:r>
      <w:r w:rsidRPr="0046330F">
        <w:rPr>
          <w:sz w:val="24"/>
          <w:szCs w:val="24"/>
        </w:rPr>
        <w:t xml:space="preserve"> liquidez de mercado </w:t>
      </w:r>
      <w:r>
        <w:rPr>
          <w:sz w:val="24"/>
          <w:szCs w:val="24"/>
        </w:rPr>
        <w:t xml:space="preserve">é definida como a facilidade com que um ativo é transacionado sem a presença de elevados custos de transação, sendo o principal deles o </w:t>
      </w:r>
      <w:r w:rsidRPr="0046330F">
        <w:rPr>
          <w:i/>
          <w:sz w:val="24"/>
          <w:szCs w:val="24"/>
        </w:rPr>
        <w:t>spread</w:t>
      </w:r>
      <w:r>
        <w:rPr>
          <w:sz w:val="24"/>
          <w:szCs w:val="24"/>
        </w:rPr>
        <w:t xml:space="preserve"> entre os preços de oferta e demanda por um título (Amihud &amp; Mendelson, 1988; 1991; </w:t>
      </w:r>
      <w:r w:rsidRPr="0046330F">
        <w:rPr>
          <w:sz w:val="24"/>
          <w:szCs w:val="24"/>
        </w:rPr>
        <w:t>2006)</w:t>
      </w:r>
      <w:r>
        <w:rPr>
          <w:sz w:val="24"/>
          <w:szCs w:val="24"/>
        </w:rPr>
        <w:t xml:space="preserve">. A </w:t>
      </w:r>
      <w:r w:rsidRPr="0046330F">
        <w:rPr>
          <w:sz w:val="24"/>
          <w:szCs w:val="24"/>
        </w:rPr>
        <w:t xml:space="preserve">relação entre liquidez e retorno dos títulos está atrelada a hipótese de aversão ao risco dos investidores, desse modo </w:t>
      </w:r>
      <w:r>
        <w:rPr>
          <w:sz w:val="24"/>
          <w:szCs w:val="24"/>
        </w:rPr>
        <w:t>a</w:t>
      </w:r>
      <w:r w:rsidRPr="0046330F">
        <w:rPr>
          <w:sz w:val="24"/>
          <w:szCs w:val="24"/>
        </w:rPr>
        <w:t xml:space="preserve"> dificuldade e os custos para transacionar um título sem liquidez significam maiores riscos para o investidor, que demanda um retorno maior para tal ativo</w:t>
      </w:r>
      <w:r>
        <w:rPr>
          <w:sz w:val="24"/>
          <w:szCs w:val="24"/>
        </w:rPr>
        <w:t xml:space="preserve"> (Machado &amp; Medeiros, </w:t>
      </w:r>
      <w:r w:rsidRPr="0046330F">
        <w:rPr>
          <w:sz w:val="24"/>
          <w:szCs w:val="24"/>
        </w:rPr>
        <w:t>2012).</w:t>
      </w:r>
    </w:p>
    <w:p w14:paraId="3A2F4D5F" w14:textId="77777777" w:rsidR="00CC2B1F" w:rsidRPr="00AF381E" w:rsidRDefault="00CC2B1F" w:rsidP="00CC2B1F">
      <w:pPr>
        <w:ind w:firstLine="709"/>
        <w:jc w:val="both"/>
      </w:pPr>
      <w:r w:rsidRPr="00310BFE">
        <w:rPr>
          <w:color w:val="000000" w:themeColor="text1"/>
          <w:sz w:val="24"/>
          <w:szCs w:val="24"/>
        </w:rPr>
        <w:t>A</w:t>
      </w:r>
      <w:r>
        <w:rPr>
          <w:color w:val="000000" w:themeColor="text1"/>
          <w:sz w:val="24"/>
          <w:szCs w:val="24"/>
        </w:rPr>
        <w:t>ssim, a</w:t>
      </w:r>
      <w:r w:rsidRPr="00310BFE">
        <w:rPr>
          <w:color w:val="000000" w:themeColor="text1"/>
          <w:sz w:val="24"/>
          <w:szCs w:val="24"/>
        </w:rPr>
        <w:t xml:space="preserve"> liquidez de um ativo está relacionada à sua capacidade de ser negociado de forma rápida, com baixo custo, em grandes quantidades e com baixo impacto em seu preço. </w:t>
      </w:r>
      <w:r>
        <w:rPr>
          <w:color w:val="000000" w:themeColor="text1"/>
          <w:sz w:val="24"/>
          <w:szCs w:val="24"/>
        </w:rPr>
        <w:t>No entanto</w:t>
      </w:r>
      <w:r w:rsidRPr="00310BFE">
        <w:rPr>
          <w:color w:val="000000" w:themeColor="text1"/>
          <w:sz w:val="24"/>
          <w:szCs w:val="24"/>
        </w:rPr>
        <w:t xml:space="preserve">, ativos com baixa liquidez podem exigir maior custo de transação e maior rentabilidade para atrair </w:t>
      </w:r>
      <w:r w:rsidRPr="00002051">
        <w:rPr>
          <w:color w:val="000000" w:themeColor="text1"/>
          <w:sz w:val="24"/>
          <w:szCs w:val="24"/>
        </w:rPr>
        <w:t xml:space="preserve">investidores </w:t>
      </w:r>
      <w:r w:rsidRPr="00002051">
        <w:rPr>
          <w:color w:val="000000" w:themeColor="text1"/>
          <w:sz w:val="24"/>
          <w:szCs w:val="24"/>
        </w:rPr>
        <w:fldChar w:fldCharType="begin" w:fldLock="1"/>
      </w:r>
      <w:r w:rsidRPr="00002051">
        <w:rPr>
          <w:color w:val="000000" w:themeColor="text1"/>
          <w:sz w:val="24"/>
          <w:szCs w:val="24"/>
        </w:rPr>
        <w:instrText>ADDIN CSL_CITATION { "citationItems" : [ { "id" : "ITEM-1", "itemData" : { "DOI" : "10.1016/j.jfineco.2005.10.001", "ISBN" : "0304-405X", "ISSN" : "0304405X", "PMID" : "166", "abstract" : "Using a new measure of liquidity, this paper documents a significant liquidity premium robust to the CAPM and the Fama-French three-factor model and shows that liquidity is an important source of priced risk. A two-factor (market and liquidity) model well explains the cross-section of stock returns, describing the liquidity premium, subsuming documented anomalies associated with size, long-term contrarian investment, and fundamental (cashflow, earnings, and dividend) to price ratios. In particular, the two-factor model accounts for the book-to-market effect, which the Fama-French three-factor model fails to explain. \u00a9 2006 Elsevier B.V. All rights reserved.", "author" : [ { "dropping-particle" : "", "family" : "Liu", "given" : "Weimin", "non-dropping-particle" : "", "parse-names" : false, "suffix" : "" } ], "container-title" : "Journal of Financial Economics", "id" : "ITEM-1", "issue" : "3", "issued" : { "date-parts" : [ [ "2006" ] ] }, "page" : "631-671", "title" : "A liquidity-augmented capital asset pricing model", "type" : "article-journal", "volume" : "82" }, "uris" : [ "http://www.mendeley.com/documents/?uuid=301f7eaa-503f-4520-a48f-2fd13b706b25" ] } ], "mendeley" : { "formattedCitation" : "(LIU, 2006)", "plainTextFormattedCitation" : "(LIU, 2006)", "previouslyFormattedCitation" : "(LIU, 2006)" }, "properties" : { "noteIndex" : 0 }, "schema" : "https://github.com/citation-style-language/schema/raw/master/csl-citation.json" }</w:instrText>
      </w:r>
      <w:r w:rsidRPr="00002051">
        <w:rPr>
          <w:color w:val="000000" w:themeColor="text1"/>
          <w:sz w:val="24"/>
          <w:szCs w:val="24"/>
        </w:rPr>
        <w:fldChar w:fldCharType="separate"/>
      </w:r>
      <w:r>
        <w:rPr>
          <w:noProof/>
          <w:color w:val="000000" w:themeColor="text1"/>
          <w:sz w:val="24"/>
          <w:szCs w:val="24"/>
        </w:rPr>
        <w:t>(Liu</w:t>
      </w:r>
      <w:r w:rsidRPr="00002051">
        <w:rPr>
          <w:noProof/>
          <w:color w:val="000000" w:themeColor="text1"/>
          <w:sz w:val="24"/>
          <w:szCs w:val="24"/>
        </w:rPr>
        <w:t>, 2006)</w:t>
      </w:r>
      <w:r w:rsidRPr="00002051">
        <w:rPr>
          <w:color w:val="000000" w:themeColor="text1"/>
          <w:sz w:val="24"/>
          <w:szCs w:val="24"/>
        </w:rPr>
        <w:fldChar w:fldCharType="end"/>
      </w:r>
      <w:r w:rsidRPr="00002051">
        <w:rPr>
          <w:color w:val="000000" w:themeColor="text1"/>
          <w:sz w:val="24"/>
          <w:szCs w:val="24"/>
        </w:rPr>
        <w:t>.</w:t>
      </w:r>
      <w:r>
        <w:rPr>
          <w:color w:val="000000" w:themeColor="text1"/>
          <w:sz w:val="24"/>
          <w:szCs w:val="24"/>
        </w:rPr>
        <w:t xml:space="preserve"> Uma característica marcante da liquidez é a impossibilidade de mensura-la diretamente, sendo necessário o uso de </w:t>
      </w:r>
      <w:r w:rsidRPr="00AF381E">
        <w:rPr>
          <w:i/>
          <w:color w:val="000000" w:themeColor="text1"/>
          <w:sz w:val="24"/>
          <w:szCs w:val="24"/>
        </w:rPr>
        <w:t>proxies</w:t>
      </w:r>
      <w:r>
        <w:rPr>
          <w:color w:val="000000" w:themeColor="text1"/>
          <w:sz w:val="24"/>
          <w:szCs w:val="24"/>
        </w:rPr>
        <w:t xml:space="preserve"> para captar seu valor, em suas diferentes dimensões (Liu, 2006; Amihud &amp; Mendelson, 1991).</w:t>
      </w:r>
      <w:r>
        <w:t xml:space="preserve"> </w:t>
      </w:r>
    </w:p>
    <w:p w14:paraId="43B816D8" w14:textId="77777777" w:rsidR="00CC2B1F" w:rsidRDefault="00CC2B1F" w:rsidP="00CC2B1F">
      <w:pPr>
        <w:ind w:firstLine="709"/>
        <w:jc w:val="both"/>
        <w:rPr>
          <w:sz w:val="24"/>
          <w:szCs w:val="24"/>
        </w:rPr>
      </w:pPr>
      <w:r>
        <w:rPr>
          <w:sz w:val="24"/>
          <w:szCs w:val="24"/>
        </w:rPr>
        <w:t xml:space="preserve">O grau de liquidez dos ativos e o horizonte temporal do investidor são dois fatores que impactam no custo de transação e no retorno exigido pelos investidores. Um ativo com baixo grau de liquidez possui maior custo de transação, dificultando a sua imediata negociação. Quanto maior o prazo que o investidor permanecer com o ativo em sua carteira, maior será a amortização dos custos de transação, desse modo, ativos com menor liquidez são mais interessantes para investidores de longo prazo e vice-versa (Amihud &amp; Mendelson, 1991). </w:t>
      </w:r>
    </w:p>
    <w:p w14:paraId="08513470" w14:textId="77777777" w:rsidR="00CC2B1F" w:rsidRDefault="00CC2B1F" w:rsidP="00CC2B1F">
      <w:pPr>
        <w:ind w:firstLine="709"/>
        <w:jc w:val="both"/>
        <w:rPr>
          <w:sz w:val="24"/>
          <w:szCs w:val="24"/>
        </w:rPr>
      </w:pPr>
      <w:r w:rsidRPr="000E2C6D">
        <w:rPr>
          <w:sz w:val="24"/>
          <w:szCs w:val="24"/>
        </w:rPr>
        <w:t>Nesse sentido</w:t>
      </w:r>
      <w:r w:rsidRPr="000A6600">
        <w:rPr>
          <w:sz w:val="24"/>
          <w:szCs w:val="24"/>
        </w:rPr>
        <w:t xml:space="preserve">, </w:t>
      </w:r>
      <w:r w:rsidRPr="000A6600">
        <w:rPr>
          <w:sz w:val="24"/>
          <w:szCs w:val="24"/>
        </w:rPr>
        <w:fldChar w:fldCharType="begin" w:fldLock="1"/>
      </w:r>
      <w:r w:rsidRPr="000A6600">
        <w:rPr>
          <w:sz w:val="24"/>
          <w:szCs w:val="24"/>
        </w:rPr>
        <w:instrText>ADDIN CSL_CITATION { "citationItems" : [ { "id" : "ITEM-1", "itemData" : { "author" : [ { "dropping-particle" : "", "family" : "Gabriel", "given" : "Fernanda Sousa", "non-dropping-particle" : "", "parse-names" : false, "suffix" : "" }, { "dropping-particle" : "", "family" : "Neves", "given" : "Tancredo", "non-dropping-particle" : "", "parse-names" : false, "suffix" : "" }, { "dropping-particle" : "", "family" : "Gerais", "given" : "Minas", "non-dropping-particle" : "", "parse-names" : false, "suffix" : "" }, { "dropping-particle" : "", "family" : "Abreu", "given" : "Isabela De Moura", "non-dropping-particle" : "", "parse-names" : false, "suffix" : "" }, { "dropping-particle" : "", "family" : "Lemes", "given" : "Sirlei", "non-dropping-particle" : "", "parse-names" : false, "suffix" : "" } ], "id" : "ITEM-1", "issued" : { "date-parts" : [ [ "2014" ] ] }, "page" : "979-1000", "title" : "Brasileiras Do Setor Da Constru\u00e7\u00e3o Civil Ap\u00f3s a Crise Financeira Internacional De 2008 : Uma An\u00e1lise De Dados Em Painel", "type" : "article-journal" }, "uris" : [ "http://www.mendeley.com/documents/?uuid=b4318f0e-3668-4ccf-ba45-17b294144fd8" ] } ], "mendeley" : { "formattedCitation" : "(GABRIEL &lt;i&gt;et al.&lt;/i&gt;, 2014)", "manualFormatting" : "Gabriel et al. (2014)", "plainTextFormattedCitation" : "(GABRIEL et al., 2014)", "previouslyFormattedCitation" : "(GABRIEL &lt;i&gt;et al.&lt;/i&gt;, 2014)" }, "properties" : { "noteIndex" : 0 }, "schema" : "https://github.com/citation-style-language/schema/raw/master/csl-citation.json" }</w:instrText>
      </w:r>
      <w:r w:rsidRPr="000A6600">
        <w:rPr>
          <w:sz w:val="24"/>
          <w:szCs w:val="24"/>
        </w:rPr>
        <w:fldChar w:fldCharType="separate"/>
      </w:r>
      <w:r w:rsidRPr="000A6600">
        <w:rPr>
          <w:noProof/>
          <w:sz w:val="24"/>
          <w:szCs w:val="24"/>
        </w:rPr>
        <w:t>Gabriel</w:t>
      </w:r>
      <w:r>
        <w:rPr>
          <w:noProof/>
          <w:sz w:val="24"/>
          <w:szCs w:val="24"/>
        </w:rPr>
        <w:t>, Abreu e Lemes</w:t>
      </w:r>
      <w:r w:rsidRPr="000A6600">
        <w:rPr>
          <w:i/>
          <w:noProof/>
          <w:sz w:val="24"/>
          <w:szCs w:val="24"/>
        </w:rPr>
        <w:t xml:space="preserve"> </w:t>
      </w:r>
      <w:r w:rsidRPr="000A6600">
        <w:rPr>
          <w:noProof/>
          <w:sz w:val="24"/>
          <w:szCs w:val="24"/>
        </w:rPr>
        <w:t>(2014)</w:t>
      </w:r>
      <w:r w:rsidRPr="000A6600">
        <w:rPr>
          <w:sz w:val="24"/>
          <w:szCs w:val="24"/>
        </w:rPr>
        <w:fldChar w:fldCharType="end"/>
      </w:r>
      <w:r w:rsidRPr="000E2C6D">
        <w:rPr>
          <w:sz w:val="24"/>
          <w:szCs w:val="24"/>
        </w:rPr>
        <w:t xml:space="preserve"> afirmam que existe uma dicotomia estabelecida entre liquidez e rentabilidade, onde um aumento de l</w:t>
      </w:r>
      <w:r>
        <w:rPr>
          <w:sz w:val="24"/>
          <w:szCs w:val="24"/>
        </w:rPr>
        <w:t xml:space="preserve">iquidez provoca uma redução da </w:t>
      </w:r>
      <w:r w:rsidRPr="000E2C6D">
        <w:rPr>
          <w:sz w:val="24"/>
          <w:szCs w:val="24"/>
        </w:rPr>
        <w:t xml:space="preserve">rentabilidade e vice-versa. Nesse mesmo caminho, </w:t>
      </w:r>
      <w:r w:rsidRPr="000E2C6D">
        <w:rPr>
          <w:sz w:val="24"/>
          <w:szCs w:val="24"/>
        </w:rPr>
        <w:fldChar w:fldCharType="begin" w:fldLock="1"/>
      </w:r>
      <w:r w:rsidRPr="000E2C6D">
        <w:rPr>
          <w:sz w:val="24"/>
          <w:szCs w:val="24"/>
        </w:rPr>
        <w:instrText>ADDIN CSL_CITATION { "citationItems" : [ { "id" : "ITEM-1", "itemData" : { "DOI" : "10.1590/1808-057x201601530", "ISSN" : "1808-057X", "author" : [ { "dropping-particle" : "", "family" : "Perobelli", "given" : "Fernanda Finotti Cordeiro", "non-dropping-particle" : "", "parse-names" : false, "suffix" : "" }, { "dropping-particle" : "", "family" : "Fam\u00e1", "given" : "Rubens", "non-dropping-particle" : "", "parse-names" : false, "suffix" : "" }, { "dropping-particle" : "", "family" : "Sacramento", "given" : "Luiz Claudio", "non-dropping-particle" : "", "parse-names" : false, "suffix" : "" } ], "container-title" : "Revista Contabilidade &amp; Finan\u00e7as", "id" : "ITEM-1", "issue" : "71", "issued" : { "date-parts" : [ [ "2016" ] ] }, "page" : "259-272", "title" : "Return and Liquidity Relationships on Market and Accounting Levels in Brazil", "type" : "article-journal", "volume" : "27" }, "uris" : [ "http://www.mendeley.com/documents/?uuid=3d40d011-9b13-4c2a-80db-f1e4853a61c7" ] } ], "mendeley" : { "formattedCitation" : "(PEROBELLI; FAM\u00c1; SACRAMENTO, 2016)", "manualFormatting" : "Perobelli; Fam\u00e1 e Sacramento (2016)", "plainTextFormattedCitation" : "(PEROBELLI; FAM\u00c1; SACRAMENTO, 2016)", "previouslyFormattedCitation" : "(PEROBELLI; FAM\u00c1; SACRAMENTO, 2016)" }, "properties" : { "noteIndex" : 0 }, "schema" : "https://github.com/citation-style-language/schema/raw/master/csl-citation.json" }</w:instrText>
      </w:r>
      <w:r w:rsidRPr="000E2C6D">
        <w:rPr>
          <w:sz w:val="24"/>
          <w:szCs w:val="24"/>
        </w:rPr>
        <w:fldChar w:fldCharType="separate"/>
      </w:r>
      <w:r>
        <w:rPr>
          <w:noProof/>
          <w:sz w:val="24"/>
          <w:szCs w:val="24"/>
        </w:rPr>
        <w:t>Perobelli,</w:t>
      </w:r>
      <w:r w:rsidRPr="000E2C6D">
        <w:rPr>
          <w:noProof/>
          <w:sz w:val="24"/>
          <w:szCs w:val="24"/>
        </w:rPr>
        <w:t xml:space="preserve"> Famá e Sacramento (2016)</w:t>
      </w:r>
      <w:r w:rsidRPr="000E2C6D">
        <w:rPr>
          <w:sz w:val="24"/>
          <w:szCs w:val="24"/>
        </w:rPr>
        <w:fldChar w:fldCharType="end"/>
      </w:r>
      <w:r w:rsidRPr="000E2C6D">
        <w:rPr>
          <w:sz w:val="24"/>
          <w:szCs w:val="24"/>
        </w:rPr>
        <w:t xml:space="preserve"> declaram que retornos maiores são resultados naturais </w:t>
      </w:r>
      <w:r w:rsidRPr="00DA52C3">
        <w:rPr>
          <w:sz w:val="24"/>
          <w:szCs w:val="24"/>
        </w:rPr>
        <w:t xml:space="preserve">pelo aumento do risco </w:t>
      </w:r>
      <w:r>
        <w:rPr>
          <w:sz w:val="24"/>
          <w:szCs w:val="24"/>
        </w:rPr>
        <w:t>de possuir uma carteira com ativos ilíquidos</w:t>
      </w:r>
      <w:r w:rsidRPr="00DA52C3">
        <w:rPr>
          <w:sz w:val="24"/>
          <w:szCs w:val="24"/>
        </w:rPr>
        <w:t>. Por conseguinte, um ativo de alta liquidez é aquele que pode ser vendido rapidamente sem perda significativa de valor.</w:t>
      </w:r>
    </w:p>
    <w:p w14:paraId="2E55699B" w14:textId="77777777" w:rsidR="00CC2B1F" w:rsidRDefault="00CC2B1F" w:rsidP="00CC2B1F">
      <w:pPr>
        <w:ind w:firstLine="709"/>
        <w:jc w:val="both"/>
        <w:rPr>
          <w:sz w:val="24"/>
          <w:szCs w:val="24"/>
        </w:rPr>
      </w:pPr>
      <w:r w:rsidRPr="00BA570C">
        <w:rPr>
          <w:sz w:val="24"/>
          <w:szCs w:val="24"/>
        </w:rPr>
        <w:t xml:space="preserve">A preocupação com a liquidez dos mercados é crescente. Após o baque que atingiu as bolsas em outubro de 1987, as crises financeiras da Ásia em 1997 e da Rússia em 1998, notou-se uma extraordinária falta de liquidez a nível mundial. A partir daí a liquidez de mercado passou a preocupar as autoridades monetárias, os bancos de investimento e os pesquisadores </w:t>
      </w:r>
      <w:r w:rsidRPr="00C7645A">
        <w:rPr>
          <w:sz w:val="24"/>
          <w:szCs w:val="24"/>
        </w:rPr>
        <w:t xml:space="preserve">em finanças. </w:t>
      </w:r>
    </w:p>
    <w:p w14:paraId="1DC12CA3" w14:textId="77777777" w:rsidR="00CC2B1F" w:rsidRDefault="00CC2B1F" w:rsidP="00CC2B1F">
      <w:pPr>
        <w:ind w:firstLine="709"/>
        <w:jc w:val="both"/>
        <w:rPr>
          <w:sz w:val="24"/>
          <w:szCs w:val="24"/>
        </w:rPr>
      </w:pPr>
      <w:r>
        <w:rPr>
          <w:sz w:val="24"/>
          <w:szCs w:val="24"/>
        </w:rPr>
        <w:t xml:space="preserve">Em virtude da importância de entender os efeitos da liquidez de um ativo em momentos de crise, este estudo busca resposta para a seguinte indagação: </w:t>
      </w:r>
      <w:r w:rsidRPr="00DF3645">
        <w:rPr>
          <w:sz w:val="24"/>
          <w:szCs w:val="24"/>
        </w:rPr>
        <w:t>Como se deu a pesquisa</w:t>
      </w:r>
      <w:r>
        <w:rPr>
          <w:sz w:val="24"/>
          <w:szCs w:val="24"/>
        </w:rPr>
        <w:t xml:space="preserve"> acadêmica, no Brasil, voltada para a liquidez de mercado nos últimos dez anos?</w:t>
      </w:r>
    </w:p>
    <w:p w14:paraId="4055232A" w14:textId="522568D6" w:rsidR="00CC2B1F" w:rsidRDefault="00CC2B1F" w:rsidP="00CC2B1F">
      <w:pPr>
        <w:ind w:firstLine="709"/>
        <w:jc w:val="both"/>
        <w:rPr>
          <w:sz w:val="24"/>
          <w:szCs w:val="24"/>
        </w:rPr>
      </w:pPr>
      <w:r>
        <w:rPr>
          <w:sz w:val="24"/>
          <w:szCs w:val="24"/>
        </w:rPr>
        <w:t xml:space="preserve">Assim, este estudo tem por finalidade </w:t>
      </w:r>
      <w:r w:rsidRPr="008F4163">
        <w:rPr>
          <w:sz w:val="24"/>
          <w:szCs w:val="24"/>
        </w:rPr>
        <w:t>analisar</w:t>
      </w:r>
      <w:r>
        <w:rPr>
          <w:sz w:val="24"/>
          <w:szCs w:val="24"/>
        </w:rPr>
        <w:t xml:space="preserve">, por meio de uma pesquisa bibliométrica, </w:t>
      </w:r>
      <w:r w:rsidRPr="008F4163">
        <w:rPr>
          <w:sz w:val="24"/>
          <w:szCs w:val="24"/>
        </w:rPr>
        <w:t xml:space="preserve">a produção científica </w:t>
      </w:r>
      <w:r>
        <w:rPr>
          <w:sz w:val="24"/>
          <w:szCs w:val="24"/>
        </w:rPr>
        <w:t>sobre liquidez de mercado no Brasil no período de 2007 a 2016, de modo a compreender como a academia tem tratado esse tema nos periódicos de relevância. Pretende-se, com esse trabalho, contribuir para os estudos de finanças, em específico sobre liquidez de mercado evidenciando as teorias, medidas, métodos, principais autores, instituições de origem, periódicos que mais publicaram sobre o assunto.</w:t>
      </w:r>
      <w:r w:rsidRPr="00CC2B1F">
        <w:rPr>
          <w:sz w:val="24"/>
          <w:szCs w:val="24"/>
        </w:rPr>
        <w:t xml:space="preserve"> </w:t>
      </w:r>
    </w:p>
    <w:p w14:paraId="1D32C95E" w14:textId="77777777" w:rsidR="00CC2B1F" w:rsidRPr="001C4185" w:rsidRDefault="00CC2B1F" w:rsidP="00CC2B1F">
      <w:pPr>
        <w:spacing w:before="240" w:after="240"/>
        <w:rPr>
          <w:b/>
          <w:sz w:val="24"/>
          <w:szCs w:val="24"/>
        </w:rPr>
      </w:pPr>
      <w:r>
        <w:rPr>
          <w:b/>
          <w:sz w:val="24"/>
          <w:szCs w:val="24"/>
        </w:rPr>
        <w:t xml:space="preserve">2 </w:t>
      </w:r>
      <w:r w:rsidRPr="001C4185">
        <w:rPr>
          <w:b/>
          <w:sz w:val="24"/>
          <w:szCs w:val="24"/>
        </w:rPr>
        <w:t>Revisão da literatura</w:t>
      </w:r>
    </w:p>
    <w:p w14:paraId="760A5A41" w14:textId="77777777" w:rsidR="00CC2B1F" w:rsidRPr="00A835CD" w:rsidRDefault="00CC2B1F" w:rsidP="00CC2B1F">
      <w:pPr>
        <w:ind w:firstLine="709"/>
        <w:jc w:val="both"/>
        <w:rPr>
          <w:sz w:val="24"/>
          <w:szCs w:val="24"/>
        </w:rPr>
      </w:pPr>
      <w:r w:rsidRPr="00A835CD">
        <w:rPr>
          <w:sz w:val="24"/>
          <w:szCs w:val="24"/>
        </w:rPr>
        <w:t>A revisão da literatura desse artigo é apresentada em duas subseções, dedicadas a análise da evolução dos estudos sobre a liquidez e a demonstrar a ausência de um consenso na literatura sobre a melhor forma de mensurar a liquidez e qual o seu impacto no retorno dos títulos. Na primeira subseção mostra-se o conceito de liquidez de mercado, dando ênfase as suas diferentes dimensões, já a segunda subseção trata dos impactos da liquidez no retorno e</w:t>
      </w:r>
      <w:r>
        <w:rPr>
          <w:sz w:val="24"/>
          <w:szCs w:val="24"/>
        </w:rPr>
        <w:t xml:space="preserve"> </w:t>
      </w:r>
      <w:r w:rsidRPr="00A835CD">
        <w:rPr>
          <w:sz w:val="24"/>
          <w:szCs w:val="24"/>
        </w:rPr>
        <w:t xml:space="preserve">apresenta a </w:t>
      </w:r>
      <w:r w:rsidRPr="00A835CD">
        <w:rPr>
          <w:sz w:val="24"/>
          <w:szCs w:val="24"/>
        </w:rPr>
        <w:lastRenderedPageBreak/>
        <w:t>diversidade de resultados na relação entre liquidez e retorno e de medidas para liquidez presentes na literatura.</w:t>
      </w:r>
    </w:p>
    <w:p w14:paraId="063556A5" w14:textId="77777777" w:rsidR="00CC2B1F" w:rsidRPr="001C4185" w:rsidRDefault="00CC2B1F" w:rsidP="00CC2B1F">
      <w:pPr>
        <w:pStyle w:val="PargrafodaLista"/>
        <w:numPr>
          <w:ilvl w:val="1"/>
          <w:numId w:val="2"/>
        </w:numPr>
        <w:spacing w:before="240" w:after="240"/>
        <w:ind w:left="357" w:hanging="357"/>
        <w:rPr>
          <w:b/>
          <w:sz w:val="24"/>
          <w:szCs w:val="24"/>
        </w:rPr>
      </w:pPr>
      <w:r w:rsidRPr="001C4185">
        <w:rPr>
          <w:b/>
          <w:sz w:val="24"/>
          <w:szCs w:val="24"/>
        </w:rPr>
        <w:t>Conceito de liquidez</w:t>
      </w:r>
    </w:p>
    <w:p w14:paraId="4749A220" w14:textId="77777777" w:rsidR="00CC2B1F" w:rsidRDefault="00CC2B1F" w:rsidP="00CC2B1F">
      <w:pPr>
        <w:ind w:firstLine="709"/>
        <w:jc w:val="both"/>
        <w:rPr>
          <w:sz w:val="24"/>
          <w:szCs w:val="24"/>
        </w:rPr>
      </w:pPr>
      <w:r w:rsidRPr="00AC7167">
        <w:rPr>
          <w:sz w:val="24"/>
          <w:szCs w:val="24"/>
        </w:rPr>
        <w:fldChar w:fldCharType="begin" w:fldLock="1"/>
      </w:r>
      <w:r w:rsidRPr="00AC7167">
        <w:rPr>
          <w:sz w:val="24"/>
          <w:szCs w:val="24"/>
        </w:rPr>
        <w:instrText>ADDIN CSL_CITATION { "citationItems" : [ { "id" : "ITEM-1", "itemData" : { "id" : "ITEM-1", "issued" : { "date-parts" : [ [ "0" ] ] }, "title" : "Demsetz 1968.pdf", "type" : "article" }, "uris" : [ "http://www.mendeley.com/documents/?uuid=f7d69920-3294-4d4e-839a-f73322309e9c" ] } ], "mendeley" : { "formattedCitation" : "(\u201cDemsetz 1968.pdf\u201d, [S.d.])", "manualFormatting" : "Demsetz (1968) ", "plainTextFormattedCitation" : "(\u201cDemsetz 1968.pdf\u201d, [S.d.])", "previouslyFormattedCitation" : "(\u201cDemsetz 1968.pdf\u201d, [S.d.])" }, "properties" : { "noteIndex" : 0 }, "schema" : "https://github.com/citation-style-language/schema/raw/master/csl-citation.json" }</w:instrText>
      </w:r>
      <w:r w:rsidRPr="00AC7167">
        <w:rPr>
          <w:sz w:val="24"/>
          <w:szCs w:val="24"/>
        </w:rPr>
        <w:fldChar w:fldCharType="separate"/>
      </w:r>
      <w:r w:rsidRPr="00AC7167">
        <w:rPr>
          <w:noProof/>
          <w:sz w:val="24"/>
          <w:szCs w:val="24"/>
        </w:rPr>
        <w:t xml:space="preserve">Demsetz (1968) </w:t>
      </w:r>
      <w:r w:rsidRPr="00AC7167">
        <w:rPr>
          <w:sz w:val="24"/>
          <w:szCs w:val="24"/>
        </w:rPr>
        <w:fldChar w:fldCharType="end"/>
      </w:r>
      <w:r w:rsidRPr="00AC7167">
        <w:rPr>
          <w:sz w:val="24"/>
          <w:szCs w:val="24"/>
        </w:rPr>
        <w:t>e</w:t>
      </w:r>
      <w:r w:rsidRPr="00540586">
        <w:rPr>
          <w:sz w:val="24"/>
          <w:szCs w:val="24"/>
        </w:rPr>
        <w:t xml:space="preserve"> </w:t>
      </w:r>
      <w:r w:rsidRPr="00540586">
        <w:rPr>
          <w:sz w:val="24"/>
          <w:szCs w:val="24"/>
        </w:rPr>
        <w:fldChar w:fldCharType="begin" w:fldLock="1"/>
      </w:r>
      <w:r w:rsidRPr="00540586">
        <w:rPr>
          <w:sz w:val="24"/>
          <w:szCs w:val="24"/>
        </w:rPr>
        <w:instrText>ADDIN CSL_CITATION { "citationItems" : [ { "id" : "ITEM-1", "itemData" : { "DOI" : "10.1016/0304-405X(86)90065-6", "ISBN" : "0304-405X", "ISSN" : "0304405X", "PMID" : "12249284", "abstract" : "This paper studies the effect of the bid-ask spread on asset pricing. We analyze a model in which investors with different expected holding periods trade assets with different relative spreads. The resulting testable hypothesis is that market-observed expexted return is an increasing and concave function of the spread. We test this hypothesis, and the empirical results are consistent with the predictions of the model. \u00a9 1986.", "author" : [ { "dropping-particle" : "", "family" : "Amihud", "given" : "Yakov", "non-dropping-particle" : "", "parse-names" : false, "suffix" : "" }, { "dropping-particle" : "", "family" : "Mendelson", "given" : "Haim", "non-dropping-particle" : "", "parse-names" : false, "suffix" : "" } ], "container-title" : "Journal of Financial Economics", "id" : "ITEM-1", "issue" : "2", "issued" : { "date-parts" : [ [ "1986" ] ] }, "page" : "223-249", "title" : "Asset pricing and the bid-ask spread", "type" : "article-journal", "volume" : "17" }, "uris" : [ "http://www.mendeley.com/documents/?uuid=5c97c711-2473-4ae6-acce-6e0dfed193ff" ] } ], "mendeley" : { "formattedCitation" : "(AMIHUD; MENDELSON, 1986)", "manualFormatting" : "Amihud e Mendelson (1986) ", "plainTextFormattedCitation" : "(AMIHUD; MENDELSON, 1986)", "previouslyFormattedCitation" : "(AMIHUD; MENDELSON, 1986)" }, "properties" : { "noteIndex" : 0 }, "schema" : "https://github.com/citation-style-language/schema/raw/master/csl-citation.json" }</w:instrText>
      </w:r>
      <w:r w:rsidRPr="00540586">
        <w:rPr>
          <w:sz w:val="24"/>
          <w:szCs w:val="24"/>
        </w:rPr>
        <w:fldChar w:fldCharType="separate"/>
      </w:r>
      <w:r w:rsidRPr="00540586">
        <w:rPr>
          <w:noProof/>
          <w:sz w:val="24"/>
          <w:szCs w:val="24"/>
        </w:rPr>
        <w:t xml:space="preserve">Amihud e Mendelson (1986) </w:t>
      </w:r>
      <w:r w:rsidRPr="00540586">
        <w:rPr>
          <w:sz w:val="24"/>
          <w:szCs w:val="24"/>
        </w:rPr>
        <w:fldChar w:fldCharType="end"/>
      </w:r>
      <w:r w:rsidRPr="00540586">
        <w:rPr>
          <w:sz w:val="24"/>
          <w:szCs w:val="24"/>
        </w:rPr>
        <w:t xml:space="preserve">definem a liquidez de mercado como o custo </w:t>
      </w:r>
      <w:r>
        <w:rPr>
          <w:sz w:val="24"/>
          <w:szCs w:val="24"/>
        </w:rPr>
        <w:t xml:space="preserve">incorrido para </w:t>
      </w:r>
      <w:r w:rsidRPr="00540586">
        <w:rPr>
          <w:sz w:val="24"/>
          <w:szCs w:val="24"/>
        </w:rPr>
        <w:t>a execução</w:t>
      </w:r>
      <w:r>
        <w:rPr>
          <w:sz w:val="24"/>
          <w:szCs w:val="24"/>
        </w:rPr>
        <w:t xml:space="preserve"> imediata</w:t>
      </w:r>
      <w:r w:rsidRPr="00540586">
        <w:rPr>
          <w:sz w:val="24"/>
          <w:szCs w:val="24"/>
        </w:rPr>
        <w:t xml:space="preserve"> d</w:t>
      </w:r>
      <w:r>
        <w:rPr>
          <w:sz w:val="24"/>
          <w:szCs w:val="24"/>
        </w:rPr>
        <w:t xml:space="preserve">e uma ordem de compra ou venda de um ativo. Assim, essa definição é próxima daquela que é apresentada pelos dicionários, como se constata </w:t>
      </w:r>
      <w:r w:rsidRPr="00F10837">
        <w:rPr>
          <w:sz w:val="24"/>
          <w:szCs w:val="24"/>
        </w:rPr>
        <w:t>em Houaiss e Villar (2001),</w:t>
      </w:r>
      <w:r>
        <w:rPr>
          <w:sz w:val="24"/>
          <w:szCs w:val="24"/>
        </w:rPr>
        <w:t xml:space="preserve"> que tratam a liquidez como a facilidade com que um ativo é negociado e convertido em dinheiro.</w:t>
      </w:r>
    </w:p>
    <w:p w14:paraId="6EDD8994" w14:textId="77777777" w:rsidR="00CC2B1F" w:rsidRDefault="00CC2B1F" w:rsidP="00CC2B1F">
      <w:pPr>
        <w:ind w:firstLine="709"/>
        <w:jc w:val="both"/>
        <w:rPr>
          <w:sz w:val="24"/>
          <w:szCs w:val="24"/>
        </w:rPr>
      </w:pPr>
      <w:r w:rsidRPr="00F10837">
        <w:rPr>
          <w:sz w:val="24"/>
          <w:szCs w:val="24"/>
        </w:rPr>
        <w:t>Pastor e Stambaugh (2001)</w:t>
      </w:r>
      <w:r>
        <w:rPr>
          <w:sz w:val="24"/>
          <w:szCs w:val="24"/>
        </w:rPr>
        <w:t xml:space="preserve"> definem a liquidez de um ativo como sua capacidade de ser negociado em grandes quantidades, a um baixo custo, sem que sejam necessários grandes descontos no preço alvo para que a transação se concretize. Em concordância com as definições acima </w:t>
      </w:r>
      <w:r w:rsidRPr="00590DC6">
        <w:rPr>
          <w:sz w:val="24"/>
          <w:szCs w:val="24"/>
        </w:rPr>
        <w:t>apresentadas, Rösch, Subrahmanyam e Dijk (2013) argumentam</w:t>
      </w:r>
      <w:r>
        <w:rPr>
          <w:sz w:val="24"/>
          <w:szCs w:val="24"/>
        </w:rPr>
        <w:t xml:space="preserve"> que a maior liquidez em um mercado é capaz de reduzir os custos de transação, culminando com isso em um mercado mais eficiente.</w:t>
      </w:r>
    </w:p>
    <w:p w14:paraId="43F3D872" w14:textId="77777777" w:rsidR="00CC2B1F" w:rsidRDefault="00CC2B1F" w:rsidP="00CC2B1F">
      <w:pPr>
        <w:ind w:firstLine="708"/>
        <w:jc w:val="both"/>
        <w:rPr>
          <w:sz w:val="24"/>
          <w:szCs w:val="24"/>
        </w:rPr>
      </w:pPr>
      <w:r>
        <w:rPr>
          <w:sz w:val="24"/>
          <w:szCs w:val="24"/>
        </w:rPr>
        <w:t xml:space="preserve">De acordo com </w:t>
      </w:r>
      <w:r w:rsidRPr="003813CC">
        <w:rPr>
          <w:sz w:val="24"/>
          <w:szCs w:val="24"/>
        </w:rPr>
        <w:fldChar w:fldCharType="begin" w:fldLock="1"/>
      </w:r>
      <w:r w:rsidRPr="003813CC">
        <w:rPr>
          <w:sz w:val="24"/>
          <w:szCs w:val="24"/>
        </w:rPr>
        <w:instrText>ADDIN CSL_CITATION { "citationItems" : [ { "id" : "ITEM-1", "itemData" : { "author" : [ { "dropping-particle" : "", "family" : "Gon\u00e7alves, Paulo Eduardo; Sheng", "given" : "Hsia Hua", "non-dropping-particle" : "", "parse-names" : false, "suffix" : "" } ], "id" : "ITEM-1", "issued" : { "date-parts" : [ [ "2010" ] ] }, "page" : "30-42", "title" : "Mercado Secund\u00e1rio De Deb\u00eantures", "type" : "article-journal" }, "uris" : [ "http://www.mendeley.com/documents/?uuid=578621fe-7baf-476d-bf58-0edec132c8f8" ] } ], "mendeley" : { "formattedCitation" : "(GON\u00c7ALVES, PAULO EDUARDO; SHENG, 2010)", "manualFormatting" : "Gon\u00e7alves e Sheng (2010, p. 2)", "plainTextFormattedCitation" : "(GON\u00c7ALVES, PAULO EDUARDO; SHENG, 2010)", "previouslyFormattedCitation" : "(GON\u00c7ALVES, PAULO EDUARDO; SHENG, 2010)" }, "properties" : { "noteIndex" : 0 }, "schema" : "https://github.com/citation-style-language/schema/raw/master/csl-citation.json" }</w:instrText>
      </w:r>
      <w:r w:rsidRPr="003813CC">
        <w:rPr>
          <w:sz w:val="24"/>
          <w:szCs w:val="24"/>
        </w:rPr>
        <w:fldChar w:fldCharType="separate"/>
      </w:r>
      <w:r w:rsidRPr="003813CC">
        <w:rPr>
          <w:noProof/>
          <w:sz w:val="24"/>
          <w:szCs w:val="24"/>
        </w:rPr>
        <w:t>Gonçalves e Sheng (2010, p. 2)</w:t>
      </w:r>
      <w:r w:rsidRPr="003813CC">
        <w:rPr>
          <w:sz w:val="24"/>
          <w:szCs w:val="24"/>
        </w:rPr>
        <w:fldChar w:fldCharType="end"/>
      </w:r>
      <w:r>
        <w:rPr>
          <w:sz w:val="24"/>
          <w:szCs w:val="24"/>
        </w:rPr>
        <w:t>, “e</w:t>
      </w:r>
      <w:r w:rsidRPr="00692608">
        <w:rPr>
          <w:sz w:val="24"/>
          <w:szCs w:val="24"/>
        </w:rPr>
        <w:t>ntre seus inúmeros benefícios, a liquidez</w:t>
      </w:r>
      <w:r>
        <w:rPr>
          <w:sz w:val="24"/>
          <w:szCs w:val="24"/>
        </w:rPr>
        <w:t xml:space="preserve"> </w:t>
      </w:r>
      <w:r w:rsidRPr="00692608">
        <w:rPr>
          <w:sz w:val="24"/>
          <w:szCs w:val="24"/>
        </w:rPr>
        <w:t>fortalece os mercados, aumenta o número de participantes,</w:t>
      </w:r>
      <w:r>
        <w:rPr>
          <w:sz w:val="24"/>
          <w:szCs w:val="24"/>
        </w:rPr>
        <w:t xml:space="preserve"> </w:t>
      </w:r>
      <w:r w:rsidRPr="00692608">
        <w:rPr>
          <w:sz w:val="24"/>
          <w:szCs w:val="24"/>
        </w:rPr>
        <w:t>cria curvas de referência e, principalmente, reduz custos de</w:t>
      </w:r>
      <w:r>
        <w:rPr>
          <w:sz w:val="24"/>
          <w:szCs w:val="24"/>
        </w:rPr>
        <w:t xml:space="preserve"> </w:t>
      </w:r>
      <w:r w:rsidRPr="00692608">
        <w:rPr>
          <w:sz w:val="24"/>
          <w:szCs w:val="24"/>
        </w:rPr>
        <w:t>transação e de emissão</w:t>
      </w:r>
      <w:r>
        <w:rPr>
          <w:sz w:val="24"/>
          <w:szCs w:val="24"/>
        </w:rPr>
        <w:t>”</w:t>
      </w:r>
      <w:r w:rsidRPr="00692608">
        <w:rPr>
          <w:sz w:val="24"/>
          <w:szCs w:val="24"/>
        </w:rPr>
        <w:t>.</w:t>
      </w:r>
      <w:r>
        <w:rPr>
          <w:sz w:val="24"/>
          <w:szCs w:val="24"/>
        </w:rPr>
        <w:t xml:space="preserve"> </w:t>
      </w:r>
      <w:r>
        <w:rPr>
          <w:noProof/>
          <w:sz w:val="24"/>
          <w:szCs w:val="24"/>
        </w:rPr>
        <w:t>Kunkel, Ceretta, Vieira, Silveira e Righi</w:t>
      </w:r>
      <w:r w:rsidRPr="00002051">
        <w:rPr>
          <w:sz w:val="24"/>
          <w:szCs w:val="24"/>
        </w:rPr>
        <w:fldChar w:fldCharType="begin" w:fldLock="1"/>
      </w:r>
      <w:r w:rsidRPr="00002051">
        <w:rPr>
          <w:sz w:val="24"/>
          <w:szCs w:val="24"/>
        </w:rPr>
        <w:instrText>ADDIN CSL_CITATION { "citationItems" : [ { "id" : "ITEM-1", "itemData" : { "author" : [ { "dropping-particle" : "", "family" : "Kunkel", "given" : "Reis", "non-dropping-particle" : "", "parse-names" : false, "suffix" : "" }, { "dropping-particle" : "", "family" : "Federal", "given" : "Universidade", "non-dropping-particle" : "", "parse-names" : false, "suffix" : "" }, { "dropping-particle" : "", "family" : "Maria", "given" : "Santa", "non-dropping-particle" : "", "parse-names" : false, "suffix" : "" }, { "dropping-particle" : "", "family" : "Federal", "given" : "Universidade", "non-dropping-particle" : "", "parse-names" : false, "suffix" : "" }, { "dropping-particle" : "", "family" : "Maria", "given" : "Santa", "non-dropping-particle" : "", "parse-names" : false, "suffix" : "" }, { "dropping-particle" : "", "family" : "Vieira", "given" : "Kelmara Mendes", "non-dropping-particle" : "", "parse-names" : false, "suffix" : "" }, { "dropping-particle" : "", "family" : "Federal", "given" : "Universidade", "non-dropping-particle" : "", "parse-names" : false, "suffix" : "" }, { "dropping-particle" : "", "family" : "Maria", "given" : "Santa", "non-dropping-particle" : "", "parse-names" : false, "suffix" : "" }, { "dropping-particle" : "", "family" : "Federal", "given" : "Universidade", "non-dropping-particle" : "", "parse-names" : false, "suffix" : "" }, { "dropping-particle" : "", "family" : "Maria", "given" : "Santa", "non-dropping-particle" : "", "parse-names" : false, "suffix" : "" }, { "dropping-particle" : "", "family" : "Righi", "given" : "Marcelo Brutti", "non-dropping-particle" : "", "parse-names" : false, "suffix" : "" }, { "dropping-particle" : "", "family" : "Federal", "given" : "Universidade", "non-dropping-particle" : "", "parse-names" : false, "suffix" : "" }, { "dropping-particle" : "", "family" : "Maria", "given" : "Santa", "non-dropping-particle" : "", "parse-names" : false, "suffix" : "" } ], "id" : "ITEM-1", "issued" : { "date-parts" : [ [ "2014" ] ] }, "page" : "21-41", "title" : "Temporal Behavior of the Liquidity in the Brazilian Market : an", "type" : "article-journal" }, "uris" : [ "http://www.mendeley.com/documents/?uuid=2333d8bd-3191-4831-adf4-cdc6e383fb5c" ] } ], "mendeley" : { "formattedCitation" : "(KUNKEL &lt;i&gt;et al.&lt;/i&gt;, 2014)", "manualFormatting" : "Kunkel et al. (2014)", "plainTextFormattedCitation" : "(KUNKEL et al., 2014)", "previouslyFormattedCitation" : "(KUNKEL &lt;i&gt;et al.&lt;/i&gt;, 2014)" }, "properties" : { "noteIndex" : 0 }, "schema" : "https://github.com/citation-style-language/schema/raw/master/csl-citation.json" }</w:instrText>
      </w:r>
      <w:r w:rsidRPr="00002051">
        <w:rPr>
          <w:sz w:val="24"/>
          <w:szCs w:val="24"/>
        </w:rPr>
        <w:fldChar w:fldCharType="separate"/>
      </w:r>
      <w:r w:rsidRPr="00002051">
        <w:rPr>
          <w:noProof/>
          <w:sz w:val="24"/>
          <w:szCs w:val="24"/>
        </w:rPr>
        <w:t xml:space="preserve"> (2014)</w:t>
      </w:r>
      <w:r w:rsidRPr="00002051">
        <w:rPr>
          <w:sz w:val="24"/>
          <w:szCs w:val="24"/>
        </w:rPr>
        <w:fldChar w:fldCharType="end"/>
      </w:r>
      <w:r>
        <w:rPr>
          <w:sz w:val="24"/>
          <w:szCs w:val="24"/>
        </w:rPr>
        <w:t xml:space="preserve"> c</w:t>
      </w:r>
      <w:r w:rsidRPr="00E15367">
        <w:rPr>
          <w:sz w:val="24"/>
          <w:szCs w:val="24"/>
        </w:rPr>
        <w:t>onsidera</w:t>
      </w:r>
      <w:r>
        <w:rPr>
          <w:sz w:val="24"/>
          <w:szCs w:val="24"/>
        </w:rPr>
        <w:t xml:space="preserve">m </w:t>
      </w:r>
      <w:r w:rsidRPr="00E15367">
        <w:rPr>
          <w:sz w:val="24"/>
          <w:szCs w:val="24"/>
        </w:rPr>
        <w:t xml:space="preserve">a liquidez um atributo fundamental do mercado financeiro </w:t>
      </w:r>
      <w:r>
        <w:rPr>
          <w:sz w:val="24"/>
          <w:szCs w:val="24"/>
        </w:rPr>
        <w:t>em razão da</w:t>
      </w:r>
      <w:r w:rsidRPr="00E15367">
        <w:rPr>
          <w:sz w:val="24"/>
          <w:szCs w:val="24"/>
        </w:rPr>
        <w:t xml:space="preserve"> sua</w:t>
      </w:r>
      <w:r>
        <w:rPr>
          <w:sz w:val="24"/>
          <w:szCs w:val="24"/>
        </w:rPr>
        <w:t xml:space="preserve"> </w:t>
      </w:r>
      <w:r w:rsidRPr="00E15367">
        <w:rPr>
          <w:sz w:val="24"/>
          <w:szCs w:val="24"/>
        </w:rPr>
        <w:t>influência nos custos de transação</w:t>
      </w:r>
      <w:r>
        <w:rPr>
          <w:sz w:val="24"/>
          <w:szCs w:val="24"/>
        </w:rPr>
        <w:t>. Além da influência so</w:t>
      </w:r>
      <w:r w:rsidRPr="00E15367">
        <w:rPr>
          <w:sz w:val="24"/>
          <w:szCs w:val="24"/>
        </w:rPr>
        <w:t xml:space="preserve">bre os custos de transação </w:t>
      </w:r>
      <w:r>
        <w:rPr>
          <w:sz w:val="24"/>
          <w:szCs w:val="24"/>
        </w:rPr>
        <w:t>e na ligação direta e</w:t>
      </w:r>
      <w:r w:rsidRPr="00E15367">
        <w:rPr>
          <w:sz w:val="24"/>
          <w:szCs w:val="24"/>
        </w:rPr>
        <w:t>ntre liquidez e cu</w:t>
      </w:r>
      <w:r>
        <w:rPr>
          <w:sz w:val="24"/>
          <w:szCs w:val="24"/>
        </w:rPr>
        <w:t>sto de capital, a</w:t>
      </w:r>
      <w:r w:rsidRPr="00E15367">
        <w:rPr>
          <w:sz w:val="24"/>
          <w:szCs w:val="24"/>
        </w:rPr>
        <w:t xml:space="preserve"> liquidez </w:t>
      </w:r>
      <w:r>
        <w:rPr>
          <w:sz w:val="24"/>
          <w:szCs w:val="24"/>
        </w:rPr>
        <w:t xml:space="preserve">impacta no </w:t>
      </w:r>
      <w:r w:rsidRPr="00E15367">
        <w:rPr>
          <w:sz w:val="24"/>
          <w:szCs w:val="24"/>
        </w:rPr>
        <w:t>comportamento ótimo dos agentes no mercado financeiro</w:t>
      </w:r>
      <w:r>
        <w:rPr>
          <w:sz w:val="24"/>
          <w:szCs w:val="24"/>
        </w:rPr>
        <w:t xml:space="preserve"> </w:t>
      </w:r>
      <w:r w:rsidRPr="00002051">
        <w:rPr>
          <w:sz w:val="24"/>
          <w:szCs w:val="24"/>
        </w:rPr>
        <w:fldChar w:fldCharType="begin" w:fldLock="1"/>
      </w:r>
      <w:r w:rsidRPr="00002051">
        <w:rPr>
          <w:sz w:val="24"/>
          <w:szCs w:val="24"/>
        </w:rPr>
        <w:instrText>ADDIN CSL_CITATION { "citationItems" : [ { "id" : "ITEM-1", "itemData" : { "author" : [ { "dropping-particle" : "", "family" : "Jacoby", "given" : "Gady", "non-dropping-particle" : "", "parse-names" : false, "suffix" : "" }, { "dropping-particle" : "", "family" : "Fowler", "given" : "David", "non-dropping-particle" : "", "parse-names" : false, "suffix" : "" }, { "dropping-particle" : "", "family" : "Gottesman", "given" : "Aron", "non-dropping-particle" : "", "parse-names" : false, "suffix" : "" } ], "container-title" : "Journal of Financial Markets", "id" : "ITEM-1", "issued" : { "date-parts" : [ [ "2001" ] ] }, "page" : "69-81", "title" : "The Capital Asset Pricing Model and the Liquidity E ect: A Theoretical Approach", "type" : "article-journal", "volume" : "3" }, "uris" : [ "http://www.mendeley.com/documents/?uuid=b2052ef9-cd1d-4264-993b-7eeb21151cb7" ] } ], "mendeley" : { "formattedCitation" : "(JACOBY; FOWLER; GOTTESMAN, 2001)", "manualFormatting" : "(JACOBY; FOWLER e GOTTESMAN, 2000)", "plainTextFormattedCitation" : "(JACOBY; FOWLER; GOTTESMAN, 2001)", "previouslyFormattedCitation" : "(JACOBY; FOWLER; GOTTESMAN, 2001)" }, "properties" : { "noteIndex" : 0 }, "schema" : "https://github.com/citation-style-language/schema/raw/master/csl-citation.json" }</w:instrText>
      </w:r>
      <w:r w:rsidRPr="00002051">
        <w:rPr>
          <w:sz w:val="24"/>
          <w:szCs w:val="24"/>
        </w:rPr>
        <w:fldChar w:fldCharType="separate"/>
      </w:r>
      <w:r w:rsidRPr="00002051">
        <w:rPr>
          <w:noProof/>
          <w:sz w:val="24"/>
          <w:szCs w:val="24"/>
        </w:rPr>
        <w:t>(Ja</w:t>
      </w:r>
      <w:r>
        <w:rPr>
          <w:noProof/>
          <w:sz w:val="24"/>
          <w:szCs w:val="24"/>
        </w:rPr>
        <w:t>coby, Fowler &amp;</w:t>
      </w:r>
      <w:r w:rsidRPr="00002051">
        <w:rPr>
          <w:noProof/>
          <w:sz w:val="24"/>
          <w:szCs w:val="24"/>
        </w:rPr>
        <w:t xml:space="preserve"> Gottesman, 2000)</w:t>
      </w:r>
      <w:r w:rsidRPr="00002051">
        <w:rPr>
          <w:sz w:val="24"/>
          <w:szCs w:val="24"/>
        </w:rPr>
        <w:fldChar w:fldCharType="end"/>
      </w:r>
      <w:r>
        <w:rPr>
          <w:sz w:val="24"/>
          <w:szCs w:val="24"/>
        </w:rPr>
        <w:t xml:space="preserve">. </w:t>
      </w:r>
    </w:p>
    <w:p w14:paraId="41A55624" w14:textId="3BE724C1" w:rsidR="00CC2B1F" w:rsidRDefault="00CC2B1F" w:rsidP="00CC2B1F">
      <w:pPr>
        <w:ind w:firstLine="708"/>
        <w:jc w:val="both"/>
        <w:rPr>
          <w:sz w:val="24"/>
          <w:szCs w:val="24"/>
        </w:rPr>
      </w:pPr>
      <w:r>
        <w:rPr>
          <w:sz w:val="24"/>
          <w:szCs w:val="24"/>
        </w:rPr>
        <w:t>Em relação à liquidez de mercado Black (1971) é uma importante referência a tratar sobre o tema. Para esse autor, um mercado para ser considerado líquido deve atender a quatro condições prévias, são elas:</w:t>
      </w:r>
    </w:p>
    <w:p w14:paraId="7EE66E74" w14:textId="77777777" w:rsidR="00CC2B1F" w:rsidRDefault="00CC2B1F" w:rsidP="00CC2B1F">
      <w:pPr>
        <w:pStyle w:val="PargrafodaLista"/>
        <w:numPr>
          <w:ilvl w:val="0"/>
          <w:numId w:val="3"/>
        </w:numPr>
        <w:jc w:val="both"/>
        <w:rPr>
          <w:sz w:val="24"/>
          <w:szCs w:val="24"/>
        </w:rPr>
      </w:pPr>
      <w:r>
        <w:rPr>
          <w:sz w:val="24"/>
          <w:szCs w:val="24"/>
        </w:rPr>
        <w:t>existência de preços de compra e venda para investidores que desejam negociar uma pequena quantidade do ativo imediatamente;</w:t>
      </w:r>
    </w:p>
    <w:p w14:paraId="69284E00" w14:textId="77777777" w:rsidR="00CC2B1F" w:rsidRDefault="00CC2B1F" w:rsidP="00CC2B1F">
      <w:pPr>
        <w:pStyle w:val="PargrafodaLista"/>
        <w:numPr>
          <w:ilvl w:val="0"/>
          <w:numId w:val="3"/>
        </w:numPr>
        <w:jc w:val="both"/>
        <w:rPr>
          <w:sz w:val="24"/>
          <w:szCs w:val="24"/>
        </w:rPr>
      </w:pPr>
      <w:r>
        <w:rPr>
          <w:sz w:val="24"/>
          <w:szCs w:val="24"/>
        </w:rPr>
        <w:t xml:space="preserve">o </w:t>
      </w:r>
      <w:r w:rsidRPr="00650473">
        <w:rPr>
          <w:i/>
          <w:sz w:val="24"/>
          <w:szCs w:val="24"/>
        </w:rPr>
        <w:t>spread</w:t>
      </w:r>
      <w:r>
        <w:rPr>
          <w:sz w:val="24"/>
          <w:szCs w:val="24"/>
        </w:rPr>
        <w:t>, ou diferença entre os preços de compra e venda, deve permanecer pequeno;</w:t>
      </w:r>
    </w:p>
    <w:p w14:paraId="4A454B90" w14:textId="77777777" w:rsidR="00CC2B1F" w:rsidRDefault="00CC2B1F" w:rsidP="00CC2B1F">
      <w:pPr>
        <w:pStyle w:val="PargrafodaLista"/>
        <w:numPr>
          <w:ilvl w:val="0"/>
          <w:numId w:val="3"/>
        </w:numPr>
        <w:jc w:val="both"/>
        <w:rPr>
          <w:sz w:val="24"/>
          <w:szCs w:val="24"/>
        </w:rPr>
      </w:pPr>
      <w:r>
        <w:rPr>
          <w:sz w:val="24"/>
          <w:szCs w:val="24"/>
        </w:rPr>
        <w:t>a negociação de grandes quantidades de um ativo poderá ser feita, na ausência de informações especiais, poderá ser realizada no decorrer de um longo período, por preços que não difira significativamente do preço corrente de mercado;</w:t>
      </w:r>
    </w:p>
    <w:p w14:paraId="5F70ACED" w14:textId="77777777" w:rsidR="00CC2B1F" w:rsidRPr="00650473" w:rsidRDefault="00CC2B1F" w:rsidP="00CC2B1F">
      <w:pPr>
        <w:pStyle w:val="PargrafodaLista"/>
        <w:numPr>
          <w:ilvl w:val="0"/>
          <w:numId w:val="3"/>
        </w:numPr>
        <w:jc w:val="both"/>
        <w:rPr>
          <w:sz w:val="24"/>
          <w:szCs w:val="24"/>
        </w:rPr>
      </w:pPr>
      <w:r>
        <w:rPr>
          <w:sz w:val="24"/>
          <w:szCs w:val="24"/>
        </w:rPr>
        <w:t>grandes quantidades podem ser negociadas imediatamente, contudo a negociação se dá mediante a presença de um prêmio ou desconto que varia de acordo com o tamanho do negócio realizado.</w:t>
      </w:r>
    </w:p>
    <w:p w14:paraId="00A6E33B" w14:textId="77777777" w:rsidR="00CC2B1F" w:rsidRPr="002A5FFB" w:rsidRDefault="00CC2B1F" w:rsidP="00CC2B1F">
      <w:pPr>
        <w:ind w:firstLine="709"/>
        <w:jc w:val="both"/>
        <w:rPr>
          <w:sz w:val="24"/>
          <w:szCs w:val="24"/>
        </w:rPr>
      </w:pPr>
      <w:r w:rsidRPr="00094763">
        <w:rPr>
          <w:sz w:val="24"/>
          <w:szCs w:val="24"/>
        </w:rPr>
        <w:t>Não há, contudo,</w:t>
      </w:r>
      <w:r>
        <w:rPr>
          <w:sz w:val="24"/>
          <w:szCs w:val="24"/>
        </w:rPr>
        <w:t xml:space="preserve"> um </w:t>
      </w:r>
      <w:r w:rsidRPr="00094763">
        <w:rPr>
          <w:sz w:val="24"/>
          <w:szCs w:val="24"/>
        </w:rPr>
        <w:t>conceito de liquidez plenamente aceito</w:t>
      </w:r>
      <w:r>
        <w:rPr>
          <w:sz w:val="24"/>
          <w:szCs w:val="24"/>
        </w:rPr>
        <w:t xml:space="preserve">. </w:t>
      </w:r>
      <w:r w:rsidRPr="002A5FFB">
        <w:rPr>
          <w:sz w:val="24"/>
          <w:szCs w:val="24"/>
        </w:rPr>
        <w:t xml:space="preserve">O relatório </w:t>
      </w:r>
      <w:r w:rsidRPr="00344E11">
        <w:rPr>
          <w:i/>
          <w:sz w:val="24"/>
          <w:szCs w:val="24"/>
        </w:rPr>
        <w:t>Market Liquidity: Research Findings and Selected Policy Implications</w:t>
      </w:r>
      <w:r w:rsidRPr="002A5FFB">
        <w:rPr>
          <w:sz w:val="24"/>
          <w:szCs w:val="24"/>
        </w:rPr>
        <w:t xml:space="preserve"> traz a definição que segundo eles, teria uma aceitação </w:t>
      </w:r>
      <w:r>
        <w:rPr>
          <w:sz w:val="24"/>
          <w:szCs w:val="24"/>
        </w:rPr>
        <w:t>mais ampla: “u</w:t>
      </w:r>
      <w:r w:rsidRPr="00C7645A">
        <w:rPr>
          <w:sz w:val="24"/>
          <w:szCs w:val="24"/>
        </w:rPr>
        <w:t>m mercado líquido é um mercado onde os participantes podem rapidamente realizar um grande volume de negócios com um p</w:t>
      </w:r>
      <w:r>
        <w:rPr>
          <w:sz w:val="24"/>
          <w:szCs w:val="24"/>
        </w:rPr>
        <w:t>equeno impacto sobre os preços” (</w:t>
      </w:r>
      <w:r w:rsidRPr="00034FE0">
        <w:rPr>
          <w:sz w:val="24"/>
          <w:szCs w:val="24"/>
        </w:rPr>
        <w:t>ML – BIS</w:t>
      </w:r>
      <w:r>
        <w:rPr>
          <w:sz w:val="24"/>
          <w:szCs w:val="24"/>
        </w:rPr>
        <w:t>,</w:t>
      </w:r>
      <w:r w:rsidRPr="00C7645A">
        <w:rPr>
          <w:sz w:val="24"/>
          <w:szCs w:val="24"/>
        </w:rPr>
        <w:t xml:space="preserve"> 1999, p. 5).</w:t>
      </w:r>
    </w:p>
    <w:p w14:paraId="1D680DD3" w14:textId="77777777" w:rsidR="00CC2B1F" w:rsidRDefault="00CC2B1F" w:rsidP="00CC2B1F">
      <w:pPr>
        <w:ind w:firstLine="709"/>
        <w:jc w:val="both"/>
        <w:rPr>
          <w:sz w:val="24"/>
          <w:szCs w:val="24"/>
        </w:rPr>
      </w:pPr>
      <w:r w:rsidRPr="00590BB3">
        <w:rPr>
          <w:sz w:val="24"/>
          <w:szCs w:val="24"/>
        </w:rPr>
        <w:t>Amihud e Mendelson (1991) apontam</w:t>
      </w:r>
      <w:r>
        <w:rPr>
          <w:sz w:val="24"/>
          <w:szCs w:val="24"/>
        </w:rPr>
        <w:t xml:space="preserve"> que a iliquidez de um ativo está relacionada ao custo de se efetuar sua transação no mercado de capitais. Ainda segundo esses autores, os custos da iliquidez de um ativo podem ser separados em quatro diferentes componentes, o </w:t>
      </w:r>
      <w:r w:rsidRPr="002841FA">
        <w:rPr>
          <w:i/>
          <w:sz w:val="24"/>
          <w:szCs w:val="24"/>
        </w:rPr>
        <w:t>bid-ask spread</w:t>
      </w:r>
      <w:r>
        <w:rPr>
          <w:sz w:val="24"/>
          <w:szCs w:val="24"/>
        </w:rPr>
        <w:t>, que de maneira simplificada pode ser descrito como o montante em que o preço de compra excede o preço de venda de um ativo; os custos relacionados ao impacto de grandes negociações em um mercado; os custos de demora e procura para se efetuar uma compra ou venda; e os custos de transação diretos.</w:t>
      </w:r>
    </w:p>
    <w:p w14:paraId="7F51CCB3" w14:textId="77777777" w:rsidR="00CC2B1F" w:rsidRPr="00D9004B" w:rsidRDefault="00CC2B1F" w:rsidP="00CC2B1F">
      <w:pPr>
        <w:ind w:firstLine="709"/>
        <w:jc w:val="both"/>
        <w:rPr>
          <w:sz w:val="24"/>
          <w:szCs w:val="24"/>
        </w:rPr>
      </w:pPr>
      <w:r>
        <w:rPr>
          <w:sz w:val="24"/>
          <w:szCs w:val="24"/>
        </w:rPr>
        <w:t xml:space="preserve">Desse modo, ressalta-se que a liquidez não é diretamente observável e possui diferentes aspectos que não são mensurados por meio de uma única variável. Com isso na literatura é </w:t>
      </w:r>
      <w:r>
        <w:rPr>
          <w:sz w:val="24"/>
          <w:szCs w:val="24"/>
        </w:rPr>
        <w:lastRenderedPageBreak/>
        <w:t xml:space="preserve">possível observar estudos trabalhando com variadas </w:t>
      </w:r>
      <w:r w:rsidRPr="003953BE">
        <w:rPr>
          <w:i/>
          <w:sz w:val="24"/>
          <w:szCs w:val="24"/>
        </w:rPr>
        <w:t>proxies</w:t>
      </w:r>
      <w:r>
        <w:rPr>
          <w:sz w:val="24"/>
          <w:szCs w:val="24"/>
        </w:rPr>
        <w:t xml:space="preserve"> para mensuração da liquidez, isso se justifica pela tentativa dos pesquisadores em capturar as diferentes dimensões dessa variável (</w:t>
      </w:r>
      <w:r w:rsidRPr="00B4463C">
        <w:rPr>
          <w:sz w:val="24"/>
          <w:szCs w:val="24"/>
        </w:rPr>
        <w:t>Liu, 2006; Amihud, 2002; Machado</w:t>
      </w:r>
      <w:r>
        <w:rPr>
          <w:sz w:val="24"/>
          <w:szCs w:val="24"/>
        </w:rPr>
        <w:t xml:space="preserve"> &amp;</w:t>
      </w:r>
      <w:r w:rsidRPr="00B4463C">
        <w:rPr>
          <w:sz w:val="24"/>
          <w:szCs w:val="24"/>
        </w:rPr>
        <w:t xml:space="preserve"> Medeiros, 2011).</w:t>
      </w:r>
    </w:p>
    <w:p w14:paraId="0026E14D" w14:textId="77777777" w:rsidR="00CC2B1F" w:rsidRDefault="00CC2B1F" w:rsidP="00CC2B1F">
      <w:pPr>
        <w:ind w:firstLine="709"/>
        <w:jc w:val="both"/>
        <w:rPr>
          <w:sz w:val="24"/>
          <w:szCs w:val="24"/>
        </w:rPr>
      </w:pPr>
      <w:r w:rsidRPr="00540586">
        <w:rPr>
          <w:sz w:val="24"/>
          <w:szCs w:val="24"/>
        </w:rPr>
        <w:fldChar w:fldCharType="begin" w:fldLock="1"/>
      </w:r>
      <w:r w:rsidRPr="00540586">
        <w:rPr>
          <w:sz w:val="24"/>
          <w:szCs w:val="24"/>
        </w:rPr>
        <w:instrText>ADDIN CSL_CITATION { "citationItems" : [ { "id" : "ITEM-1", "itemData" : { "id" : "ITEM-1", "issued" : { "date-parts" : [ [ "0" ] ] }, "title" : "Demsetz 1968.pdf", "type" : "article" }, "uris" : [ "http://www.mendeley.com/documents/?uuid=f7d69920-3294-4d4e-839a-f73322309e9c" ] } ], "mendeley" : { "formattedCitation" : "(\u201cDemsetz 1968.pdf\u201d, [S.d.])", "manualFormatting" : "Demsetz  (1968)", "plainTextFormattedCitation" : "(\u201cDemsetz 1968.pdf\u201d, [S.d.])", "previouslyFormattedCitation" : "(\u201cDemsetz 1968.pdf\u201d, [S.d.])" }, "properties" : { "noteIndex" : 0 }, "schema" : "https://github.com/citation-style-language/schema/raw/master/csl-citation.json" }</w:instrText>
      </w:r>
      <w:r w:rsidRPr="00540586">
        <w:rPr>
          <w:sz w:val="24"/>
          <w:szCs w:val="24"/>
        </w:rPr>
        <w:fldChar w:fldCharType="separate"/>
      </w:r>
      <w:r w:rsidRPr="00540586">
        <w:rPr>
          <w:noProof/>
          <w:sz w:val="24"/>
          <w:szCs w:val="24"/>
        </w:rPr>
        <w:t>Demsetz  (1968)</w:t>
      </w:r>
      <w:r w:rsidRPr="00540586">
        <w:rPr>
          <w:sz w:val="24"/>
          <w:szCs w:val="24"/>
        </w:rPr>
        <w:fldChar w:fldCharType="end"/>
      </w:r>
      <w:r w:rsidRPr="00540586">
        <w:rPr>
          <w:sz w:val="24"/>
          <w:szCs w:val="24"/>
        </w:rPr>
        <w:t xml:space="preserve"> propôs</w:t>
      </w:r>
      <w:r>
        <w:rPr>
          <w:sz w:val="24"/>
          <w:szCs w:val="24"/>
        </w:rPr>
        <w:t xml:space="preserve"> o </w:t>
      </w:r>
      <w:r w:rsidRPr="001E5C58">
        <w:rPr>
          <w:i/>
          <w:sz w:val="24"/>
          <w:szCs w:val="24"/>
        </w:rPr>
        <w:t>bid-ask spread</w:t>
      </w:r>
      <w:r>
        <w:rPr>
          <w:sz w:val="24"/>
          <w:szCs w:val="24"/>
        </w:rPr>
        <w:t xml:space="preserve"> como medida para a iliquidez de um ativo, esse conceito foi amplamente empregado na literatura. Desse modo é possível mencionar trabalhos como </w:t>
      </w:r>
      <w:r w:rsidRPr="00112BC4">
        <w:rPr>
          <w:sz w:val="24"/>
          <w:szCs w:val="24"/>
        </w:rPr>
        <w:t>Amihud e Mendelson (1986); Marshall e Ypung (2003); Correia e Amaral (2014); e Perobelli</w:t>
      </w:r>
      <w:r>
        <w:rPr>
          <w:sz w:val="24"/>
          <w:szCs w:val="24"/>
        </w:rPr>
        <w:t xml:space="preserve">, Famá e Sacramento </w:t>
      </w:r>
      <w:r w:rsidRPr="00112BC4">
        <w:rPr>
          <w:sz w:val="24"/>
          <w:szCs w:val="24"/>
        </w:rPr>
        <w:t>(2016),</w:t>
      </w:r>
      <w:r>
        <w:rPr>
          <w:sz w:val="24"/>
          <w:szCs w:val="24"/>
        </w:rPr>
        <w:t xml:space="preserve"> que empregam o </w:t>
      </w:r>
      <w:r w:rsidRPr="001E5C58">
        <w:rPr>
          <w:i/>
          <w:sz w:val="24"/>
          <w:szCs w:val="24"/>
        </w:rPr>
        <w:t>bid-ask spread</w:t>
      </w:r>
      <w:r>
        <w:rPr>
          <w:sz w:val="24"/>
          <w:szCs w:val="24"/>
        </w:rPr>
        <w:t xml:space="preserve">, ou medidas dele derivado.  </w:t>
      </w:r>
    </w:p>
    <w:p w14:paraId="6E9DEB29" w14:textId="77777777" w:rsidR="00CC2B1F" w:rsidRDefault="00CC2B1F" w:rsidP="00CC2B1F">
      <w:pPr>
        <w:ind w:firstLine="709"/>
        <w:jc w:val="both"/>
        <w:rPr>
          <w:sz w:val="24"/>
          <w:szCs w:val="24"/>
        </w:rPr>
      </w:pPr>
      <w:r>
        <w:rPr>
          <w:sz w:val="24"/>
          <w:szCs w:val="24"/>
        </w:rPr>
        <w:t xml:space="preserve">Outra variável presente na literatura para o estudo da liquidez é o índice </w:t>
      </w:r>
      <w:r w:rsidRPr="003D25B8">
        <w:rPr>
          <w:i/>
          <w:sz w:val="24"/>
          <w:szCs w:val="24"/>
        </w:rPr>
        <w:t>turnover</w:t>
      </w:r>
      <w:r>
        <w:rPr>
          <w:sz w:val="24"/>
          <w:szCs w:val="24"/>
        </w:rPr>
        <w:t xml:space="preserve">, que conforme descrito por Machado e Medeiros (2011) é dado pela divisão do número de ações negociadas pelo total de ações emitidas pela empresa. Dentre os estudos que utilizam essa medida para a liquidez é possível mencionar os trabalhos de </w:t>
      </w:r>
      <w:r w:rsidRPr="00452A0D">
        <w:rPr>
          <w:sz w:val="24"/>
          <w:szCs w:val="24"/>
        </w:rPr>
        <w:t>Datar, Naik e Radcliffe (1998); Chan e Faff (2003);</w:t>
      </w:r>
      <w:r>
        <w:rPr>
          <w:sz w:val="24"/>
          <w:szCs w:val="24"/>
        </w:rPr>
        <w:t xml:space="preserve"> Machado e Medeiros (2011); </w:t>
      </w:r>
      <w:r w:rsidRPr="00B22F3D">
        <w:rPr>
          <w:sz w:val="24"/>
          <w:szCs w:val="24"/>
        </w:rPr>
        <w:t>e Vieira, Justen Júnior e Righi (2015).</w:t>
      </w:r>
      <w:r>
        <w:rPr>
          <w:sz w:val="24"/>
          <w:szCs w:val="24"/>
        </w:rPr>
        <w:t xml:space="preserve"> Além dessas duas principais variáveis apresentadas acima é possível citar diversas outras, como: volume negociado e volatilidade, </w:t>
      </w:r>
      <w:r w:rsidRPr="00BF7534">
        <w:rPr>
          <w:sz w:val="24"/>
          <w:szCs w:val="24"/>
        </w:rPr>
        <w:t>empregados por Jun, Marathe e Shawky (2003);</w:t>
      </w:r>
      <w:r>
        <w:rPr>
          <w:sz w:val="24"/>
          <w:szCs w:val="24"/>
        </w:rPr>
        <w:t xml:space="preserve"> e </w:t>
      </w:r>
      <w:r w:rsidRPr="00E612D2">
        <w:rPr>
          <w:sz w:val="24"/>
          <w:szCs w:val="24"/>
        </w:rPr>
        <w:t>quantidade de títulos e quantidade de negócios, conforme empregado por Vieira e Milach (2008).</w:t>
      </w:r>
    </w:p>
    <w:p w14:paraId="03E450B7" w14:textId="77777777" w:rsidR="00CC2B1F" w:rsidRPr="0003496E" w:rsidRDefault="00CC2B1F" w:rsidP="00CC2B1F">
      <w:pPr>
        <w:ind w:firstLine="709"/>
        <w:jc w:val="both"/>
        <w:rPr>
          <w:sz w:val="24"/>
          <w:szCs w:val="24"/>
        </w:rPr>
      </w:pPr>
      <w:r>
        <w:rPr>
          <w:sz w:val="24"/>
          <w:szCs w:val="24"/>
        </w:rPr>
        <w:t xml:space="preserve">Fica assim constatada a presença de diversas variáveis na literatura utilizadas como </w:t>
      </w:r>
      <w:r w:rsidRPr="00CD561C">
        <w:rPr>
          <w:i/>
          <w:sz w:val="24"/>
          <w:szCs w:val="24"/>
        </w:rPr>
        <w:t>proxy</w:t>
      </w:r>
      <w:r>
        <w:rPr>
          <w:sz w:val="24"/>
          <w:szCs w:val="24"/>
        </w:rPr>
        <w:t xml:space="preserve"> para a liquidez, dado o que foi acima exposto não é correto afirmar que existe uma medida universal para mensurar a liquidez de um ativo, pois, seu caráter múltiplo impede que isso seja viável. É possível, no entanto, analisar a correlação entre as </w:t>
      </w:r>
      <w:r w:rsidRPr="0003496E">
        <w:rPr>
          <w:i/>
          <w:sz w:val="24"/>
          <w:szCs w:val="24"/>
        </w:rPr>
        <w:t>proxies</w:t>
      </w:r>
      <w:r>
        <w:rPr>
          <w:sz w:val="24"/>
          <w:szCs w:val="24"/>
        </w:rPr>
        <w:t xml:space="preserve"> conforme feito por Machado e Medeiros (2011), que encontraram uma alta correlação entre volume negociado, negociabilidade, quantidade de negócios e </w:t>
      </w:r>
      <w:r w:rsidRPr="0003496E">
        <w:rPr>
          <w:i/>
          <w:sz w:val="24"/>
          <w:szCs w:val="24"/>
        </w:rPr>
        <w:t>turnover</w:t>
      </w:r>
      <w:r>
        <w:rPr>
          <w:sz w:val="24"/>
          <w:szCs w:val="24"/>
        </w:rPr>
        <w:t xml:space="preserve"> padronizado, o que mostra que essas variáveis estão captando uma mesma dimensão da liquidez. </w:t>
      </w:r>
    </w:p>
    <w:p w14:paraId="68F93C18" w14:textId="77777777" w:rsidR="00CC2B1F" w:rsidRPr="001C4185" w:rsidRDefault="00CC2B1F" w:rsidP="00CC2B1F">
      <w:pPr>
        <w:pStyle w:val="PargrafodaLista"/>
        <w:numPr>
          <w:ilvl w:val="1"/>
          <w:numId w:val="4"/>
        </w:numPr>
        <w:spacing w:before="240" w:after="240"/>
        <w:ind w:left="357" w:hanging="357"/>
        <w:rPr>
          <w:b/>
          <w:sz w:val="24"/>
          <w:szCs w:val="24"/>
        </w:rPr>
      </w:pPr>
      <w:r w:rsidRPr="001C4185">
        <w:rPr>
          <w:b/>
          <w:sz w:val="24"/>
          <w:szCs w:val="24"/>
        </w:rPr>
        <w:t>Liquidez e retorno acionário</w:t>
      </w:r>
    </w:p>
    <w:p w14:paraId="3C8346BA" w14:textId="77777777" w:rsidR="00CC2B1F" w:rsidRDefault="00CC2B1F" w:rsidP="009E5F7C">
      <w:pPr>
        <w:ind w:firstLine="709"/>
        <w:jc w:val="both"/>
        <w:rPr>
          <w:sz w:val="24"/>
          <w:szCs w:val="24"/>
        </w:rPr>
      </w:pPr>
      <w:r>
        <w:rPr>
          <w:sz w:val="24"/>
          <w:szCs w:val="24"/>
        </w:rPr>
        <w:t xml:space="preserve">Dada a definição de liquidez apresentada acima, é importante que se compreenda como esse fator afeta os mercados financeiros. </w:t>
      </w:r>
      <w:r w:rsidRPr="00A65CF8">
        <w:rPr>
          <w:sz w:val="24"/>
          <w:szCs w:val="24"/>
        </w:rPr>
        <w:t xml:space="preserve">Em consequência da relevância da liquidez para o mercado financeiro, inúmeros estudos têm sido realizados no intuito de melhor assimilar a influência da liquidez no mercado. É de estrema relevância apurar a evolução da liquidez ao longo do tempo e examinar uma possível relação causal entre a liquidez de mercado e a economia </w:t>
      </w:r>
      <w:r w:rsidRPr="00002051">
        <w:rPr>
          <w:sz w:val="24"/>
          <w:szCs w:val="24"/>
        </w:rPr>
        <w:fldChar w:fldCharType="begin" w:fldLock="1"/>
      </w:r>
      <w:r w:rsidRPr="00002051">
        <w:rPr>
          <w:sz w:val="24"/>
          <w:szCs w:val="24"/>
        </w:rPr>
        <w:instrText>ADDIN CSL_CITATION { "citationItems" : [ { "id" : "ITEM-1", "itemData" : { "author" : [ { "dropping-particle" : "", "family" : "Kunkel", "given" : "Reis", "non-dropping-particle" : "", "parse-names" : false, "suffix" : "" }, { "dropping-particle" : "", "family" : "Federal", "given" : "Universidade", "non-dropping-particle" : "", "parse-names" : false, "suffix" : "" }, { "dropping-particle" : "", "family" : "Maria", "given" : "Santa", "non-dropping-particle" : "", "parse-names" : false, "suffix" : "" }, { "dropping-particle" : "", "family" : "Federal", "given" : "Universidade", "non-dropping-particle" : "", "parse-names" : false, "suffix" : "" }, { "dropping-particle" : "", "family" : "Maria", "given" : "Santa", "non-dropping-particle" : "", "parse-names" : false, "suffix" : "" }, { "dropping-particle" : "", "family" : "Vieira", "given" : "Kelmara Mendes", "non-dropping-particle" : "", "parse-names" : false, "suffix" : "" }, { "dropping-particle" : "", "family" : "Federal", "given" : "Universidade", "non-dropping-particle" : "", "parse-names" : false, "suffix" : "" }, { "dropping-particle" : "", "family" : "Maria", "given" : "Santa", "non-dropping-particle" : "", "parse-names" : false, "suffix" : "" }, { "dropping-particle" : "", "family" : "Federal", "given" : "Universidade", "non-dropping-particle" : "", "parse-names" : false, "suffix" : "" }, { "dropping-particle" : "", "family" : "Maria", "given" : "Santa", "non-dropping-particle" : "", "parse-names" : false, "suffix" : "" }, { "dropping-particle" : "", "family" : "Righi", "given" : "Marcelo Brutti", "non-dropping-particle" : "", "parse-names" : false, "suffix" : "" }, { "dropping-particle" : "", "family" : "Federal", "given" : "Universidade", "non-dropping-particle" : "", "parse-names" : false, "suffix" : "" }, { "dropping-particle" : "", "family" : "Maria", "given" : "Santa", "non-dropping-particle" : "", "parse-names" : false, "suffix" : "" } ], "id" : "ITEM-1", "issued" : { "date-parts" : [ [ "2014" ] ] }, "page" : "21-41", "title" : "Temporal Behavior of the Liquidity in the Brazilian Market : an", "type" : "article-journal" }, "uris" : [ "http://www.mendeley.com/documents/?uuid=2333d8bd-3191-4831-adf4-cdc6e383fb5c" ] } ], "mendeley" : { "formattedCitation" : "(KUNKEL &lt;i&gt;et al.&lt;/i&gt;, 2014)", "plainTextFormattedCitation" : "(KUNKEL et al., 2014)", "previouslyFormattedCitation" : "(KUNKEL &lt;i&gt;et al.&lt;/i&gt;, 2014)" }, "properties" : { "noteIndex" : 0 }, "schema" : "https://github.com/citation-style-language/schema/raw/master/csl-citation.json" }</w:instrText>
      </w:r>
      <w:r w:rsidRPr="00002051">
        <w:rPr>
          <w:sz w:val="24"/>
          <w:szCs w:val="24"/>
        </w:rPr>
        <w:fldChar w:fldCharType="separate"/>
      </w:r>
      <w:r w:rsidRPr="00002051">
        <w:rPr>
          <w:noProof/>
          <w:sz w:val="24"/>
          <w:szCs w:val="24"/>
        </w:rPr>
        <w:t>(Kunkel,</w:t>
      </w:r>
      <w:r>
        <w:rPr>
          <w:noProof/>
          <w:sz w:val="24"/>
          <w:szCs w:val="24"/>
        </w:rPr>
        <w:t xml:space="preserve"> Ceretta, Vieira, Silveira &amp; Righi</w:t>
      </w:r>
      <w:r>
        <w:rPr>
          <w:sz w:val="24"/>
          <w:szCs w:val="24"/>
        </w:rPr>
        <w:t>,</w:t>
      </w:r>
      <w:r w:rsidRPr="00002051">
        <w:rPr>
          <w:noProof/>
          <w:sz w:val="24"/>
          <w:szCs w:val="24"/>
        </w:rPr>
        <w:t xml:space="preserve"> 2014)</w:t>
      </w:r>
      <w:r w:rsidRPr="00002051">
        <w:rPr>
          <w:sz w:val="24"/>
          <w:szCs w:val="24"/>
        </w:rPr>
        <w:fldChar w:fldCharType="end"/>
      </w:r>
      <w:r w:rsidRPr="00002051">
        <w:rPr>
          <w:sz w:val="24"/>
          <w:szCs w:val="24"/>
        </w:rPr>
        <w:t>.</w:t>
      </w:r>
    </w:p>
    <w:p w14:paraId="133D1787" w14:textId="77777777" w:rsidR="00CC2B1F" w:rsidRDefault="00CC2B1F" w:rsidP="009E5F7C">
      <w:pPr>
        <w:ind w:firstLine="709"/>
        <w:jc w:val="both"/>
        <w:rPr>
          <w:sz w:val="24"/>
          <w:szCs w:val="24"/>
        </w:rPr>
      </w:pPr>
      <w:r>
        <w:rPr>
          <w:sz w:val="24"/>
          <w:szCs w:val="24"/>
        </w:rPr>
        <w:t>Desde o trabalho seminal de Amihud e Mendelson (1986), diversos pesquisadores dedicaram-se ao estudo da liquidez e sua influência nos retornos obtidos no mercado acionário. Esses estudos partem da premissa de que a liquidez de um ativo, assim como o risco, afeta seu retorno, e a preferência do investidor pelo investimento em um ativo com maior liquidez, decorrem de seus objetivos e necessidades.</w:t>
      </w:r>
    </w:p>
    <w:p w14:paraId="29BC543C" w14:textId="77777777" w:rsidR="00CC2B1F" w:rsidRDefault="00CC2B1F" w:rsidP="00CC2B1F">
      <w:pPr>
        <w:ind w:firstLine="709"/>
        <w:jc w:val="both"/>
        <w:rPr>
          <w:sz w:val="24"/>
          <w:szCs w:val="24"/>
        </w:rPr>
      </w:pPr>
      <w:r>
        <w:rPr>
          <w:sz w:val="24"/>
          <w:szCs w:val="24"/>
        </w:rPr>
        <w:t>Conforme argumentam Amihud e Mendelson (1991), a preferência dos investidores por ativos mais líquidos associa-se a sua capacidade de ser negociado mais rapidamente e a menores custos de transação, em um cenário no qual o investidor precisa se desfazer rapidamente do ativo. Ainda segundo esses autores, o horizonte temporal dos investidores também impacta sua decisão sobre a liquidez de seus investimentos, sendo que investidores de curto prazo irão optar por maior liquidez, ao passo que investidores de longo prazo podem investir em ativos menos líquidos, pois o maior tempo de permanência com o ativo é capaz de amortizar os seus maiores custos de transação.</w:t>
      </w:r>
    </w:p>
    <w:p w14:paraId="38F8527F" w14:textId="77777777" w:rsidR="00CC2B1F" w:rsidRDefault="00CC2B1F" w:rsidP="00CC2B1F">
      <w:pPr>
        <w:ind w:firstLine="709"/>
        <w:jc w:val="both"/>
        <w:rPr>
          <w:sz w:val="24"/>
          <w:szCs w:val="24"/>
        </w:rPr>
      </w:pPr>
      <w:r>
        <w:rPr>
          <w:sz w:val="24"/>
          <w:szCs w:val="24"/>
        </w:rPr>
        <w:t xml:space="preserve">Sharpe, Alexander e Bailey (1998) apresentam as características de um título que deveriam ser incorporadas ao modelo de precificação, uma vez que impactam seu retorno e podem ser utilizadas como medidas na composição de um portfólio. A primeira delas é a contribuição do título ao risco de um portfólio, mensurada através de seu coeficiente beta; a segunda é a contribuição do título para a liquidez do portfólio, sendo essa mensurada por meio </w:t>
      </w:r>
      <w:r>
        <w:rPr>
          <w:sz w:val="24"/>
          <w:szCs w:val="24"/>
        </w:rPr>
        <w:lastRenderedPageBreak/>
        <w:t xml:space="preserve">de alguma </w:t>
      </w:r>
      <w:r w:rsidRPr="00540B48">
        <w:rPr>
          <w:i/>
          <w:sz w:val="24"/>
          <w:szCs w:val="24"/>
        </w:rPr>
        <w:t>proxy</w:t>
      </w:r>
      <w:r>
        <w:rPr>
          <w:sz w:val="24"/>
          <w:szCs w:val="24"/>
        </w:rPr>
        <w:t xml:space="preserve"> para a liquidez. Assim, dois títulos com mesma liquidez, mas com betas diferentes não apresentam o mesmo retorno. Da mesma forma, títulos com o mesmo beta, mas com a liquidez diferente também vão apresentar retornos diferentes ao longo do tempo (Sharpe, Alexander &amp; Bailey, 1998).</w:t>
      </w:r>
    </w:p>
    <w:p w14:paraId="29819DAB" w14:textId="77777777" w:rsidR="00CC2B1F" w:rsidRDefault="00CC2B1F" w:rsidP="00CC2B1F">
      <w:pPr>
        <w:ind w:firstLine="709"/>
        <w:jc w:val="both"/>
        <w:rPr>
          <w:sz w:val="24"/>
          <w:szCs w:val="24"/>
        </w:rPr>
      </w:pPr>
      <w:r>
        <w:rPr>
          <w:sz w:val="24"/>
          <w:szCs w:val="24"/>
        </w:rPr>
        <w:t xml:space="preserve">Amihud e Mendelson (1991) argumentam então, que o retorno de um ativo é uma função côncava de seu </w:t>
      </w:r>
      <w:r w:rsidRPr="00100FCB">
        <w:rPr>
          <w:i/>
          <w:sz w:val="24"/>
          <w:szCs w:val="24"/>
        </w:rPr>
        <w:t>bid-ask spread</w:t>
      </w:r>
      <w:r>
        <w:rPr>
          <w:sz w:val="24"/>
          <w:szCs w:val="24"/>
        </w:rPr>
        <w:t xml:space="preserve"> (medida para a iliquidez de um ativo), depois de controlado pelo risco. Seguindo em sua argumentação, os autores apresentam as motivações para esse efeito, que seria uma consequência do menor número de negociações feitas com um ativo ilíquido, o que faz com que seus custos de transação sejam amortizados em maiores períodos, gerando um efeito marginal menor de aumentos dos custos de transação. Com isso, o retorno cresceria de acordo com o </w:t>
      </w:r>
      <w:r w:rsidRPr="00CC687C">
        <w:rPr>
          <w:i/>
          <w:sz w:val="24"/>
          <w:szCs w:val="24"/>
        </w:rPr>
        <w:t>spread</w:t>
      </w:r>
      <w:r>
        <w:rPr>
          <w:sz w:val="24"/>
          <w:szCs w:val="24"/>
        </w:rPr>
        <w:t xml:space="preserve"> a uma taxa decrescente.</w:t>
      </w:r>
    </w:p>
    <w:p w14:paraId="6C8A6031" w14:textId="77777777" w:rsidR="00CC2B1F" w:rsidRDefault="00CC2B1F" w:rsidP="00CC2B1F">
      <w:pPr>
        <w:ind w:firstLine="709"/>
        <w:jc w:val="both"/>
        <w:rPr>
          <w:sz w:val="24"/>
          <w:szCs w:val="24"/>
        </w:rPr>
      </w:pPr>
      <w:r>
        <w:rPr>
          <w:sz w:val="24"/>
          <w:szCs w:val="24"/>
        </w:rPr>
        <w:t xml:space="preserve">Outro aspecto, que também é afetado pela liquidez, é o custo de capital das empresas, como em ativos mais líquidos o retorno exigido pelos investidores é menor, isso faz com que o custo desse capital obtido pelas empresas com a emissão de ações seja reduzido (Amihud &amp; Mendelson, 1986, 1991; Brennan &amp; Subrahmanyam, 1996; </w:t>
      </w:r>
      <w:r w:rsidRPr="00650910">
        <w:rPr>
          <w:noProof/>
          <w:sz w:val="24"/>
          <w:szCs w:val="24"/>
        </w:rPr>
        <w:t>Jacoby,</w:t>
      </w:r>
      <w:r>
        <w:rPr>
          <w:noProof/>
          <w:sz w:val="24"/>
          <w:szCs w:val="24"/>
        </w:rPr>
        <w:t xml:space="preserve"> </w:t>
      </w:r>
      <w:r w:rsidRPr="00650910">
        <w:rPr>
          <w:noProof/>
          <w:sz w:val="24"/>
          <w:szCs w:val="24"/>
        </w:rPr>
        <w:t>F</w:t>
      </w:r>
      <w:r>
        <w:rPr>
          <w:noProof/>
          <w:sz w:val="24"/>
          <w:szCs w:val="24"/>
        </w:rPr>
        <w:t>owler</w:t>
      </w:r>
      <w:r w:rsidRPr="00650910">
        <w:rPr>
          <w:noProof/>
          <w:sz w:val="24"/>
          <w:szCs w:val="24"/>
        </w:rPr>
        <w:t xml:space="preserve"> &amp; Gottesman</w:t>
      </w:r>
      <w:r>
        <w:rPr>
          <w:sz w:val="24"/>
          <w:szCs w:val="24"/>
        </w:rPr>
        <w:t>, 2000). Amihud e Mendelson (1991) vão além e apresentam políticas que as empresas adotam para elevar a liquidez de seus títulos e com isso reduzir seu custo de capital, essas medidas seriam adotadas de acordo com seu custo, sendo que para que ela seja viável, o benefício gerado com a redução do custo de capital deve ser maior que os custos incorridos para que isso ocorra.</w:t>
      </w:r>
    </w:p>
    <w:p w14:paraId="5E74657F" w14:textId="77777777" w:rsidR="00CC2B1F" w:rsidRDefault="00CC2B1F" w:rsidP="00CC2B1F">
      <w:pPr>
        <w:spacing w:after="240"/>
        <w:ind w:firstLine="709"/>
        <w:jc w:val="both"/>
        <w:rPr>
          <w:sz w:val="24"/>
          <w:szCs w:val="24"/>
        </w:rPr>
      </w:pPr>
      <w:r>
        <w:rPr>
          <w:sz w:val="24"/>
          <w:szCs w:val="24"/>
        </w:rPr>
        <w:t xml:space="preserve">Dada a relevância desse tema para as finanças de mercado e corporativas, diversos autores dedicam-se ao seu estudo direto, ou incorporam a liquidez como uma variável explicativa para seus modelos. Apesar de ser um tema amplamente estudado é possível notar que não há ainda na literatura um consenso sobre os efeitos da liquidez no retorno das ações, conforme pode ser constatado na Tabela 1, que apresenta alguns dos estudos mais importantes sobre a liquidez e a relação encontrada com o retorno. </w:t>
      </w:r>
    </w:p>
    <w:p w14:paraId="32669DB1" w14:textId="77777777" w:rsidR="00CC2B1F" w:rsidRDefault="00CC2B1F" w:rsidP="00CC2B1F">
      <w:pPr>
        <w:spacing w:after="40"/>
        <w:jc w:val="center"/>
        <w:rPr>
          <w:b/>
        </w:rPr>
      </w:pPr>
      <w:r w:rsidRPr="001C4185">
        <w:rPr>
          <w:b/>
        </w:rPr>
        <w:t>Tabela 1 – Principais estudos sobre liquidez de mercado</w:t>
      </w:r>
    </w:p>
    <w:tbl>
      <w:tblPr>
        <w:tblW w:w="9175" w:type="dxa"/>
        <w:jc w:val="center"/>
        <w:tblCellMar>
          <w:left w:w="70" w:type="dxa"/>
          <w:right w:w="70" w:type="dxa"/>
        </w:tblCellMar>
        <w:tblLook w:val="04A0" w:firstRow="1" w:lastRow="0" w:firstColumn="1" w:lastColumn="0" w:noHBand="0" w:noVBand="1"/>
      </w:tblPr>
      <w:tblGrid>
        <w:gridCol w:w="3880"/>
        <w:gridCol w:w="3720"/>
        <w:gridCol w:w="1585"/>
      </w:tblGrid>
      <w:tr w:rsidR="00CC2B1F" w:rsidRPr="00463DEF" w14:paraId="0B4D3092" w14:textId="77777777" w:rsidTr="00CC2B1F">
        <w:trPr>
          <w:trHeight w:val="415"/>
          <w:jc w:val="center"/>
        </w:trPr>
        <w:tc>
          <w:tcPr>
            <w:tcW w:w="3880" w:type="dxa"/>
            <w:tcBorders>
              <w:top w:val="single" w:sz="8" w:space="0" w:color="auto"/>
              <w:left w:val="single" w:sz="8" w:space="0" w:color="auto"/>
              <w:bottom w:val="single" w:sz="8" w:space="0" w:color="auto"/>
              <w:right w:val="single" w:sz="8" w:space="0" w:color="auto"/>
            </w:tcBorders>
            <w:shd w:val="clear" w:color="000000" w:fill="D0CECE"/>
            <w:noWrap/>
            <w:vAlign w:val="center"/>
            <w:hideMark/>
          </w:tcPr>
          <w:p w14:paraId="25BC6000" w14:textId="77777777" w:rsidR="00CC2B1F" w:rsidRPr="00463DEF" w:rsidRDefault="00CC2B1F" w:rsidP="00CC2B1F">
            <w:pPr>
              <w:suppressAutoHyphens w:val="0"/>
              <w:jc w:val="center"/>
              <w:rPr>
                <w:b/>
                <w:bCs/>
                <w:color w:val="000000"/>
              </w:rPr>
            </w:pPr>
            <w:r w:rsidRPr="00463DEF">
              <w:rPr>
                <w:b/>
                <w:bCs/>
                <w:color w:val="000000"/>
              </w:rPr>
              <w:t>Autores</w:t>
            </w:r>
          </w:p>
        </w:tc>
        <w:tc>
          <w:tcPr>
            <w:tcW w:w="3720" w:type="dxa"/>
            <w:tcBorders>
              <w:top w:val="single" w:sz="8" w:space="0" w:color="auto"/>
              <w:left w:val="nil"/>
              <w:bottom w:val="single" w:sz="8" w:space="0" w:color="auto"/>
              <w:right w:val="single" w:sz="8" w:space="0" w:color="auto"/>
            </w:tcBorders>
            <w:shd w:val="clear" w:color="000000" w:fill="D0CECE"/>
            <w:noWrap/>
            <w:vAlign w:val="center"/>
            <w:hideMark/>
          </w:tcPr>
          <w:p w14:paraId="46BBAB87" w14:textId="77777777" w:rsidR="00CC2B1F" w:rsidRPr="00463DEF" w:rsidRDefault="00CC2B1F" w:rsidP="00CC2B1F">
            <w:pPr>
              <w:suppressAutoHyphens w:val="0"/>
              <w:jc w:val="center"/>
              <w:rPr>
                <w:b/>
                <w:bCs/>
                <w:i/>
                <w:iCs/>
                <w:color w:val="000000"/>
              </w:rPr>
            </w:pPr>
            <w:r w:rsidRPr="00463DEF">
              <w:rPr>
                <w:b/>
                <w:bCs/>
                <w:i/>
                <w:iCs/>
                <w:color w:val="000000"/>
              </w:rPr>
              <w:t>Proxy</w:t>
            </w:r>
            <w:r w:rsidRPr="00463DEF">
              <w:rPr>
                <w:b/>
                <w:bCs/>
                <w:color w:val="000000"/>
              </w:rPr>
              <w:t xml:space="preserve"> para liquidez/iliquidez</w:t>
            </w:r>
          </w:p>
        </w:tc>
        <w:tc>
          <w:tcPr>
            <w:tcW w:w="1575" w:type="dxa"/>
            <w:tcBorders>
              <w:top w:val="single" w:sz="8" w:space="0" w:color="auto"/>
              <w:left w:val="nil"/>
              <w:bottom w:val="single" w:sz="8" w:space="0" w:color="auto"/>
              <w:right w:val="single" w:sz="8" w:space="0" w:color="auto"/>
            </w:tcBorders>
            <w:shd w:val="clear" w:color="000000" w:fill="D0CECE"/>
            <w:vAlign w:val="center"/>
            <w:hideMark/>
          </w:tcPr>
          <w:p w14:paraId="28B0377B" w14:textId="77777777" w:rsidR="00CC2B1F" w:rsidRPr="00463DEF" w:rsidRDefault="00CC2B1F" w:rsidP="00CC2B1F">
            <w:pPr>
              <w:suppressAutoHyphens w:val="0"/>
              <w:jc w:val="center"/>
              <w:rPr>
                <w:b/>
                <w:bCs/>
                <w:color w:val="000000"/>
              </w:rPr>
            </w:pPr>
            <w:r w:rsidRPr="00463DEF">
              <w:rPr>
                <w:b/>
                <w:bCs/>
                <w:color w:val="000000"/>
              </w:rPr>
              <w:t>Relação com o retorno</w:t>
            </w:r>
          </w:p>
        </w:tc>
      </w:tr>
      <w:tr w:rsidR="00CC2B1F" w:rsidRPr="00463DEF" w14:paraId="275E80BE" w14:textId="77777777" w:rsidTr="00CC2B1F">
        <w:trPr>
          <w:trHeight w:val="300"/>
          <w:jc w:val="center"/>
        </w:trPr>
        <w:tc>
          <w:tcPr>
            <w:tcW w:w="3880" w:type="dxa"/>
            <w:tcBorders>
              <w:top w:val="nil"/>
              <w:left w:val="single" w:sz="8" w:space="0" w:color="auto"/>
              <w:bottom w:val="single" w:sz="8" w:space="0" w:color="auto"/>
              <w:right w:val="single" w:sz="8" w:space="0" w:color="auto"/>
            </w:tcBorders>
            <w:shd w:val="clear" w:color="auto" w:fill="auto"/>
            <w:noWrap/>
            <w:vAlign w:val="center"/>
            <w:hideMark/>
          </w:tcPr>
          <w:p w14:paraId="2B4CFE13" w14:textId="77777777" w:rsidR="00CC2B1F" w:rsidRPr="00463DEF" w:rsidRDefault="00CC2B1F" w:rsidP="00CC2B1F">
            <w:pPr>
              <w:suppressAutoHyphens w:val="0"/>
              <w:jc w:val="center"/>
              <w:rPr>
                <w:color w:val="000000"/>
              </w:rPr>
            </w:pPr>
            <w:r w:rsidRPr="00463DEF">
              <w:rPr>
                <w:color w:val="000000"/>
              </w:rPr>
              <w:t>Amihud e Mendelson (1986)</w:t>
            </w:r>
          </w:p>
        </w:tc>
        <w:tc>
          <w:tcPr>
            <w:tcW w:w="3720" w:type="dxa"/>
            <w:tcBorders>
              <w:top w:val="nil"/>
              <w:left w:val="nil"/>
              <w:bottom w:val="single" w:sz="8" w:space="0" w:color="auto"/>
              <w:right w:val="single" w:sz="8" w:space="0" w:color="auto"/>
            </w:tcBorders>
            <w:shd w:val="clear" w:color="auto" w:fill="auto"/>
            <w:vAlign w:val="center"/>
            <w:hideMark/>
          </w:tcPr>
          <w:p w14:paraId="43BBD8BF" w14:textId="77777777" w:rsidR="00CC2B1F" w:rsidRPr="00463DEF" w:rsidRDefault="00CC2B1F" w:rsidP="00CC2B1F">
            <w:pPr>
              <w:suppressAutoHyphens w:val="0"/>
              <w:jc w:val="center"/>
              <w:rPr>
                <w:i/>
                <w:iCs/>
                <w:color w:val="000000"/>
              </w:rPr>
            </w:pPr>
            <w:r w:rsidRPr="00463DEF">
              <w:rPr>
                <w:i/>
                <w:iCs/>
                <w:color w:val="000000"/>
              </w:rPr>
              <w:t>Bid-ask spread</w:t>
            </w:r>
          </w:p>
        </w:tc>
        <w:tc>
          <w:tcPr>
            <w:tcW w:w="1575" w:type="dxa"/>
            <w:tcBorders>
              <w:top w:val="nil"/>
              <w:left w:val="nil"/>
              <w:bottom w:val="single" w:sz="8" w:space="0" w:color="auto"/>
              <w:right w:val="single" w:sz="8" w:space="0" w:color="auto"/>
            </w:tcBorders>
            <w:shd w:val="clear" w:color="auto" w:fill="auto"/>
            <w:vAlign w:val="center"/>
            <w:hideMark/>
          </w:tcPr>
          <w:p w14:paraId="1876F9EC" w14:textId="77777777" w:rsidR="00CC2B1F" w:rsidRPr="00463DEF" w:rsidRDefault="00CC2B1F" w:rsidP="00CC2B1F">
            <w:pPr>
              <w:suppressAutoHyphens w:val="0"/>
              <w:jc w:val="center"/>
              <w:rPr>
                <w:color w:val="000000"/>
              </w:rPr>
            </w:pPr>
            <w:r w:rsidRPr="00463DEF">
              <w:rPr>
                <w:color w:val="000000"/>
              </w:rPr>
              <w:t>Positiva</w:t>
            </w:r>
          </w:p>
        </w:tc>
      </w:tr>
      <w:tr w:rsidR="00CC2B1F" w:rsidRPr="00463DEF" w14:paraId="5A6230D9" w14:textId="77777777" w:rsidTr="00CC2B1F">
        <w:trPr>
          <w:trHeight w:val="300"/>
          <w:jc w:val="center"/>
        </w:trPr>
        <w:tc>
          <w:tcPr>
            <w:tcW w:w="3880" w:type="dxa"/>
            <w:tcBorders>
              <w:top w:val="nil"/>
              <w:left w:val="single" w:sz="8" w:space="0" w:color="auto"/>
              <w:bottom w:val="single" w:sz="8" w:space="0" w:color="auto"/>
              <w:right w:val="single" w:sz="8" w:space="0" w:color="auto"/>
            </w:tcBorders>
            <w:shd w:val="clear" w:color="auto" w:fill="auto"/>
            <w:noWrap/>
            <w:vAlign w:val="center"/>
            <w:hideMark/>
          </w:tcPr>
          <w:p w14:paraId="6F7DC0BA" w14:textId="77777777" w:rsidR="00CC2B1F" w:rsidRPr="00463DEF" w:rsidRDefault="00CC2B1F" w:rsidP="00CC2B1F">
            <w:pPr>
              <w:suppressAutoHyphens w:val="0"/>
              <w:jc w:val="center"/>
              <w:rPr>
                <w:color w:val="000000"/>
              </w:rPr>
            </w:pPr>
            <w:r w:rsidRPr="00463DEF">
              <w:rPr>
                <w:color w:val="000000"/>
              </w:rPr>
              <w:t>Amihud e Mendelson (1991)</w:t>
            </w:r>
          </w:p>
        </w:tc>
        <w:tc>
          <w:tcPr>
            <w:tcW w:w="3720" w:type="dxa"/>
            <w:tcBorders>
              <w:top w:val="nil"/>
              <w:left w:val="nil"/>
              <w:bottom w:val="single" w:sz="8" w:space="0" w:color="auto"/>
              <w:right w:val="single" w:sz="8" w:space="0" w:color="auto"/>
            </w:tcBorders>
            <w:shd w:val="clear" w:color="auto" w:fill="auto"/>
            <w:vAlign w:val="center"/>
            <w:hideMark/>
          </w:tcPr>
          <w:p w14:paraId="46579941" w14:textId="77777777" w:rsidR="00CC2B1F" w:rsidRPr="00463DEF" w:rsidRDefault="00CC2B1F" w:rsidP="00CC2B1F">
            <w:pPr>
              <w:suppressAutoHyphens w:val="0"/>
              <w:jc w:val="center"/>
              <w:rPr>
                <w:i/>
                <w:iCs/>
                <w:color w:val="000000"/>
              </w:rPr>
            </w:pPr>
            <w:r w:rsidRPr="00463DEF">
              <w:rPr>
                <w:i/>
                <w:iCs/>
                <w:color w:val="000000"/>
              </w:rPr>
              <w:t>Bid-ask spread</w:t>
            </w:r>
          </w:p>
        </w:tc>
        <w:tc>
          <w:tcPr>
            <w:tcW w:w="1575" w:type="dxa"/>
            <w:tcBorders>
              <w:top w:val="nil"/>
              <w:left w:val="nil"/>
              <w:bottom w:val="single" w:sz="8" w:space="0" w:color="auto"/>
              <w:right w:val="single" w:sz="8" w:space="0" w:color="auto"/>
            </w:tcBorders>
            <w:shd w:val="clear" w:color="auto" w:fill="auto"/>
            <w:vAlign w:val="center"/>
            <w:hideMark/>
          </w:tcPr>
          <w:p w14:paraId="299F2BDB" w14:textId="77777777" w:rsidR="00CC2B1F" w:rsidRPr="00463DEF" w:rsidRDefault="00CC2B1F" w:rsidP="00CC2B1F">
            <w:pPr>
              <w:suppressAutoHyphens w:val="0"/>
              <w:jc w:val="center"/>
              <w:rPr>
                <w:color w:val="000000"/>
              </w:rPr>
            </w:pPr>
            <w:r w:rsidRPr="00463DEF">
              <w:rPr>
                <w:color w:val="000000"/>
              </w:rPr>
              <w:t>Positiva</w:t>
            </w:r>
          </w:p>
        </w:tc>
      </w:tr>
      <w:tr w:rsidR="00CC2B1F" w:rsidRPr="00463DEF" w14:paraId="32033538" w14:textId="77777777" w:rsidTr="00CC2B1F">
        <w:trPr>
          <w:trHeight w:val="300"/>
          <w:jc w:val="center"/>
        </w:trPr>
        <w:tc>
          <w:tcPr>
            <w:tcW w:w="3880" w:type="dxa"/>
            <w:tcBorders>
              <w:top w:val="nil"/>
              <w:left w:val="single" w:sz="8" w:space="0" w:color="auto"/>
              <w:bottom w:val="single" w:sz="8" w:space="0" w:color="auto"/>
              <w:right w:val="single" w:sz="8" w:space="0" w:color="auto"/>
            </w:tcBorders>
            <w:shd w:val="clear" w:color="auto" w:fill="auto"/>
            <w:noWrap/>
            <w:vAlign w:val="center"/>
            <w:hideMark/>
          </w:tcPr>
          <w:p w14:paraId="03F8C8D5" w14:textId="77777777" w:rsidR="00CC2B1F" w:rsidRPr="00463DEF" w:rsidRDefault="00CC2B1F" w:rsidP="00CC2B1F">
            <w:pPr>
              <w:suppressAutoHyphens w:val="0"/>
              <w:jc w:val="center"/>
              <w:rPr>
                <w:color w:val="000000"/>
              </w:rPr>
            </w:pPr>
            <w:r w:rsidRPr="00463DEF">
              <w:rPr>
                <w:color w:val="000000"/>
              </w:rPr>
              <w:t>Datar, Naik e Radcliffe (1998)</w:t>
            </w:r>
          </w:p>
        </w:tc>
        <w:tc>
          <w:tcPr>
            <w:tcW w:w="3720" w:type="dxa"/>
            <w:tcBorders>
              <w:top w:val="nil"/>
              <w:left w:val="nil"/>
              <w:bottom w:val="single" w:sz="8" w:space="0" w:color="auto"/>
              <w:right w:val="single" w:sz="8" w:space="0" w:color="auto"/>
            </w:tcBorders>
            <w:shd w:val="clear" w:color="auto" w:fill="auto"/>
            <w:vAlign w:val="center"/>
            <w:hideMark/>
          </w:tcPr>
          <w:p w14:paraId="7A3D383E" w14:textId="77777777" w:rsidR="00CC2B1F" w:rsidRPr="00463DEF" w:rsidRDefault="00CC2B1F" w:rsidP="00CC2B1F">
            <w:pPr>
              <w:suppressAutoHyphens w:val="0"/>
              <w:jc w:val="center"/>
              <w:rPr>
                <w:i/>
                <w:iCs/>
                <w:color w:val="000000"/>
              </w:rPr>
            </w:pPr>
            <w:r w:rsidRPr="00463DEF">
              <w:rPr>
                <w:i/>
                <w:iCs/>
                <w:color w:val="000000"/>
              </w:rPr>
              <w:t xml:space="preserve">Turnover </w:t>
            </w:r>
          </w:p>
        </w:tc>
        <w:tc>
          <w:tcPr>
            <w:tcW w:w="1575" w:type="dxa"/>
            <w:tcBorders>
              <w:top w:val="nil"/>
              <w:left w:val="nil"/>
              <w:bottom w:val="single" w:sz="8" w:space="0" w:color="auto"/>
              <w:right w:val="single" w:sz="8" w:space="0" w:color="auto"/>
            </w:tcBorders>
            <w:shd w:val="clear" w:color="auto" w:fill="auto"/>
            <w:vAlign w:val="center"/>
            <w:hideMark/>
          </w:tcPr>
          <w:p w14:paraId="19A38A74" w14:textId="77777777" w:rsidR="00CC2B1F" w:rsidRPr="00463DEF" w:rsidRDefault="00CC2B1F" w:rsidP="00CC2B1F">
            <w:pPr>
              <w:suppressAutoHyphens w:val="0"/>
              <w:jc w:val="center"/>
              <w:rPr>
                <w:color w:val="000000"/>
              </w:rPr>
            </w:pPr>
            <w:r w:rsidRPr="00463DEF">
              <w:rPr>
                <w:color w:val="000000"/>
              </w:rPr>
              <w:t>Negativa</w:t>
            </w:r>
          </w:p>
        </w:tc>
      </w:tr>
      <w:tr w:rsidR="00CC2B1F" w:rsidRPr="00463DEF" w14:paraId="7EFA5CE1" w14:textId="77777777" w:rsidTr="00CC2B1F">
        <w:trPr>
          <w:trHeight w:val="300"/>
          <w:jc w:val="center"/>
        </w:trPr>
        <w:tc>
          <w:tcPr>
            <w:tcW w:w="3880" w:type="dxa"/>
            <w:tcBorders>
              <w:top w:val="nil"/>
              <w:left w:val="single" w:sz="8" w:space="0" w:color="auto"/>
              <w:bottom w:val="single" w:sz="8" w:space="0" w:color="auto"/>
              <w:right w:val="single" w:sz="8" w:space="0" w:color="auto"/>
            </w:tcBorders>
            <w:shd w:val="clear" w:color="auto" w:fill="auto"/>
            <w:noWrap/>
            <w:vAlign w:val="center"/>
            <w:hideMark/>
          </w:tcPr>
          <w:p w14:paraId="401D7E36" w14:textId="77777777" w:rsidR="00CC2B1F" w:rsidRPr="00463DEF" w:rsidRDefault="00CC2B1F" w:rsidP="00CC2B1F">
            <w:pPr>
              <w:suppressAutoHyphens w:val="0"/>
              <w:jc w:val="center"/>
              <w:rPr>
                <w:color w:val="000000"/>
              </w:rPr>
            </w:pPr>
            <w:r w:rsidRPr="00463DEF">
              <w:rPr>
                <w:color w:val="000000"/>
              </w:rPr>
              <w:t>Bruni e Famá (1998)</w:t>
            </w:r>
          </w:p>
        </w:tc>
        <w:tc>
          <w:tcPr>
            <w:tcW w:w="3720" w:type="dxa"/>
            <w:tcBorders>
              <w:top w:val="nil"/>
              <w:left w:val="nil"/>
              <w:bottom w:val="single" w:sz="8" w:space="0" w:color="auto"/>
              <w:right w:val="single" w:sz="8" w:space="0" w:color="auto"/>
            </w:tcBorders>
            <w:shd w:val="clear" w:color="auto" w:fill="auto"/>
            <w:vAlign w:val="center"/>
            <w:hideMark/>
          </w:tcPr>
          <w:p w14:paraId="467FA16D" w14:textId="77777777" w:rsidR="00CC2B1F" w:rsidRPr="00463DEF" w:rsidRDefault="00CC2B1F" w:rsidP="00CC2B1F">
            <w:pPr>
              <w:suppressAutoHyphens w:val="0"/>
              <w:jc w:val="center"/>
              <w:rPr>
                <w:color w:val="000000"/>
              </w:rPr>
            </w:pPr>
            <w:r w:rsidRPr="00463DEF">
              <w:rPr>
                <w:color w:val="000000"/>
              </w:rPr>
              <w:t>Índice de negociabilidade</w:t>
            </w:r>
          </w:p>
        </w:tc>
        <w:tc>
          <w:tcPr>
            <w:tcW w:w="1575" w:type="dxa"/>
            <w:tcBorders>
              <w:top w:val="nil"/>
              <w:left w:val="nil"/>
              <w:bottom w:val="single" w:sz="8" w:space="0" w:color="auto"/>
              <w:right w:val="single" w:sz="8" w:space="0" w:color="auto"/>
            </w:tcBorders>
            <w:shd w:val="clear" w:color="auto" w:fill="auto"/>
            <w:vAlign w:val="center"/>
            <w:hideMark/>
          </w:tcPr>
          <w:p w14:paraId="2960BB33" w14:textId="77777777" w:rsidR="00CC2B1F" w:rsidRPr="00463DEF" w:rsidRDefault="00CC2B1F" w:rsidP="00CC2B1F">
            <w:pPr>
              <w:suppressAutoHyphens w:val="0"/>
              <w:jc w:val="center"/>
              <w:rPr>
                <w:color w:val="000000"/>
              </w:rPr>
            </w:pPr>
            <w:r w:rsidRPr="00463DEF">
              <w:rPr>
                <w:color w:val="000000"/>
              </w:rPr>
              <w:t>Negativa</w:t>
            </w:r>
          </w:p>
        </w:tc>
      </w:tr>
      <w:tr w:rsidR="00CC2B1F" w:rsidRPr="00463DEF" w14:paraId="61DC290A" w14:textId="77777777" w:rsidTr="00CC2B1F">
        <w:trPr>
          <w:trHeight w:val="300"/>
          <w:jc w:val="center"/>
        </w:trPr>
        <w:tc>
          <w:tcPr>
            <w:tcW w:w="3880" w:type="dxa"/>
            <w:tcBorders>
              <w:top w:val="nil"/>
              <w:left w:val="single" w:sz="8" w:space="0" w:color="auto"/>
              <w:bottom w:val="single" w:sz="8" w:space="0" w:color="auto"/>
              <w:right w:val="single" w:sz="8" w:space="0" w:color="auto"/>
            </w:tcBorders>
            <w:shd w:val="clear" w:color="auto" w:fill="auto"/>
            <w:noWrap/>
            <w:vAlign w:val="center"/>
            <w:hideMark/>
          </w:tcPr>
          <w:p w14:paraId="65CA1D45" w14:textId="77777777" w:rsidR="00CC2B1F" w:rsidRPr="00463DEF" w:rsidRDefault="00CC2B1F" w:rsidP="00CC2B1F">
            <w:pPr>
              <w:suppressAutoHyphens w:val="0"/>
              <w:jc w:val="center"/>
              <w:rPr>
                <w:color w:val="000000"/>
              </w:rPr>
            </w:pPr>
            <w:r w:rsidRPr="00463DEF">
              <w:rPr>
                <w:color w:val="000000"/>
              </w:rPr>
              <w:t xml:space="preserve">Chordia, Subrahmanyam e Anshuman (2001)  </w:t>
            </w:r>
          </w:p>
        </w:tc>
        <w:tc>
          <w:tcPr>
            <w:tcW w:w="3720" w:type="dxa"/>
            <w:tcBorders>
              <w:top w:val="nil"/>
              <w:left w:val="nil"/>
              <w:bottom w:val="single" w:sz="8" w:space="0" w:color="auto"/>
              <w:right w:val="single" w:sz="8" w:space="0" w:color="auto"/>
            </w:tcBorders>
            <w:shd w:val="clear" w:color="auto" w:fill="auto"/>
            <w:vAlign w:val="center"/>
            <w:hideMark/>
          </w:tcPr>
          <w:p w14:paraId="15D1D1E3" w14:textId="77777777" w:rsidR="00CC2B1F" w:rsidRPr="00463DEF" w:rsidRDefault="00CC2B1F" w:rsidP="00CC2B1F">
            <w:pPr>
              <w:suppressAutoHyphens w:val="0"/>
              <w:jc w:val="center"/>
              <w:rPr>
                <w:color w:val="000000"/>
              </w:rPr>
            </w:pPr>
            <w:r w:rsidRPr="00463DEF">
              <w:rPr>
                <w:color w:val="000000"/>
              </w:rPr>
              <w:t>Volume e t</w:t>
            </w:r>
            <w:r w:rsidRPr="00463DEF">
              <w:rPr>
                <w:i/>
                <w:iCs/>
                <w:color w:val="000000"/>
              </w:rPr>
              <w:t>urnover</w:t>
            </w:r>
          </w:p>
        </w:tc>
        <w:tc>
          <w:tcPr>
            <w:tcW w:w="1575" w:type="dxa"/>
            <w:tcBorders>
              <w:top w:val="nil"/>
              <w:left w:val="nil"/>
              <w:bottom w:val="single" w:sz="8" w:space="0" w:color="auto"/>
              <w:right w:val="single" w:sz="8" w:space="0" w:color="auto"/>
            </w:tcBorders>
            <w:shd w:val="clear" w:color="auto" w:fill="auto"/>
            <w:vAlign w:val="center"/>
            <w:hideMark/>
          </w:tcPr>
          <w:p w14:paraId="2D6DA192" w14:textId="77777777" w:rsidR="00CC2B1F" w:rsidRPr="00463DEF" w:rsidRDefault="00CC2B1F" w:rsidP="00CC2B1F">
            <w:pPr>
              <w:suppressAutoHyphens w:val="0"/>
              <w:jc w:val="center"/>
              <w:rPr>
                <w:color w:val="000000"/>
              </w:rPr>
            </w:pPr>
            <w:r w:rsidRPr="00463DEF">
              <w:rPr>
                <w:color w:val="000000"/>
              </w:rPr>
              <w:t>Negativa</w:t>
            </w:r>
          </w:p>
        </w:tc>
      </w:tr>
      <w:tr w:rsidR="00CC2B1F" w:rsidRPr="00463DEF" w14:paraId="03D2E155" w14:textId="77777777" w:rsidTr="00CC2B1F">
        <w:trPr>
          <w:trHeight w:val="300"/>
          <w:jc w:val="center"/>
        </w:trPr>
        <w:tc>
          <w:tcPr>
            <w:tcW w:w="3880" w:type="dxa"/>
            <w:tcBorders>
              <w:top w:val="nil"/>
              <w:left w:val="single" w:sz="8" w:space="0" w:color="auto"/>
              <w:bottom w:val="single" w:sz="8" w:space="0" w:color="auto"/>
              <w:right w:val="single" w:sz="8" w:space="0" w:color="auto"/>
            </w:tcBorders>
            <w:shd w:val="clear" w:color="auto" w:fill="auto"/>
            <w:noWrap/>
            <w:vAlign w:val="center"/>
            <w:hideMark/>
          </w:tcPr>
          <w:p w14:paraId="561F5E04" w14:textId="77777777" w:rsidR="00CC2B1F" w:rsidRPr="00463DEF" w:rsidRDefault="00CC2B1F" w:rsidP="00CC2B1F">
            <w:pPr>
              <w:suppressAutoHyphens w:val="0"/>
              <w:jc w:val="center"/>
              <w:rPr>
                <w:color w:val="000000"/>
              </w:rPr>
            </w:pPr>
            <w:r w:rsidRPr="00463DEF">
              <w:rPr>
                <w:color w:val="000000"/>
              </w:rPr>
              <w:t>Jun, Marathe e Shawky (2003)</w:t>
            </w:r>
          </w:p>
        </w:tc>
        <w:tc>
          <w:tcPr>
            <w:tcW w:w="3720" w:type="dxa"/>
            <w:tcBorders>
              <w:top w:val="nil"/>
              <w:left w:val="nil"/>
              <w:bottom w:val="single" w:sz="8" w:space="0" w:color="auto"/>
              <w:right w:val="single" w:sz="8" w:space="0" w:color="auto"/>
            </w:tcBorders>
            <w:shd w:val="clear" w:color="auto" w:fill="auto"/>
            <w:vAlign w:val="center"/>
            <w:hideMark/>
          </w:tcPr>
          <w:p w14:paraId="0C66A330" w14:textId="77777777" w:rsidR="00CC2B1F" w:rsidRPr="00463DEF" w:rsidRDefault="00CC2B1F" w:rsidP="00CC2B1F">
            <w:pPr>
              <w:suppressAutoHyphens w:val="0"/>
              <w:jc w:val="center"/>
              <w:rPr>
                <w:i/>
                <w:iCs/>
                <w:color w:val="000000"/>
              </w:rPr>
            </w:pPr>
            <w:r w:rsidRPr="00463DEF">
              <w:rPr>
                <w:i/>
                <w:iCs/>
                <w:color w:val="000000"/>
              </w:rPr>
              <w:t>Turnover</w:t>
            </w:r>
            <w:r w:rsidRPr="00463DEF">
              <w:rPr>
                <w:color w:val="000000"/>
              </w:rPr>
              <w:t>, volatilidade e volume</w:t>
            </w:r>
          </w:p>
        </w:tc>
        <w:tc>
          <w:tcPr>
            <w:tcW w:w="1575" w:type="dxa"/>
            <w:tcBorders>
              <w:top w:val="nil"/>
              <w:left w:val="nil"/>
              <w:bottom w:val="single" w:sz="8" w:space="0" w:color="auto"/>
              <w:right w:val="single" w:sz="8" w:space="0" w:color="auto"/>
            </w:tcBorders>
            <w:shd w:val="clear" w:color="auto" w:fill="auto"/>
            <w:vAlign w:val="center"/>
            <w:hideMark/>
          </w:tcPr>
          <w:p w14:paraId="588F12D9" w14:textId="77777777" w:rsidR="00CC2B1F" w:rsidRPr="00463DEF" w:rsidRDefault="00CC2B1F" w:rsidP="00CC2B1F">
            <w:pPr>
              <w:suppressAutoHyphens w:val="0"/>
              <w:jc w:val="center"/>
              <w:rPr>
                <w:color w:val="000000"/>
              </w:rPr>
            </w:pPr>
            <w:r w:rsidRPr="00463DEF">
              <w:rPr>
                <w:color w:val="000000"/>
              </w:rPr>
              <w:t>Positiva</w:t>
            </w:r>
          </w:p>
        </w:tc>
      </w:tr>
      <w:tr w:rsidR="00CC2B1F" w:rsidRPr="00463DEF" w14:paraId="1D0F04F6" w14:textId="77777777" w:rsidTr="00CC2B1F">
        <w:trPr>
          <w:trHeight w:val="300"/>
          <w:jc w:val="center"/>
        </w:trPr>
        <w:tc>
          <w:tcPr>
            <w:tcW w:w="3880" w:type="dxa"/>
            <w:tcBorders>
              <w:top w:val="nil"/>
              <w:left w:val="single" w:sz="8" w:space="0" w:color="auto"/>
              <w:bottom w:val="single" w:sz="8" w:space="0" w:color="auto"/>
              <w:right w:val="single" w:sz="8" w:space="0" w:color="auto"/>
            </w:tcBorders>
            <w:shd w:val="clear" w:color="auto" w:fill="auto"/>
            <w:noWrap/>
            <w:vAlign w:val="center"/>
            <w:hideMark/>
          </w:tcPr>
          <w:p w14:paraId="4C1B2CD4" w14:textId="77777777" w:rsidR="00CC2B1F" w:rsidRPr="00463DEF" w:rsidRDefault="00CC2B1F" w:rsidP="00CC2B1F">
            <w:pPr>
              <w:suppressAutoHyphens w:val="0"/>
              <w:jc w:val="center"/>
              <w:rPr>
                <w:color w:val="000000"/>
              </w:rPr>
            </w:pPr>
            <w:r w:rsidRPr="00463DEF">
              <w:rPr>
                <w:color w:val="000000"/>
              </w:rPr>
              <w:t>Nguyen, Prakash e Ghosh (2007)</w:t>
            </w:r>
          </w:p>
        </w:tc>
        <w:tc>
          <w:tcPr>
            <w:tcW w:w="3720" w:type="dxa"/>
            <w:tcBorders>
              <w:top w:val="nil"/>
              <w:left w:val="nil"/>
              <w:bottom w:val="single" w:sz="8" w:space="0" w:color="auto"/>
              <w:right w:val="single" w:sz="8" w:space="0" w:color="auto"/>
            </w:tcBorders>
            <w:shd w:val="clear" w:color="auto" w:fill="auto"/>
            <w:vAlign w:val="center"/>
            <w:hideMark/>
          </w:tcPr>
          <w:p w14:paraId="4993AEA3" w14:textId="77777777" w:rsidR="00CC2B1F" w:rsidRPr="00463DEF" w:rsidRDefault="00CC2B1F" w:rsidP="00CC2B1F">
            <w:pPr>
              <w:suppressAutoHyphens w:val="0"/>
              <w:jc w:val="center"/>
              <w:rPr>
                <w:i/>
                <w:iCs/>
                <w:color w:val="000000"/>
              </w:rPr>
            </w:pPr>
            <w:r w:rsidRPr="00463DEF">
              <w:rPr>
                <w:i/>
                <w:iCs/>
                <w:color w:val="000000"/>
              </w:rPr>
              <w:t>Turnover</w:t>
            </w:r>
          </w:p>
        </w:tc>
        <w:tc>
          <w:tcPr>
            <w:tcW w:w="1575" w:type="dxa"/>
            <w:tcBorders>
              <w:top w:val="nil"/>
              <w:left w:val="nil"/>
              <w:bottom w:val="single" w:sz="8" w:space="0" w:color="auto"/>
              <w:right w:val="single" w:sz="8" w:space="0" w:color="auto"/>
            </w:tcBorders>
            <w:shd w:val="clear" w:color="auto" w:fill="auto"/>
            <w:vAlign w:val="center"/>
            <w:hideMark/>
          </w:tcPr>
          <w:p w14:paraId="419F7317" w14:textId="77777777" w:rsidR="00CC2B1F" w:rsidRPr="00463DEF" w:rsidRDefault="00CC2B1F" w:rsidP="00CC2B1F">
            <w:pPr>
              <w:suppressAutoHyphens w:val="0"/>
              <w:jc w:val="center"/>
              <w:rPr>
                <w:color w:val="000000"/>
              </w:rPr>
            </w:pPr>
            <w:r w:rsidRPr="00463DEF">
              <w:rPr>
                <w:color w:val="000000"/>
              </w:rPr>
              <w:t>Negativa</w:t>
            </w:r>
          </w:p>
        </w:tc>
      </w:tr>
      <w:tr w:rsidR="00CC2B1F" w:rsidRPr="00463DEF" w14:paraId="2E3C4069" w14:textId="77777777" w:rsidTr="00CC2B1F">
        <w:trPr>
          <w:trHeight w:val="540"/>
          <w:jc w:val="center"/>
        </w:trPr>
        <w:tc>
          <w:tcPr>
            <w:tcW w:w="3880" w:type="dxa"/>
            <w:tcBorders>
              <w:top w:val="nil"/>
              <w:left w:val="single" w:sz="8" w:space="0" w:color="auto"/>
              <w:bottom w:val="single" w:sz="8" w:space="0" w:color="auto"/>
              <w:right w:val="single" w:sz="8" w:space="0" w:color="auto"/>
            </w:tcBorders>
            <w:shd w:val="clear" w:color="auto" w:fill="auto"/>
            <w:noWrap/>
            <w:vAlign w:val="center"/>
            <w:hideMark/>
          </w:tcPr>
          <w:p w14:paraId="643E0F68" w14:textId="77777777" w:rsidR="00CC2B1F" w:rsidRPr="00463DEF" w:rsidRDefault="00CC2B1F" w:rsidP="00CC2B1F">
            <w:pPr>
              <w:suppressAutoHyphens w:val="0"/>
              <w:jc w:val="center"/>
              <w:rPr>
                <w:color w:val="000000"/>
              </w:rPr>
            </w:pPr>
            <w:r w:rsidRPr="00463DEF">
              <w:rPr>
                <w:color w:val="000000"/>
              </w:rPr>
              <w:t>Correia, Amaral e Bressan (2008)</w:t>
            </w:r>
          </w:p>
        </w:tc>
        <w:tc>
          <w:tcPr>
            <w:tcW w:w="3720" w:type="dxa"/>
            <w:tcBorders>
              <w:top w:val="nil"/>
              <w:left w:val="nil"/>
              <w:bottom w:val="single" w:sz="8" w:space="0" w:color="auto"/>
              <w:right w:val="single" w:sz="8" w:space="0" w:color="auto"/>
            </w:tcBorders>
            <w:shd w:val="clear" w:color="auto" w:fill="auto"/>
            <w:vAlign w:val="center"/>
            <w:hideMark/>
          </w:tcPr>
          <w:p w14:paraId="3BE1F1E8" w14:textId="77777777" w:rsidR="00CC2B1F" w:rsidRPr="00463DEF" w:rsidRDefault="00CC2B1F" w:rsidP="00CC2B1F">
            <w:pPr>
              <w:suppressAutoHyphens w:val="0"/>
              <w:jc w:val="center"/>
              <w:rPr>
                <w:color w:val="000000"/>
              </w:rPr>
            </w:pPr>
            <w:r w:rsidRPr="00463DEF">
              <w:rPr>
                <w:color w:val="000000"/>
              </w:rPr>
              <w:t xml:space="preserve">Volume, quantidade de negócios e </w:t>
            </w:r>
            <w:r w:rsidRPr="00463DEF">
              <w:rPr>
                <w:i/>
                <w:iCs/>
                <w:color w:val="000000"/>
              </w:rPr>
              <w:t>turnover</w:t>
            </w:r>
          </w:p>
        </w:tc>
        <w:tc>
          <w:tcPr>
            <w:tcW w:w="1575" w:type="dxa"/>
            <w:tcBorders>
              <w:top w:val="nil"/>
              <w:left w:val="nil"/>
              <w:bottom w:val="single" w:sz="8" w:space="0" w:color="auto"/>
              <w:right w:val="single" w:sz="8" w:space="0" w:color="auto"/>
            </w:tcBorders>
            <w:shd w:val="clear" w:color="auto" w:fill="auto"/>
            <w:vAlign w:val="center"/>
            <w:hideMark/>
          </w:tcPr>
          <w:p w14:paraId="660A250D" w14:textId="77777777" w:rsidR="00CC2B1F" w:rsidRPr="00463DEF" w:rsidRDefault="00CC2B1F" w:rsidP="00CC2B1F">
            <w:pPr>
              <w:suppressAutoHyphens w:val="0"/>
              <w:jc w:val="center"/>
              <w:rPr>
                <w:color w:val="000000"/>
              </w:rPr>
            </w:pPr>
            <w:r w:rsidRPr="00463DEF">
              <w:rPr>
                <w:color w:val="000000"/>
              </w:rPr>
              <w:t>Positiva</w:t>
            </w:r>
          </w:p>
        </w:tc>
      </w:tr>
      <w:tr w:rsidR="00CC2B1F" w:rsidRPr="00463DEF" w14:paraId="12277949" w14:textId="77777777" w:rsidTr="00CC2B1F">
        <w:trPr>
          <w:trHeight w:val="540"/>
          <w:jc w:val="center"/>
        </w:trPr>
        <w:tc>
          <w:tcPr>
            <w:tcW w:w="3880" w:type="dxa"/>
            <w:tcBorders>
              <w:top w:val="nil"/>
              <w:left w:val="single" w:sz="8" w:space="0" w:color="auto"/>
              <w:bottom w:val="single" w:sz="8" w:space="0" w:color="auto"/>
              <w:right w:val="single" w:sz="8" w:space="0" w:color="auto"/>
            </w:tcBorders>
            <w:shd w:val="clear" w:color="auto" w:fill="auto"/>
            <w:noWrap/>
            <w:vAlign w:val="center"/>
            <w:hideMark/>
          </w:tcPr>
          <w:p w14:paraId="587FCA12" w14:textId="77777777" w:rsidR="00CC2B1F" w:rsidRPr="00463DEF" w:rsidRDefault="00CC2B1F" w:rsidP="00CC2B1F">
            <w:pPr>
              <w:suppressAutoHyphens w:val="0"/>
              <w:jc w:val="center"/>
              <w:rPr>
                <w:color w:val="000000"/>
              </w:rPr>
            </w:pPr>
            <w:r w:rsidRPr="00463DEF">
              <w:rPr>
                <w:color w:val="000000"/>
              </w:rPr>
              <w:t>Machado e Medeiros (2011)</w:t>
            </w:r>
          </w:p>
        </w:tc>
        <w:tc>
          <w:tcPr>
            <w:tcW w:w="3720" w:type="dxa"/>
            <w:tcBorders>
              <w:top w:val="nil"/>
              <w:left w:val="nil"/>
              <w:bottom w:val="single" w:sz="8" w:space="0" w:color="auto"/>
              <w:right w:val="single" w:sz="8" w:space="0" w:color="auto"/>
            </w:tcBorders>
            <w:shd w:val="clear" w:color="auto" w:fill="auto"/>
            <w:vAlign w:val="center"/>
            <w:hideMark/>
          </w:tcPr>
          <w:p w14:paraId="3977EAC8" w14:textId="77777777" w:rsidR="00CC2B1F" w:rsidRPr="00463DEF" w:rsidRDefault="00CC2B1F" w:rsidP="00CC2B1F">
            <w:pPr>
              <w:suppressAutoHyphens w:val="0"/>
              <w:jc w:val="center"/>
              <w:rPr>
                <w:i/>
                <w:iCs/>
                <w:color w:val="000000"/>
              </w:rPr>
            </w:pPr>
            <w:r w:rsidRPr="00463DEF">
              <w:rPr>
                <w:i/>
                <w:iCs/>
                <w:color w:val="000000"/>
              </w:rPr>
              <w:t>Turnover</w:t>
            </w:r>
            <w:r w:rsidRPr="00463DEF">
              <w:rPr>
                <w:color w:val="000000"/>
              </w:rPr>
              <w:t xml:space="preserve">, volume, quantidade de negócios, negociabilidade e </w:t>
            </w:r>
            <w:r w:rsidRPr="00463DEF">
              <w:rPr>
                <w:i/>
                <w:iCs/>
                <w:color w:val="000000"/>
              </w:rPr>
              <w:t>turnover</w:t>
            </w:r>
            <w:r w:rsidRPr="00463DEF">
              <w:rPr>
                <w:color w:val="000000"/>
              </w:rPr>
              <w:t xml:space="preserve"> padronizado</w:t>
            </w:r>
          </w:p>
        </w:tc>
        <w:tc>
          <w:tcPr>
            <w:tcW w:w="1575" w:type="dxa"/>
            <w:tcBorders>
              <w:top w:val="nil"/>
              <w:left w:val="nil"/>
              <w:bottom w:val="single" w:sz="8" w:space="0" w:color="auto"/>
              <w:right w:val="single" w:sz="8" w:space="0" w:color="auto"/>
            </w:tcBorders>
            <w:shd w:val="clear" w:color="auto" w:fill="auto"/>
            <w:vAlign w:val="center"/>
            <w:hideMark/>
          </w:tcPr>
          <w:p w14:paraId="4876D71E" w14:textId="77777777" w:rsidR="00CC2B1F" w:rsidRPr="00463DEF" w:rsidRDefault="00CC2B1F" w:rsidP="00CC2B1F">
            <w:pPr>
              <w:suppressAutoHyphens w:val="0"/>
              <w:jc w:val="center"/>
              <w:rPr>
                <w:color w:val="000000"/>
              </w:rPr>
            </w:pPr>
            <w:r w:rsidRPr="00463DEF">
              <w:rPr>
                <w:color w:val="000000"/>
              </w:rPr>
              <w:t>Positivo/Negativo</w:t>
            </w:r>
          </w:p>
        </w:tc>
      </w:tr>
      <w:tr w:rsidR="00CC2B1F" w:rsidRPr="00463DEF" w14:paraId="4AB9184E" w14:textId="77777777" w:rsidTr="00CC2B1F">
        <w:trPr>
          <w:trHeight w:val="300"/>
          <w:jc w:val="center"/>
        </w:trPr>
        <w:tc>
          <w:tcPr>
            <w:tcW w:w="3880" w:type="dxa"/>
            <w:tcBorders>
              <w:top w:val="nil"/>
              <w:left w:val="single" w:sz="8" w:space="0" w:color="auto"/>
              <w:bottom w:val="single" w:sz="8" w:space="0" w:color="auto"/>
              <w:right w:val="single" w:sz="8" w:space="0" w:color="auto"/>
            </w:tcBorders>
            <w:shd w:val="clear" w:color="auto" w:fill="auto"/>
            <w:noWrap/>
            <w:vAlign w:val="center"/>
            <w:hideMark/>
          </w:tcPr>
          <w:p w14:paraId="0F64A1C4" w14:textId="77777777" w:rsidR="00CC2B1F" w:rsidRPr="00463DEF" w:rsidRDefault="00CC2B1F" w:rsidP="00CC2B1F">
            <w:pPr>
              <w:suppressAutoHyphens w:val="0"/>
              <w:jc w:val="center"/>
              <w:rPr>
                <w:color w:val="000000"/>
              </w:rPr>
            </w:pPr>
            <w:r w:rsidRPr="00463DEF">
              <w:rPr>
                <w:color w:val="000000"/>
              </w:rPr>
              <w:t>Perobelli, Famá e Sacramento (2016)</w:t>
            </w:r>
          </w:p>
        </w:tc>
        <w:tc>
          <w:tcPr>
            <w:tcW w:w="3720" w:type="dxa"/>
            <w:tcBorders>
              <w:top w:val="nil"/>
              <w:left w:val="nil"/>
              <w:bottom w:val="single" w:sz="8" w:space="0" w:color="auto"/>
              <w:right w:val="single" w:sz="8" w:space="0" w:color="auto"/>
            </w:tcBorders>
            <w:shd w:val="clear" w:color="auto" w:fill="auto"/>
            <w:vAlign w:val="center"/>
            <w:hideMark/>
          </w:tcPr>
          <w:p w14:paraId="229E912E" w14:textId="77777777" w:rsidR="00CC2B1F" w:rsidRPr="00463DEF" w:rsidRDefault="00CC2B1F" w:rsidP="00CC2B1F">
            <w:pPr>
              <w:suppressAutoHyphens w:val="0"/>
              <w:jc w:val="center"/>
              <w:rPr>
                <w:i/>
                <w:iCs/>
                <w:color w:val="000000"/>
              </w:rPr>
            </w:pPr>
            <w:r w:rsidRPr="00463DEF">
              <w:rPr>
                <w:i/>
                <w:iCs/>
                <w:color w:val="000000"/>
              </w:rPr>
              <w:t>Turnover</w:t>
            </w:r>
            <w:r w:rsidRPr="00463DEF">
              <w:rPr>
                <w:color w:val="000000"/>
              </w:rPr>
              <w:t xml:space="preserve">, volume, </w:t>
            </w:r>
            <w:r w:rsidRPr="00463DEF">
              <w:rPr>
                <w:i/>
                <w:iCs/>
                <w:color w:val="000000"/>
              </w:rPr>
              <w:t>spread</w:t>
            </w:r>
          </w:p>
        </w:tc>
        <w:tc>
          <w:tcPr>
            <w:tcW w:w="1575" w:type="dxa"/>
            <w:tcBorders>
              <w:top w:val="nil"/>
              <w:left w:val="nil"/>
              <w:bottom w:val="single" w:sz="8" w:space="0" w:color="auto"/>
              <w:right w:val="single" w:sz="8" w:space="0" w:color="auto"/>
            </w:tcBorders>
            <w:shd w:val="clear" w:color="auto" w:fill="auto"/>
            <w:vAlign w:val="center"/>
            <w:hideMark/>
          </w:tcPr>
          <w:p w14:paraId="3834554C" w14:textId="77777777" w:rsidR="00CC2B1F" w:rsidRPr="00463DEF" w:rsidRDefault="00CC2B1F" w:rsidP="00CC2B1F">
            <w:pPr>
              <w:suppressAutoHyphens w:val="0"/>
              <w:jc w:val="center"/>
              <w:rPr>
                <w:color w:val="000000"/>
              </w:rPr>
            </w:pPr>
            <w:r w:rsidRPr="00463DEF">
              <w:rPr>
                <w:color w:val="000000"/>
              </w:rPr>
              <w:t>Positivo</w:t>
            </w:r>
          </w:p>
        </w:tc>
      </w:tr>
    </w:tbl>
    <w:p w14:paraId="39E63E0E" w14:textId="77777777" w:rsidR="00CC2B1F" w:rsidRPr="00463DEF" w:rsidRDefault="00CC2B1F" w:rsidP="00CC2B1F">
      <w:r w:rsidRPr="00463DEF">
        <w:t>Fonte: Elaborado pelos autores</w:t>
      </w:r>
    </w:p>
    <w:p w14:paraId="50E77122" w14:textId="77777777" w:rsidR="00CC2B1F" w:rsidRDefault="00CC2B1F" w:rsidP="00CC2B1F">
      <w:pPr>
        <w:ind w:firstLine="709"/>
        <w:jc w:val="both"/>
      </w:pPr>
    </w:p>
    <w:p w14:paraId="369506F5" w14:textId="5B540666" w:rsidR="00CC2B1F" w:rsidRPr="00CC687C" w:rsidRDefault="00CC2B1F" w:rsidP="00CC2B1F">
      <w:pPr>
        <w:spacing w:after="240"/>
        <w:ind w:firstLine="709"/>
        <w:jc w:val="both"/>
        <w:rPr>
          <w:sz w:val="24"/>
          <w:szCs w:val="24"/>
        </w:rPr>
      </w:pPr>
      <w:r>
        <w:rPr>
          <w:sz w:val="24"/>
          <w:szCs w:val="24"/>
        </w:rPr>
        <w:t xml:space="preserve">Como pode ser visto na Tabela 1, não há um consenso na literatura sobre liquidez de mercado. Foi constatado o uso de diferentes variáveis como medida para a liquidez de um ativo e, também é possível perceber a diversidade de relações que são encontradas entre liquidez e retorno. Jun </w:t>
      </w:r>
      <w:r w:rsidRPr="00274095">
        <w:rPr>
          <w:i/>
          <w:sz w:val="24"/>
          <w:szCs w:val="24"/>
        </w:rPr>
        <w:t>et al</w:t>
      </w:r>
      <w:r>
        <w:rPr>
          <w:sz w:val="24"/>
          <w:szCs w:val="24"/>
        </w:rPr>
        <w:t xml:space="preserve">. (2003) encontraram uma relação diferente da proposta por Amihud e Mendelson (1986) e desde então esse resultado tem se repetido, principalmente em amostras de países emergentes. Com isso é evidenciada a importância de estudos que tratem sobre o tema, </w:t>
      </w:r>
      <w:r>
        <w:rPr>
          <w:sz w:val="24"/>
          <w:szCs w:val="24"/>
        </w:rPr>
        <w:lastRenderedPageBreak/>
        <w:t>para buscar as possíveis causas para esse efeito e consolidar quais são os efeitos da liquidez no retorno em diferentes cenários. É também evidenciada a necessidade de se fazer um mapeamento dos estudos desenvolvidos até então, como forma de consolidar o que está estabelecido na literatura e apontar para quais são as questões ainda sem resposta sobre o tema.</w:t>
      </w:r>
    </w:p>
    <w:p w14:paraId="0E38B28F" w14:textId="77777777" w:rsidR="00CC2B1F" w:rsidRPr="00463DEF" w:rsidRDefault="00CC2B1F" w:rsidP="00CC2B1F">
      <w:pPr>
        <w:spacing w:before="240" w:after="240"/>
        <w:jc w:val="both"/>
        <w:rPr>
          <w:rStyle w:val="fontstyle01"/>
          <w:b/>
          <w:sz w:val="24"/>
          <w:szCs w:val="24"/>
        </w:rPr>
      </w:pPr>
      <w:r>
        <w:rPr>
          <w:b/>
          <w:sz w:val="24"/>
          <w:szCs w:val="24"/>
        </w:rPr>
        <w:t xml:space="preserve">3 </w:t>
      </w:r>
      <w:r w:rsidRPr="00463DEF">
        <w:rPr>
          <w:b/>
          <w:sz w:val="24"/>
          <w:szCs w:val="24"/>
        </w:rPr>
        <w:t>Metodologia</w:t>
      </w:r>
    </w:p>
    <w:p w14:paraId="3CD88590" w14:textId="5C629913" w:rsidR="00CC2B1F" w:rsidRPr="00695C54" w:rsidRDefault="00CC2B1F" w:rsidP="009E5F7C">
      <w:pPr>
        <w:spacing w:after="240"/>
        <w:ind w:firstLine="709"/>
        <w:jc w:val="both"/>
        <w:rPr>
          <w:color w:val="000000" w:themeColor="text1"/>
          <w:sz w:val="24"/>
          <w:szCs w:val="24"/>
        </w:rPr>
      </w:pPr>
      <w:r w:rsidRPr="00CC2B1F">
        <w:rPr>
          <w:sz w:val="24"/>
          <w:szCs w:val="24"/>
        </w:rPr>
        <w:t>Dado o objetivo da pesquisa, esse artigo pode ser classificado como interdisciplinar. Como objeto deste estudo, consideram-se todos os artigos publicados em periódicos nacionais de administração, finanças ou contabilidade, classificados na categoria A2 n</w:t>
      </w:r>
      <w:r w:rsidRPr="00CC2B1F">
        <w:rPr>
          <w:rStyle w:val="fontstyle01"/>
          <w:rFonts w:ascii="Times New Roman" w:hAnsi="Times New Roman"/>
          <w:sz w:val="24"/>
          <w:szCs w:val="24"/>
        </w:rPr>
        <w:t xml:space="preserve">a área </w:t>
      </w:r>
      <w:r w:rsidRPr="00CC2B1F">
        <w:rPr>
          <w:rStyle w:val="fontstyle01"/>
          <w:rFonts w:ascii="Times New Roman" w:hAnsi="Times New Roman"/>
          <w:color w:val="000000" w:themeColor="text1"/>
          <w:sz w:val="24"/>
          <w:szCs w:val="24"/>
        </w:rPr>
        <w:t xml:space="preserve">de avaliação “Administração, Ciências Contábeis e Turismo” listados na Coordenação de Aperfeiçoamento de Pessoal de Nível Superior (Capes). O sistema </w:t>
      </w:r>
      <w:r w:rsidRPr="00CC2B1F">
        <w:rPr>
          <w:rStyle w:val="fontstyle01"/>
          <w:rFonts w:ascii="Times New Roman" w:hAnsi="Times New Roman"/>
          <w:i/>
          <w:color w:val="000000" w:themeColor="text1"/>
          <w:sz w:val="24"/>
          <w:szCs w:val="24"/>
        </w:rPr>
        <w:t>Quali</w:t>
      </w:r>
      <w:r w:rsidRPr="00CC2B1F">
        <w:rPr>
          <w:rStyle w:val="fontstyle01"/>
          <w:rFonts w:ascii="Times New Roman" w:hAnsi="Times New Roman"/>
          <w:color w:val="000000" w:themeColor="text1"/>
          <w:sz w:val="24"/>
          <w:szCs w:val="24"/>
        </w:rPr>
        <w:t>/Capes se baseia nas informações fornecidas pelos Programas de Pós-Graduação e sua classificação passa por um processo quadrienal de atualização. Para este estudo, será considerada a avaliação do quadriênio 2013-2016 e os artigos escolhidos nos periódicos selecionados são aqueles que tratam do tema “</w:t>
      </w:r>
      <w:r w:rsidRPr="00CC2B1F">
        <w:rPr>
          <w:rStyle w:val="fontstyle21"/>
          <w:rFonts w:ascii="Times New Roman" w:hAnsi="Times New Roman"/>
          <w:color w:val="000000" w:themeColor="text1"/>
          <w:sz w:val="24"/>
          <w:szCs w:val="24"/>
        </w:rPr>
        <w:t>liquidez de mercado</w:t>
      </w:r>
      <w:r w:rsidRPr="00CC2B1F">
        <w:rPr>
          <w:rStyle w:val="fontstyle01"/>
          <w:rFonts w:ascii="Times New Roman" w:hAnsi="Times New Roman"/>
          <w:color w:val="000000" w:themeColor="text1"/>
          <w:sz w:val="24"/>
          <w:szCs w:val="24"/>
        </w:rPr>
        <w:t>” como questão principal ou adjacente. O período estudado é o de 2007 a 2016 e f</w:t>
      </w:r>
      <w:r w:rsidRPr="00CC2B1F">
        <w:rPr>
          <w:color w:val="000000" w:themeColor="text1"/>
          <w:sz w:val="24"/>
          <w:szCs w:val="24"/>
        </w:rPr>
        <w:t>oram pesquisados 16 periódicos relacionados na Tabela 2.</w:t>
      </w:r>
    </w:p>
    <w:p w14:paraId="5988AA78" w14:textId="77777777" w:rsidR="00CC2B1F" w:rsidRDefault="00CC2B1F" w:rsidP="00CC2B1F">
      <w:pPr>
        <w:spacing w:after="40"/>
        <w:jc w:val="center"/>
        <w:rPr>
          <w:b/>
        </w:rPr>
      </w:pPr>
      <w:r w:rsidRPr="00695C54">
        <w:rPr>
          <w:b/>
        </w:rPr>
        <w:t>Tabela 2 – Periódicos</w:t>
      </w:r>
      <w:r>
        <w:rPr>
          <w:b/>
        </w:rPr>
        <w:t xml:space="preserve"> selecionados</w:t>
      </w:r>
    </w:p>
    <w:tbl>
      <w:tblPr>
        <w:tblW w:w="6280" w:type="dxa"/>
        <w:jc w:val="center"/>
        <w:tblCellMar>
          <w:left w:w="70" w:type="dxa"/>
          <w:right w:w="70" w:type="dxa"/>
        </w:tblCellMar>
        <w:tblLook w:val="04A0" w:firstRow="1" w:lastRow="0" w:firstColumn="1" w:lastColumn="0" w:noHBand="0" w:noVBand="1"/>
      </w:tblPr>
      <w:tblGrid>
        <w:gridCol w:w="700"/>
        <w:gridCol w:w="5580"/>
      </w:tblGrid>
      <w:tr w:rsidR="00CC2B1F" w:rsidRPr="00A6118A" w14:paraId="3E0DF779" w14:textId="77777777" w:rsidTr="00CC2B1F">
        <w:trPr>
          <w:trHeight w:val="231"/>
          <w:jc w:val="center"/>
        </w:trPr>
        <w:tc>
          <w:tcPr>
            <w:tcW w:w="70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6B00B088" w14:textId="77777777" w:rsidR="00CC2B1F" w:rsidRPr="00A6118A" w:rsidRDefault="00CC2B1F" w:rsidP="00CC2B1F">
            <w:pPr>
              <w:suppressAutoHyphens w:val="0"/>
              <w:jc w:val="center"/>
              <w:rPr>
                <w:b/>
                <w:bCs/>
                <w:color w:val="000000"/>
              </w:rPr>
            </w:pPr>
            <w:r w:rsidRPr="00A6118A">
              <w:rPr>
                <w:b/>
                <w:bCs/>
                <w:color w:val="000000"/>
              </w:rPr>
              <w:t>Seq.</w:t>
            </w:r>
          </w:p>
        </w:tc>
        <w:tc>
          <w:tcPr>
            <w:tcW w:w="5580" w:type="dxa"/>
            <w:tcBorders>
              <w:top w:val="single" w:sz="8" w:space="0" w:color="auto"/>
              <w:left w:val="nil"/>
              <w:bottom w:val="single" w:sz="8" w:space="0" w:color="auto"/>
              <w:right w:val="single" w:sz="8" w:space="0" w:color="auto"/>
            </w:tcBorders>
            <w:shd w:val="clear" w:color="000000" w:fill="D9D9D9"/>
            <w:noWrap/>
            <w:vAlign w:val="center"/>
            <w:hideMark/>
          </w:tcPr>
          <w:p w14:paraId="148143AD" w14:textId="77777777" w:rsidR="00CC2B1F" w:rsidRPr="00A6118A" w:rsidRDefault="00CC2B1F" w:rsidP="00CC2B1F">
            <w:pPr>
              <w:suppressAutoHyphens w:val="0"/>
              <w:jc w:val="center"/>
              <w:rPr>
                <w:b/>
                <w:bCs/>
                <w:color w:val="000000"/>
              </w:rPr>
            </w:pPr>
            <w:r w:rsidRPr="00A6118A">
              <w:rPr>
                <w:b/>
                <w:bCs/>
                <w:color w:val="000000"/>
              </w:rPr>
              <w:t>Periódicos</w:t>
            </w:r>
          </w:p>
        </w:tc>
      </w:tr>
      <w:tr w:rsidR="00CC2B1F" w:rsidRPr="00A6118A" w14:paraId="39AD88A1"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38DBBC91" w14:textId="77777777" w:rsidR="00CC2B1F" w:rsidRPr="00A6118A" w:rsidRDefault="00CC2B1F" w:rsidP="00CC2B1F">
            <w:pPr>
              <w:suppressAutoHyphens w:val="0"/>
              <w:jc w:val="center"/>
              <w:rPr>
                <w:color w:val="000000"/>
              </w:rPr>
            </w:pPr>
            <w:r w:rsidRPr="00A6118A">
              <w:rPr>
                <w:color w:val="000000"/>
              </w:rPr>
              <w:t>1</w:t>
            </w:r>
          </w:p>
        </w:tc>
        <w:tc>
          <w:tcPr>
            <w:tcW w:w="5580" w:type="dxa"/>
            <w:tcBorders>
              <w:top w:val="nil"/>
              <w:left w:val="nil"/>
              <w:bottom w:val="single" w:sz="8" w:space="0" w:color="auto"/>
              <w:right w:val="single" w:sz="8" w:space="0" w:color="auto"/>
            </w:tcBorders>
            <w:shd w:val="clear" w:color="auto" w:fill="auto"/>
            <w:vAlign w:val="center"/>
            <w:hideMark/>
          </w:tcPr>
          <w:p w14:paraId="60DDD7D2" w14:textId="77777777" w:rsidR="00CC2B1F" w:rsidRPr="00A6118A" w:rsidRDefault="00CC2B1F" w:rsidP="00CC2B1F">
            <w:pPr>
              <w:suppressAutoHyphens w:val="0"/>
              <w:rPr>
                <w:color w:val="000000"/>
              </w:rPr>
            </w:pPr>
            <w:r w:rsidRPr="00A6118A">
              <w:rPr>
                <w:color w:val="000000"/>
              </w:rPr>
              <w:t>Brazilian Administration Review (BAR)</w:t>
            </w:r>
          </w:p>
        </w:tc>
      </w:tr>
      <w:tr w:rsidR="00CC2B1F" w:rsidRPr="00A6118A" w14:paraId="2C6C1FA9"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515F4D32" w14:textId="77777777" w:rsidR="00CC2B1F" w:rsidRPr="00A6118A" w:rsidRDefault="00CC2B1F" w:rsidP="00CC2B1F">
            <w:pPr>
              <w:suppressAutoHyphens w:val="0"/>
              <w:jc w:val="center"/>
              <w:rPr>
                <w:color w:val="000000"/>
              </w:rPr>
            </w:pPr>
            <w:r w:rsidRPr="00A6118A">
              <w:rPr>
                <w:color w:val="000000"/>
              </w:rPr>
              <w:t>2</w:t>
            </w:r>
          </w:p>
        </w:tc>
        <w:tc>
          <w:tcPr>
            <w:tcW w:w="5580" w:type="dxa"/>
            <w:tcBorders>
              <w:top w:val="nil"/>
              <w:left w:val="nil"/>
              <w:bottom w:val="single" w:sz="8" w:space="0" w:color="auto"/>
              <w:right w:val="single" w:sz="8" w:space="0" w:color="auto"/>
            </w:tcBorders>
            <w:shd w:val="clear" w:color="auto" w:fill="auto"/>
            <w:vAlign w:val="center"/>
            <w:hideMark/>
          </w:tcPr>
          <w:p w14:paraId="502166A8" w14:textId="77777777" w:rsidR="00CC2B1F" w:rsidRPr="00A6118A" w:rsidRDefault="00CC2B1F" w:rsidP="00CC2B1F">
            <w:pPr>
              <w:suppressAutoHyphens w:val="0"/>
              <w:rPr>
                <w:color w:val="000000"/>
              </w:rPr>
            </w:pPr>
            <w:r w:rsidRPr="00A6118A">
              <w:rPr>
                <w:color w:val="000000"/>
              </w:rPr>
              <w:t>Brazilian Business Review (BBR)</w:t>
            </w:r>
          </w:p>
        </w:tc>
      </w:tr>
      <w:tr w:rsidR="00CC2B1F" w:rsidRPr="00A6118A" w14:paraId="2751F928"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4B076E0F" w14:textId="77777777" w:rsidR="00CC2B1F" w:rsidRPr="00A6118A" w:rsidRDefault="00CC2B1F" w:rsidP="00CC2B1F">
            <w:pPr>
              <w:suppressAutoHyphens w:val="0"/>
              <w:jc w:val="center"/>
              <w:rPr>
                <w:color w:val="000000"/>
              </w:rPr>
            </w:pPr>
            <w:r w:rsidRPr="00A6118A">
              <w:rPr>
                <w:color w:val="000000"/>
              </w:rPr>
              <w:t>3</w:t>
            </w:r>
          </w:p>
        </w:tc>
        <w:tc>
          <w:tcPr>
            <w:tcW w:w="5580" w:type="dxa"/>
            <w:tcBorders>
              <w:top w:val="nil"/>
              <w:left w:val="nil"/>
              <w:bottom w:val="single" w:sz="8" w:space="0" w:color="auto"/>
              <w:right w:val="single" w:sz="8" w:space="0" w:color="auto"/>
            </w:tcBorders>
            <w:shd w:val="clear" w:color="auto" w:fill="auto"/>
            <w:vAlign w:val="center"/>
            <w:hideMark/>
          </w:tcPr>
          <w:p w14:paraId="77162337" w14:textId="77777777" w:rsidR="00CC2B1F" w:rsidRPr="00A6118A" w:rsidRDefault="00CC2B1F" w:rsidP="00CC2B1F">
            <w:pPr>
              <w:suppressAutoHyphens w:val="0"/>
              <w:rPr>
                <w:color w:val="000000"/>
              </w:rPr>
            </w:pPr>
            <w:r w:rsidRPr="00A6118A">
              <w:rPr>
                <w:color w:val="000000"/>
              </w:rPr>
              <w:t>Cadernos EBAPE.BR (FGV)</w:t>
            </w:r>
          </w:p>
        </w:tc>
      </w:tr>
      <w:tr w:rsidR="00CC2B1F" w:rsidRPr="00A6118A" w14:paraId="1ADD5844"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0ED036E5" w14:textId="77777777" w:rsidR="00CC2B1F" w:rsidRPr="00A6118A" w:rsidRDefault="00CC2B1F" w:rsidP="00CC2B1F">
            <w:pPr>
              <w:suppressAutoHyphens w:val="0"/>
              <w:jc w:val="center"/>
              <w:rPr>
                <w:color w:val="000000"/>
              </w:rPr>
            </w:pPr>
            <w:r w:rsidRPr="00A6118A">
              <w:rPr>
                <w:color w:val="000000"/>
              </w:rPr>
              <w:t>4</w:t>
            </w:r>
          </w:p>
        </w:tc>
        <w:tc>
          <w:tcPr>
            <w:tcW w:w="5580" w:type="dxa"/>
            <w:tcBorders>
              <w:top w:val="nil"/>
              <w:left w:val="nil"/>
              <w:bottom w:val="single" w:sz="8" w:space="0" w:color="auto"/>
              <w:right w:val="single" w:sz="8" w:space="0" w:color="auto"/>
            </w:tcBorders>
            <w:shd w:val="clear" w:color="auto" w:fill="auto"/>
            <w:vAlign w:val="center"/>
            <w:hideMark/>
          </w:tcPr>
          <w:p w14:paraId="64D6ADFB" w14:textId="77777777" w:rsidR="00CC2B1F" w:rsidRPr="00A6118A" w:rsidRDefault="00CC2B1F" w:rsidP="00CC2B1F">
            <w:pPr>
              <w:suppressAutoHyphens w:val="0"/>
              <w:rPr>
                <w:color w:val="000000"/>
              </w:rPr>
            </w:pPr>
            <w:r w:rsidRPr="00A6118A">
              <w:rPr>
                <w:color w:val="000000"/>
              </w:rPr>
              <w:t>Contabilidade Vista &amp; Revista</w:t>
            </w:r>
          </w:p>
        </w:tc>
      </w:tr>
      <w:tr w:rsidR="00CC2B1F" w:rsidRPr="00A6118A" w14:paraId="6AC0F205"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388FF9A0" w14:textId="77777777" w:rsidR="00CC2B1F" w:rsidRPr="00A6118A" w:rsidRDefault="00CC2B1F" w:rsidP="00CC2B1F">
            <w:pPr>
              <w:suppressAutoHyphens w:val="0"/>
              <w:jc w:val="center"/>
              <w:rPr>
                <w:color w:val="000000"/>
              </w:rPr>
            </w:pPr>
            <w:r w:rsidRPr="00A6118A">
              <w:rPr>
                <w:color w:val="000000"/>
              </w:rPr>
              <w:t>5</w:t>
            </w:r>
          </w:p>
        </w:tc>
        <w:tc>
          <w:tcPr>
            <w:tcW w:w="5580" w:type="dxa"/>
            <w:tcBorders>
              <w:top w:val="nil"/>
              <w:left w:val="nil"/>
              <w:bottom w:val="single" w:sz="8" w:space="0" w:color="auto"/>
              <w:right w:val="single" w:sz="8" w:space="0" w:color="auto"/>
            </w:tcBorders>
            <w:shd w:val="clear" w:color="auto" w:fill="auto"/>
            <w:vAlign w:val="center"/>
            <w:hideMark/>
          </w:tcPr>
          <w:p w14:paraId="06684F90" w14:textId="77777777" w:rsidR="00CC2B1F" w:rsidRPr="00A6118A" w:rsidRDefault="00CC2B1F" w:rsidP="00CC2B1F">
            <w:pPr>
              <w:suppressAutoHyphens w:val="0"/>
              <w:rPr>
                <w:color w:val="000000"/>
              </w:rPr>
            </w:pPr>
            <w:r w:rsidRPr="00A6118A">
              <w:rPr>
                <w:color w:val="000000"/>
              </w:rPr>
              <w:t>Organizações &amp; Sociedade</w:t>
            </w:r>
          </w:p>
        </w:tc>
      </w:tr>
      <w:tr w:rsidR="00CC2B1F" w:rsidRPr="00A6118A" w14:paraId="5A7D49D2"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07119831" w14:textId="77777777" w:rsidR="00CC2B1F" w:rsidRPr="00A6118A" w:rsidRDefault="00CC2B1F" w:rsidP="00CC2B1F">
            <w:pPr>
              <w:suppressAutoHyphens w:val="0"/>
              <w:jc w:val="center"/>
              <w:rPr>
                <w:color w:val="000000"/>
              </w:rPr>
            </w:pPr>
            <w:r w:rsidRPr="00A6118A">
              <w:rPr>
                <w:color w:val="000000"/>
              </w:rPr>
              <w:t>6</w:t>
            </w:r>
          </w:p>
        </w:tc>
        <w:tc>
          <w:tcPr>
            <w:tcW w:w="5580" w:type="dxa"/>
            <w:tcBorders>
              <w:top w:val="nil"/>
              <w:left w:val="nil"/>
              <w:bottom w:val="single" w:sz="8" w:space="0" w:color="auto"/>
              <w:right w:val="single" w:sz="8" w:space="0" w:color="auto"/>
            </w:tcBorders>
            <w:shd w:val="clear" w:color="auto" w:fill="auto"/>
            <w:vAlign w:val="center"/>
            <w:hideMark/>
          </w:tcPr>
          <w:p w14:paraId="49083244" w14:textId="77777777" w:rsidR="00CC2B1F" w:rsidRPr="00A6118A" w:rsidRDefault="00CC2B1F" w:rsidP="00CC2B1F">
            <w:pPr>
              <w:suppressAutoHyphens w:val="0"/>
              <w:rPr>
                <w:color w:val="000000"/>
              </w:rPr>
            </w:pPr>
            <w:r w:rsidRPr="00A6118A">
              <w:rPr>
                <w:color w:val="000000"/>
              </w:rPr>
              <w:t>RAC Eletrônica</w:t>
            </w:r>
          </w:p>
        </w:tc>
      </w:tr>
      <w:tr w:rsidR="00CC2B1F" w:rsidRPr="00A6118A" w14:paraId="66E5D3E6"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1385E571" w14:textId="77777777" w:rsidR="00CC2B1F" w:rsidRPr="00A6118A" w:rsidRDefault="00CC2B1F" w:rsidP="00CC2B1F">
            <w:pPr>
              <w:suppressAutoHyphens w:val="0"/>
              <w:jc w:val="center"/>
              <w:rPr>
                <w:color w:val="000000"/>
              </w:rPr>
            </w:pPr>
            <w:r w:rsidRPr="00A6118A">
              <w:rPr>
                <w:color w:val="000000"/>
              </w:rPr>
              <w:t>7</w:t>
            </w:r>
          </w:p>
        </w:tc>
        <w:tc>
          <w:tcPr>
            <w:tcW w:w="5580" w:type="dxa"/>
            <w:tcBorders>
              <w:top w:val="nil"/>
              <w:left w:val="nil"/>
              <w:bottom w:val="single" w:sz="8" w:space="0" w:color="auto"/>
              <w:right w:val="single" w:sz="8" w:space="0" w:color="auto"/>
            </w:tcBorders>
            <w:shd w:val="clear" w:color="auto" w:fill="auto"/>
            <w:vAlign w:val="center"/>
            <w:hideMark/>
          </w:tcPr>
          <w:p w14:paraId="12BFE5F6" w14:textId="77777777" w:rsidR="00CC2B1F" w:rsidRPr="00A6118A" w:rsidRDefault="00CC2B1F" w:rsidP="00CC2B1F">
            <w:pPr>
              <w:suppressAutoHyphens w:val="0"/>
              <w:rPr>
                <w:color w:val="000000"/>
              </w:rPr>
            </w:pPr>
            <w:r w:rsidRPr="00A6118A">
              <w:rPr>
                <w:color w:val="000000"/>
              </w:rPr>
              <w:t>RAE Eletrônica</w:t>
            </w:r>
          </w:p>
        </w:tc>
      </w:tr>
      <w:tr w:rsidR="00CC2B1F" w:rsidRPr="00A6118A" w14:paraId="57FA45AF"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19FF0DFA" w14:textId="77777777" w:rsidR="00CC2B1F" w:rsidRPr="00A6118A" w:rsidRDefault="00CC2B1F" w:rsidP="00CC2B1F">
            <w:pPr>
              <w:suppressAutoHyphens w:val="0"/>
              <w:jc w:val="center"/>
              <w:rPr>
                <w:color w:val="000000"/>
              </w:rPr>
            </w:pPr>
            <w:r w:rsidRPr="00A6118A">
              <w:rPr>
                <w:color w:val="000000"/>
              </w:rPr>
              <w:t>8</w:t>
            </w:r>
          </w:p>
        </w:tc>
        <w:tc>
          <w:tcPr>
            <w:tcW w:w="5580" w:type="dxa"/>
            <w:tcBorders>
              <w:top w:val="nil"/>
              <w:left w:val="nil"/>
              <w:bottom w:val="single" w:sz="8" w:space="0" w:color="auto"/>
              <w:right w:val="single" w:sz="8" w:space="0" w:color="auto"/>
            </w:tcBorders>
            <w:shd w:val="clear" w:color="auto" w:fill="auto"/>
            <w:vAlign w:val="center"/>
            <w:hideMark/>
          </w:tcPr>
          <w:p w14:paraId="68C7E71D" w14:textId="77777777" w:rsidR="00CC2B1F" w:rsidRPr="00A6118A" w:rsidRDefault="00CC2B1F" w:rsidP="00CC2B1F">
            <w:pPr>
              <w:suppressAutoHyphens w:val="0"/>
              <w:rPr>
                <w:color w:val="000000"/>
              </w:rPr>
            </w:pPr>
            <w:r w:rsidRPr="00A6118A">
              <w:rPr>
                <w:color w:val="000000"/>
              </w:rPr>
              <w:t>Revista Brasileira de Administração Pública (RAP)</w:t>
            </w:r>
          </w:p>
        </w:tc>
      </w:tr>
      <w:tr w:rsidR="00CC2B1F" w:rsidRPr="00A6118A" w14:paraId="19835B91"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375037F8" w14:textId="77777777" w:rsidR="00CC2B1F" w:rsidRPr="00A6118A" w:rsidRDefault="00CC2B1F" w:rsidP="00CC2B1F">
            <w:pPr>
              <w:suppressAutoHyphens w:val="0"/>
              <w:jc w:val="center"/>
              <w:rPr>
                <w:color w:val="000000"/>
              </w:rPr>
            </w:pPr>
            <w:r w:rsidRPr="00A6118A">
              <w:rPr>
                <w:color w:val="000000"/>
              </w:rPr>
              <w:t>9</w:t>
            </w:r>
          </w:p>
        </w:tc>
        <w:tc>
          <w:tcPr>
            <w:tcW w:w="5580" w:type="dxa"/>
            <w:tcBorders>
              <w:top w:val="nil"/>
              <w:left w:val="nil"/>
              <w:bottom w:val="single" w:sz="8" w:space="0" w:color="auto"/>
              <w:right w:val="single" w:sz="8" w:space="0" w:color="auto"/>
            </w:tcBorders>
            <w:shd w:val="clear" w:color="auto" w:fill="auto"/>
            <w:vAlign w:val="center"/>
            <w:hideMark/>
          </w:tcPr>
          <w:p w14:paraId="1B80066E" w14:textId="77777777" w:rsidR="00CC2B1F" w:rsidRPr="00A6118A" w:rsidRDefault="00CC2B1F" w:rsidP="00CC2B1F">
            <w:pPr>
              <w:suppressAutoHyphens w:val="0"/>
              <w:rPr>
                <w:color w:val="000000"/>
              </w:rPr>
            </w:pPr>
            <w:r w:rsidRPr="00A6118A">
              <w:rPr>
                <w:color w:val="000000"/>
              </w:rPr>
              <w:t>Revista Brasileira de Gestão de Negócios (RBGN)</w:t>
            </w:r>
          </w:p>
        </w:tc>
      </w:tr>
      <w:tr w:rsidR="00CC2B1F" w:rsidRPr="00A6118A" w14:paraId="6799B9B7"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5F5C8697" w14:textId="77777777" w:rsidR="00CC2B1F" w:rsidRPr="00A6118A" w:rsidRDefault="00CC2B1F" w:rsidP="00CC2B1F">
            <w:pPr>
              <w:suppressAutoHyphens w:val="0"/>
              <w:jc w:val="center"/>
              <w:rPr>
                <w:color w:val="000000"/>
              </w:rPr>
            </w:pPr>
            <w:r w:rsidRPr="00A6118A">
              <w:rPr>
                <w:color w:val="000000"/>
              </w:rPr>
              <w:t>10</w:t>
            </w:r>
          </w:p>
        </w:tc>
        <w:tc>
          <w:tcPr>
            <w:tcW w:w="5580" w:type="dxa"/>
            <w:tcBorders>
              <w:top w:val="nil"/>
              <w:left w:val="nil"/>
              <w:bottom w:val="single" w:sz="8" w:space="0" w:color="auto"/>
              <w:right w:val="single" w:sz="8" w:space="0" w:color="auto"/>
            </w:tcBorders>
            <w:shd w:val="clear" w:color="auto" w:fill="auto"/>
            <w:vAlign w:val="center"/>
            <w:hideMark/>
          </w:tcPr>
          <w:p w14:paraId="7BA4428B" w14:textId="77777777" w:rsidR="00CC2B1F" w:rsidRPr="00A6118A" w:rsidRDefault="00CC2B1F" w:rsidP="00CC2B1F">
            <w:pPr>
              <w:suppressAutoHyphens w:val="0"/>
              <w:rPr>
                <w:color w:val="000000"/>
              </w:rPr>
            </w:pPr>
            <w:r w:rsidRPr="00A6118A">
              <w:rPr>
                <w:color w:val="000000"/>
              </w:rPr>
              <w:t>Revista Contabilidade &amp; Finanças</w:t>
            </w:r>
          </w:p>
        </w:tc>
      </w:tr>
      <w:tr w:rsidR="00CC2B1F" w:rsidRPr="00A6118A" w14:paraId="1A01CE37"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0F769EFD" w14:textId="77777777" w:rsidR="00CC2B1F" w:rsidRPr="00A6118A" w:rsidRDefault="00CC2B1F" w:rsidP="00CC2B1F">
            <w:pPr>
              <w:suppressAutoHyphens w:val="0"/>
              <w:jc w:val="center"/>
              <w:rPr>
                <w:color w:val="000000"/>
              </w:rPr>
            </w:pPr>
            <w:r w:rsidRPr="00A6118A">
              <w:rPr>
                <w:color w:val="000000"/>
              </w:rPr>
              <w:t>11</w:t>
            </w:r>
          </w:p>
        </w:tc>
        <w:tc>
          <w:tcPr>
            <w:tcW w:w="5580" w:type="dxa"/>
            <w:tcBorders>
              <w:top w:val="nil"/>
              <w:left w:val="nil"/>
              <w:bottom w:val="single" w:sz="8" w:space="0" w:color="auto"/>
              <w:right w:val="single" w:sz="8" w:space="0" w:color="auto"/>
            </w:tcBorders>
            <w:shd w:val="clear" w:color="auto" w:fill="auto"/>
            <w:vAlign w:val="center"/>
            <w:hideMark/>
          </w:tcPr>
          <w:p w14:paraId="54BE0CE7" w14:textId="77777777" w:rsidR="00CC2B1F" w:rsidRPr="00A6118A" w:rsidRDefault="00CC2B1F" w:rsidP="00CC2B1F">
            <w:pPr>
              <w:suppressAutoHyphens w:val="0"/>
              <w:rPr>
                <w:color w:val="000000"/>
              </w:rPr>
            </w:pPr>
            <w:r w:rsidRPr="00A6118A">
              <w:rPr>
                <w:color w:val="000000"/>
              </w:rPr>
              <w:t>Revista de Administração Contemporânea (RAC)</w:t>
            </w:r>
          </w:p>
        </w:tc>
      </w:tr>
      <w:tr w:rsidR="00CC2B1F" w:rsidRPr="00A6118A" w14:paraId="727CBF62"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5250D4B8" w14:textId="77777777" w:rsidR="00CC2B1F" w:rsidRPr="00A6118A" w:rsidRDefault="00CC2B1F" w:rsidP="00CC2B1F">
            <w:pPr>
              <w:suppressAutoHyphens w:val="0"/>
              <w:jc w:val="center"/>
              <w:rPr>
                <w:color w:val="000000"/>
              </w:rPr>
            </w:pPr>
            <w:r w:rsidRPr="00A6118A">
              <w:rPr>
                <w:color w:val="000000"/>
              </w:rPr>
              <w:t>12</w:t>
            </w:r>
          </w:p>
        </w:tc>
        <w:tc>
          <w:tcPr>
            <w:tcW w:w="5580" w:type="dxa"/>
            <w:tcBorders>
              <w:top w:val="nil"/>
              <w:left w:val="nil"/>
              <w:bottom w:val="single" w:sz="8" w:space="0" w:color="auto"/>
              <w:right w:val="single" w:sz="8" w:space="0" w:color="auto"/>
            </w:tcBorders>
            <w:shd w:val="clear" w:color="auto" w:fill="auto"/>
            <w:vAlign w:val="center"/>
            <w:hideMark/>
          </w:tcPr>
          <w:p w14:paraId="01FD6E4A" w14:textId="77777777" w:rsidR="00CC2B1F" w:rsidRPr="00A6118A" w:rsidRDefault="00CC2B1F" w:rsidP="00CC2B1F">
            <w:pPr>
              <w:suppressAutoHyphens w:val="0"/>
              <w:rPr>
                <w:color w:val="000000"/>
              </w:rPr>
            </w:pPr>
            <w:r w:rsidRPr="00A6118A">
              <w:rPr>
                <w:color w:val="000000"/>
              </w:rPr>
              <w:t>Revista de Administração da Universidade de São Paulo (RAUSP)</w:t>
            </w:r>
          </w:p>
        </w:tc>
      </w:tr>
      <w:tr w:rsidR="00CC2B1F" w:rsidRPr="00A6118A" w14:paraId="3D4B430F"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36C6FCC7" w14:textId="77777777" w:rsidR="00CC2B1F" w:rsidRPr="00A6118A" w:rsidRDefault="00CC2B1F" w:rsidP="00CC2B1F">
            <w:pPr>
              <w:suppressAutoHyphens w:val="0"/>
              <w:jc w:val="center"/>
              <w:rPr>
                <w:color w:val="000000"/>
              </w:rPr>
            </w:pPr>
            <w:r w:rsidRPr="00A6118A">
              <w:rPr>
                <w:color w:val="000000"/>
              </w:rPr>
              <w:t>13</w:t>
            </w:r>
          </w:p>
        </w:tc>
        <w:tc>
          <w:tcPr>
            <w:tcW w:w="5580" w:type="dxa"/>
            <w:tcBorders>
              <w:top w:val="nil"/>
              <w:left w:val="nil"/>
              <w:bottom w:val="single" w:sz="8" w:space="0" w:color="auto"/>
              <w:right w:val="single" w:sz="8" w:space="0" w:color="auto"/>
            </w:tcBorders>
            <w:shd w:val="clear" w:color="auto" w:fill="auto"/>
            <w:vAlign w:val="center"/>
            <w:hideMark/>
          </w:tcPr>
          <w:p w14:paraId="0ADC3789" w14:textId="77777777" w:rsidR="00CC2B1F" w:rsidRPr="00A6118A" w:rsidRDefault="00CC2B1F" w:rsidP="00CC2B1F">
            <w:pPr>
              <w:suppressAutoHyphens w:val="0"/>
              <w:rPr>
                <w:color w:val="000000"/>
              </w:rPr>
            </w:pPr>
            <w:r w:rsidRPr="00A6118A">
              <w:rPr>
                <w:color w:val="000000"/>
              </w:rPr>
              <w:t>Revista de Administração de Empresas (RAE)</w:t>
            </w:r>
          </w:p>
        </w:tc>
      </w:tr>
      <w:tr w:rsidR="00CC2B1F" w:rsidRPr="00A6118A" w14:paraId="28ED1581"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0B586A73" w14:textId="77777777" w:rsidR="00CC2B1F" w:rsidRPr="00A6118A" w:rsidRDefault="00CC2B1F" w:rsidP="00CC2B1F">
            <w:pPr>
              <w:suppressAutoHyphens w:val="0"/>
              <w:jc w:val="center"/>
              <w:rPr>
                <w:color w:val="000000"/>
              </w:rPr>
            </w:pPr>
            <w:r w:rsidRPr="00A6118A">
              <w:rPr>
                <w:color w:val="000000"/>
              </w:rPr>
              <w:t>14</w:t>
            </w:r>
          </w:p>
        </w:tc>
        <w:tc>
          <w:tcPr>
            <w:tcW w:w="5580" w:type="dxa"/>
            <w:tcBorders>
              <w:top w:val="nil"/>
              <w:left w:val="nil"/>
              <w:bottom w:val="single" w:sz="8" w:space="0" w:color="auto"/>
              <w:right w:val="single" w:sz="8" w:space="0" w:color="auto"/>
            </w:tcBorders>
            <w:shd w:val="clear" w:color="auto" w:fill="auto"/>
            <w:vAlign w:val="center"/>
            <w:hideMark/>
          </w:tcPr>
          <w:p w14:paraId="59F862A4" w14:textId="77777777" w:rsidR="00CC2B1F" w:rsidRPr="00A6118A" w:rsidRDefault="00CC2B1F" w:rsidP="00CC2B1F">
            <w:pPr>
              <w:suppressAutoHyphens w:val="0"/>
              <w:rPr>
                <w:color w:val="000000"/>
              </w:rPr>
            </w:pPr>
            <w:r w:rsidRPr="00A6118A">
              <w:rPr>
                <w:color w:val="000000"/>
              </w:rPr>
              <w:t>Revista de Contabilidade e Organizações</w:t>
            </w:r>
          </w:p>
        </w:tc>
      </w:tr>
      <w:tr w:rsidR="00CC2B1F" w:rsidRPr="00A6118A" w14:paraId="5DD5DECF"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2A5ECD3B" w14:textId="77777777" w:rsidR="00CC2B1F" w:rsidRPr="00A6118A" w:rsidRDefault="00CC2B1F" w:rsidP="00CC2B1F">
            <w:pPr>
              <w:suppressAutoHyphens w:val="0"/>
              <w:jc w:val="center"/>
              <w:rPr>
                <w:color w:val="000000"/>
              </w:rPr>
            </w:pPr>
            <w:r w:rsidRPr="00A6118A">
              <w:rPr>
                <w:color w:val="000000"/>
              </w:rPr>
              <w:t>15</w:t>
            </w:r>
          </w:p>
        </w:tc>
        <w:tc>
          <w:tcPr>
            <w:tcW w:w="5580" w:type="dxa"/>
            <w:tcBorders>
              <w:top w:val="nil"/>
              <w:left w:val="nil"/>
              <w:bottom w:val="single" w:sz="8" w:space="0" w:color="auto"/>
              <w:right w:val="single" w:sz="8" w:space="0" w:color="auto"/>
            </w:tcBorders>
            <w:shd w:val="clear" w:color="auto" w:fill="auto"/>
            <w:vAlign w:val="center"/>
            <w:hideMark/>
          </w:tcPr>
          <w:p w14:paraId="11F42255" w14:textId="77777777" w:rsidR="00CC2B1F" w:rsidRPr="00A6118A" w:rsidRDefault="00CC2B1F" w:rsidP="00CC2B1F">
            <w:pPr>
              <w:suppressAutoHyphens w:val="0"/>
              <w:rPr>
                <w:color w:val="000000"/>
              </w:rPr>
            </w:pPr>
            <w:r w:rsidRPr="00A6118A">
              <w:rPr>
                <w:color w:val="000000"/>
              </w:rPr>
              <w:t>Revista Contemporânea de Contabilidade</w:t>
            </w:r>
          </w:p>
        </w:tc>
      </w:tr>
      <w:tr w:rsidR="00CC2B1F" w:rsidRPr="00A6118A" w14:paraId="42D3CEE2" w14:textId="77777777" w:rsidTr="00CC2B1F">
        <w:trPr>
          <w:trHeight w:val="231"/>
          <w:jc w:val="center"/>
        </w:trPr>
        <w:tc>
          <w:tcPr>
            <w:tcW w:w="700" w:type="dxa"/>
            <w:tcBorders>
              <w:top w:val="nil"/>
              <w:left w:val="single" w:sz="8" w:space="0" w:color="auto"/>
              <w:bottom w:val="single" w:sz="8" w:space="0" w:color="auto"/>
              <w:right w:val="single" w:sz="8" w:space="0" w:color="auto"/>
            </w:tcBorders>
            <w:shd w:val="clear" w:color="auto" w:fill="auto"/>
            <w:noWrap/>
            <w:vAlign w:val="center"/>
            <w:hideMark/>
          </w:tcPr>
          <w:p w14:paraId="70D1936C" w14:textId="77777777" w:rsidR="00CC2B1F" w:rsidRPr="00A6118A" w:rsidRDefault="00CC2B1F" w:rsidP="00CC2B1F">
            <w:pPr>
              <w:suppressAutoHyphens w:val="0"/>
              <w:jc w:val="center"/>
              <w:rPr>
                <w:color w:val="000000"/>
              </w:rPr>
            </w:pPr>
            <w:r w:rsidRPr="00A6118A">
              <w:rPr>
                <w:color w:val="000000"/>
              </w:rPr>
              <w:t>16</w:t>
            </w:r>
          </w:p>
        </w:tc>
        <w:tc>
          <w:tcPr>
            <w:tcW w:w="5580" w:type="dxa"/>
            <w:tcBorders>
              <w:top w:val="nil"/>
              <w:left w:val="nil"/>
              <w:bottom w:val="single" w:sz="8" w:space="0" w:color="auto"/>
              <w:right w:val="single" w:sz="8" w:space="0" w:color="auto"/>
            </w:tcBorders>
            <w:shd w:val="clear" w:color="auto" w:fill="auto"/>
            <w:vAlign w:val="center"/>
            <w:hideMark/>
          </w:tcPr>
          <w:p w14:paraId="3311897A" w14:textId="77777777" w:rsidR="00CC2B1F" w:rsidRPr="00A6118A" w:rsidRDefault="00CC2B1F" w:rsidP="00CC2B1F">
            <w:pPr>
              <w:suppressAutoHyphens w:val="0"/>
              <w:rPr>
                <w:color w:val="000000"/>
              </w:rPr>
            </w:pPr>
            <w:r w:rsidRPr="00A6118A">
              <w:rPr>
                <w:color w:val="000000"/>
              </w:rPr>
              <w:t>Revista Universo Contábil</w:t>
            </w:r>
          </w:p>
        </w:tc>
      </w:tr>
    </w:tbl>
    <w:p w14:paraId="52B48B78" w14:textId="77777777" w:rsidR="00CC2B1F" w:rsidRDefault="00CC2B1F" w:rsidP="00CC2B1F">
      <w:pPr>
        <w:jc w:val="both"/>
      </w:pPr>
      <w:r>
        <w:rPr>
          <w:b/>
        </w:rPr>
        <w:t xml:space="preserve">                            </w:t>
      </w:r>
      <w:r>
        <w:t>Fonte: Elaborado</w:t>
      </w:r>
      <w:r w:rsidRPr="0063607C">
        <w:t xml:space="preserve"> pelo</w:t>
      </w:r>
      <w:r>
        <w:t>s</w:t>
      </w:r>
      <w:r w:rsidRPr="0063607C">
        <w:t xml:space="preserve"> autor</w:t>
      </w:r>
      <w:r>
        <w:t>es.</w:t>
      </w:r>
    </w:p>
    <w:p w14:paraId="73574C7D" w14:textId="77777777" w:rsidR="00CC2B1F" w:rsidRPr="0063607C" w:rsidRDefault="00CC2B1F" w:rsidP="00CC2B1F">
      <w:pPr>
        <w:jc w:val="both"/>
      </w:pPr>
    </w:p>
    <w:p w14:paraId="771E45B4" w14:textId="77777777" w:rsidR="00CC2B1F" w:rsidRPr="009D0BA2" w:rsidRDefault="00CC2B1F" w:rsidP="00CC2B1F">
      <w:pPr>
        <w:autoSpaceDE w:val="0"/>
        <w:autoSpaceDN w:val="0"/>
        <w:adjustRightInd w:val="0"/>
        <w:ind w:firstLine="709"/>
        <w:jc w:val="both"/>
        <w:rPr>
          <w:sz w:val="24"/>
          <w:szCs w:val="24"/>
        </w:rPr>
      </w:pPr>
      <w:r w:rsidRPr="009D0BA2">
        <w:rPr>
          <w:sz w:val="24"/>
          <w:szCs w:val="24"/>
        </w:rPr>
        <w:t>Caracterizado como descritivo, com abordagens qualitativa e quantitativa, esse estudo trata-se, também, de um estudo documental, que faz uso de técnicas de análise bibliométrica. Tal técnica tem o objetivo de quantificar e analisar a produção científica do tema estudado e sua importância se dá na avaliação da pesquisa acadêmica orientando futuros trabalhos.</w:t>
      </w:r>
    </w:p>
    <w:p w14:paraId="34B59586" w14:textId="11DA1F42" w:rsidR="00CC2B1F" w:rsidRPr="009D0BA2" w:rsidRDefault="00CC2B1F" w:rsidP="00CC2B1F">
      <w:pPr>
        <w:ind w:firstLine="709"/>
        <w:jc w:val="both"/>
        <w:rPr>
          <w:color w:val="000000" w:themeColor="text1"/>
          <w:sz w:val="24"/>
          <w:szCs w:val="24"/>
        </w:rPr>
      </w:pPr>
      <w:r w:rsidRPr="009D0BA2">
        <w:rPr>
          <w:color w:val="000000" w:themeColor="text1"/>
          <w:sz w:val="24"/>
          <w:szCs w:val="24"/>
        </w:rPr>
        <w:t xml:space="preserve">A busca dos artigos que abordam liquidez de mercado se deu exclusivamente via </w:t>
      </w:r>
      <w:r w:rsidRPr="009D0BA2">
        <w:rPr>
          <w:i/>
          <w:color w:val="000000" w:themeColor="text1"/>
          <w:sz w:val="24"/>
          <w:szCs w:val="24"/>
        </w:rPr>
        <w:t>web</w:t>
      </w:r>
      <w:r w:rsidRPr="009D0BA2">
        <w:rPr>
          <w:color w:val="000000" w:themeColor="text1"/>
          <w:sz w:val="24"/>
          <w:szCs w:val="24"/>
        </w:rPr>
        <w:t>, através da inserção do termo chave “Liquidez” (</w:t>
      </w:r>
      <w:r w:rsidRPr="009D0BA2">
        <w:rPr>
          <w:i/>
          <w:color w:val="000000" w:themeColor="text1"/>
          <w:sz w:val="24"/>
          <w:szCs w:val="24"/>
        </w:rPr>
        <w:t>Liquidity</w:t>
      </w:r>
      <w:r w:rsidRPr="009D0BA2">
        <w:rPr>
          <w:color w:val="000000" w:themeColor="text1"/>
          <w:sz w:val="24"/>
          <w:szCs w:val="24"/>
        </w:rPr>
        <w:t xml:space="preserve">) no buscador </w:t>
      </w:r>
      <w:r w:rsidRPr="009D0BA2">
        <w:rPr>
          <w:i/>
          <w:color w:val="000000" w:themeColor="text1"/>
          <w:sz w:val="24"/>
          <w:szCs w:val="24"/>
        </w:rPr>
        <w:t>Google Scholar</w:t>
      </w:r>
      <w:r w:rsidRPr="009D0BA2">
        <w:rPr>
          <w:color w:val="000000" w:themeColor="text1"/>
          <w:sz w:val="24"/>
          <w:szCs w:val="24"/>
        </w:rPr>
        <w:t xml:space="preserve"> que realiza a busca através de algoritmo próprio oferecendo os resultados por ordem de impacto e de relevância. Como critério de seleção da amostra será utilizado: a) artigos com a expressão Liquidez de Mercado no título do artigo; b) artigos com a expressão Liquidez de Mercado no</w:t>
      </w:r>
      <w:r>
        <w:rPr>
          <w:color w:val="000000" w:themeColor="text1"/>
          <w:sz w:val="24"/>
          <w:szCs w:val="24"/>
        </w:rPr>
        <w:t xml:space="preserve"> </w:t>
      </w:r>
      <w:r w:rsidRPr="009D0BA2">
        <w:rPr>
          <w:color w:val="000000" w:themeColor="text1"/>
          <w:sz w:val="24"/>
          <w:szCs w:val="24"/>
        </w:rPr>
        <w:t>resumo do artigo; c) artigos com a expressão Liquidez de Mercado nas palavras-chave do artigo.</w:t>
      </w:r>
    </w:p>
    <w:p w14:paraId="3535F692" w14:textId="77777777" w:rsidR="00CC2B1F" w:rsidRDefault="00CC2B1F" w:rsidP="00CC2B1F">
      <w:pPr>
        <w:spacing w:before="240" w:after="240"/>
        <w:jc w:val="both"/>
        <w:rPr>
          <w:b/>
          <w:sz w:val="24"/>
          <w:szCs w:val="24"/>
        </w:rPr>
      </w:pPr>
      <w:r>
        <w:rPr>
          <w:b/>
          <w:sz w:val="24"/>
          <w:szCs w:val="24"/>
        </w:rPr>
        <w:t xml:space="preserve">4 </w:t>
      </w:r>
      <w:r w:rsidRPr="00463DEF">
        <w:rPr>
          <w:b/>
          <w:sz w:val="24"/>
          <w:szCs w:val="24"/>
        </w:rPr>
        <w:t>Análise e Resultados</w:t>
      </w:r>
    </w:p>
    <w:p w14:paraId="7240FE0D" w14:textId="77777777" w:rsidR="00CC2B1F" w:rsidRDefault="00CC2B1F" w:rsidP="00CC2B1F">
      <w:pPr>
        <w:shd w:val="clear" w:color="auto" w:fill="FFFFFF"/>
        <w:ind w:firstLine="709"/>
        <w:jc w:val="both"/>
        <w:rPr>
          <w:sz w:val="24"/>
          <w:szCs w:val="24"/>
        </w:rPr>
      </w:pPr>
      <w:r>
        <w:rPr>
          <w:sz w:val="24"/>
          <w:szCs w:val="24"/>
        </w:rPr>
        <w:lastRenderedPageBreak/>
        <w:t xml:space="preserve">Apresenta-se nessa seção as análises e os resultados do estudo bibliométrico realizado nos artigos selecionados dos </w:t>
      </w:r>
      <w:r w:rsidRPr="00E11EB1">
        <w:rPr>
          <w:sz w:val="24"/>
          <w:szCs w:val="24"/>
        </w:rPr>
        <w:t>16 per</w:t>
      </w:r>
      <w:r>
        <w:rPr>
          <w:sz w:val="24"/>
          <w:szCs w:val="24"/>
        </w:rPr>
        <w:t>iódicos nacionais supracitados. F</w:t>
      </w:r>
      <w:r w:rsidRPr="00E11EB1">
        <w:rPr>
          <w:sz w:val="24"/>
          <w:szCs w:val="24"/>
        </w:rPr>
        <w:t xml:space="preserve">oram encontrados um total de 158 artigos, separados durante a análise inicial. Posteriormente, foi realizada </w:t>
      </w:r>
      <w:r>
        <w:rPr>
          <w:sz w:val="24"/>
          <w:szCs w:val="24"/>
        </w:rPr>
        <w:t xml:space="preserve">pelos autores </w:t>
      </w:r>
      <w:r w:rsidRPr="00E11EB1">
        <w:rPr>
          <w:sz w:val="24"/>
          <w:szCs w:val="24"/>
        </w:rPr>
        <w:t>uma análise de conteúdo com finalidade de selecionar apenas</w:t>
      </w:r>
      <w:r>
        <w:rPr>
          <w:sz w:val="24"/>
          <w:szCs w:val="24"/>
        </w:rPr>
        <w:t xml:space="preserve"> artigos que tratassem do tema </w:t>
      </w:r>
      <w:r w:rsidRPr="00DF3645">
        <w:rPr>
          <w:sz w:val="24"/>
          <w:szCs w:val="24"/>
        </w:rPr>
        <w:t>liquidez de mercado</w:t>
      </w:r>
      <w:r w:rsidRPr="00E11EB1">
        <w:rPr>
          <w:sz w:val="24"/>
          <w:szCs w:val="24"/>
        </w:rPr>
        <w:t xml:space="preserve"> </w:t>
      </w:r>
      <w:r>
        <w:rPr>
          <w:sz w:val="24"/>
          <w:szCs w:val="24"/>
        </w:rPr>
        <w:t>ou que</w:t>
      </w:r>
      <w:r w:rsidRPr="00EE3FB9">
        <w:rPr>
          <w:sz w:val="24"/>
          <w:szCs w:val="24"/>
        </w:rPr>
        <w:t xml:space="preserve"> </w:t>
      </w:r>
      <w:r>
        <w:rPr>
          <w:sz w:val="24"/>
          <w:szCs w:val="24"/>
        </w:rPr>
        <w:t xml:space="preserve">incluísse </w:t>
      </w:r>
      <w:r w:rsidRPr="00EE3FB9">
        <w:rPr>
          <w:sz w:val="24"/>
          <w:szCs w:val="24"/>
        </w:rPr>
        <w:t>a</w:t>
      </w:r>
      <w:r>
        <w:rPr>
          <w:sz w:val="24"/>
          <w:szCs w:val="24"/>
        </w:rPr>
        <w:t>lguma variável de</w:t>
      </w:r>
      <w:r w:rsidRPr="00EE3FB9">
        <w:rPr>
          <w:sz w:val="24"/>
          <w:szCs w:val="24"/>
        </w:rPr>
        <w:t xml:space="preserve"> liquidez </w:t>
      </w:r>
      <w:r w:rsidRPr="00E11EB1">
        <w:rPr>
          <w:sz w:val="24"/>
          <w:szCs w:val="24"/>
        </w:rPr>
        <w:t xml:space="preserve">como explicativa para seu </w:t>
      </w:r>
      <w:r>
        <w:rPr>
          <w:sz w:val="24"/>
          <w:szCs w:val="24"/>
        </w:rPr>
        <w:t xml:space="preserve">modelo. Após essa análise, </w:t>
      </w:r>
      <w:r>
        <w:rPr>
          <w:sz w:val="24"/>
          <w:szCs w:val="26"/>
        </w:rPr>
        <w:t xml:space="preserve">verificou-se que vários dos </w:t>
      </w:r>
      <w:r w:rsidRPr="00AF2E83">
        <w:rPr>
          <w:sz w:val="24"/>
          <w:szCs w:val="26"/>
        </w:rPr>
        <w:t>artigos</w:t>
      </w:r>
      <w:r>
        <w:rPr>
          <w:sz w:val="24"/>
          <w:szCs w:val="26"/>
        </w:rPr>
        <w:t xml:space="preserve"> selecionados inicialmente</w:t>
      </w:r>
      <w:r w:rsidRPr="00AF2E83">
        <w:rPr>
          <w:sz w:val="24"/>
          <w:szCs w:val="26"/>
        </w:rPr>
        <w:t xml:space="preserve"> não abo</w:t>
      </w:r>
      <w:r>
        <w:rPr>
          <w:sz w:val="24"/>
          <w:szCs w:val="26"/>
        </w:rPr>
        <w:t xml:space="preserve">rdavam o tema a ser pesquisado e, </w:t>
      </w:r>
      <w:r w:rsidRPr="00AF2E83">
        <w:rPr>
          <w:sz w:val="24"/>
          <w:szCs w:val="26"/>
        </w:rPr>
        <w:t>portanto</w:t>
      </w:r>
      <w:r>
        <w:rPr>
          <w:sz w:val="24"/>
          <w:szCs w:val="26"/>
        </w:rPr>
        <w:t>,</w:t>
      </w:r>
      <w:r w:rsidRPr="00AF2E83">
        <w:rPr>
          <w:sz w:val="24"/>
          <w:szCs w:val="26"/>
        </w:rPr>
        <w:t xml:space="preserve"> foram excluídos.</w:t>
      </w:r>
      <w:r>
        <w:rPr>
          <w:sz w:val="24"/>
          <w:szCs w:val="26"/>
        </w:rPr>
        <w:t xml:space="preserve"> Ao final, </w:t>
      </w:r>
      <w:r>
        <w:rPr>
          <w:sz w:val="24"/>
          <w:szCs w:val="24"/>
        </w:rPr>
        <w:t xml:space="preserve">27 artigos foram selecionados para compor a amostra (Tabela 3). </w:t>
      </w:r>
    </w:p>
    <w:p w14:paraId="425F2FB5" w14:textId="77777777" w:rsidR="00CC2B1F" w:rsidRPr="009A583C" w:rsidRDefault="00CC2B1F" w:rsidP="00CC2B1F">
      <w:pPr>
        <w:shd w:val="clear" w:color="auto" w:fill="FFFFFF"/>
        <w:spacing w:after="240"/>
        <w:ind w:firstLine="709"/>
        <w:jc w:val="both"/>
        <w:rPr>
          <w:sz w:val="24"/>
          <w:szCs w:val="26"/>
        </w:rPr>
      </w:pPr>
      <w:r w:rsidRPr="000C3D83">
        <w:rPr>
          <w:sz w:val="24"/>
          <w:szCs w:val="24"/>
        </w:rPr>
        <w:t>Na análise dos artigos</w:t>
      </w:r>
      <w:r>
        <w:rPr>
          <w:sz w:val="24"/>
          <w:szCs w:val="24"/>
        </w:rPr>
        <w:t xml:space="preserve"> </w:t>
      </w:r>
      <w:r w:rsidRPr="000C3D83">
        <w:rPr>
          <w:sz w:val="24"/>
          <w:szCs w:val="24"/>
        </w:rPr>
        <w:t xml:space="preserve">foi </w:t>
      </w:r>
      <w:r>
        <w:rPr>
          <w:sz w:val="24"/>
          <w:szCs w:val="24"/>
        </w:rPr>
        <w:t>realizado</w:t>
      </w:r>
      <w:r w:rsidRPr="000C3D83">
        <w:rPr>
          <w:sz w:val="24"/>
          <w:szCs w:val="24"/>
        </w:rPr>
        <w:t xml:space="preserve"> um levantamento das informações mais </w:t>
      </w:r>
      <w:r>
        <w:rPr>
          <w:sz w:val="24"/>
          <w:szCs w:val="24"/>
        </w:rPr>
        <w:t xml:space="preserve">significativas para o estudo. Os artigos foram catalogados por meio de um fichamento contendo os seguintes tópicos: título do artigo, ano de publicação, nome do periódico, nome dos autores, seguido por instituição de vínculo e título à época da publicação. Quanto ao número de publicações por periódico, a </w:t>
      </w:r>
      <w:r w:rsidRPr="00DF3645">
        <w:rPr>
          <w:sz w:val="24"/>
          <w:szCs w:val="24"/>
        </w:rPr>
        <w:t>Revista Contabilidade &amp; Finanças</w:t>
      </w:r>
      <w:r>
        <w:rPr>
          <w:sz w:val="24"/>
          <w:szCs w:val="24"/>
        </w:rPr>
        <w:t xml:space="preserve"> apresentou o maior número de artigos relacionados ao tema </w:t>
      </w:r>
      <w:r w:rsidRPr="00DF3645">
        <w:rPr>
          <w:sz w:val="24"/>
          <w:szCs w:val="24"/>
        </w:rPr>
        <w:t>liquidez de mercado</w:t>
      </w:r>
      <w:r>
        <w:rPr>
          <w:sz w:val="24"/>
          <w:szCs w:val="24"/>
        </w:rPr>
        <w:t xml:space="preserve"> no período analisado, sendo um total de 9 artigos, representando aproximadamente 33% da amostra. O periódico </w:t>
      </w:r>
      <w:r w:rsidRPr="00054E06">
        <w:rPr>
          <w:i/>
          <w:sz w:val="24"/>
          <w:szCs w:val="24"/>
        </w:rPr>
        <w:t>Brazilian Business Review</w:t>
      </w:r>
      <w:r>
        <w:rPr>
          <w:sz w:val="24"/>
          <w:szCs w:val="24"/>
        </w:rPr>
        <w:t xml:space="preserve"> (BBR) foi o segundo mais prolífico, com 6 artigos relacionados ao tema (22% da amostra). Os dois periódicos juntos representam pouco mais da metade da amostra analisada (aproximadamente 55%). </w:t>
      </w:r>
    </w:p>
    <w:p w14:paraId="58B61DAD" w14:textId="77777777" w:rsidR="00CC2B1F" w:rsidRDefault="00CC2B1F" w:rsidP="00CC2B1F">
      <w:pPr>
        <w:shd w:val="clear" w:color="auto" w:fill="FFFFFF"/>
        <w:spacing w:after="40"/>
        <w:jc w:val="center"/>
        <w:rPr>
          <w:b/>
          <w:szCs w:val="24"/>
        </w:rPr>
      </w:pPr>
      <w:r>
        <w:rPr>
          <w:b/>
          <w:szCs w:val="24"/>
        </w:rPr>
        <w:t>Tabela 3</w:t>
      </w:r>
      <w:r w:rsidRPr="00192C39">
        <w:rPr>
          <w:b/>
          <w:szCs w:val="24"/>
        </w:rPr>
        <w:t xml:space="preserve"> – Número de artigos que compõem a amostra</w:t>
      </w:r>
    </w:p>
    <w:tbl>
      <w:tblPr>
        <w:tblW w:w="8060" w:type="dxa"/>
        <w:jc w:val="center"/>
        <w:tblCellMar>
          <w:left w:w="70" w:type="dxa"/>
          <w:right w:w="70" w:type="dxa"/>
        </w:tblCellMar>
        <w:tblLook w:val="04A0" w:firstRow="1" w:lastRow="0" w:firstColumn="1" w:lastColumn="0" w:noHBand="0" w:noVBand="1"/>
      </w:tblPr>
      <w:tblGrid>
        <w:gridCol w:w="5580"/>
        <w:gridCol w:w="1500"/>
        <w:gridCol w:w="980"/>
      </w:tblGrid>
      <w:tr w:rsidR="00CC2B1F" w:rsidRPr="00123761" w14:paraId="52458EEC" w14:textId="77777777" w:rsidTr="00CC2B1F">
        <w:trPr>
          <w:trHeight w:val="261"/>
          <w:jc w:val="center"/>
        </w:trPr>
        <w:tc>
          <w:tcPr>
            <w:tcW w:w="5580"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5D9D5767" w14:textId="77777777" w:rsidR="00CC2B1F" w:rsidRPr="00123761" w:rsidRDefault="00CC2B1F" w:rsidP="00CC2B1F">
            <w:pPr>
              <w:suppressAutoHyphens w:val="0"/>
              <w:jc w:val="center"/>
              <w:rPr>
                <w:b/>
                <w:bCs/>
                <w:color w:val="000000"/>
              </w:rPr>
            </w:pPr>
            <w:r w:rsidRPr="00123761">
              <w:rPr>
                <w:b/>
                <w:bCs/>
                <w:color w:val="000000"/>
              </w:rPr>
              <w:t>Periódicos</w:t>
            </w:r>
          </w:p>
        </w:tc>
        <w:tc>
          <w:tcPr>
            <w:tcW w:w="1500" w:type="dxa"/>
            <w:tcBorders>
              <w:top w:val="single" w:sz="4" w:space="0" w:color="auto"/>
              <w:left w:val="nil"/>
              <w:bottom w:val="single" w:sz="4" w:space="0" w:color="auto"/>
              <w:right w:val="single" w:sz="4" w:space="0" w:color="auto"/>
            </w:tcBorders>
            <w:shd w:val="clear" w:color="000000" w:fill="D0CECE"/>
            <w:noWrap/>
            <w:vAlign w:val="center"/>
            <w:hideMark/>
          </w:tcPr>
          <w:p w14:paraId="782EF749" w14:textId="77777777" w:rsidR="00CC2B1F" w:rsidRPr="00123761" w:rsidRDefault="00CC2B1F" w:rsidP="00CC2B1F">
            <w:pPr>
              <w:suppressAutoHyphens w:val="0"/>
              <w:jc w:val="center"/>
              <w:rPr>
                <w:b/>
                <w:bCs/>
                <w:i/>
                <w:iCs/>
                <w:color w:val="000000"/>
              </w:rPr>
            </w:pPr>
            <w:r w:rsidRPr="00123761">
              <w:rPr>
                <w:b/>
                <w:bCs/>
                <w:i/>
                <w:iCs/>
                <w:color w:val="000000"/>
              </w:rPr>
              <w:t>Google Scholar</w:t>
            </w:r>
          </w:p>
        </w:tc>
        <w:tc>
          <w:tcPr>
            <w:tcW w:w="980" w:type="dxa"/>
            <w:tcBorders>
              <w:top w:val="single" w:sz="4" w:space="0" w:color="auto"/>
              <w:left w:val="nil"/>
              <w:bottom w:val="single" w:sz="4" w:space="0" w:color="auto"/>
              <w:right w:val="single" w:sz="4" w:space="0" w:color="auto"/>
            </w:tcBorders>
            <w:shd w:val="clear" w:color="000000" w:fill="D0CECE"/>
            <w:vAlign w:val="center"/>
            <w:hideMark/>
          </w:tcPr>
          <w:p w14:paraId="3CD1A8CD" w14:textId="77777777" w:rsidR="00CC2B1F" w:rsidRPr="00123761" w:rsidRDefault="00CC2B1F" w:rsidP="00CC2B1F">
            <w:pPr>
              <w:suppressAutoHyphens w:val="0"/>
              <w:jc w:val="center"/>
              <w:rPr>
                <w:b/>
                <w:bCs/>
                <w:color w:val="000000"/>
              </w:rPr>
            </w:pPr>
            <w:r w:rsidRPr="00123761">
              <w:rPr>
                <w:b/>
                <w:bCs/>
                <w:color w:val="000000"/>
              </w:rPr>
              <w:t>Amostra</w:t>
            </w:r>
          </w:p>
        </w:tc>
      </w:tr>
      <w:tr w:rsidR="00CC2B1F" w:rsidRPr="00123761" w14:paraId="4EBD99EC"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5188D464" w14:textId="77777777" w:rsidR="00CC2B1F" w:rsidRPr="00123761" w:rsidRDefault="00CC2B1F" w:rsidP="00CC2B1F">
            <w:pPr>
              <w:suppressAutoHyphens w:val="0"/>
              <w:rPr>
                <w:color w:val="000000"/>
              </w:rPr>
            </w:pPr>
            <w:r w:rsidRPr="00123761">
              <w:rPr>
                <w:color w:val="000000"/>
              </w:rPr>
              <w:t>Brazilian Administration Review (BAR)</w:t>
            </w:r>
          </w:p>
        </w:tc>
        <w:tc>
          <w:tcPr>
            <w:tcW w:w="1500" w:type="dxa"/>
            <w:tcBorders>
              <w:top w:val="nil"/>
              <w:left w:val="nil"/>
              <w:bottom w:val="single" w:sz="4" w:space="0" w:color="auto"/>
              <w:right w:val="single" w:sz="4" w:space="0" w:color="auto"/>
            </w:tcBorders>
            <w:shd w:val="clear" w:color="auto" w:fill="auto"/>
            <w:noWrap/>
            <w:vAlign w:val="center"/>
            <w:hideMark/>
          </w:tcPr>
          <w:p w14:paraId="0948E64F" w14:textId="77777777" w:rsidR="00CC2B1F" w:rsidRPr="00123761" w:rsidRDefault="00CC2B1F" w:rsidP="00CC2B1F">
            <w:pPr>
              <w:suppressAutoHyphens w:val="0"/>
              <w:jc w:val="center"/>
              <w:rPr>
                <w:color w:val="000000"/>
              </w:rPr>
            </w:pPr>
            <w:r w:rsidRPr="00123761">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14:paraId="4CB82057" w14:textId="77777777" w:rsidR="00CC2B1F" w:rsidRPr="00123761" w:rsidRDefault="00CC2B1F" w:rsidP="00CC2B1F">
            <w:pPr>
              <w:suppressAutoHyphens w:val="0"/>
              <w:jc w:val="center"/>
              <w:rPr>
                <w:color w:val="000000"/>
              </w:rPr>
            </w:pPr>
            <w:r w:rsidRPr="00123761">
              <w:rPr>
                <w:color w:val="000000"/>
              </w:rPr>
              <w:t>0</w:t>
            </w:r>
          </w:p>
        </w:tc>
      </w:tr>
      <w:tr w:rsidR="00CC2B1F" w:rsidRPr="00123761" w14:paraId="44ABDF78"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5AC6D749" w14:textId="77777777" w:rsidR="00CC2B1F" w:rsidRPr="00123761" w:rsidRDefault="00CC2B1F" w:rsidP="00CC2B1F">
            <w:pPr>
              <w:suppressAutoHyphens w:val="0"/>
              <w:rPr>
                <w:color w:val="000000"/>
              </w:rPr>
            </w:pPr>
            <w:r w:rsidRPr="00123761">
              <w:rPr>
                <w:color w:val="000000"/>
              </w:rPr>
              <w:t>Brazilian Business Review (BBR)</w:t>
            </w:r>
          </w:p>
        </w:tc>
        <w:tc>
          <w:tcPr>
            <w:tcW w:w="1500" w:type="dxa"/>
            <w:tcBorders>
              <w:top w:val="nil"/>
              <w:left w:val="nil"/>
              <w:bottom w:val="single" w:sz="4" w:space="0" w:color="auto"/>
              <w:right w:val="single" w:sz="4" w:space="0" w:color="auto"/>
            </w:tcBorders>
            <w:shd w:val="clear" w:color="auto" w:fill="auto"/>
            <w:noWrap/>
            <w:vAlign w:val="center"/>
            <w:hideMark/>
          </w:tcPr>
          <w:p w14:paraId="193E0295" w14:textId="77777777" w:rsidR="00CC2B1F" w:rsidRPr="00123761" w:rsidRDefault="00CC2B1F" w:rsidP="00CC2B1F">
            <w:pPr>
              <w:suppressAutoHyphens w:val="0"/>
              <w:jc w:val="center"/>
              <w:rPr>
                <w:color w:val="000000"/>
              </w:rPr>
            </w:pPr>
            <w:r w:rsidRPr="00123761">
              <w:rPr>
                <w:color w:val="000000"/>
              </w:rPr>
              <w:t>29</w:t>
            </w:r>
          </w:p>
        </w:tc>
        <w:tc>
          <w:tcPr>
            <w:tcW w:w="980" w:type="dxa"/>
            <w:tcBorders>
              <w:top w:val="nil"/>
              <w:left w:val="nil"/>
              <w:bottom w:val="single" w:sz="4" w:space="0" w:color="auto"/>
              <w:right w:val="single" w:sz="4" w:space="0" w:color="auto"/>
            </w:tcBorders>
            <w:shd w:val="clear" w:color="auto" w:fill="auto"/>
            <w:noWrap/>
            <w:vAlign w:val="center"/>
            <w:hideMark/>
          </w:tcPr>
          <w:p w14:paraId="7AF5D9A7" w14:textId="77777777" w:rsidR="00CC2B1F" w:rsidRPr="00123761" w:rsidRDefault="00CC2B1F" w:rsidP="00CC2B1F">
            <w:pPr>
              <w:suppressAutoHyphens w:val="0"/>
              <w:jc w:val="center"/>
              <w:rPr>
                <w:color w:val="000000"/>
              </w:rPr>
            </w:pPr>
            <w:r w:rsidRPr="00123761">
              <w:rPr>
                <w:color w:val="000000"/>
              </w:rPr>
              <w:t>6</w:t>
            </w:r>
          </w:p>
        </w:tc>
      </w:tr>
      <w:tr w:rsidR="00CC2B1F" w:rsidRPr="00123761" w14:paraId="6AEE3AAB"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10A8C58E" w14:textId="77777777" w:rsidR="00CC2B1F" w:rsidRPr="00123761" w:rsidRDefault="00CC2B1F" w:rsidP="00CC2B1F">
            <w:pPr>
              <w:suppressAutoHyphens w:val="0"/>
              <w:rPr>
                <w:color w:val="000000"/>
              </w:rPr>
            </w:pPr>
            <w:r w:rsidRPr="00123761">
              <w:rPr>
                <w:color w:val="000000"/>
              </w:rPr>
              <w:t>Cadernos EBAPE.BR</w:t>
            </w:r>
          </w:p>
        </w:tc>
        <w:tc>
          <w:tcPr>
            <w:tcW w:w="1500" w:type="dxa"/>
            <w:tcBorders>
              <w:top w:val="nil"/>
              <w:left w:val="nil"/>
              <w:bottom w:val="single" w:sz="4" w:space="0" w:color="auto"/>
              <w:right w:val="single" w:sz="4" w:space="0" w:color="auto"/>
            </w:tcBorders>
            <w:shd w:val="clear" w:color="auto" w:fill="auto"/>
            <w:noWrap/>
            <w:vAlign w:val="center"/>
            <w:hideMark/>
          </w:tcPr>
          <w:p w14:paraId="35AF8C96" w14:textId="77777777" w:rsidR="00CC2B1F" w:rsidRPr="00123761" w:rsidRDefault="00CC2B1F" w:rsidP="00CC2B1F">
            <w:pPr>
              <w:suppressAutoHyphens w:val="0"/>
              <w:jc w:val="center"/>
              <w:rPr>
                <w:color w:val="000000"/>
              </w:rPr>
            </w:pPr>
            <w:r w:rsidRPr="00123761">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14:paraId="2AB13295" w14:textId="77777777" w:rsidR="00CC2B1F" w:rsidRPr="00123761" w:rsidRDefault="00CC2B1F" w:rsidP="00CC2B1F">
            <w:pPr>
              <w:suppressAutoHyphens w:val="0"/>
              <w:jc w:val="center"/>
              <w:rPr>
                <w:color w:val="000000"/>
              </w:rPr>
            </w:pPr>
            <w:r w:rsidRPr="00123761">
              <w:rPr>
                <w:color w:val="000000"/>
              </w:rPr>
              <w:t>0</w:t>
            </w:r>
          </w:p>
        </w:tc>
      </w:tr>
      <w:tr w:rsidR="00CC2B1F" w:rsidRPr="00123761" w14:paraId="5BEC60C7"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504DA955" w14:textId="77777777" w:rsidR="00CC2B1F" w:rsidRPr="00123761" w:rsidRDefault="00CC2B1F" w:rsidP="00CC2B1F">
            <w:pPr>
              <w:suppressAutoHyphens w:val="0"/>
              <w:rPr>
                <w:color w:val="000000"/>
              </w:rPr>
            </w:pPr>
            <w:r w:rsidRPr="00123761">
              <w:rPr>
                <w:color w:val="000000"/>
              </w:rPr>
              <w:t>Contabilidade Vista &amp; Revista</w:t>
            </w:r>
          </w:p>
        </w:tc>
        <w:tc>
          <w:tcPr>
            <w:tcW w:w="1500" w:type="dxa"/>
            <w:tcBorders>
              <w:top w:val="nil"/>
              <w:left w:val="nil"/>
              <w:bottom w:val="single" w:sz="4" w:space="0" w:color="auto"/>
              <w:right w:val="single" w:sz="4" w:space="0" w:color="auto"/>
            </w:tcBorders>
            <w:shd w:val="clear" w:color="auto" w:fill="auto"/>
            <w:noWrap/>
            <w:vAlign w:val="center"/>
            <w:hideMark/>
          </w:tcPr>
          <w:p w14:paraId="4E65FB6B" w14:textId="77777777" w:rsidR="00CC2B1F" w:rsidRPr="00123761" w:rsidRDefault="00CC2B1F" w:rsidP="00CC2B1F">
            <w:pPr>
              <w:suppressAutoHyphens w:val="0"/>
              <w:jc w:val="center"/>
              <w:rPr>
                <w:color w:val="000000"/>
              </w:rPr>
            </w:pPr>
            <w:r w:rsidRPr="00123761">
              <w:rPr>
                <w:color w:val="000000"/>
              </w:rPr>
              <w:t>10</w:t>
            </w:r>
          </w:p>
        </w:tc>
        <w:tc>
          <w:tcPr>
            <w:tcW w:w="980" w:type="dxa"/>
            <w:tcBorders>
              <w:top w:val="nil"/>
              <w:left w:val="nil"/>
              <w:bottom w:val="single" w:sz="4" w:space="0" w:color="auto"/>
              <w:right w:val="single" w:sz="4" w:space="0" w:color="auto"/>
            </w:tcBorders>
            <w:shd w:val="clear" w:color="auto" w:fill="auto"/>
            <w:noWrap/>
            <w:vAlign w:val="center"/>
            <w:hideMark/>
          </w:tcPr>
          <w:p w14:paraId="396B1409" w14:textId="77777777" w:rsidR="00CC2B1F" w:rsidRPr="00123761" w:rsidRDefault="00CC2B1F" w:rsidP="00CC2B1F">
            <w:pPr>
              <w:suppressAutoHyphens w:val="0"/>
              <w:jc w:val="center"/>
              <w:rPr>
                <w:color w:val="000000"/>
              </w:rPr>
            </w:pPr>
            <w:r w:rsidRPr="00123761">
              <w:rPr>
                <w:color w:val="000000"/>
              </w:rPr>
              <w:t>3</w:t>
            </w:r>
          </w:p>
        </w:tc>
      </w:tr>
      <w:tr w:rsidR="00CC2B1F" w:rsidRPr="00123761" w14:paraId="2A931C99"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1649A563" w14:textId="77777777" w:rsidR="00CC2B1F" w:rsidRPr="00123761" w:rsidRDefault="00CC2B1F" w:rsidP="00CC2B1F">
            <w:pPr>
              <w:suppressAutoHyphens w:val="0"/>
              <w:rPr>
                <w:color w:val="000000"/>
              </w:rPr>
            </w:pPr>
            <w:r w:rsidRPr="00123761">
              <w:rPr>
                <w:color w:val="000000"/>
              </w:rPr>
              <w:t>Organizações &amp; Sociedade</w:t>
            </w:r>
          </w:p>
        </w:tc>
        <w:tc>
          <w:tcPr>
            <w:tcW w:w="1500" w:type="dxa"/>
            <w:tcBorders>
              <w:top w:val="nil"/>
              <w:left w:val="nil"/>
              <w:bottom w:val="single" w:sz="4" w:space="0" w:color="auto"/>
              <w:right w:val="single" w:sz="4" w:space="0" w:color="auto"/>
            </w:tcBorders>
            <w:shd w:val="clear" w:color="auto" w:fill="auto"/>
            <w:noWrap/>
            <w:vAlign w:val="center"/>
            <w:hideMark/>
          </w:tcPr>
          <w:p w14:paraId="225A7A71" w14:textId="77777777" w:rsidR="00CC2B1F" w:rsidRPr="00123761" w:rsidRDefault="00CC2B1F" w:rsidP="00CC2B1F">
            <w:pPr>
              <w:suppressAutoHyphens w:val="0"/>
              <w:jc w:val="center"/>
              <w:rPr>
                <w:color w:val="000000"/>
              </w:rPr>
            </w:pPr>
            <w:r w:rsidRPr="00123761">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14:paraId="041812BA" w14:textId="77777777" w:rsidR="00CC2B1F" w:rsidRPr="00123761" w:rsidRDefault="00CC2B1F" w:rsidP="00CC2B1F">
            <w:pPr>
              <w:suppressAutoHyphens w:val="0"/>
              <w:jc w:val="center"/>
              <w:rPr>
                <w:color w:val="000000"/>
              </w:rPr>
            </w:pPr>
            <w:r w:rsidRPr="00123761">
              <w:rPr>
                <w:color w:val="000000"/>
              </w:rPr>
              <w:t>0</w:t>
            </w:r>
          </w:p>
        </w:tc>
      </w:tr>
      <w:tr w:rsidR="00CC2B1F" w:rsidRPr="00123761" w14:paraId="32D9CD48"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68BCE7CE" w14:textId="77777777" w:rsidR="00CC2B1F" w:rsidRPr="00123761" w:rsidRDefault="00CC2B1F" w:rsidP="00CC2B1F">
            <w:pPr>
              <w:suppressAutoHyphens w:val="0"/>
              <w:rPr>
                <w:color w:val="000000"/>
              </w:rPr>
            </w:pPr>
            <w:r w:rsidRPr="00123761">
              <w:rPr>
                <w:color w:val="000000"/>
              </w:rPr>
              <w:t>RAC Eletrônica</w:t>
            </w:r>
          </w:p>
        </w:tc>
        <w:tc>
          <w:tcPr>
            <w:tcW w:w="1500" w:type="dxa"/>
            <w:tcBorders>
              <w:top w:val="nil"/>
              <w:left w:val="nil"/>
              <w:bottom w:val="single" w:sz="4" w:space="0" w:color="auto"/>
              <w:right w:val="single" w:sz="4" w:space="0" w:color="auto"/>
            </w:tcBorders>
            <w:shd w:val="clear" w:color="auto" w:fill="auto"/>
            <w:noWrap/>
            <w:vAlign w:val="center"/>
            <w:hideMark/>
          </w:tcPr>
          <w:p w14:paraId="3215BBF4" w14:textId="77777777" w:rsidR="00CC2B1F" w:rsidRPr="00123761" w:rsidRDefault="00CC2B1F" w:rsidP="00CC2B1F">
            <w:pPr>
              <w:suppressAutoHyphens w:val="0"/>
              <w:jc w:val="center"/>
              <w:rPr>
                <w:color w:val="000000"/>
              </w:rPr>
            </w:pPr>
            <w:r w:rsidRPr="00123761">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14:paraId="06D84B9F" w14:textId="77777777" w:rsidR="00CC2B1F" w:rsidRPr="00123761" w:rsidRDefault="00CC2B1F" w:rsidP="00CC2B1F">
            <w:pPr>
              <w:suppressAutoHyphens w:val="0"/>
              <w:jc w:val="center"/>
              <w:rPr>
                <w:color w:val="000000"/>
              </w:rPr>
            </w:pPr>
            <w:r w:rsidRPr="00123761">
              <w:rPr>
                <w:color w:val="000000"/>
              </w:rPr>
              <w:t>0</w:t>
            </w:r>
          </w:p>
        </w:tc>
      </w:tr>
      <w:tr w:rsidR="00CC2B1F" w:rsidRPr="00123761" w14:paraId="5010C62F"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68A517AC" w14:textId="77777777" w:rsidR="00CC2B1F" w:rsidRPr="00123761" w:rsidRDefault="00CC2B1F" w:rsidP="00CC2B1F">
            <w:pPr>
              <w:suppressAutoHyphens w:val="0"/>
              <w:rPr>
                <w:color w:val="000000"/>
              </w:rPr>
            </w:pPr>
            <w:r w:rsidRPr="00123761">
              <w:rPr>
                <w:color w:val="000000"/>
              </w:rPr>
              <w:t>RAE Eletrônica</w:t>
            </w:r>
          </w:p>
        </w:tc>
        <w:tc>
          <w:tcPr>
            <w:tcW w:w="1500" w:type="dxa"/>
            <w:tcBorders>
              <w:top w:val="nil"/>
              <w:left w:val="nil"/>
              <w:bottom w:val="single" w:sz="4" w:space="0" w:color="auto"/>
              <w:right w:val="single" w:sz="4" w:space="0" w:color="auto"/>
            </w:tcBorders>
            <w:shd w:val="clear" w:color="auto" w:fill="auto"/>
            <w:noWrap/>
            <w:vAlign w:val="center"/>
            <w:hideMark/>
          </w:tcPr>
          <w:p w14:paraId="208A1D7E" w14:textId="77777777" w:rsidR="00CC2B1F" w:rsidRPr="00123761" w:rsidRDefault="00CC2B1F" w:rsidP="00CC2B1F">
            <w:pPr>
              <w:suppressAutoHyphens w:val="0"/>
              <w:jc w:val="center"/>
              <w:rPr>
                <w:color w:val="000000"/>
              </w:rPr>
            </w:pPr>
            <w:r w:rsidRPr="00123761">
              <w:rPr>
                <w:color w:val="000000"/>
              </w:rPr>
              <w:t>1</w:t>
            </w:r>
          </w:p>
        </w:tc>
        <w:tc>
          <w:tcPr>
            <w:tcW w:w="980" w:type="dxa"/>
            <w:tcBorders>
              <w:top w:val="nil"/>
              <w:left w:val="nil"/>
              <w:bottom w:val="single" w:sz="4" w:space="0" w:color="auto"/>
              <w:right w:val="single" w:sz="4" w:space="0" w:color="auto"/>
            </w:tcBorders>
            <w:shd w:val="clear" w:color="auto" w:fill="auto"/>
            <w:noWrap/>
            <w:vAlign w:val="center"/>
            <w:hideMark/>
          </w:tcPr>
          <w:p w14:paraId="6D9A35D9" w14:textId="77777777" w:rsidR="00CC2B1F" w:rsidRPr="00123761" w:rsidRDefault="00CC2B1F" w:rsidP="00CC2B1F">
            <w:pPr>
              <w:suppressAutoHyphens w:val="0"/>
              <w:jc w:val="center"/>
              <w:rPr>
                <w:color w:val="000000"/>
              </w:rPr>
            </w:pPr>
            <w:r w:rsidRPr="00123761">
              <w:rPr>
                <w:color w:val="000000"/>
              </w:rPr>
              <w:t>0</w:t>
            </w:r>
          </w:p>
        </w:tc>
      </w:tr>
      <w:tr w:rsidR="00CC2B1F" w:rsidRPr="00123761" w14:paraId="6BE199FC"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2E8FD8C2" w14:textId="77777777" w:rsidR="00CC2B1F" w:rsidRPr="00123761" w:rsidRDefault="00CC2B1F" w:rsidP="00CC2B1F">
            <w:pPr>
              <w:suppressAutoHyphens w:val="0"/>
              <w:rPr>
                <w:color w:val="000000"/>
              </w:rPr>
            </w:pPr>
            <w:r w:rsidRPr="00123761">
              <w:rPr>
                <w:color w:val="000000"/>
              </w:rPr>
              <w:t>Revista Brasileira de Administração Pública (RAP)</w:t>
            </w:r>
          </w:p>
        </w:tc>
        <w:tc>
          <w:tcPr>
            <w:tcW w:w="1500" w:type="dxa"/>
            <w:tcBorders>
              <w:top w:val="nil"/>
              <w:left w:val="nil"/>
              <w:bottom w:val="single" w:sz="4" w:space="0" w:color="auto"/>
              <w:right w:val="single" w:sz="4" w:space="0" w:color="auto"/>
            </w:tcBorders>
            <w:shd w:val="clear" w:color="auto" w:fill="auto"/>
            <w:noWrap/>
            <w:vAlign w:val="center"/>
            <w:hideMark/>
          </w:tcPr>
          <w:p w14:paraId="5F7B6297" w14:textId="77777777" w:rsidR="00CC2B1F" w:rsidRPr="00123761" w:rsidRDefault="00CC2B1F" w:rsidP="00CC2B1F">
            <w:pPr>
              <w:suppressAutoHyphens w:val="0"/>
              <w:jc w:val="center"/>
              <w:rPr>
                <w:color w:val="000000"/>
              </w:rPr>
            </w:pPr>
            <w:r w:rsidRPr="00123761">
              <w:rPr>
                <w:color w:val="000000"/>
              </w:rPr>
              <w:t>0</w:t>
            </w:r>
          </w:p>
        </w:tc>
        <w:tc>
          <w:tcPr>
            <w:tcW w:w="980" w:type="dxa"/>
            <w:tcBorders>
              <w:top w:val="nil"/>
              <w:left w:val="nil"/>
              <w:bottom w:val="single" w:sz="4" w:space="0" w:color="auto"/>
              <w:right w:val="single" w:sz="4" w:space="0" w:color="auto"/>
            </w:tcBorders>
            <w:shd w:val="clear" w:color="auto" w:fill="auto"/>
            <w:noWrap/>
            <w:vAlign w:val="center"/>
            <w:hideMark/>
          </w:tcPr>
          <w:p w14:paraId="1B822C13" w14:textId="77777777" w:rsidR="00CC2B1F" w:rsidRPr="00123761" w:rsidRDefault="00CC2B1F" w:rsidP="00CC2B1F">
            <w:pPr>
              <w:suppressAutoHyphens w:val="0"/>
              <w:jc w:val="center"/>
              <w:rPr>
                <w:color w:val="000000"/>
              </w:rPr>
            </w:pPr>
            <w:r w:rsidRPr="00123761">
              <w:rPr>
                <w:color w:val="000000"/>
              </w:rPr>
              <w:t>0</w:t>
            </w:r>
          </w:p>
        </w:tc>
      </w:tr>
      <w:tr w:rsidR="00CC2B1F" w:rsidRPr="00123761" w14:paraId="49DFCA7E"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48DD4485" w14:textId="77777777" w:rsidR="00CC2B1F" w:rsidRPr="00123761" w:rsidRDefault="00CC2B1F" w:rsidP="00CC2B1F">
            <w:pPr>
              <w:suppressAutoHyphens w:val="0"/>
              <w:rPr>
                <w:color w:val="000000"/>
              </w:rPr>
            </w:pPr>
            <w:r w:rsidRPr="00123761">
              <w:rPr>
                <w:color w:val="000000"/>
              </w:rPr>
              <w:t>Revista Brasileira de Gestão de Negócios (RBGN)</w:t>
            </w:r>
          </w:p>
        </w:tc>
        <w:tc>
          <w:tcPr>
            <w:tcW w:w="1500" w:type="dxa"/>
            <w:tcBorders>
              <w:top w:val="nil"/>
              <w:left w:val="nil"/>
              <w:bottom w:val="single" w:sz="4" w:space="0" w:color="auto"/>
              <w:right w:val="single" w:sz="4" w:space="0" w:color="auto"/>
            </w:tcBorders>
            <w:shd w:val="clear" w:color="auto" w:fill="auto"/>
            <w:noWrap/>
            <w:vAlign w:val="center"/>
            <w:hideMark/>
          </w:tcPr>
          <w:p w14:paraId="6B9A726A" w14:textId="77777777" w:rsidR="00CC2B1F" w:rsidRPr="00123761" w:rsidRDefault="00CC2B1F" w:rsidP="00CC2B1F">
            <w:pPr>
              <w:suppressAutoHyphens w:val="0"/>
              <w:jc w:val="center"/>
              <w:rPr>
                <w:color w:val="000000"/>
              </w:rPr>
            </w:pPr>
            <w:r w:rsidRPr="00123761">
              <w:rPr>
                <w:color w:val="000000"/>
              </w:rPr>
              <w:t>5</w:t>
            </w:r>
          </w:p>
        </w:tc>
        <w:tc>
          <w:tcPr>
            <w:tcW w:w="980" w:type="dxa"/>
            <w:tcBorders>
              <w:top w:val="nil"/>
              <w:left w:val="nil"/>
              <w:bottom w:val="single" w:sz="4" w:space="0" w:color="auto"/>
              <w:right w:val="single" w:sz="4" w:space="0" w:color="auto"/>
            </w:tcBorders>
            <w:shd w:val="clear" w:color="auto" w:fill="auto"/>
            <w:noWrap/>
            <w:vAlign w:val="center"/>
            <w:hideMark/>
          </w:tcPr>
          <w:p w14:paraId="1F242D05" w14:textId="77777777" w:rsidR="00CC2B1F" w:rsidRPr="00123761" w:rsidRDefault="00CC2B1F" w:rsidP="00CC2B1F">
            <w:pPr>
              <w:suppressAutoHyphens w:val="0"/>
              <w:jc w:val="center"/>
              <w:rPr>
                <w:color w:val="000000"/>
              </w:rPr>
            </w:pPr>
            <w:r w:rsidRPr="00123761">
              <w:rPr>
                <w:color w:val="000000"/>
              </w:rPr>
              <w:t>0</w:t>
            </w:r>
          </w:p>
        </w:tc>
      </w:tr>
      <w:tr w:rsidR="00CC2B1F" w:rsidRPr="00123761" w14:paraId="13081413"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29682E06" w14:textId="77777777" w:rsidR="00CC2B1F" w:rsidRPr="00123761" w:rsidRDefault="00CC2B1F" w:rsidP="00CC2B1F">
            <w:pPr>
              <w:suppressAutoHyphens w:val="0"/>
              <w:rPr>
                <w:color w:val="000000"/>
              </w:rPr>
            </w:pPr>
            <w:r w:rsidRPr="00123761">
              <w:rPr>
                <w:color w:val="000000"/>
              </w:rPr>
              <w:t>Revista Contabilidade &amp; Finanças</w:t>
            </w:r>
          </w:p>
        </w:tc>
        <w:tc>
          <w:tcPr>
            <w:tcW w:w="1500" w:type="dxa"/>
            <w:tcBorders>
              <w:top w:val="nil"/>
              <w:left w:val="nil"/>
              <w:bottom w:val="single" w:sz="4" w:space="0" w:color="auto"/>
              <w:right w:val="single" w:sz="4" w:space="0" w:color="auto"/>
            </w:tcBorders>
            <w:shd w:val="clear" w:color="auto" w:fill="auto"/>
            <w:noWrap/>
            <w:vAlign w:val="center"/>
            <w:hideMark/>
          </w:tcPr>
          <w:p w14:paraId="1CBA6563" w14:textId="77777777" w:rsidR="00CC2B1F" w:rsidRPr="00123761" w:rsidRDefault="00CC2B1F" w:rsidP="00CC2B1F">
            <w:pPr>
              <w:suppressAutoHyphens w:val="0"/>
              <w:jc w:val="center"/>
              <w:rPr>
                <w:color w:val="000000"/>
              </w:rPr>
            </w:pPr>
            <w:r w:rsidRPr="00123761">
              <w:rPr>
                <w:color w:val="000000"/>
              </w:rPr>
              <w:t>49</w:t>
            </w:r>
          </w:p>
        </w:tc>
        <w:tc>
          <w:tcPr>
            <w:tcW w:w="980" w:type="dxa"/>
            <w:tcBorders>
              <w:top w:val="nil"/>
              <w:left w:val="nil"/>
              <w:bottom w:val="single" w:sz="4" w:space="0" w:color="auto"/>
              <w:right w:val="single" w:sz="4" w:space="0" w:color="auto"/>
            </w:tcBorders>
            <w:shd w:val="clear" w:color="auto" w:fill="auto"/>
            <w:noWrap/>
            <w:vAlign w:val="center"/>
            <w:hideMark/>
          </w:tcPr>
          <w:p w14:paraId="35D04C33" w14:textId="77777777" w:rsidR="00CC2B1F" w:rsidRPr="00123761" w:rsidRDefault="00CC2B1F" w:rsidP="00CC2B1F">
            <w:pPr>
              <w:suppressAutoHyphens w:val="0"/>
              <w:jc w:val="center"/>
              <w:rPr>
                <w:color w:val="000000"/>
              </w:rPr>
            </w:pPr>
            <w:r w:rsidRPr="00123761">
              <w:rPr>
                <w:color w:val="000000"/>
              </w:rPr>
              <w:t>9</w:t>
            </w:r>
          </w:p>
        </w:tc>
      </w:tr>
      <w:tr w:rsidR="00CC2B1F" w:rsidRPr="00123761" w14:paraId="0A86FC73"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37F6E4AF" w14:textId="77777777" w:rsidR="00CC2B1F" w:rsidRPr="00123761" w:rsidRDefault="00CC2B1F" w:rsidP="00CC2B1F">
            <w:pPr>
              <w:suppressAutoHyphens w:val="0"/>
              <w:rPr>
                <w:color w:val="000000"/>
              </w:rPr>
            </w:pPr>
            <w:r w:rsidRPr="00123761">
              <w:rPr>
                <w:color w:val="000000"/>
              </w:rPr>
              <w:t>Revista de Administração Contemporânea (RAC)</w:t>
            </w:r>
          </w:p>
        </w:tc>
        <w:tc>
          <w:tcPr>
            <w:tcW w:w="1500" w:type="dxa"/>
            <w:tcBorders>
              <w:top w:val="nil"/>
              <w:left w:val="nil"/>
              <w:bottom w:val="single" w:sz="4" w:space="0" w:color="auto"/>
              <w:right w:val="single" w:sz="4" w:space="0" w:color="auto"/>
            </w:tcBorders>
            <w:shd w:val="clear" w:color="auto" w:fill="auto"/>
            <w:noWrap/>
            <w:vAlign w:val="center"/>
            <w:hideMark/>
          </w:tcPr>
          <w:p w14:paraId="15AFE7DE" w14:textId="77777777" w:rsidR="00CC2B1F" w:rsidRPr="00123761" w:rsidRDefault="00CC2B1F" w:rsidP="00CC2B1F">
            <w:pPr>
              <w:suppressAutoHyphens w:val="0"/>
              <w:jc w:val="center"/>
              <w:rPr>
                <w:color w:val="000000"/>
              </w:rPr>
            </w:pPr>
            <w:r w:rsidRPr="00123761">
              <w:rPr>
                <w:color w:val="000000"/>
              </w:rPr>
              <w:t>24</w:t>
            </w:r>
          </w:p>
        </w:tc>
        <w:tc>
          <w:tcPr>
            <w:tcW w:w="980" w:type="dxa"/>
            <w:tcBorders>
              <w:top w:val="nil"/>
              <w:left w:val="nil"/>
              <w:bottom w:val="single" w:sz="4" w:space="0" w:color="auto"/>
              <w:right w:val="single" w:sz="4" w:space="0" w:color="auto"/>
            </w:tcBorders>
            <w:shd w:val="clear" w:color="auto" w:fill="auto"/>
            <w:noWrap/>
            <w:vAlign w:val="center"/>
            <w:hideMark/>
          </w:tcPr>
          <w:p w14:paraId="185EDE68" w14:textId="77777777" w:rsidR="00CC2B1F" w:rsidRPr="00123761" w:rsidRDefault="00CC2B1F" w:rsidP="00CC2B1F">
            <w:pPr>
              <w:suppressAutoHyphens w:val="0"/>
              <w:jc w:val="center"/>
              <w:rPr>
                <w:color w:val="000000"/>
              </w:rPr>
            </w:pPr>
            <w:r w:rsidRPr="00123761">
              <w:rPr>
                <w:color w:val="000000"/>
              </w:rPr>
              <w:t>2</w:t>
            </w:r>
          </w:p>
        </w:tc>
      </w:tr>
      <w:tr w:rsidR="00CC2B1F" w:rsidRPr="00123761" w14:paraId="4A982265"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778F71E2" w14:textId="77777777" w:rsidR="00CC2B1F" w:rsidRPr="00123761" w:rsidRDefault="00CC2B1F" w:rsidP="00CC2B1F">
            <w:pPr>
              <w:suppressAutoHyphens w:val="0"/>
              <w:rPr>
                <w:color w:val="000000"/>
              </w:rPr>
            </w:pPr>
            <w:r w:rsidRPr="00123761">
              <w:rPr>
                <w:color w:val="000000"/>
              </w:rPr>
              <w:t>Revista de Administração da Universidade de São Paulo (RAUSP)</w:t>
            </w:r>
          </w:p>
        </w:tc>
        <w:tc>
          <w:tcPr>
            <w:tcW w:w="1500" w:type="dxa"/>
            <w:tcBorders>
              <w:top w:val="nil"/>
              <w:left w:val="nil"/>
              <w:bottom w:val="single" w:sz="4" w:space="0" w:color="auto"/>
              <w:right w:val="single" w:sz="4" w:space="0" w:color="auto"/>
            </w:tcBorders>
            <w:shd w:val="clear" w:color="auto" w:fill="auto"/>
            <w:noWrap/>
            <w:vAlign w:val="center"/>
            <w:hideMark/>
          </w:tcPr>
          <w:p w14:paraId="5510EE73" w14:textId="77777777" w:rsidR="00CC2B1F" w:rsidRPr="00123761" w:rsidRDefault="00CC2B1F" w:rsidP="00CC2B1F">
            <w:pPr>
              <w:suppressAutoHyphens w:val="0"/>
              <w:jc w:val="center"/>
              <w:rPr>
                <w:color w:val="000000"/>
              </w:rPr>
            </w:pPr>
            <w:r w:rsidRPr="00123761">
              <w:rPr>
                <w:color w:val="000000"/>
              </w:rPr>
              <w:t>12</w:t>
            </w:r>
          </w:p>
        </w:tc>
        <w:tc>
          <w:tcPr>
            <w:tcW w:w="980" w:type="dxa"/>
            <w:tcBorders>
              <w:top w:val="nil"/>
              <w:left w:val="nil"/>
              <w:bottom w:val="single" w:sz="4" w:space="0" w:color="auto"/>
              <w:right w:val="single" w:sz="4" w:space="0" w:color="auto"/>
            </w:tcBorders>
            <w:shd w:val="clear" w:color="auto" w:fill="auto"/>
            <w:noWrap/>
            <w:vAlign w:val="center"/>
            <w:hideMark/>
          </w:tcPr>
          <w:p w14:paraId="05989BA8" w14:textId="77777777" w:rsidR="00CC2B1F" w:rsidRPr="00123761" w:rsidRDefault="00CC2B1F" w:rsidP="00CC2B1F">
            <w:pPr>
              <w:suppressAutoHyphens w:val="0"/>
              <w:jc w:val="center"/>
              <w:rPr>
                <w:color w:val="000000"/>
              </w:rPr>
            </w:pPr>
            <w:r w:rsidRPr="00123761">
              <w:rPr>
                <w:color w:val="000000"/>
              </w:rPr>
              <w:t>4</w:t>
            </w:r>
          </w:p>
        </w:tc>
      </w:tr>
      <w:tr w:rsidR="00CC2B1F" w:rsidRPr="00123761" w14:paraId="1AFD2C42"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496C5688" w14:textId="77777777" w:rsidR="00CC2B1F" w:rsidRPr="00123761" w:rsidRDefault="00CC2B1F" w:rsidP="00CC2B1F">
            <w:pPr>
              <w:suppressAutoHyphens w:val="0"/>
              <w:rPr>
                <w:color w:val="000000"/>
              </w:rPr>
            </w:pPr>
            <w:r w:rsidRPr="00123761">
              <w:rPr>
                <w:color w:val="000000"/>
              </w:rPr>
              <w:t>Revista de Administração de Empresas (RAE)</w:t>
            </w:r>
          </w:p>
        </w:tc>
        <w:tc>
          <w:tcPr>
            <w:tcW w:w="1500" w:type="dxa"/>
            <w:tcBorders>
              <w:top w:val="nil"/>
              <w:left w:val="nil"/>
              <w:bottom w:val="single" w:sz="4" w:space="0" w:color="auto"/>
              <w:right w:val="single" w:sz="4" w:space="0" w:color="auto"/>
            </w:tcBorders>
            <w:shd w:val="clear" w:color="auto" w:fill="auto"/>
            <w:noWrap/>
            <w:vAlign w:val="center"/>
            <w:hideMark/>
          </w:tcPr>
          <w:p w14:paraId="5C407114" w14:textId="77777777" w:rsidR="00CC2B1F" w:rsidRPr="00123761" w:rsidRDefault="00CC2B1F" w:rsidP="00CC2B1F">
            <w:pPr>
              <w:suppressAutoHyphens w:val="0"/>
              <w:jc w:val="center"/>
              <w:rPr>
                <w:color w:val="000000"/>
              </w:rPr>
            </w:pPr>
            <w:r w:rsidRPr="00123761">
              <w:rPr>
                <w:color w:val="000000"/>
              </w:rPr>
              <w:t>12</w:t>
            </w:r>
          </w:p>
        </w:tc>
        <w:tc>
          <w:tcPr>
            <w:tcW w:w="980" w:type="dxa"/>
            <w:tcBorders>
              <w:top w:val="nil"/>
              <w:left w:val="nil"/>
              <w:bottom w:val="single" w:sz="4" w:space="0" w:color="auto"/>
              <w:right w:val="single" w:sz="4" w:space="0" w:color="auto"/>
            </w:tcBorders>
            <w:shd w:val="clear" w:color="auto" w:fill="auto"/>
            <w:noWrap/>
            <w:vAlign w:val="center"/>
            <w:hideMark/>
          </w:tcPr>
          <w:p w14:paraId="2F3EE5A8" w14:textId="77777777" w:rsidR="00CC2B1F" w:rsidRPr="00123761" w:rsidRDefault="00CC2B1F" w:rsidP="00CC2B1F">
            <w:pPr>
              <w:suppressAutoHyphens w:val="0"/>
              <w:jc w:val="center"/>
              <w:rPr>
                <w:color w:val="000000"/>
              </w:rPr>
            </w:pPr>
            <w:r w:rsidRPr="00123761">
              <w:rPr>
                <w:color w:val="000000"/>
              </w:rPr>
              <w:t>0</w:t>
            </w:r>
          </w:p>
        </w:tc>
      </w:tr>
      <w:tr w:rsidR="00CC2B1F" w:rsidRPr="00123761" w14:paraId="5A8CFE4D"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7D97ABBA" w14:textId="77777777" w:rsidR="00CC2B1F" w:rsidRPr="00123761" w:rsidRDefault="00CC2B1F" w:rsidP="00CC2B1F">
            <w:pPr>
              <w:suppressAutoHyphens w:val="0"/>
              <w:rPr>
                <w:color w:val="000000"/>
              </w:rPr>
            </w:pPr>
            <w:r w:rsidRPr="00123761">
              <w:rPr>
                <w:color w:val="000000"/>
              </w:rPr>
              <w:t>Revista Contemporânea de Contabilidade</w:t>
            </w:r>
          </w:p>
        </w:tc>
        <w:tc>
          <w:tcPr>
            <w:tcW w:w="1500" w:type="dxa"/>
            <w:tcBorders>
              <w:top w:val="nil"/>
              <w:left w:val="nil"/>
              <w:bottom w:val="single" w:sz="4" w:space="0" w:color="auto"/>
              <w:right w:val="single" w:sz="4" w:space="0" w:color="auto"/>
            </w:tcBorders>
            <w:shd w:val="clear" w:color="auto" w:fill="auto"/>
            <w:noWrap/>
            <w:vAlign w:val="center"/>
            <w:hideMark/>
          </w:tcPr>
          <w:p w14:paraId="3EA3F0E9" w14:textId="77777777" w:rsidR="00CC2B1F" w:rsidRPr="00123761" w:rsidRDefault="00CC2B1F" w:rsidP="00CC2B1F">
            <w:pPr>
              <w:suppressAutoHyphens w:val="0"/>
              <w:jc w:val="center"/>
              <w:rPr>
                <w:color w:val="000000"/>
              </w:rPr>
            </w:pPr>
            <w:r w:rsidRPr="00123761">
              <w:rPr>
                <w:color w:val="000000"/>
              </w:rPr>
              <w:t>3</w:t>
            </w:r>
          </w:p>
        </w:tc>
        <w:tc>
          <w:tcPr>
            <w:tcW w:w="980" w:type="dxa"/>
            <w:tcBorders>
              <w:top w:val="nil"/>
              <w:left w:val="nil"/>
              <w:bottom w:val="single" w:sz="4" w:space="0" w:color="auto"/>
              <w:right w:val="single" w:sz="4" w:space="0" w:color="auto"/>
            </w:tcBorders>
            <w:shd w:val="clear" w:color="auto" w:fill="auto"/>
            <w:noWrap/>
            <w:vAlign w:val="center"/>
            <w:hideMark/>
          </w:tcPr>
          <w:p w14:paraId="325DFBAE" w14:textId="77777777" w:rsidR="00CC2B1F" w:rsidRPr="00123761" w:rsidRDefault="00CC2B1F" w:rsidP="00CC2B1F">
            <w:pPr>
              <w:suppressAutoHyphens w:val="0"/>
              <w:jc w:val="center"/>
              <w:rPr>
                <w:color w:val="000000"/>
              </w:rPr>
            </w:pPr>
            <w:r w:rsidRPr="00123761">
              <w:rPr>
                <w:color w:val="000000"/>
              </w:rPr>
              <w:t>0</w:t>
            </w:r>
          </w:p>
        </w:tc>
      </w:tr>
      <w:tr w:rsidR="00CC2B1F" w:rsidRPr="00123761" w14:paraId="4C8372D2"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6E04C3BC" w14:textId="77777777" w:rsidR="00CC2B1F" w:rsidRPr="00123761" w:rsidRDefault="00CC2B1F" w:rsidP="00CC2B1F">
            <w:pPr>
              <w:suppressAutoHyphens w:val="0"/>
              <w:rPr>
                <w:color w:val="000000"/>
              </w:rPr>
            </w:pPr>
            <w:r w:rsidRPr="00123761">
              <w:rPr>
                <w:color w:val="000000"/>
              </w:rPr>
              <w:t>Revista Contabilidade e Organizações</w:t>
            </w:r>
          </w:p>
        </w:tc>
        <w:tc>
          <w:tcPr>
            <w:tcW w:w="1500" w:type="dxa"/>
            <w:tcBorders>
              <w:top w:val="nil"/>
              <w:left w:val="nil"/>
              <w:bottom w:val="single" w:sz="4" w:space="0" w:color="auto"/>
              <w:right w:val="single" w:sz="4" w:space="0" w:color="auto"/>
            </w:tcBorders>
            <w:shd w:val="clear" w:color="auto" w:fill="auto"/>
            <w:noWrap/>
            <w:vAlign w:val="center"/>
            <w:hideMark/>
          </w:tcPr>
          <w:p w14:paraId="47D5F57D" w14:textId="77777777" w:rsidR="00CC2B1F" w:rsidRPr="00123761" w:rsidRDefault="00CC2B1F" w:rsidP="00CC2B1F">
            <w:pPr>
              <w:suppressAutoHyphens w:val="0"/>
              <w:jc w:val="center"/>
              <w:rPr>
                <w:color w:val="000000"/>
              </w:rPr>
            </w:pPr>
            <w:r w:rsidRPr="00123761">
              <w:rPr>
                <w:color w:val="000000"/>
              </w:rPr>
              <w:t>5</w:t>
            </w:r>
          </w:p>
        </w:tc>
        <w:tc>
          <w:tcPr>
            <w:tcW w:w="980" w:type="dxa"/>
            <w:tcBorders>
              <w:top w:val="nil"/>
              <w:left w:val="nil"/>
              <w:bottom w:val="single" w:sz="4" w:space="0" w:color="auto"/>
              <w:right w:val="single" w:sz="4" w:space="0" w:color="auto"/>
            </w:tcBorders>
            <w:shd w:val="clear" w:color="auto" w:fill="auto"/>
            <w:noWrap/>
            <w:vAlign w:val="center"/>
            <w:hideMark/>
          </w:tcPr>
          <w:p w14:paraId="76378F5A" w14:textId="77777777" w:rsidR="00CC2B1F" w:rsidRPr="00123761" w:rsidRDefault="00CC2B1F" w:rsidP="00CC2B1F">
            <w:pPr>
              <w:suppressAutoHyphens w:val="0"/>
              <w:jc w:val="center"/>
              <w:rPr>
                <w:color w:val="000000"/>
              </w:rPr>
            </w:pPr>
            <w:r w:rsidRPr="00123761">
              <w:rPr>
                <w:color w:val="000000"/>
              </w:rPr>
              <w:t>0</w:t>
            </w:r>
          </w:p>
        </w:tc>
      </w:tr>
      <w:tr w:rsidR="00CC2B1F" w:rsidRPr="00123761" w14:paraId="0281A346"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auto" w:fill="auto"/>
            <w:noWrap/>
            <w:vAlign w:val="bottom"/>
            <w:hideMark/>
          </w:tcPr>
          <w:p w14:paraId="69D8B755" w14:textId="77777777" w:rsidR="00CC2B1F" w:rsidRPr="00123761" w:rsidRDefault="00CC2B1F" w:rsidP="00CC2B1F">
            <w:pPr>
              <w:suppressAutoHyphens w:val="0"/>
              <w:rPr>
                <w:color w:val="000000"/>
              </w:rPr>
            </w:pPr>
            <w:r w:rsidRPr="00123761">
              <w:rPr>
                <w:color w:val="000000"/>
              </w:rPr>
              <w:t>Revista Universo Contábil</w:t>
            </w:r>
          </w:p>
        </w:tc>
        <w:tc>
          <w:tcPr>
            <w:tcW w:w="1500" w:type="dxa"/>
            <w:tcBorders>
              <w:top w:val="nil"/>
              <w:left w:val="nil"/>
              <w:bottom w:val="single" w:sz="4" w:space="0" w:color="auto"/>
              <w:right w:val="single" w:sz="4" w:space="0" w:color="auto"/>
            </w:tcBorders>
            <w:shd w:val="clear" w:color="auto" w:fill="auto"/>
            <w:noWrap/>
            <w:vAlign w:val="center"/>
            <w:hideMark/>
          </w:tcPr>
          <w:p w14:paraId="39FE17F0" w14:textId="77777777" w:rsidR="00CC2B1F" w:rsidRPr="00123761" w:rsidRDefault="00CC2B1F" w:rsidP="00CC2B1F">
            <w:pPr>
              <w:suppressAutoHyphens w:val="0"/>
              <w:jc w:val="center"/>
              <w:rPr>
                <w:color w:val="000000"/>
              </w:rPr>
            </w:pPr>
            <w:r w:rsidRPr="00123761">
              <w:rPr>
                <w:color w:val="000000"/>
              </w:rPr>
              <w:t>8</w:t>
            </w:r>
          </w:p>
        </w:tc>
        <w:tc>
          <w:tcPr>
            <w:tcW w:w="980" w:type="dxa"/>
            <w:tcBorders>
              <w:top w:val="nil"/>
              <w:left w:val="nil"/>
              <w:bottom w:val="single" w:sz="4" w:space="0" w:color="auto"/>
              <w:right w:val="single" w:sz="4" w:space="0" w:color="auto"/>
            </w:tcBorders>
            <w:shd w:val="clear" w:color="auto" w:fill="auto"/>
            <w:noWrap/>
            <w:vAlign w:val="center"/>
            <w:hideMark/>
          </w:tcPr>
          <w:p w14:paraId="63E926C8" w14:textId="77777777" w:rsidR="00CC2B1F" w:rsidRPr="00123761" w:rsidRDefault="00CC2B1F" w:rsidP="00CC2B1F">
            <w:pPr>
              <w:suppressAutoHyphens w:val="0"/>
              <w:jc w:val="center"/>
              <w:rPr>
                <w:color w:val="000000"/>
              </w:rPr>
            </w:pPr>
            <w:r w:rsidRPr="00123761">
              <w:rPr>
                <w:color w:val="000000"/>
              </w:rPr>
              <w:t>3</w:t>
            </w:r>
          </w:p>
        </w:tc>
      </w:tr>
      <w:tr w:rsidR="00CC2B1F" w:rsidRPr="00123761" w14:paraId="03CD0856" w14:textId="77777777" w:rsidTr="00CC2B1F">
        <w:trPr>
          <w:trHeight w:val="261"/>
          <w:jc w:val="center"/>
        </w:trPr>
        <w:tc>
          <w:tcPr>
            <w:tcW w:w="5580" w:type="dxa"/>
            <w:tcBorders>
              <w:top w:val="nil"/>
              <w:left w:val="single" w:sz="4" w:space="0" w:color="auto"/>
              <w:bottom w:val="single" w:sz="4" w:space="0" w:color="auto"/>
              <w:right w:val="single" w:sz="4" w:space="0" w:color="auto"/>
            </w:tcBorders>
            <w:shd w:val="clear" w:color="000000" w:fill="D0CECE"/>
            <w:noWrap/>
            <w:vAlign w:val="bottom"/>
            <w:hideMark/>
          </w:tcPr>
          <w:p w14:paraId="42615506" w14:textId="77777777" w:rsidR="00CC2B1F" w:rsidRPr="00123761" w:rsidRDefault="00CC2B1F" w:rsidP="00CC2B1F">
            <w:pPr>
              <w:suppressAutoHyphens w:val="0"/>
              <w:jc w:val="center"/>
              <w:rPr>
                <w:b/>
                <w:bCs/>
                <w:color w:val="000000"/>
              </w:rPr>
            </w:pPr>
            <w:r w:rsidRPr="00123761">
              <w:rPr>
                <w:b/>
                <w:bCs/>
                <w:color w:val="000000"/>
              </w:rPr>
              <w:t>Total</w:t>
            </w:r>
          </w:p>
        </w:tc>
        <w:tc>
          <w:tcPr>
            <w:tcW w:w="1500" w:type="dxa"/>
            <w:tcBorders>
              <w:top w:val="nil"/>
              <w:left w:val="nil"/>
              <w:bottom w:val="single" w:sz="4" w:space="0" w:color="auto"/>
              <w:right w:val="single" w:sz="4" w:space="0" w:color="auto"/>
            </w:tcBorders>
            <w:shd w:val="clear" w:color="000000" w:fill="D0CECE"/>
            <w:noWrap/>
            <w:vAlign w:val="center"/>
            <w:hideMark/>
          </w:tcPr>
          <w:p w14:paraId="2B07A18C" w14:textId="77777777" w:rsidR="00CC2B1F" w:rsidRPr="00123761" w:rsidRDefault="00CC2B1F" w:rsidP="00CC2B1F">
            <w:pPr>
              <w:suppressAutoHyphens w:val="0"/>
              <w:jc w:val="center"/>
              <w:rPr>
                <w:color w:val="000000"/>
              </w:rPr>
            </w:pPr>
            <w:r w:rsidRPr="00123761">
              <w:rPr>
                <w:color w:val="000000"/>
              </w:rPr>
              <w:t>158</w:t>
            </w:r>
          </w:p>
        </w:tc>
        <w:tc>
          <w:tcPr>
            <w:tcW w:w="980" w:type="dxa"/>
            <w:tcBorders>
              <w:top w:val="nil"/>
              <w:left w:val="nil"/>
              <w:bottom w:val="single" w:sz="4" w:space="0" w:color="auto"/>
              <w:right w:val="single" w:sz="4" w:space="0" w:color="auto"/>
            </w:tcBorders>
            <w:shd w:val="clear" w:color="000000" w:fill="D0CECE"/>
            <w:noWrap/>
            <w:vAlign w:val="center"/>
            <w:hideMark/>
          </w:tcPr>
          <w:p w14:paraId="5ECD4496" w14:textId="77777777" w:rsidR="00CC2B1F" w:rsidRPr="00123761" w:rsidRDefault="00CC2B1F" w:rsidP="00CC2B1F">
            <w:pPr>
              <w:suppressAutoHyphens w:val="0"/>
              <w:jc w:val="center"/>
              <w:rPr>
                <w:color w:val="000000"/>
              </w:rPr>
            </w:pPr>
            <w:r w:rsidRPr="00123761">
              <w:rPr>
                <w:color w:val="000000"/>
              </w:rPr>
              <w:t>27</w:t>
            </w:r>
          </w:p>
        </w:tc>
      </w:tr>
    </w:tbl>
    <w:p w14:paraId="6BC5768C" w14:textId="77777777" w:rsidR="00CC2B1F" w:rsidRPr="00174B6D" w:rsidRDefault="00CC2B1F" w:rsidP="00CC2B1F">
      <w:pPr>
        <w:shd w:val="clear" w:color="auto" w:fill="FFFFFF"/>
        <w:jc w:val="both"/>
        <w:rPr>
          <w:b/>
          <w:sz w:val="24"/>
          <w:szCs w:val="24"/>
        </w:rPr>
      </w:pPr>
      <w:r>
        <w:rPr>
          <w:szCs w:val="24"/>
        </w:rPr>
        <w:t xml:space="preserve">          Fonte: Elaborado</w:t>
      </w:r>
      <w:r w:rsidRPr="00192C39">
        <w:rPr>
          <w:szCs w:val="24"/>
        </w:rPr>
        <w:t xml:space="preserve"> pelos autores. </w:t>
      </w:r>
    </w:p>
    <w:p w14:paraId="1161D89E" w14:textId="77777777" w:rsidR="00CC2B1F" w:rsidRDefault="00CC2B1F" w:rsidP="00CC2B1F">
      <w:pPr>
        <w:ind w:firstLine="709"/>
        <w:jc w:val="both"/>
        <w:rPr>
          <w:sz w:val="24"/>
          <w:szCs w:val="24"/>
        </w:rPr>
      </w:pPr>
    </w:p>
    <w:p w14:paraId="18C94DD4" w14:textId="77777777" w:rsidR="00CC2B1F" w:rsidRDefault="00CC2B1F" w:rsidP="00CC2B1F">
      <w:pPr>
        <w:ind w:firstLine="709"/>
        <w:jc w:val="both"/>
        <w:rPr>
          <w:sz w:val="24"/>
          <w:szCs w:val="24"/>
        </w:rPr>
      </w:pPr>
      <w:r>
        <w:rPr>
          <w:sz w:val="24"/>
          <w:szCs w:val="24"/>
        </w:rPr>
        <w:t xml:space="preserve">A Tabela 4 aponta o número de artigos distribuídos por ano de publicação nos periódicos analisados. Constata-se que o ano de 2014 teve o maior volume de publicações sobre o tema em análise, sendo um total de 6. O </w:t>
      </w:r>
      <w:r w:rsidRPr="002A49C8">
        <w:rPr>
          <w:i/>
          <w:sz w:val="24"/>
          <w:szCs w:val="24"/>
        </w:rPr>
        <w:t>Brazilian Business Review</w:t>
      </w:r>
      <w:r>
        <w:rPr>
          <w:sz w:val="24"/>
          <w:szCs w:val="24"/>
        </w:rPr>
        <w:t xml:space="preserve"> foi o periódico mais profícuo do ano, sendo responsável por 3 das 6 publicações totais, ou seja, foi responsável pela publicação de metade (50%) dos artigos. Os anos de 2013 e 2016 ficaram empatados em segundo lugar, com um volume de 4 artigos por cada ano nos periódicos estudados. Ao analisar a tabela pode-se inferir que o volume de publicações sobre o tema, no período de 2007 a 2010, era modesto, nunca ultrapassando o total de 2 artigos por ano em periódicos A2. A partir de 2011 observa-se um crescimento, o que pode indicar um aumento de interesse em estudos sobre o tema. </w:t>
      </w:r>
    </w:p>
    <w:p w14:paraId="7DBB8678" w14:textId="77777777" w:rsidR="00CC2B1F" w:rsidRDefault="00CC2B1F" w:rsidP="00CC2B1F">
      <w:pPr>
        <w:spacing w:after="240"/>
        <w:ind w:firstLine="709"/>
        <w:jc w:val="both"/>
        <w:rPr>
          <w:sz w:val="24"/>
          <w:szCs w:val="24"/>
        </w:rPr>
      </w:pPr>
      <w:r>
        <w:rPr>
          <w:sz w:val="24"/>
          <w:szCs w:val="24"/>
        </w:rPr>
        <w:lastRenderedPageBreak/>
        <w:t>Durante a análise dos artigos foram identificados, no total, 55 autores responsáveis pelas publicações. Dentre eles, 35 possuíam o título de doutor (a), 11 possuíam o título de mestre, 4 deles eram mestrandos (as) e 5 eram doutorandos (as) à época da publicação.</w:t>
      </w:r>
    </w:p>
    <w:p w14:paraId="1E229C3D" w14:textId="77777777" w:rsidR="00CC2B1F" w:rsidRDefault="00CC2B1F" w:rsidP="00CC2B1F">
      <w:pPr>
        <w:spacing w:after="40"/>
        <w:jc w:val="center"/>
        <w:rPr>
          <w:b/>
          <w:szCs w:val="24"/>
        </w:rPr>
      </w:pPr>
      <w:r w:rsidRPr="00C40399">
        <w:rPr>
          <w:b/>
          <w:szCs w:val="24"/>
        </w:rPr>
        <w:t xml:space="preserve">Tabela 4 – Artigos </w:t>
      </w:r>
      <w:r>
        <w:rPr>
          <w:b/>
          <w:szCs w:val="24"/>
        </w:rPr>
        <w:t>distribuídos por ano de publicação nos periódicos analisados</w:t>
      </w:r>
    </w:p>
    <w:tbl>
      <w:tblPr>
        <w:tblW w:w="8980" w:type="dxa"/>
        <w:jc w:val="center"/>
        <w:tblCellMar>
          <w:left w:w="70" w:type="dxa"/>
          <w:right w:w="70" w:type="dxa"/>
        </w:tblCellMar>
        <w:tblLook w:val="04A0" w:firstRow="1" w:lastRow="0" w:firstColumn="1" w:lastColumn="0" w:noHBand="0" w:noVBand="1"/>
      </w:tblPr>
      <w:tblGrid>
        <w:gridCol w:w="4360"/>
        <w:gridCol w:w="400"/>
        <w:gridCol w:w="400"/>
        <w:gridCol w:w="400"/>
        <w:gridCol w:w="400"/>
        <w:gridCol w:w="400"/>
        <w:gridCol w:w="400"/>
        <w:gridCol w:w="400"/>
        <w:gridCol w:w="400"/>
        <w:gridCol w:w="400"/>
        <w:gridCol w:w="400"/>
        <w:gridCol w:w="620"/>
      </w:tblGrid>
      <w:tr w:rsidR="00CC2B1F" w:rsidRPr="00C40399" w14:paraId="2F4EEE84" w14:textId="77777777" w:rsidTr="00CC2B1F">
        <w:trPr>
          <w:trHeight w:val="567"/>
          <w:jc w:val="center"/>
        </w:trPr>
        <w:tc>
          <w:tcPr>
            <w:tcW w:w="436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30D08057" w14:textId="77777777" w:rsidR="00CC2B1F" w:rsidRPr="00C40399" w:rsidRDefault="00CC2B1F" w:rsidP="00CC2B1F">
            <w:pPr>
              <w:jc w:val="center"/>
              <w:rPr>
                <w:b/>
                <w:bCs/>
                <w:color w:val="000000"/>
              </w:rPr>
            </w:pPr>
            <w:r w:rsidRPr="00C40399">
              <w:rPr>
                <w:b/>
                <w:bCs/>
                <w:color w:val="000000"/>
              </w:rPr>
              <w:t>Periódicos</w:t>
            </w:r>
          </w:p>
        </w:tc>
        <w:tc>
          <w:tcPr>
            <w:tcW w:w="400" w:type="dxa"/>
            <w:tcBorders>
              <w:top w:val="single" w:sz="4" w:space="0" w:color="auto"/>
              <w:left w:val="nil"/>
              <w:bottom w:val="single" w:sz="4" w:space="0" w:color="auto"/>
              <w:right w:val="single" w:sz="4" w:space="0" w:color="auto"/>
            </w:tcBorders>
            <w:shd w:val="clear" w:color="000000" w:fill="D0CECE"/>
            <w:textDirection w:val="tbRl"/>
            <w:vAlign w:val="center"/>
            <w:hideMark/>
          </w:tcPr>
          <w:p w14:paraId="49D85B94" w14:textId="77777777" w:rsidR="00CC2B1F" w:rsidRPr="00C40399" w:rsidRDefault="00CC2B1F" w:rsidP="00CC2B1F">
            <w:pPr>
              <w:jc w:val="center"/>
              <w:rPr>
                <w:b/>
                <w:bCs/>
                <w:color w:val="000000"/>
              </w:rPr>
            </w:pPr>
            <w:r w:rsidRPr="00C40399">
              <w:rPr>
                <w:b/>
                <w:bCs/>
                <w:color w:val="000000"/>
              </w:rPr>
              <w:t>2007</w:t>
            </w:r>
          </w:p>
        </w:tc>
        <w:tc>
          <w:tcPr>
            <w:tcW w:w="400" w:type="dxa"/>
            <w:tcBorders>
              <w:top w:val="single" w:sz="4" w:space="0" w:color="auto"/>
              <w:left w:val="nil"/>
              <w:bottom w:val="single" w:sz="4" w:space="0" w:color="auto"/>
              <w:right w:val="single" w:sz="4" w:space="0" w:color="auto"/>
            </w:tcBorders>
            <w:shd w:val="clear" w:color="000000" w:fill="D0CECE"/>
            <w:textDirection w:val="tbRl"/>
            <w:vAlign w:val="center"/>
            <w:hideMark/>
          </w:tcPr>
          <w:p w14:paraId="0C3E0BAB" w14:textId="77777777" w:rsidR="00CC2B1F" w:rsidRPr="00C40399" w:rsidRDefault="00CC2B1F" w:rsidP="00CC2B1F">
            <w:pPr>
              <w:jc w:val="center"/>
              <w:rPr>
                <w:b/>
                <w:bCs/>
                <w:color w:val="000000"/>
              </w:rPr>
            </w:pPr>
            <w:r w:rsidRPr="00C40399">
              <w:rPr>
                <w:b/>
                <w:bCs/>
                <w:color w:val="000000"/>
              </w:rPr>
              <w:t>2008</w:t>
            </w:r>
          </w:p>
        </w:tc>
        <w:tc>
          <w:tcPr>
            <w:tcW w:w="400" w:type="dxa"/>
            <w:tcBorders>
              <w:top w:val="single" w:sz="4" w:space="0" w:color="auto"/>
              <w:left w:val="nil"/>
              <w:bottom w:val="single" w:sz="4" w:space="0" w:color="auto"/>
              <w:right w:val="single" w:sz="4" w:space="0" w:color="auto"/>
            </w:tcBorders>
            <w:shd w:val="clear" w:color="000000" w:fill="D0CECE"/>
            <w:textDirection w:val="tbRl"/>
            <w:vAlign w:val="center"/>
            <w:hideMark/>
          </w:tcPr>
          <w:p w14:paraId="43525CDD" w14:textId="77777777" w:rsidR="00CC2B1F" w:rsidRPr="00C40399" w:rsidRDefault="00CC2B1F" w:rsidP="00CC2B1F">
            <w:pPr>
              <w:jc w:val="center"/>
              <w:rPr>
                <w:b/>
                <w:bCs/>
                <w:color w:val="000000"/>
              </w:rPr>
            </w:pPr>
            <w:r w:rsidRPr="00C40399">
              <w:rPr>
                <w:b/>
                <w:bCs/>
                <w:color w:val="000000"/>
              </w:rPr>
              <w:t>2009</w:t>
            </w:r>
          </w:p>
        </w:tc>
        <w:tc>
          <w:tcPr>
            <w:tcW w:w="400" w:type="dxa"/>
            <w:tcBorders>
              <w:top w:val="single" w:sz="4" w:space="0" w:color="auto"/>
              <w:left w:val="nil"/>
              <w:bottom w:val="single" w:sz="4" w:space="0" w:color="auto"/>
              <w:right w:val="single" w:sz="4" w:space="0" w:color="auto"/>
            </w:tcBorders>
            <w:shd w:val="clear" w:color="000000" w:fill="D0CECE"/>
            <w:textDirection w:val="tbRl"/>
            <w:vAlign w:val="center"/>
            <w:hideMark/>
          </w:tcPr>
          <w:p w14:paraId="49C15789" w14:textId="77777777" w:rsidR="00CC2B1F" w:rsidRPr="00C40399" w:rsidRDefault="00CC2B1F" w:rsidP="00CC2B1F">
            <w:pPr>
              <w:jc w:val="center"/>
              <w:rPr>
                <w:b/>
                <w:bCs/>
                <w:color w:val="000000"/>
              </w:rPr>
            </w:pPr>
            <w:r w:rsidRPr="00C40399">
              <w:rPr>
                <w:b/>
                <w:bCs/>
                <w:color w:val="000000"/>
              </w:rPr>
              <w:t>2010</w:t>
            </w:r>
          </w:p>
        </w:tc>
        <w:tc>
          <w:tcPr>
            <w:tcW w:w="400" w:type="dxa"/>
            <w:tcBorders>
              <w:top w:val="single" w:sz="4" w:space="0" w:color="auto"/>
              <w:left w:val="nil"/>
              <w:bottom w:val="single" w:sz="4" w:space="0" w:color="auto"/>
              <w:right w:val="single" w:sz="4" w:space="0" w:color="auto"/>
            </w:tcBorders>
            <w:shd w:val="clear" w:color="000000" w:fill="D0CECE"/>
            <w:textDirection w:val="tbRl"/>
            <w:vAlign w:val="center"/>
            <w:hideMark/>
          </w:tcPr>
          <w:p w14:paraId="19480707" w14:textId="77777777" w:rsidR="00CC2B1F" w:rsidRPr="00C40399" w:rsidRDefault="00CC2B1F" w:rsidP="00CC2B1F">
            <w:pPr>
              <w:jc w:val="center"/>
              <w:rPr>
                <w:b/>
                <w:bCs/>
                <w:color w:val="000000"/>
              </w:rPr>
            </w:pPr>
            <w:r w:rsidRPr="00C40399">
              <w:rPr>
                <w:b/>
                <w:bCs/>
                <w:color w:val="000000"/>
              </w:rPr>
              <w:t>2011</w:t>
            </w:r>
          </w:p>
        </w:tc>
        <w:tc>
          <w:tcPr>
            <w:tcW w:w="400" w:type="dxa"/>
            <w:tcBorders>
              <w:top w:val="single" w:sz="4" w:space="0" w:color="auto"/>
              <w:left w:val="nil"/>
              <w:bottom w:val="single" w:sz="4" w:space="0" w:color="auto"/>
              <w:right w:val="single" w:sz="4" w:space="0" w:color="auto"/>
            </w:tcBorders>
            <w:shd w:val="clear" w:color="000000" w:fill="D0CECE"/>
            <w:textDirection w:val="tbRl"/>
            <w:vAlign w:val="center"/>
            <w:hideMark/>
          </w:tcPr>
          <w:p w14:paraId="7B424C5D" w14:textId="77777777" w:rsidR="00CC2B1F" w:rsidRPr="00C40399" w:rsidRDefault="00CC2B1F" w:rsidP="00CC2B1F">
            <w:pPr>
              <w:jc w:val="center"/>
              <w:rPr>
                <w:b/>
                <w:bCs/>
                <w:color w:val="000000"/>
              </w:rPr>
            </w:pPr>
            <w:r w:rsidRPr="00C40399">
              <w:rPr>
                <w:b/>
                <w:bCs/>
                <w:color w:val="000000"/>
              </w:rPr>
              <w:t>2012</w:t>
            </w:r>
          </w:p>
        </w:tc>
        <w:tc>
          <w:tcPr>
            <w:tcW w:w="400" w:type="dxa"/>
            <w:tcBorders>
              <w:top w:val="single" w:sz="4" w:space="0" w:color="auto"/>
              <w:left w:val="nil"/>
              <w:bottom w:val="single" w:sz="4" w:space="0" w:color="auto"/>
              <w:right w:val="single" w:sz="4" w:space="0" w:color="auto"/>
            </w:tcBorders>
            <w:shd w:val="clear" w:color="000000" w:fill="D0CECE"/>
            <w:textDirection w:val="tbRl"/>
            <w:vAlign w:val="center"/>
            <w:hideMark/>
          </w:tcPr>
          <w:p w14:paraId="39788E29" w14:textId="77777777" w:rsidR="00CC2B1F" w:rsidRPr="00C40399" w:rsidRDefault="00CC2B1F" w:rsidP="00CC2B1F">
            <w:pPr>
              <w:jc w:val="center"/>
              <w:rPr>
                <w:b/>
                <w:bCs/>
                <w:color w:val="000000"/>
              </w:rPr>
            </w:pPr>
            <w:r w:rsidRPr="00C40399">
              <w:rPr>
                <w:b/>
                <w:bCs/>
                <w:color w:val="000000"/>
              </w:rPr>
              <w:t>2013</w:t>
            </w:r>
          </w:p>
        </w:tc>
        <w:tc>
          <w:tcPr>
            <w:tcW w:w="400" w:type="dxa"/>
            <w:tcBorders>
              <w:top w:val="single" w:sz="4" w:space="0" w:color="auto"/>
              <w:left w:val="nil"/>
              <w:bottom w:val="single" w:sz="4" w:space="0" w:color="auto"/>
              <w:right w:val="single" w:sz="4" w:space="0" w:color="auto"/>
            </w:tcBorders>
            <w:shd w:val="clear" w:color="000000" w:fill="D0CECE"/>
            <w:textDirection w:val="tbRl"/>
            <w:vAlign w:val="center"/>
            <w:hideMark/>
          </w:tcPr>
          <w:p w14:paraId="60F296D4" w14:textId="77777777" w:rsidR="00CC2B1F" w:rsidRPr="00C40399" w:rsidRDefault="00CC2B1F" w:rsidP="00CC2B1F">
            <w:pPr>
              <w:jc w:val="center"/>
              <w:rPr>
                <w:b/>
                <w:bCs/>
                <w:color w:val="000000"/>
              </w:rPr>
            </w:pPr>
            <w:r w:rsidRPr="00C40399">
              <w:rPr>
                <w:b/>
                <w:bCs/>
                <w:color w:val="000000"/>
              </w:rPr>
              <w:t>2014</w:t>
            </w:r>
          </w:p>
        </w:tc>
        <w:tc>
          <w:tcPr>
            <w:tcW w:w="400" w:type="dxa"/>
            <w:tcBorders>
              <w:top w:val="single" w:sz="4" w:space="0" w:color="auto"/>
              <w:left w:val="nil"/>
              <w:bottom w:val="single" w:sz="4" w:space="0" w:color="auto"/>
              <w:right w:val="single" w:sz="4" w:space="0" w:color="auto"/>
            </w:tcBorders>
            <w:shd w:val="clear" w:color="000000" w:fill="D0CECE"/>
            <w:textDirection w:val="tbRl"/>
            <w:vAlign w:val="center"/>
            <w:hideMark/>
          </w:tcPr>
          <w:p w14:paraId="55913E59" w14:textId="77777777" w:rsidR="00CC2B1F" w:rsidRPr="00C40399" w:rsidRDefault="00CC2B1F" w:rsidP="00CC2B1F">
            <w:pPr>
              <w:jc w:val="center"/>
              <w:rPr>
                <w:b/>
                <w:bCs/>
                <w:color w:val="000000"/>
              </w:rPr>
            </w:pPr>
            <w:r w:rsidRPr="00C40399">
              <w:rPr>
                <w:b/>
                <w:bCs/>
                <w:color w:val="000000"/>
              </w:rPr>
              <w:t>2015</w:t>
            </w:r>
          </w:p>
        </w:tc>
        <w:tc>
          <w:tcPr>
            <w:tcW w:w="400" w:type="dxa"/>
            <w:tcBorders>
              <w:top w:val="single" w:sz="4" w:space="0" w:color="auto"/>
              <w:left w:val="nil"/>
              <w:bottom w:val="single" w:sz="4" w:space="0" w:color="auto"/>
              <w:right w:val="single" w:sz="4" w:space="0" w:color="auto"/>
            </w:tcBorders>
            <w:shd w:val="clear" w:color="000000" w:fill="D0CECE"/>
            <w:textDirection w:val="tbRl"/>
            <w:vAlign w:val="center"/>
            <w:hideMark/>
          </w:tcPr>
          <w:p w14:paraId="4011B56C" w14:textId="77777777" w:rsidR="00CC2B1F" w:rsidRPr="00C40399" w:rsidRDefault="00CC2B1F" w:rsidP="00CC2B1F">
            <w:pPr>
              <w:jc w:val="center"/>
              <w:rPr>
                <w:b/>
                <w:bCs/>
                <w:color w:val="000000"/>
              </w:rPr>
            </w:pPr>
            <w:r w:rsidRPr="00C40399">
              <w:rPr>
                <w:b/>
                <w:bCs/>
                <w:color w:val="000000"/>
              </w:rPr>
              <w:t>2016</w:t>
            </w:r>
          </w:p>
        </w:tc>
        <w:tc>
          <w:tcPr>
            <w:tcW w:w="620" w:type="dxa"/>
            <w:tcBorders>
              <w:top w:val="single" w:sz="4" w:space="0" w:color="auto"/>
              <w:left w:val="nil"/>
              <w:bottom w:val="single" w:sz="4" w:space="0" w:color="auto"/>
              <w:right w:val="single" w:sz="4" w:space="0" w:color="auto"/>
            </w:tcBorders>
            <w:shd w:val="clear" w:color="000000" w:fill="D0CECE"/>
            <w:vAlign w:val="center"/>
            <w:hideMark/>
          </w:tcPr>
          <w:p w14:paraId="0269C8F4" w14:textId="77777777" w:rsidR="00CC2B1F" w:rsidRPr="00C40399" w:rsidRDefault="00CC2B1F" w:rsidP="00CC2B1F">
            <w:pPr>
              <w:jc w:val="center"/>
              <w:rPr>
                <w:b/>
                <w:bCs/>
                <w:color w:val="000000"/>
              </w:rPr>
            </w:pPr>
            <w:r w:rsidRPr="00C40399">
              <w:rPr>
                <w:b/>
                <w:bCs/>
                <w:color w:val="000000"/>
              </w:rPr>
              <w:t>Total</w:t>
            </w:r>
          </w:p>
        </w:tc>
      </w:tr>
      <w:tr w:rsidR="00CC2B1F" w:rsidRPr="00C40399" w14:paraId="2B45B6CE"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02210870" w14:textId="77777777" w:rsidR="00CC2B1F" w:rsidRPr="00C40399" w:rsidRDefault="00CC2B1F" w:rsidP="00CC2B1F">
            <w:pPr>
              <w:rPr>
                <w:color w:val="000000"/>
              </w:rPr>
            </w:pPr>
            <w:r w:rsidRPr="00C40399">
              <w:rPr>
                <w:color w:val="000000"/>
              </w:rPr>
              <w:t>Brazilian Administration Review (BAR)</w:t>
            </w:r>
          </w:p>
        </w:tc>
        <w:tc>
          <w:tcPr>
            <w:tcW w:w="400" w:type="dxa"/>
            <w:tcBorders>
              <w:top w:val="nil"/>
              <w:left w:val="nil"/>
              <w:bottom w:val="single" w:sz="4" w:space="0" w:color="auto"/>
              <w:right w:val="single" w:sz="4" w:space="0" w:color="auto"/>
            </w:tcBorders>
            <w:shd w:val="clear" w:color="auto" w:fill="auto"/>
            <w:noWrap/>
            <w:vAlign w:val="center"/>
            <w:hideMark/>
          </w:tcPr>
          <w:p w14:paraId="484D69EF"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CE5C6F9"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60F246E"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DF59855"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1E1BED6"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C62D5EF"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6B60286"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F8B9A35"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9A7C0B1"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3980D30"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7B3E9777" w14:textId="77777777" w:rsidR="00CC2B1F" w:rsidRPr="00C40399" w:rsidRDefault="00CC2B1F" w:rsidP="00CC2B1F">
            <w:pPr>
              <w:jc w:val="center"/>
              <w:rPr>
                <w:color w:val="000000"/>
              </w:rPr>
            </w:pPr>
            <w:r w:rsidRPr="00C40399">
              <w:rPr>
                <w:color w:val="000000"/>
              </w:rPr>
              <w:t>0</w:t>
            </w:r>
          </w:p>
        </w:tc>
      </w:tr>
      <w:tr w:rsidR="00CC2B1F" w:rsidRPr="00C40399" w14:paraId="573C6729"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2C82B901" w14:textId="77777777" w:rsidR="00CC2B1F" w:rsidRPr="00C40399" w:rsidRDefault="00CC2B1F" w:rsidP="00CC2B1F">
            <w:pPr>
              <w:rPr>
                <w:color w:val="000000"/>
              </w:rPr>
            </w:pPr>
            <w:r w:rsidRPr="00C40399">
              <w:rPr>
                <w:color w:val="000000"/>
              </w:rPr>
              <w:t>Brazilian Business Review (BBR)</w:t>
            </w:r>
          </w:p>
        </w:tc>
        <w:tc>
          <w:tcPr>
            <w:tcW w:w="400" w:type="dxa"/>
            <w:tcBorders>
              <w:top w:val="nil"/>
              <w:left w:val="nil"/>
              <w:bottom w:val="single" w:sz="4" w:space="0" w:color="auto"/>
              <w:right w:val="single" w:sz="4" w:space="0" w:color="auto"/>
            </w:tcBorders>
            <w:shd w:val="clear" w:color="auto" w:fill="auto"/>
            <w:noWrap/>
            <w:vAlign w:val="center"/>
            <w:hideMark/>
          </w:tcPr>
          <w:p w14:paraId="2E002FBC"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8340701"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EFD84AF"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ED806D0"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08A4038"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52CE51F9"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502BAF0C"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36E752C0" w14:textId="77777777" w:rsidR="00CC2B1F" w:rsidRPr="00C40399" w:rsidRDefault="00CC2B1F" w:rsidP="00CC2B1F">
            <w:pPr>
              <w:jc w:val="center"/>
              <w:rPr>
                <w:color w:val="000000"/>
              </w:rPr>
            </w:pPr>
            <w:r w:rsidRPr="00C40399">
              <w:rPr>
                <w:color w:val="000000"/>
              </w:rPr>
              <w:t>3</w:t>
            </w:r>
          </w:p>
        </w:tc>
        <w:tc>
          <w:tcPr>
            <w:tcW w:w="400" w:type="dxa"/>
            <w:tcBorders>
              <w:top w:val="nil"/>
              <w:left w:val="nil"/>
              <w:bottom w:val="single" w:sz="4" w:space="0" w:color="auto"/>
              <w:right w:val="single" w:sz="4" w:space="0" w:color="auto"/>
            </w:tcBorders>
            <w:shd w:val="clear" w:color="auto" w:fill="auto"/>
            <w:noWrap/>
            <w:vAlign w:val="center"/>
            <w:hideMark/>
          </w:tcPr>
          <w:p w14:paraId="635E5F19"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67329A2"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7B1106BC" w14:textId="77777777" w:rsidR="00CC2B1F" w:rsidRPr="00C40399" w:rsidRDefault="00CC2B1F" w:rsidP="00CC2B1F">
            <w:pPr>
              <w:jc w:val="center"/>
              <w:rPr>
                <w:color w:val="000000"/>
              </w:rPr>
            </w:pPr>
            <w:r w:rsidRPr="00C40399">
              <w:rPr>
                <w:color w:val="000000"/>
              </w:rPr>
              <w:t>6</w:t>
            </w:r>
          </w:p>
        </w:tc>
      </w:tr>
      <w:tr w:rsidR="00CC2B1F" w:rsidRPr="00C40399" w14:paraId="37ECB06F"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434E7C51" w14:textId="77777777" w:rsidR="00CC2B1F" w:rsidRPr="00C40399" w:rsidRDefault="00CC2B1F" w:rsidP="00CC2B1F">
            <w:pPr>
              <w:rPr>
                <w:color w:val="000000"/>
              </w:rPr>
            </w:pPr>
            <w:r w:rsidRPr="00C40399">
              <w:rPr>
                <w:color w:val="000000"/>
              </w:rPr>
              <w:t>Cadernos EBAPE.BR</w:t>
            </w:r>
          </w:p>
        </w:tc>
        <w:tc>
          <w:tcPr>
            <w:tcW w:w="400" w:type="dxa"/>
            <w:tcBorders>
              <w:top w:val="nil"/>
              <w:left w:val="nil"/>
              <w:bottom w:val="single" w:sz="4" w:space="0" w:color="auto"/>
              <w:right w:val="single" w:sz="4" w:space="0" w:color="auto"/>
            </w:tcBorders>
            <w:shd w:val="clear" w:color="auto" w:fill="auto"/>
            <w:noWrap/>
            <w:vAlign w:val="center"/>
            <w:hideMark/>
          </w:tcPr>
          <w:p w14:paraId="350402E6"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5EFF25D"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131DE90"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133E8B2"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F72B8D8"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F2A41E8"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32F62D5"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BEF6178"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97AF522"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D1B108F"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12573DDB" w14:textId="77777777" w:rsidR="00CC2B1F" w:rsidRPr="00C40399" w:rsidRDefault="00CC2B1F" w:rsidP="00CC2B1F">
            <w:pPr>
              <w:jc w:val="center"/>
              <w:rPr>
                <w:color w:val="000000"/>
              </w:rPr>
            </w:pPr>
            <w:r w:rsidRPr="00C40399">
              <w:rPr>
                <w:color w:val="000000"/>
              </w:rPr>
              <w:t>0</w:t>
            </w:r>
          </w:p>
        </w:tc>
      </w:tr>
      <w:tr w:rsidR="00CC2B1F" w:rsidRPr="00C40399" w14:paraId="38D8F23B"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0E395CCE" w14:textId="77777777" w:rsidR="00CC2B1F" w:rsidRPr="00C40399" w:rsidRDefault="00CC2B1F" w:rsidP="00CC2B1F">
            <w:pPr>
              <w:rPr>
                <w:color w:val="000000"/>
              </w:rPr>
            </w:pPr>
            <w:r w:rsidRPr="00C40399">
              <w:rPr>
                <w:color w:val="000000"/>
              </w:rPr>
              <w:t>Contabilidade Vista &amp; Revista</w:t>
            </w:r>
          </w:p>
        </w:tc>
        <w:tc>
          <w:tcPr>
            <w:tcW w:w="400" w:type="dxa"/>
            <w:tcBorders>
              <w:top w:val="nil"/>
              <w:left w:val="nil"/>
              <w:bottom w:val="single" w:sz="4" w:space="0" w:color="auto"/>
              <w:right w:val="single" w:sz="4" w:space="0" w:color="auto"/>
            </w:tcBorders>
            <w:shd w:val="clear" w:color="auto" w:fill="auto"/>
            <w:noWrap/>
            <w:vAlign w:val="center"/>
            <w:hideMark/>
          </w:tcPr>
          <w:p w14:paraId="49AA1371"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CB8B044"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44EEEDA"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132E0C59"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89C5C3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18A986D"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D065D65"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0839D6B1"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DEE067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F7AC59F" w14:textId="77777777" w:rsidR="00CC2B1F" w:rsidRPr="00C40399" w:rsidRDefault="00CC2B1F" w:rsidP="00CC2B1F">
            <w:pPr>
              <w:jc w:val="center"/>
              <w:rPr>
                <w:color w:val="000000"/>
              </w:rPr>
            </w:pPr>
            <w:r w:rsidRPr="00C40399">
              <w:rPr>
                <w:color w:val="000000"/>
              </w:rPr>
              <w:t>1</w:t>
            </w:r>
          </w:p>
        </w:tc>
        <w:tc>
          <w:tcPr>
            <w:tcW w:w="620" w:type="dxa"/>
            <w:tcBorders>
              <w:top w:val="nil"/>
              <w:left w:val="nil"/>
              <w:bottom w:val="single" w:sz="4" w:space="0" w:color="auto"/>
              <w:right w:val="single" w:sz="4" w:space="0" w:color="auto"/>
            </w:tcBorders>
            <w:shd w:val="clear" w:color="auto" w:fill="auto"/>
            <w:noWrap/>
            <w:vAlign w:val="center"/>
            <w:hideMark/>
          </w:tcPr>
          <w:p w14:paraId="43FC15B1" w14:textId="77777777" w:rsidR="00CC2B1F" w:rsidRPr="00C40399" w:rsidRDefault="00CC2B1F" w:rsidP="00CC2B1F">
            <w:pPr>
              <w:jc w:val="center"/>
              <w:rPr>
                <w:color w:val="000000"/>
              </w:rPr>
            </w:pPr>
            <w:r w:rsidRPr="00C40399">
              <w:rPr>
                <w:color w:val="000000"/>
              </w:rPr>
              <w:t>3</w:t>
            </w:r>
          </w:p>
        </w:tc>
      </w:tr>
      <w:tr w:rsidR="00CC2B1F" w:rsidRPr="00C40399" w14:paraId="669E18C0"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75D18D7C" w14:textId="77777777" w:rsidR="00CC2B1F" w:rsidRPr="00C40399" w:rsidRDefault="00CC2B1F" w:rsidP="00CC2B1F">
            <w:pPr>
              <w:rPr>
                <w:color w:val="000000"/>
              </w:rPr>
            </w:pPr>
            <w:r w:rsidRPr="00C40399">
              <w:rPr>
                <w:color w:val="000000"/>
              </w:rPr>
              <w:t>Organizações &amp; Sociedade</w:t>
            </w:r>
          </w:p>
        </w:tc>
        <w:tc>
          <w:tcPr>
            <w:tcW w:w="400" w:type="dxa"/>
            <w:tcBorders>
              <w:top w:val="nil"/>
              <w:left w:val="nil"/>
              <w:bottom w:val="single" w:sz="4" w:space="0" w:color="auto"/>
              <w:right w:val="single" w:sz="4" w:space="0" w:color="auto"/>
            </w:tcBorders>
            <w:shd w:val="clear" w:color="auto" w:fill="auto"/>
            <w:noWrap/>
            <w:vAlign w:val="center"/>
            <w:hideMark/>
          </w:tcPr>
          <w:p w14:paraId="032DB5E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BA8091B"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8720E6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A9F5BBA"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E8EC2B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5D0BFA5"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454FCA0"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B6C5E3D"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7683B61"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4BABD66"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7B00BEA1" w14:textId="77777777" w:rsidR="00CC2B1F" w:rsidRPr="00C40399" w:rsidRDefault="00CC2B1F" w:rsidP="00CC2B1F">
            <w:pPr>
              <w:jc w:val="center"/>
              <w:rPr>
                <w:color w:val="000000"/>
              </w:rPr>
            </w:pPr>
            <w:r w:rsidRPr="00C40399">
              <w:rPr>
                <w:color w:val="000000"/>
              </w:rPr>
              <w:t>0</w:t>
            </w:r>
          </w:p>
        </w:tc>
      </w:tr>
      <w:tr w:rsidR="00CC2B1F" w:rsidRPr="00C40399" w14:paraId="620916BF"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5A287E1A" w14:textId="77777777" w:rsidR="00CC2B1F" w:rsidRPr="00C40399" w:rsidRDefault="00CC2B1F" w:rsidP="00CC2B1F">
            <w:pPr>
              <w:rPr>
                <w:color w:val="000000"/>
              </w:rPr>
            </w:pPr>
            <w:r w:rsidRPr="00C40399">
              <w:rPr>
                <w:color w:val="000000"/>
              </w:rPr>
              <w:t>RAC Eletrônica</w:t>
            </w:r>
          </w:p>
        </w:tc>
        <w:tc>
          <w:tcPr>
            <w:tcW w:w="400" w:type="dxa"/>
            <w:tcBorders>
              <w:top w:val="nil"/>
              <w:left w:val="nil"/>
              <w:bottom w:val="single" w:sz="4" w:space="0" w:color="auto"/>
              <w:right w:val="single" w:sz="4" w:space="0" w:color="auto"/>
            </w:tcBorders>
            <w:shd w:val="clear" w:color="auto" w:fill="auto"/>
            <w:noWrap/>
            <w:vAlign w:val="center"/>
            <w:hideMark/>
          </w:tcPr>
          <w:p w14:paraId="5E7A8B0D"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E35693C"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212F1C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BD1FDA4"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1FC45B6"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60B2C63"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5B2A090"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0C6A2E9"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F647C05"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CF68836"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58D44287" w14:textId="77777777" w:rsidR="00CC2B1F" w:rsidRPr="00C40399" w:rsidRDefault="00CC2B1F" w:rsidP="00CC2B1F">
            <w:pPr>
              <w:jc w:val="center"/>
              <w:rPr>
                <w:color w:val="000000"/>
              </w:rPr>
            </w:pPr>
            <w:r w:rsidRPr="00C40399">
              <w:rPr>
                <w:color w:val="000000"/>
              </w:rPr>
              <w:t>0</w:t>
            </w:r>
          </w:p>
        </w:tc>
      </w:tr>
      <w:tr w:rsidR="00CC2B1F" w:rsidRPr="00C40399" w14:paraId="3DE69288"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11BA9833" w14:textId="77777777" w:rsidR="00CC2B1F" w:rsidRPr="00C40399" w:rsidRDefault="00CC2B1F" w:rsidP="00CC2B1F">
            <w:pPr>
              <w:rPr>
                <w:color w:val="000000"/>
              </w:rPr>
            </w:pPr>
            <w:r w:rsidRPr="00C40399">
              <w:rPr>
                <w:color w:val="000000"/>
              </w:rPr>
              <w:t>RAE Eletrônica</w:t>
            </w:r>
          </w:p>
        </w:tc>
        <w:tc>
          <w:tcPr>
            <w:tcW w:w="400" w:type="dxa"/>
            <w:tcBorders>
              <w:top w:val="nil"/>
              <w:left w:val="nil"/>
              <w:bottom w:val="single" w:sz="4" w:space="0" w:color="auto"/>
              <w:right w:val="single" w:sz="4" w:space="0" w:color="auto"/>
            </w:tcBorders>
            <w:shd w:val="clear" w:color="auto" w:fill="auto"/>
            <w:noWrap/>
            <w:vAlign w:val="center"/>
            <w:hideMark/>
          </w:tcPr>
          <w:p w14:paraId="3E6D84D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A8DFB4F"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3EEB8F4"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83A2568"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9B9EC88"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CB41106"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2FDD112"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E4A7ABB"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A530D95"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F3CE911"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6EC60624" w14:textId="77777777" w:rsidR="00CC2B1F" w:rsidRPr="00C40399" w:rsidRDefault="00CC2B1F" w:rsidP="00CC2B1F">
            <w:pPr>
              <w:jc w:val="center"/>
              <w:rPr>
                <w:color w:val="000000"/>
              </w:rPr>
            </w:pPr>
            <w:r w:rsidRPr="00C40399">
              <w:rPr>
                <w:color w:val="000000"/>
              </w:rPr>
              <w:t>0</w:t>
            </w:r>
          </w:p>
        </w:tc>
      </w:tr>
      <w:tr w:rsidR="00CC2B1F" w:rsidRPr="00C40399" w14:paraId="341B3414"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51904432" w14:textId="77777777" w:rsidR="00CC2B1F" w:rsidRPr="00C40399" w:rsidRDefault="00CC2B1F" w:rsidP="00CC2B1F">
            <w:pPr>
              <w:rPr>
                <w:color w:val="000000"/>
              </w:rPr>
            </w:pPr>
            <w:r w:rsidRPr="00C40399">
              <w:rPr>
                <w:color w:val="000000"/>
              </w:rPr>
              <w:t>Revista Brasileira de Administração Pública (RAP)</w:t>
            </w:r>
          </w:p>
        </w:tc>
        <w:tc>
          <w:tcPr>
            <w:tcW w:w="400" w:type="dxa"/>
            <w:tcBorders>
              <w:top w:val="nil"/>
              <w:left w:val="nil"/>
              <w:bottom w:val="single" w:sz="4" w:space="0" w:color="auto"/>
              <w:right w:val="single" w:sz="4" w:space="0" w:color="auto"/>
            </w:tcBorders>
            <w:shd w:val="clear" w:color="auto" w:fill="auto"/>
            <w:noWrap/>
            <w:vAlign w:val="center"/>
            <w:hideMark/>
          </w:tcPr>
          <w:p w14:paraId="2695155F"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061A3DF"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CD86AFD"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58D68F8"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D00ABB6"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DC8591B"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A0F418B"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6523814"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B3E352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C89E380"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20E9602C" w14:textId="77777777" w:rsidR="00CC2B1F" w:rsidRPr="00C40399" w:rsidRDefault="00CC2B1F" w:rsidP="00CC2B1F">
            <w:pPr>
              <w:jc w:val="center"/>
              <w:rPr>
                <w:color w:val="000000"/>
              </w:rPr>
            </w:pPr>
            <w:r w:rsidRPr="00C40399">
              <w:rPr>
                <w:color w:val="000000"/>
              </w:rPr>
              <w:t>0</w:t>
            </w:r>
          </w:p>
        </w:tc>
      </w:tr>
      <w:tr w:rsidR="00CC2B1F" w:rsidRPr="00C40399" w14:paraId="5C3E2FC7"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12A9B0AB" w14:textId="77777777" w:rsidR="00CC2B1F" w:rsidRPr="00C40399" w:rsidRDefault="00CC2B1F" w:rsidP="00CC2B1F">
            <w:pPr>
              <w:rPr>
                <w:color w:val="000000"/>
              </w:rPr>
            </w:pPr>
            <w:r w:rsidRPr="00C40399">
              <w:rPr>
                <w:color w:val="000000"/>
              </w:rPr>
              <w:t>Revista Brasileira de Gestão de Negócios (RBGN)</w:t>
            </w:r>
          </w:p>
        </w:tc>
        <w:tc>
          <w:tcPr>
            <w:tcW w:w="400" w:type="dxa"/>
            <w:tcBorders>
              <w:top w:val="nil"/>
              <w:left w:val="nil"/>
              <w:bottom w:val="single" w:sz="4" w:space="0" w:color="auto"/>
              <w:right w:val="single" w:sz="4" w:space="0" w:color="auto"/>
            </w:tcBorders>
            <w:shd w:val="clear" w:color="auto" w:fill="auto"/>
            <w:noWrap/>
            <w:vAlign w:val="center"/>
            <w:hideMark/>
          </w:tcPr>
          <w:p w14:paraId="12EB5BF4"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A334C39"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D000378"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491E77E"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C6A7888"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B9ED63E"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78DE462"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97F77F8"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A2A1C04"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C81A4C3"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249AA87B" w14:textId="77777777" w:rsidR="00CC2B1F" w:rsidRPr="00C40399" w:rsidRDefault="00CC2B1F" w:rsidP="00CC2B1F">
            <w:pPr>
              <w:jc w:val="center"/>
              <w:rPr>
                <w:color w:val="000000"/>
              </w:rPr>
            </w:pPr>
            <w:r w:rsidRPr="00C40399">
              <w:rPr>
                <w:color w:val="000000"/>
              </w:rPr>
              <w:t>0</w:t>
            </w:r>
          </w:p>
        </w:tc>
      </w:tr>
      <w:tr w:rsidR="00CC2B1F" w:rsidRPr="00C40399" w14:paraId="2561C251"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58BBCEDE" w14:textId="77777777" w:rsidR="00CC2B1F" w:rsidRPr="00C40399" w:rsidRDefault="00CC2B1F" w:rsidP="00CC2B1F">
            <w:pPr>
              <w:rPr>
                <w:color w:val="000000"/>
              </w:rPr>
            </w:pPr>
            <w:r w:rsidRPr="00C40399">
              <w:rPr>
                <w:color w:val="000000"/>
              </w:rPr>
              <w:t>Revista Contabilidade &amp; Finanças</w:t>
            </w:r>
          </w:p>
        </w:tc>
        <w:tc>
          <w:tcPr>
            <w:tcW w:w="400" w:type="dxa"/>
            <w:tcBorders>
              <w:top w:val="nil"/>
              <w:left w:val="nil"/>
              <w:bottom w:val="single" w:sz="4" w:space="0" w:color="auto"/>
              <w:right w:val="single" w:sz="4" w:space="0" w:color="auto"/>
            </w:tcBorders>
            <w:shd w:val="clear" w:color="auto" w:fill="auto"/>
            <w:noWrap/>
            <w:vAlign w:val="center"/>
            <w:hideMark/>
          </w:tcPr>
          <w:p w14:paraId="37FBF1DE"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77A959B"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4CA51D9"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0B2B2F2"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287C1D5"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3D23F301" w14:textId="77777777" w:rsidR="00CC2B1F" w:rsidRPr="00C40399" w:rsidRDefault="00CC2B1F" w:rsidP="00CC2B1F">
            <w:pPr>
              <w:jc w:val="center"/>
              <w:rPr>
                <w:color w:val="000000"/>
              </w:rPr>
            </w:pPr>
            <w:r w:rsidRPr="00C40399">
              <w:rPr>
                <w:color w:val="000000"/>
              </w:rPr>
              <w:t>2</w:t>
            </w:r>
          </w:p>
        </w:tc>
        <w:tc>
          <w:tcPr>
            <w:tcW w:w="400" w:type="dxa"/>
            <w:tcBorders>
              <w:top w:val="nil"/>
              <w:left w:val="nil"/>
              <w:bottom w:val="single" w:sz="4" w:space="0" w:color="auto"/>
              <w:right w:val="single" w:sz="4" w:space="0" w:color="auto"/>
            </w:tcBorders>
            <w:shd w:val="clear" w:color="auto" w:fill="auto"/>
            <w:noWrap/>
            <w:vAlign w:val="center"/>
            <w:hideMark/>
          </w:tcPr>
          <w:p w14:paraId="272E330C"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32692A5A"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078A941E" w14:textId="77777777" w:rsidR="00CC2B1F" w:rsidRPr="00C40399" w:rsidRDefault="00CC2B1F" w:rsidP="00CC2B1F">
            <w:pPr>
              <w:jc w:val="center"/>
              <w:rPr>
                <w:color w:val="000000"/>
              </w:rPr>
            </w:pPr>
            <w:r w:rsidRPr="00C40399">
              <w:rPr>
                <w:color w:val="000000"/>
              </w:rPr>
              <w:t>2</w:t>
            </w:r>
          </w:p>
        </w:tc>
        <w:tc>
          <w:tcPr>
            <w:tcW w:w="400" w:type="dxa"/>
            <w:tcBorders>
              <w:top w:val="nil"/>
              <w:left w:val="nil"/>
              <w:bottom w:val="single" w:sz="4" w:space="0" w:color="auto"/>
              <w:right w:val="single" w:sz="4" w:space="0" w:color="auto"/>
            </w:tcBorders>
            <w:shd w:val="clear" w:color="auto" w:fill="auto"/>
            <w:noWrap/>
            <w:vAlign w:val="center"/>
            <w:hideMark/>
          </w:tcPr>
          <w:p w14:paraId="6A60F912" w14:textId="77777777" w:rsidR="00CC2B1F" w:rsidRPr="00C40399" w:rsidRDefault="00CC2B1F" w:rsidP="00CC2B1F">
            <w:pPr>
              <w:jc w:val="center"/>
              <w:rPr>
                <w:color w:val="000000"/>
              </w:rPr>
            </w:pPr>
            <w:r w:rsidRPr="00C40399">
              <w:rPr>
                <w:color w:val="000000"/>
              </w:rPr>
              <w:t>2</w:t>
            </w:r>
          </w:p>
        </w:tc>
        <w:tc>
          <w:tcPr>
            <w:tcW w:w="620" w:type="dxa"/>
            <w:tcBorders>
              <w:top w:val="nil"/>
              <w:left w:val="nil"/>
              <w:bottom w:val="single" w:sz="4" w:space="0" w:color="auto"/>
              <w:right w:val="single" w:sz="4" w:space="0" w:color="auto"/>
            </w:tcBorders>
            <w:shd w:val="clear" w:color="auto" w:fill="auto"/>
            <w:noWrap/>
            <w:vAlign w:val="center"/>
            <w:hideMark/>
          </w:tcPr>
          <w:p w14:paraId="25400DE5" w14:textId="77777777" w:rsidR="00CC2B1F" w:rsidRPr="00C40399" w:rsidRDefault="00CC2B1F" w:rsidP="00CC2B1F">
            <w:pPr>
              <w:jc w:val="center"/>
              <w:rPr>
                <w:color w:val="000000"/>
              </w:rPr>
            </w:pPr>
            <w:r w:rsidRPr="00C40399">
              <w:rPr>
                <w:color w:val="000000"/>
              </w:rPr>
              <w:t>9</w:t>
            </w:r>
          </w:p>
        </w:tc>
      </w:tr>
      <w:tr w:rsidR="00CC2B1F" w:rsidRPr="00C40399" w14:paraId="10702EC6"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326852C7" w14:textId="77777777" w:rsidR="00CC2B1F" w:rsidRPr="00C40399" w:rsidRDefault="00CC2B1F" w:rsidP="00CC2B1F">
            <w:pPr>
              <w:rPr>
                <w:color w:val="000000"/>
              </w:rPr>
            </w:pPr>
            <w:r w:rsidRPr="00C40399">
              <w:rPr>
                <w:color w:val="000000"/>
              </w:rPr>
              <w:t>Revista de Administração Contemporânea (RAC)</w:t>
            </w:r>
          </w:p>
        </w:tc>
        <w:tc>
          <w:tcPr>
            <w:tcW w:w="400" w:type="dxa"/>
            <w:tcBorders>
              <w:top w:val="nil"/>
              <w:left w:val="nil"/>
              <w:bottom w:val="single" w:sz="4" w:space="0" w:color="auto"/>
              <w:right w:val="single" w:sz="4" w:space="0" w:color="auto"/>
            </w:tcBorders>
            <w:shd w:val="clear" w:color="auto" w:fill="auto"/>
            <w:noWrap/>
            <w:vAlign w:val="center"/>
            <w:hideMark/>
          </w:tcPr>
          <w:p w14:paraId="673C5C5B"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1AFF484"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6441D2F"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E205484"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59570785"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AC862AA"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47DFC6E"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049FEB9"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51BDD54D"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AACB97F"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4F5524C3" w14:textId="77777777" w:rsidR="00CC2B1F" w:rsidRPr="00C40399" w:rsidRDefault="00CC2B1F" w:rsidP="00CC2B1F">
            <w:pPr>
              <w:jc w:val="center"/>
              <w:rPr>
                <w:color w:val="000000"/>
              </w:rPr>
            </w:pPr>
            <w:r w:rsidRPr="00C40399">
              <w:rPr>
                <w:color w:val="000000"/>
              </w:rPr>
              <w:t>2</w:t>
            </w:r>
          </w:p>
        </w:tc>
      </w:tr>
      <w:tr w:rsidR="00CC2B1F" w:rsidRPr="00C40399" w14:paraId="4DC3C989"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3ABF24EB" w14:textId="77777777" w:rsidR="00CC2B1F" w:rsidRPr="00C40399" w:rsidRDefault="00CC2B1F" w:rsidP="00CC2B1F">
            <w:pPr>
              <w:rPr>
                <w:color w:val="000000"/>
              </w:rPr>
            </w:pPr>
            <w:r w:rsidRPr="00C40399">
              <w:rPr>
                <w:color w:val="000000"/>
              </w:rPr>
              <w:t>Revista de Administração - RAUSP</w:t>
            </w:r>
          </w:p>
        </w:tc>
        <w:tc>
          <w:tcPr>
            <w:tcW w:w="400" w:type="dxa"/>
            <w:tcBorders>
              <w:top w:val="nil"/>
              <w:left w:val="nil"/>
              <w:bottom w:val="single" w:sz="4" w:space="0" w:color="auto"/>
              <w:right w:val="single" w:sz="4" w:space="0" w:color="auto"/>
            </w:tcBorders>
            <w:shd w:val="clear" w:color="auto" w:fill="auto"/>
            <w:noWrap/>
            <w:vAlign w:val="center"/>
            <w:hideMark/>
          </w:tcPr>
          <w:p w14:paraId="51F80DAF"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3431C2E6"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740EC09A"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4FFC5FC"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35B4012"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EB5BF31"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D748DAD"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4B6BD547"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02E1DDD0"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E071FF3"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62616746" w14:textId="77777777" w:rsidR="00CC2B1F" w:rsidRPr="00C40399" w:rsidRDefault="00CC2B1F" w:rsidP="00CC2B1F">
            <w:pPr>
              <w:jc w:val="center"/>
              <w:rPr>
                <w:color w:val="000000"/>
              </w:rPr>
            </w:pPr>
            <w:r w:rsidRPr="00C40399">
              <w:rPr>
                <w:color w:val="000000"/>
              </w:rPr>
              <w:t>4</w:t>
            </w:r>
          </w:p>
        </w:tc>
      </w:tr>
      <w:tr w:rsidR="00CC2B1F" w:rsidRPr="00C40399" w14:paraId="493D7005"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6B177631" w14:textId="77777777" w:rsidR="00CC2B1F" w:rsidRPr="00C40399" w:rsidRDefault="00CC2B1F" w:rsidP="00CC2B1F">
            <w:pPr>
              <w:rPr>
                <w:color w:val="000000"/>
              </w:rPr>
            </w:pPr>
            <w:r w:rsidRPr="00C40399">
              <w:rPr>
                <w:color w:val="000000"/>
              </w:rPr>
              <w:t>Revista de Administração de Empresas (RAE)</w:t>
            </w:r>
          </w:p>
        </w:tc>
        <w:tc>
          <w:tcPr>
            <w:tcW w:w="400" w:type="dxa"/>
            <w:tcBorders>
              <w:top w:val="nil"/>
              <w:left w:val="nil"/>
              <w:bottom w:val="single" w:sz="4" w:space="0" w:color="auto"/>
              <w:right w:val="single" w:sz="4" w:space="0" w:color="auto"/>
            </w:tcBorders>
            <w:shd w:val="clear" w:color="auto" w:fill="auto"/>
            <w:noWrap/>
            <w:vAlign w:val="center"/>
            <w:hideMark/>
          </w:tcPr>
          <w:p w14:paraId="7E1E2571"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58F52C4"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66706A3"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9768875"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35DEA43"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4F0EC9F"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9B27943"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EE2CF9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E429BF0"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C6515FC"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5D094F8B" w14:textId="77777777" w:rsidR="00CC2B1F" w:rsidRPr="00C40399" w:rsidRDefault="00CC2B1F" w:rsidP="00CC2B1F">
            <w:pPr>
              <w:jc w:val="center"/>
              <w:rPr>
                <w:color w:val="000000"/>
              </w:rPr>
            </w:pPr>
            <w:r w:rsidRPr="00C40399">
              <w:rPr>
                <w:color w:val="000000"/>
              </w:rPr>
              <w:t>0</w:t>
            </w:r>
          </w:p>
        </w:tc>
      </w:tr>
      <w:tr w:rsidR="00CC2B1F" w:rsidRPr="00C40399" w14:paraId="692EFD18"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54FF5891" w14:textId="77777777" w:rsidR="00CC2B1F" w:rsidRPr="00C40399" w:rsidRDefault="00CC2B1F" w:rsidP="00CC2B1F">
            <w:pPr>
              <w:rPr>
                <w:color w:val="000000"/>
              </w:rPr>
            </w:pPr>
            <w:r w:rsidRPr="00C40399">
              <w:rPr>
                <w:color w:val="000000"/>
              </w:rPr>
              <w:t>Revista Contemporânea de Contabilidade</w:t>
            </w:r>
          </w:p>
        </w:tc>
        <w:tc>
          <w:tcPr>
            <w:tcW w:w="400" w:type="dxa"/>
            <w:tcBorders>
              <w:top w:val="nil"/>
              <w:left w:val="nil"/>
              <w:bottom w:val="single" w:sz="4" w:space="0" w:color="auto"/>
              <w:right w:val="single" w:sz="4" w:space="0" w:color="auto"/>
            </w:tcBorders>
            <w:shd w:val="clear" w:color="auto" w:fill="auto"/>
            <w:noWrap/>
            <w:vAlign w:val="center"/>
            <w:hideMark/>
          </w:tcPr>
          <w:p w14:paraId="62F589F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0BABA0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67F443C"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B697349"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778936C"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7BC548A"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F03FA1A"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69E9002"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C079163"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9617C0C"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2BE0C695" w14:textId="77777777" w:rsidR="00CC2B1F" w:rsidRPr="00C40399" w:rsidRDefault="00CC2B1F" w:rsidP="00CC2B1F">
            <w:pPr>
              <w:jc w:val="center"/>
              <w:rPr>
                <w:color w:val="000000"/>
              </w:rPr>
            </w:pPr>
            <w:r w:rsidRPr="00C40399">
              <w:rPr>
                <w:color w:val="000000"/>
              </w:rPr>
              <w:t>0</w:t>
            </w:r>
          </w:p>
        </w:tc>
      </w:tr>
      <w:tr w:rsidR="00CC2B1F" w:rsidRPr="00C40399" w14:paraId="5A984F11"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4AB0800C" w14:textId="77777777" w:rsidR="00CC2B1F" w:rsidRPr="00C40399" w:rsidRDefault="00CC2B1F" w:rsidP="00CC2B1F">
            <w:pPr>
              <w:rPr>
                <w:color w:val="000000"/>
              </w:rPr>
            </w:pPr>
            <w:r w:rsidRPr="00C40399">
              <w:rPr>
                <w:color w:val="000000"/>
              </w:rPr>
              <w:t>Revista Contabilidade e Organizações</w:t>
            </w:r>
          </w:p>
        </w:tc>
        <w:tc>
          <w:tcPr>
            <w:tcW w:w="400" w:type="dxa"/>
            <w:tcBorders>
              <w:top w:val="nil"/>
              <w:left w:val="nil"/>
              <w:bottom w:val="single" w:sz="4" w:space="0" w:color="auto"/>
              <w:right w:val="single" w:sz="4" w:space="0" w:color="auto"/>
            </w:tcBorders>
            <w:shd w:val="clear" w:color="auto" w:fill="auto"/>
            <w:noWrap/>
            <w:vAlign w:val="center"/>
            <w:hideMark/>
          </w:tcPr>
          <w:p w14:paraId="702D2FA3"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08973E8"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4305025"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C7F4C25"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4A9903D4"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B34B46E"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FFAC6B0"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2A528FA"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0521CCE6"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CBE515E" w14:textId="77777777" w:rsidR="00CC2B1F" w:rsidRPr="00C40399" w:rsidRDefault="00CC2B1F" w:rsidP="00CC2B1F">
            <w:pPr>
              <w:jc w:val="center"/>
              <w:rPr>
                <w:color w:val="000000"/>
              </w:rPr>
            </w:pPr>
            <w:r w:rsidRPr="00C40399">
              <w:rPr>
                <w:color w:val="000000"/>
              </w:rPr>
              <w:t>0</w:t>
            </w:r>
          </w:p>
        </w:tc>
        <w:tc>
          <w:tcPr>
            <w:tcW w:w="620" w:type="dxa"/>
            <w:tcBorders>
              <w:top w:val="nil"/>
              <w:left w:val="nil"/>
              <w:bottom w:val="single" w:sz="4" w:space="0" w:color="auto"/>
              <w:right w:val="single" w:sz="4" w:space="0" w:color="auto"/>
            </w:tcBorders>
            <w:shd w:val="clear" w:color="auto" w:fill="auto"/>
            <w:noWrap/>
            <w:vAlign w:val="center"/>
            <w:hideMark/>
          </w:tcPr>
          <w:p w14:paraId="2C447DBC" w14:textId="77777777" w:rsidR="00CC2B1F" w:rsidRPr="00C40399" w:rsidRDefault="00CC2B1F" w:rsidP="00CC2B1F">
            <w:pPr>
              <w:jc w:val="center"/>
              <w:rPr>
                <w:color w:val="000000"/>
              </w:rPr>
            </w:pPr>
            <w:r w:rsidRPr="00C40399">
              <w:rPr>
                <w:color w:val="000000"/>
              </w:rPr>
              <w:t>0</w:t>
            </w:r>
          </w:p>
        </w:tc>
      </w:tr>
      <w:tr w:rsidR="00CC2B1F" w:rsidRPr="00C40399" w14:paraId="74099D96"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FFFFFF"/>
            <w:noWrap/>
            <w:vAlign w:val="bottom"/>
            <w:hideMark/>
          </w:tcPr>
          <w:p w14:paraId="201E1ABE" w14:textId="77777777" w:rsidR="00CC2B1F" w:rsidRPr="00C40399" w:rsidRDefault="00CC2B1F" w:rsidP="00CC2B1F">
            <w:pPr>
              <w:rPr>
                <w:color w:val="000000"/>
              </w:rPr>
            </w:pPr>
            <w:r w:rsidRPr="00C40399">
              <w:rPr>
                <w:color w:val="000000"/>
              </w:rPr>
              <w:t>Revista Universo Contábil</w:t>
            </w:r>
          </w:p>
        </w:tc>
        <w:tc>
          <w:tcPr>
            <w:tcW w:w="400" w:type="dxa"/>
            <w:tcBorders>
              <w:top w:val="nil"/>
              <w:left w:val="nil"/>
              <w:bottom w:val="single" w:sz="4" w:space="0" w:color="auto"/>
              <w:right w:val="single" w:sz="4" w:space="0" w:color="auto"/>
            </w:tcBorders>
            <w:shd w:val="clear" w:color="auto" w:fill="auto"/>
            <w:noWrap/>
            <w:vAlign w:val="center"/>
            <w:hideMark/>
          </w:tcPr>
          <w:p w14:paraId="3DF49D2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C3DA87F"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14760D58"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0FEAB087"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3982F06D"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auto" w:fill="auto"/>
            <w:noWrap/>
            <w:vAlign w:val="center"/>
            <w:hideMark/>
          </w:tcPr>
          <w:p w14:paraId="6F4E6714"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2DD5502B"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6B715CA8"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76FC8D78" w14:textId="77777777" w:rsidR="00CC2B1F" w:rsidRPr="00C40399" w:rsidRDefault="00CC2B1F" w:rsidP="00CC2B1F">
            <w:pPr>
              <w:jc w:val="center"/>
              <w:rPr>
                <w:color w:val="000000"/>
              </w:rPr>
            </w:pPr>
            <w:r w:rsidRPr="00C40399">
              <w:rPr>
                <w:color w:val="000000"/>
              </w:rPr>
              <w:t>0</w:t>
            </w:r>
          </w:p>
        </w:tc>
        <w:tc>
          <w:tcPr>
            <w:tcW w:w="400" w:type="dxa"/>
            <w:tcBorders>
              <w:top w:val="nil"/>
              <w:left w:val="nil"/>
              <w:bottom w:val="single" w:sz="4" w:space="0" w:color="auto"/>
              <w:right w:val="single" w:sz="4" w:space="0" w:color="auto"/>
            </w:tcBorders>
            <w:shd w:val="clear" w:color="auto" w:fill="auto"/>
            <w:noWrap/>
            <w:vAlign w:val="center"/>
            <w:hideMark/>
          </w:tcPr>
          <w:p w14:paraId="51CC18EC" w14:textId="77777777" w:rsidR="00CC2B1F" w:rsidRPr="00C40399" w:rsidRDefault="00CC2B1F" w:rsidP="00CC2B1F">
            <w:pPr>
              <w:jc w:val="center"/>
              <w:rPr>
                <w:color w:val="000000"/>
              </w:rPr>
            </w:pPr>
            <w:r w:rsidRPr="00C40399">
              <w:rPr>
                <w:color w:val="000000"/>
              </w:rPr>
              <w:t>1</w:t>
            </w:r>
          </w:p>
        </w:tc>
        <w:tc>
          <w:tcPr>
            <w:tcW w:w="620" w:type="dxa"/>
            <w:tcBorders>
              <w:top w:val="nil"/>
              <w:left w:val="nil"/>
              <w:bottom w:val="single" w:sz="4" w:space="0" w:color="auto"/>
              <w:right w:val="single" w:sz="4" w:space="0" w:color="auto"/>
            </w:tcBorders>
            <w:shd w:val="clear" w:color="auto" w:fill="auto"/>
            <w:noWrap/>
            <w:vAlign w:val="center"/>
            <w:hideMark/>
          </w:tcPr>
          <w:p w14:paraId="1DE4F7F8" w14:textId="77777777" w:rsidR="00CC2B1F" w:rsidRPr="00C40399" w:rsidRDefault="00CC2B1F" w:rsidP="00CC2B1F">
            <w:pPr>
              <w:jc w:val="center"/>
              <w:rPr>
                <w:color w:val="000000"/>
              </w:rPr>
            </w:pPr>
            <w:r w:rsidRPr="00C40399">
              <w:rPr>
                <w:color w:val="000000"/>
              </w:rPr>
              <w:t>3</w:t>
            </w:r>
          </w:p>
        </w:tc>
      </w:tr>
      <w:tr w:rsidR="00CC2B1F" w:rsidRPr="00C40399" w14:paraId="1F4C2983" w14:textId="77777777" w:rsidTr="00CC2B1F">
        <w:trPr>
          <w:trHeight w:val="300"/>
          <w:jc w:val="center"/>
        </w:trPr>
        <w:tc>
          <w:tcPr>
            <w:tcW w:w="4360" w:type="dxa"/>
            <w:tcBorders>
              <w:top w:val="nil"/>
              <w:left w:val="single" w:sz="4" w:space="0" w:color="auto"/>
              <w:bottom w:val="single" w:sz="4" w:space="0" w:color="auto"/>
              <w:right w:val="single" w:sz="4" w:space="0" w:color="auto"/>
            </w:tcBorders>
            <w:shd w:val="clear" w:color="000000" w:fill="D0CECE"/>
            <w:vAlign w:val="center"/>
            <w:hideMark/>
          </w:tcPr>
          <w:p w14:paraId="2FEF820C" w14:textId="77777777" w:rsidR="00CC2B1F" w:rsidRPr="00C40399" w:rsidRDefault="00CC2B1F" w:rsidP="00CC2B1F">
            <w:pPr>
              <w:jc w:val="center"/>
              <w:rPr>
                <w:b/>
                <w:bCs/>
                <w:color w:val="000000"/>
              </w:rPr>
            </w:pPr>
            <w:r w:rsidRPr="00C40399">
              <w:rPr>
                <w:b/>
                <w:bCs/>
                <w:color w:val="000000"/>
              </w:rPr>
              <w:t xml:space="preserve">Total </w:t>
            </w:r>
          </w:p>
        </w:tc>
        <w:tc>
          <w:tcPr>
            <w:tcW w:w="400" w:type="dxa"/>
            <w:tcBorders>
              <w:top w:val="nil"/>
              <w:left w:val="nil"/>
              <w:bottom w:val="single" w:sz="4" w:space="0" w:color="auto"/>
              <w:right w:val="single" w:sz="4" w:space="0" w:color="auto"/>
            </w:tcBorders>
            <w:shd w:val="clear" w:color="000000" w:fill="D0CECE"/>
            <w:noWrap/>
            <w:vAlign w:val="center"/>
            <w:hideMark/>
          </w:tcPr>
          <w:p w14:paraId="125CD842"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000000" w:fill="D0CECE"/>
            <w:noWrap/>
            <w:vAlign w:val="center"/>
            <w:hideMark/>
          </w:tcPr>
          <w:p w14:paraId="0EE123E9"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000000" w:fill="D0CECE"/>
            <w:noWrap/>
            <w:vAlign w:val="center"/>
            <w:hideMark/>
          </w:tcPr>
          <w:p w14:paraId="6E2B6381" w14:textId="77777777" w:rsidR="00CC2B1F" w:rsidRPr="00C40399" w:rsidRDefault="00CC2B1F" w:rsidP="00CC2B1F">
            <w:pPr>
              <w:jc w:val="center"/>
              <w:rPr>
                <w:color w:val="000000"/>
              </w:rPr>
            </w:pPr>
            <w:r w:rsidRPr="00C40399">
              <w:rPr>
                <w:color w:val="000000"/>
              </w:rPr>
              <w:t>2</w:t>
            </w:r>
          </w:p>
        </w:tc>
        <w:tc>
          <w:tcPr>
            <w:tcW w:w="400" w:type="dxa"/>
            <w:tcBorders>
              <w:top w:val="nil"/>
              <w:left w:val="nil"/>
              <w:bottom w:val="single" w:sz="4" w:space="0" w:color="auto"/>
              <w:right w:val="single" w:sz="4" w:space="0" w:color="auto"/>
            </w:tcBorders>
            <w:shd w:val="clear" w:color="000000" w:fill="D0CECE"/>
            <w:noWrap/>
            <w:vAlign w:val="center"/>
            <w:hideMark/>
          </w:tcPr>
          <w:p w14:paraId="11953F1B" w14:textId="77777777" w:rsidR="00CC2B1F" w:rsidRPr="00C40399" w:rsidRDefault="00CC2B1F" w:rsidP="00CC2B1F">
            <w:pPr>
              <w:jc w:val="center"/>
              <w:rPr>
                <w:color w:val="000000"/>
              </w:rPr>
            </w:pPr>
            <w:r w:rsidRPr="00C40399">
              <w:rPr>
                <w:color w:val="000000"/>
              </w:rPr>
              <w:t>1</w:t>
            </w:r>
          </w:p>
        </w:tc>
        <w:tc>
          <w:tcPr>
            <w:tcW w:w="400" w:type="dxa"/>
            <w:tcBorders>
              <w:top w:val="nil"/>
              <w:left w:val="nil"/>
              <w:bottom w:val="single" w:sz="4" w:space="0" w:color="auto"/>
              <w:right w:val="single" w:sz="4" w:space="0" w:color="auto"/>
            </w:tcBorders>
            <w:shd w:val="clear" w:color="000000" w:fill="D0CECE"/>
            <w:noWrap/>
            <w:vAlign w:val="center"/>
            <w:hideMark/>
          </w:tcPr>
          <w:p w14:paraId="25A2B05F" w14:textId="77777777" w:rsidR="00CC2B1F" w:rsidRPr="00C40399" w:rsidRDefault="00CC2B1F" w:rsidP="00CC2B1F">
            <w:pPr>
              <w:jc w:val="center"/>
              <w:rPr>
                <w:color w:val="000000"/>
              </w:rPr>
            </w:pPr>
            <w:r w:rsidRPr="00C40399">
              <w:rPr>
                <w:color w:val="000000"/>
              </w:rPr>
              <w:t>3</w:t>
            </w:r>
          </w:p>
        </w:tc>
        <w:tc>
          <w:tcPr>
            <w:tcW w:w="400" w:type="dxa"/>
            <w:tcBorders>
              <w:top w:val="nil"/>
              <w:left w:val="nil"/>
              <w:bottom w:val="single" w:sz="4" w:space="0" w:color="auto"/>
              <w:right w:val="single" w:sz="4" w:space="0" w:color="auto"/>
            </w:tcBorders>
            <w:shd w:val="clear" w:color="000000" w:fill="D0CECE"/>
            <w:noWrap/>
            <w:vAlign w:val="center"/>
            <w:hideMark/>
          </w:tcPr>
          <w:p w14:paraId="6D5503E0" w14:textId="77777777" w:rsidR="00CC2B1F" w:rsidRPr="00C40399" w:rsidRDefault="00CC2B1F" w:rsidP="00CC2B1F">
            <w:pPr>
              <w:jc w:val="center"/>
              <w:rPr>
                <w:color w:val="000000"/>
              </w:rPr>
            </w:pPr>
            <w:r w:rsidRPr="00C40399">
              <w:rPr>
                <w:color w:val="000000"/>
              </w:rPr>
              <w:t>3</w:t>
            </w:r>
          </w:p>
        </w:tc>
        <w:tc>
          <w:tcPr>
            <w:tcW w:w="400" w:type="dxa"/>
            <w:tcBorders>
              <w:top w:val="nil"/>
              <w:left w:val="nil"/>
              <w:bottom w:val="single" w:sz="4" w:space="0" w:color="auto"/>
              <w:right w:val="single" w:sz="4" w:space="0" w:color="auto"/>
            </w:tcBorders>
            <w:shd w:val="clear" w:color="000000" w:fill="D0CECE"/>
            <w:noWrap/>
            <w:vAlign w:val="center"/>
            <w:hideMark/>
          </w:tcPr>
          <w:p w14:paraId="7182A0A2" w14:textId="77777777" w:rsidR="00CC2B1F" w:rsidRPr="00C40399" w:rsidRDefault="00CC2B1F" w:rsidP="00CC2B1F">
            <w:pPr>
              <w:jc w:val="center"/>
              <w:rPr>
                <w:color w:val="000000"/>
              </w:rPr>
            </w:pPr>
            <w:r w:rsidRPr="00C40399">
              <w:rPr>
                <w:color w:val="000000"/>
              </w:rPr>
              <w:t>4</w:t>
            </w:r>
          </w:p>
        </w:tc>
        <w:tc>
          <w:tcPr>
            <w:tcW w:w="400" w:type="dxa"/>
            <w:tcBorders>
              <w:top w:val="nil"/>
              <w:left w:val="nil"/>
              <w:bottom w:val="single" w:sz="4" w:space="0" w:color="auto"/>
              <w:right w:val="single" w:sz="4" w:space="0" w:color="auto"/>
            </w:tcBorders>
            <w:shd w:val="clear" w:color="000000" w:fill="D0CECE"/>
            <w:noWrap/>
            <w:vAlign w:val="center"/>
            <w:hideMark/>
          </w:tcPr>
          <w:p w14:paraId="3B595539" w14:textId="77777777" w:rsidR="00CC2B1F" w:rsidRPr="00C40399" w:rsidRDefault="00CC2B1F" w:rsidP="00CC2B1F">
            <w:pPr>
              <w:jc w:val="center"/>
              <w:rPr>
                <w:color w:val="000000"/>
              </w:rPr>
            </w:pPr>
            <w:r w:rsidRPr="00C40399">
              <w:rPr>
                <w:color w:val="000000"/>
              </w:rPr>
              <w:t>6</w:t>
            </w:r>
          </w:p>
        </w:tc>
        <w:tc>
          <w:tcPr>
            <w:tcW w:w="400" w:type="dxa"/>
            <w:tcBorders>
              <w:top w:val="nil"/>
              <w:left w:val="nil"/>
              <w:bottom w:val="single" w:sz="4" w:space="0" w:color="auto"/>
              <w:right w:val="single" w:sz="4" w:space="0" w:color="auto"/>
            </w:tcBorders>
            <w:shd w:val="clear" w:color="000000" w:fill="D0CECE"/>
            <w:noWrap/>
            <w:vAlign w:val="center"/>
            <w:hideMark/>
          </w:tcPr>
          <w:p w14:paraId="6D27349C" w14:textId="77777777" w:rsidR="00CC2B1F" w:rsidRPr="00C40399" w:rsidRDefault="00CC2B1F" w:rsidP="00CC2B1F">
            <w:pPr>
              <w:jc w:val="center"/>
              <w:rPr>
                <w:color w:val="000000"/>
              </w:rPr>
            </w:pPr>
            <w:r w:rsidRPr="00C40399">
              <w:rPr>
                <w:color w:val="000000"/>
              </w:rPr>
              <w:t>2</w:t>
            </w:r>
          </w:p>
        </w:tc>
        <w:tc>
          <w:tcPr>
            <w:tcW w:w="400" w:type="dxa"/>
            <w:tcBorders>
              <w:top w:val="nil"/>
              <w:left w:val="nil"/>
              <w:bottom w:val="single" w:sz="4" w:space="0" w:color="auto"/>
              <w:right w:val="single" w:sz="4" w:space="0" w:color="auto"/>
            </w:tcBorders>
            <w:shd w:val="clear" w:color="000000" w:fill="D0CECE"/>
            <w:noWrap/>
            <w:vAlign w:val="center"/>
            <w:hideMark/>
          </w:tcPr>
          <w:p w14:paraId="141A3AC3" w14:textId="77777777" w:rsidR="00CC2B1F" w:rsidRPr="00C40399" w:rsidRDefault="00CC2B1F" w:rsidP="00CC2B1F">
            <w:pPr>
              <w:jc w:val="center"/>
              <w:rPr>
                <w:color w:val="000000"/>
              </w:rPr>
            </w:pPr>
            <w:r w:rsidRPr="00C40399">
              <w:rPr>
                <w:color w:val="000000"/>
              </w:rPr>
              <w:t>4</w:t>
            </w:r>
          </w:p>
        </w:tc>
        <w:tc>
          <w:tcPr>
            <w:tcW w:w="620" w:type="dxa"/>
            <w:tcBorders>
              <w:top w:val="nil"/>
              <w:left w:val="nil"/>
              <w:bottom w:val="single" w:sz="4" w:space="0" w:color="auto"/>
              <w:right w:val="single" w:sz="4" w:space="0" w:color="auto"/>
            </w:tcBorders>
            <w:shd w:val="clear" w:color="000000" w:fill="D0CECE"/>
            <w:vAlign w:val="center"/>
            <w:hideMark/>
          </w:tcPr>
          <w:p w14:paraId="4D4D0881" w14:textId="77777777" w:rsidR="00CC2B1F" w:rsidRPr="00C40399" w:rsidRDefault="00CC2B1F" w:rsidP="00CC2B1F">
            <w:pPr>
              <w:jc w:val="center"/>
              <w:rPr>
                <w:b/>
                <w:bCs/>
                <w:color w:val="000000"/>
              </w:rPr>
            </w:pPr>
            <w:r w:rsidRPr="00C40399">
              <w:rPr>
                <w:b/>
                <w:bCs/>
                <w:color w:val="000000"/>
              </w:rPr>
              <w:t>27</w:t>
            </w:r>
          </w:p>
        </w:tc>
      </w:tr>
    </w:tbl>
    <w:p w14:paraId="47E1489A" w14:textId="77777777" w:rsidR="00CC2B1F" w:rsidRPr="008D06FA" w:rsidRDefault="00CC2B1F" w:rsidP="00CC2B1F">
      <w:pPr>
        <w:spacing w:after="240"/>
        <w:rPr>
          <w:szCs w:val="24"/>
        </w:rPr>
      </w:pPr>
      <w:r>
        <w:rPr>
          <w:szCs w:val="24"/>
        </w:rPr>
        <w:t>Fonte: Elaborado pelos autores.</w:t>
      </w:r>
    </w:p>
    <w:p w14:paraId="28AB16C3" w14:textId="77777777" w:rsidR="00CC2B1F" w:rsidRDefault="00CC2B1F" w:rsidP="00CC2B1F">
      <w:pPr>
        <w:spacing w:after="240"/>
        <w:ind w:firstLine="709"/>
        <w:jc w:val="both"/>
        <w:rPr>
          <w:sz w:val="24"/>
          <w:szCs w:val="24"/>
        </w:rPr>
      </w:pPr>
      <w:r>
        <w:rPr>
          <w:sz w:val="24"/>
          <w:szCs w:val="24"/>
        </w:rPr>
        <w:t>Esses dados nos apontam uma predominância de doutores em relação à pesquisa e publicação de artigos sobre o tema (63,3% da amostra), seguido por autores com título de mestre (20% da amostra), doutorandos (9,1%) e mestrandos (7,3%), representados pela Figura 1. Não foi observado nenhum autor, dentre os 27 artigos analisados, que a maior titulação fosse graduação ou especialização.</w:t>
      </w:r>
    </w:p>
    <w:p w14:paraId="4694F003" w14:textId="77777777" w:rsidR="00CC2B1F" w:rsidRDefault="00CC2B1F" w:rsidP="00CC2B1F">
      <w:pPr>
        <w:ind w:firstLine="709"/>
        <w:jc w:val="center"/>
        <w:rPr>
          <w:sz w:val="24"/>
          <w:szCs w:val="24"/>
        </w:rPr>
      </w:pPr>
      <w:r>
        <w:rPr>
          <w:noProof/>
        </w:rPr>
        <w:drawing>
          <wp:inline distT="0" distB="0" distL="0" distR="0" wp14:anchorId="5614C329" wp14:editId="5D247779">
            <wp:extent cx="3002280" cy="1828800"/>
            <wp:effectExtent l="0" t="0" r="26670" b="1905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AC86D44" w14:textId="77777777" w:rsidR="00CC2B1F" w:rsidRPr="008D06FA" w:rsidRDefault="00CC2B1F" w:rsidP="00CC2B1F">
      <w:pPr>
        <w:spacing w:after="240"/>
        <w:ind w:firstLine="709"/>
        <w:jc w:val="center"/>
        <w:rPr>
          <w:b/>
        </w:rPr>
      </w:pPr>
      <w:r w:rsidRPr="00C47DBC">
        <w:rPr>
          <w:b/>
        </w:rPr>
        <w:t>Figura 1 – Titulação dos autores à época das publicações</w:t>
      </w:r>
    </w:p>
    <w:p w14:paraId="7C00A4F4" w14:textId="77777777" w:rsidR="00CC2B1F" w:rsidRDefault="00CC2B1F" w:rsidP="00CC2B1F">
      <w:pPr>
        <w:spacing w:after="240"/>
        <w:ind w:firstLine="708"/>
        <w:jc w:val="both"/>
        <w:rPr>
          <w:sz w:val="24"/>
          <w:szCs w:val="24"/>
        </w:rPr>
      </w:pPr>
      <w:r>
        <w:rPr>
          <w:sz w:val="24"/>
          <w:szCs w:val="24"/>
        </w:rPr>
        <w:t>No tocante a afiliação, a Tabela 5</w:t>
      </w:r>
      <w:r w:rsidRPr="000B0A57">
        <w:rPr>
          <w:sz w:val="24"/>
          <w:szCs w:val="24"/>
        </w:rPr>
        <w:t xml:space="preserve"> apresenta as vinculações institucionais dos autores.</w:t>
      </w:r>
      <w:r>
        <w:rPr>
          <w:sz w:val="24"/>
          <w:szCs w:val="24"/>
        </w:rPr>
        <w:t xml:space="preserve"> A Universidade de São Paulo (USP) obteve destaque, com 15 autores provenientes da instituição. Em segundo lugar, empatadas, a Universidade Federal da Paraíba (UFPB) e a Pontifícia </w:t>
      </w:r>
      <w:r>
        <w:rPr>
          <w:sz w:val="24"/>
          <w:szCs w:val="24"/>
        </w:rPr>
        <w:lastRenderedPageBreak/>
        <w:t>Universidade Católica do Rio de Janeiro (PUC-RJ), com 6 autores provenientes de cada, e em terceiro, a Universidade Federal de Santa Maria (UFSM), com um total de 5 autores vinculados.</w:t>
      </w:r>
    </w:p>
    <w:p w14:paraId="3FC51A21" w14:textId="77777777" w:rsidR="00CC2B1F" w:rsidRDefault="00CC2B1F" w:rsidP="00CC2B1F">
      <w:pPr>
        <w:spacing w:after="40"/>
        <w:jc w:val="center"/>
        <w:rPr>
          <w:b/>
          <w:szCs w:val="24"/>
        </w:rPr>
      </w:pPr>
      <w:r w:rsidRPr="000B0A57">
        <w:rPr>
          <w:b/>
          <w:szCs w:val="24"/>
        </w:rPr>
        <w:t>Tabela 5 – Instituições a que os autores estão vinculados</w:t>
      </w:r>
    </w:p>
    <w:tbl>
      <w:tblPr>
        <w:tblW w:w="9260" w:type="dxa"/>
        <w:jc w:val="center"/>
        <w:tblCellMar>
          <w:left w:w="70" w:type="dxa"/>
          <w:right w:w="70" w:type="dxa"/>
        </w:tblCellMar>
        <w:tblLook w:val="04A0" w:firstRow="1" w:lastRow="0" w:firstColumn="1" w:lastColumn="0" w:noHBand="0" w:noVBand="1"/>
      </w:tblPr>
      <w:tblGrid>
        <w:gridCol w:w="5980"/>
        <w:gridCol w:w="2160"/>
        <w:gridCol w:w="1120"/>
      </w:tblGrid>
      <w:tr w:rsidR="00CC2B1F" w:rsidRPr="00012272" w14:paraId="1541FD47" w14:textId="77777777" w:rsidTr="00CC2B1F">
        <w:trPr>
          <w:trHeight w:val="300"/>
          <w:jc w:val="center"/>
        </w:trPr>
        <w:tc>
          <w:tcPr>
            <w:tcW w:w="598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078836A3" w14:textId="77777777" w:rsidR="00CC2B1F" w:rsidRPr="00012272" w:rsidRDefault="00CC2B1F" w:rsidP="00CC2B1F">
            <w:pPr>
              <w:jc w:val="center"/>
              <w:rPr>
                <w:b/>
                <w:bCs/>
                <w:color w:val="000000"/>
              </w:rPr>
            </w:pPr>
            <w:r w:rsidRPr="00012272">
              <w:rPr>
                <w:b/>
                <w:bCs/>
                <w:color w:val="000000"/>
              </w:rPr>
              <w:t>Instituições</w:t>
            </w:r>
          </w:p>
        </w:tc>
        <w:tc>
          <w:tcPr>
            <w:tcW w:w="2160" w:type="dxa"/>
            <w:tcBorders>
              <w:top w:val="single" w:sz="4" w:space="0" w:color="auto"/>
              <w:left w:val="nil"/>
              <w:bottom w:val="single" w:sz="4" w:space="0" w:color="auto"/>
              <w:right w:val="single" w:sz="4" w:space="0" w:color="auto"/>
            </w:tcBorders>
            <w:shd w:val="clear" w:color="000000" w:fill="D0CECE"/>
            <w:vAlign w:val="center"/>
            <w:hideMark/>
          </w:tcPr>
          <w:p w14:paraId="0FA4CC1B" w14:textId="77777777" w:rsidR="00CC2B1F" w:rsidRPr="00012272" w:rsidRDefault="00CC2B1F" w:rsidP="00CC2B1F">
            <w:pPr>
              <w:jc w:val="center"/>
              <w:rPr>
                <w:b/>
                <w:bCs/>
                <w:color w:val="000000"/>
              </w:rPr>
            </w:pPr>
            <w:r w:rsidRPr="00012272">
              <w:rPr>
                <w:b/>
                <w:bCs/>
                <w:color w:val="000000"/>
              </w:rPr>
              <w:t>Nº de autores</w:t>
            </w:r>
          </w:p>
        </w:tc>
        <w:tc>
          <w:tcPr>
            <w:tcW w:w="1120" w:type="dxa"/>
            <w:tcBorders>
              <w:top w:val="single" w:sz="4" w:space="0" w:color="auto"/>
              <w:left w:val="nil"/>
              <w:bottom w:val="single" w:sz="4" w:space="0" w:color="auto"/>
              <w:right w:val="single" w:sz="4" w:space="0" w:color="auto"/>
            </w:tcBorders>
            <w:shd w:val="clear" w:color="000000" w:fill="D0CECE"/>
            <w:vAlign w:val="center"/>
            <w:hideMark/>
          </w:tcPr>
          <w:p w14:paraId="4036E6D3" w14:textId="77777777" w:rsidR="00CC2B1F" w:rsidRPr="00012272" w:rsidRDefault="00CC2B1F" w:rsidP="00CC2B1F">
            <w:pPr>
              <w:jc w:val="center"/>
              <w:rPr>
                <w:b/>
                <w:bCs/>
                <w:color w:val="000000"/>
              </w:rPr>
            </w:pPr>
            <w:r w:rsidRPr="00012272">
              <w:rPr>
                <w:b/>
                <w:bCs/>
                <w:color w:val="000000"/>
              </w:rPr>
              <w:t>%</w:t>
            </w:r>
          </w:p>
        </w:tc>
      </w:tr>
      <w:tr w:rsidR="00CC2B1F" w:rsidRPr="00012272" w14:paraId="3B50D32E" w14:textId="77777777" w:rsidTr="00CC2B1F">
        <w:trPr>
          <w:trHeight w:val="300"/>
          <w:jc w:val="center"/>
        </w:trPr>
        <w:tc>
          <w:tcPr>
            <w:tcW w:w="5980" w:type="dxa"/>
            <w:tcBorders>
              <w:top w:val="nil"/>
              <w:left w:val="single" w:sz="4" w:space="0" w:color="auto"/>
              <w:bottom w:val="single" w:sz="4" w:space="0" w:color="auto"/>
              <w:right w:val="single" w:sz="4" w:space="0" w:color="auto"/>
            </w:tcBorders>
            <w:shd w:val="clear" w:color="auto" w:fill="auto"/>
            <w:noWrap/>
            <w:vAlign w:val="center"/>
            <w:hideMark/>
          </w:tcPr>
          <w:p w14:paraId="1F9E515B" w14:textId="77777777" w:rsidR="00CC2B1F" w:rsidRPr="00012272" w:rsidRDefault="00CC2B1F" w:rsidP="00CC2B1F">
            <w:pPr>
              <w:rPr>
                <w:color w:val="000000"/>
              </w:rPr>
            </w:pPr>
            <w:r w:rsidRPr="00012272">
              <w:rPr>
                <w:color w:val="000000"/>
              </w:rPr>
              <w:t>Universidade de São Paulo (USP)</w:t>
            </w:r>
          </w:p>
        </w:tc>
        <w:tc>
          <w:tcPr>
            <w:tcW w:w="2160" w:type="dxa"/>
            <w:tcBorders>
              <w:top w:val="nil"/>
              <w:left w:val="nil"/>
              <w:bottom w:val="single" w:sz="4" w:space="0" w:color="auto"/>
              <w:right w:val="single" w:sz="4" w:space="0" w:color="auto"/>
            </w:tcBorders>
            <w:shd w:val="clear" w:color="auto" w:fill="auto"/>
            <w:noWrap/>
            <w:vAlign w:val="center"/>
            <w:hideMark/>
          </w:tcPr>
          <w:p w14:paraId="17A3CB41" w14:textId="77777777" w:rsidR="00CC2B1F" w:rsidRPr="00012272" w:rsidRDefault="00CC2B1F" w:rsidP="00CC2B1F">
            <w:pPr>
              <w:jc w:val="center"/>
              <w:rPr>
                <w:color w:val="000000"/>
              </w:rPr>
            </w:pPr>
            <w:r w:rsidRPr="00012272">
              <w:rPr>
                <w:color w:val="000000"/>
              </w:rPr>
              <w:t>15</w:t>
            </w:r>
          </w:p>
        </w:tc>
        <w:tc>
          <w:tcPr>
            <w:tcW w:w="1120" w:type="dxa"/>
            <w:tcBorders>
              <w:top w:val="nil"/>
              <w:left w:val="nil"/>
              <w:bottom w:val="single" w:sz="4" w:space="0" w:color="auto"/>
              <w:right w:val="single" w:sz="4" w:space="0" w:color="auto"/>
            </w:tcBorders>
            <w:shd w:val="clear" w:color="auto" w:fill="auto"/>
            <w:noWrap/>
            <w:vAlign w:val="center"/>
            <w:hideMark/>
          </w:tcPr>
          <w:p w14:paraId="01B94320" w14:textId="77777777" w:rsidR="00CC2B1F" w:rsidRPr="00012272" w:rsidRDefault="00CC2B1F" w:rsidP="00CC2B1F">
            <w:pPr>
              <w:jc w:val="center"/>
              <w:rPr>
                <w:color w:val="000000"/>
              </w:rPr>
            </w:pPr>
            <w:r w:rsidRPr="00012272">
              <w:rPr>
                <w:color w:val="000000"/>
              </w:rPr>
              <w:t>27,3</w:t>
            </w:r>
          </w:p>
        </w:tc>
      </w:tr>
      <w:tr w:rsidR="00CC2B1F" w:rsidRPr="00012272" w14:paraId="0FA7BCF8" w14:textId="77777777" w:rsidTr="00CC2B1F">
        <w:trPr>
          <w:trHeight w:val="300"/>
          <w:jc w:val="center"/>
        </w:trPr>
        <w:tc>
          <w:tcPr>
            <w:tcW w:w="5980" w:type="dxa"/>
            <w:tcBorders>
              <w:top w:val="nil"/>
              <w:left w:val="single" w:sz="4" w:space="0" w:color="auto"/>
              <w:bottom w:val="single" w:sz="4" w:space="0" w:color="auto"/>
              <w:right w:val="single" w:sz="4" w:space="0" w:color="auto"/>
            </w:tcBorders>
            <w:shd w:val="clear" w:color="auto" w:fill="auto"/>
            <w:noWrap/>
            <w:vAlign w:val="center"/>
            <w:hideMark/>
          </w:tcPr>
          <w:p w14:paraId="26C25A2A" w14:textId="77777777" w:rsidR="00CC2B1F" w:rsidRPr="00012272" w:rsidRDefault="00CC2B1F" w:rsidP="00CC2B1F">
            <w:pPr>
              <w:rPr>
                <w:color w:val="000000"/>
              </w:rPr>
            </w:pPr>
            <w:r w:rsidRPr="00012272">
              <w:rPr>
                <w:color w:val="000000"/>
              </w:rPr>
              <w:t>Universidade Federal da Paraíba (UFPB)</w:t>
            </w:r>
          </w:p>
        </w:tc>
        <w:tc>
          <w:tcPr>
            <w:tcW w:w="2160" w:type="dxa"/>
            <w:tcBorders>
              <w:top w:val="nil"/>
              <w:left w:val="nil"/>
              <w:bottom w:val="single" w:sz="4" w:space="0" w:color="auto"/>
              <w:right w:val="single" w:sz="4" w:space="0" w:color="auto"/>
            </w:tcBorders>
            <w:shd w:val="clear" w:color="auto" w:fill="auto"/>
            <w:noWrap/>
            <w:vAlign w:val="center"/>
            <w:hideMark/>
          </w:tcPr>
          <w:p w14:paraId="0909CE8F" w14:textId="77777777" w:rsidR="00CC2B1F" w:rsidRPr="00012272" w:rsidRDefault="00CC2B1F" w:rsidP="00CC2B1F">
            <w:pPr>
              <w:jc w:val="center"/>
              <w:rPr>
                <w:color w:val="000000"/>
              </w:rPr>
            </w:pPr>
            <w:r w:rsidRPr="00012272">
              <w:rPr>
                <w:color w:val="000000"/>
              </w:rPr>
              <w:t>6</w:t>
            </w:r>
          </w:p>
        </w:tc>
        <w:tc>
          <w:tcPr>
            <w:tcW w:w="1120" w:type="dxa"/>
            <w:tcBorders>
              <w:top w:val="nil"/>
              <w:left w:val="nil"/>
              <w:bottom w:val="single" w:sz="4" w:space="0" w:color="auto"/>
              <w:right w:val="single" w:sz="4" w:space="0" w:color="auto"/>
            </w:tcBorders>
            <w:shd w:val="clear" w:color="auto" w:fill="auto"/>
            <w:noWrap/>
            <w:vAlign w:val="center"/>
            <w:hideMark/>
          </w:tcPr>
          <w:p w14:paraId="5845FA7F" w14:textId="77777777" w:rsidR="00CC2B1F" w:rsidRPr="00012272" w:rsidRDefault="00CC2B1F" w:rsidP="00CC2B1F">
            <w:pPr>
              <w:jc w:val="center"/>
              <w:rPr>
                <w:color w:val="000000"/>
              </w:rPr>
            </w:pPr>
            <w:r w:rsidRPr="00012272">
              <w:rPr>
                <w:color w:val="000000"/>
              </w:rPr>
              <w:t>10,9</w:t>
            </w:r>
          </w:p>
        </w:tc>
      </w:tr>
      <w:tr w:rsidR="00CC2B1F" w:rsidRPr="00012272" w14:paraId="694CC814" w14:textId="77777777" w:rsidTr="00CC2B1F">
        <w:trPr>
          <w:trHeight w:val="300"/>
          <w:jc w:val="center"/>
        </w:trPr>
        <w:tc>
          <w:tcPr>
            <w:tcW w:w="5980" w:type="dxa"/>
            <w:tcBorders>
              <w:top w:val="nil"/>
              <w:left w:val="single" w:sz="4" w:space="0" w:color="auto"/>
              <w:bottom w:val="single" w:sz="4" w:space="0" w:color="auto"/>
              <w:right w:val="single" w:sz="4" w:space="0" w:color="auto"/>
            </w:tcBorders>
            <w:shd w:val="clear" w:color="auto" w:fill="auto"/>
            <w:noWrap/>
            <w:vAlign w:val="center"/>
            <w:hideMark/>
          </w:tcPr>
          <w:p w14:paraId="31093FF9" w14:textId="77777777" w:rsidR="00CC2B1F" w:rsidRPr="00012272" w:rsidRDefault="00CC2B1F" w:rsidP="00CC2B1F">
            <w:pPr>
              <w:rPr>
                <w:color w:val="000000"/>
              </w:rPr>
            </w:pPr>
            <w:r>
              <w:rPr>
                <w:color w:val="000000"/>
              </w:rPr>
              <w:t>Pontifícia Uni</w:t>
            </w:r>
            <w:r w:rsidRPr="00012272">
              <w:rPr>
                <w:color w:val="000000"/>
              </w:rPr>
              <w:t>versidade Católica do Rio de Janeiro (PUC-RJ)</w:t>
            </w:r>
          </w:p>
        </w:tc>
        <w:tc>
          <w:tcPr>
            <w:tcW w:w="2160" w:type="dxa"/>
            <w:tcBorders>
              <w:top w:val="nil"/>
              <w:left w:val="nil"/>
              <w:bottom w:val="single" w:sz="4" w:space="0" w:color="auto"/>
              <w:right w:val="single" w:sz="4" w:space="0" w:color="auto"/>
            </w:tcBorders>
            <w:shd w:val="clear" w:color="auto" w:fill="auto"/>
            <w:noWrap/>
            <w:vAlign w:val="center"/>
            <w:hideMark/>
          </w:tcPr>
          <w:p w14:paraId="4AE8110B" w14:textId="77777777" w:rsidR="00CC2B1F" w:rsidRPr="00012272" w:rsidRDefault="00CC2B1F" w:rsidP="00CC2B1F">
            <w:pPr>
              <w:jc w:val="center"/>
              <w:rPr>
                <w:color w:val="000000"/>
              </w:rPr>
            </w:pPr>
            <w:r w:rsidRPr="00012272">
              <w:rPr>
                <w:color w:val="000000"/>
              </w:rPr>
              <w:t>6</w:t>
            </w:r>
          </w:p>
        </w:tc>
        <w:tc>
          <w:tcPr>
            <w:tcW w:w="1120" w:type="dxa"/>
            <w:tcBorders>
              <w:top w:val="nil"/>
              <w:left w:val="nil"/>
              <w:bottom w:val="single" w:sz="4" w:space="0" w:color="auto"/>
              <w:right w:val="single" w:sz="4" w:space="0" w:color="auto"/>
            </w:tcBorders>
            <w:shd w:val="clear" w:color="auto" w:fill="auto"/>
            <w:noWrap/>
            <w:vAlign w:val="center"/>
            <w:hideMark/>
          </w:tcPr>
          <w:p w14:paraId="43E2A7D1" w14:textId="77777777" w:rsidR="00CC2B1F" w:rsidRPr="00012272" w:rsidRDefault="00CC2B1F" w:rsidP="00CC2B1F">
            <w:pPr>
              <w:jc w:val="center"/>
              <w:rPr>
                <w:color w:val="000000"/>
              </w:rPr>
            </w:pPr>
            <w:r w:rsidRPr="00012272">
              <w:rPr>
                <w:color w:val="000000"/>
              </w:rPr>
              <w:t>10,9</w:t>
            </w:r>
          </w:p>
        </w:tc>
      </w:tr>
      <w:tr w:rsidR="00CC2B1F" w:rsidRPr="00012272" w14:paraId="09D39C65" w14:textId="77777777" w:rsidTr="00CC2B1F">
        <w:trPr>
          <w:trHeight w:val="300"/>
          <w:jc w:val="center"/>
        </w:trPr>
        <w:tc>
          <w:tcPr>
            <w:tcW w:w="5980" w:type="dxa"/>
            <w:tcBorders>
              <w:top w:val="nil"/>
              <w:left w:val="single" w:sz="4" w:space="0" w:color="auto"/>
              <w:bottom w:val="single" w:sz="4" w:space="0" w:color="auto"/>
              <w:right w:val="single" w:sz="4" w:space="0" w:color="auto"/>
            </w:tcBorders>
            <w:shd w:val="clear" w:color="auto" w:fill="auto"/>
            <w:noWrap/>
            <w:vAlign w:val="center"/>
            <w:hideMark/>
          </w:tcPr>
          <w:p w14:paraId="41A48839" w14:textId="77777777" w:rsidR="00CC2B1F" w:rsidRPr="00012272" w:rsidRDefault="00CC2B1F" w:rsidP="00CC2B1F">
            <w:pPr>
              <w:rPr>
                <w:color w:val="000000"/>
              </w:rPr>
            </w:pPr>
            <w:r w:rsidRPr="00012272">
              <w:rPr>
                <w:color w:val="000000"/>
              </w:rPr>
              <w:t>Universidade Federal de Santa Maria (UFSM)</w:t>
            </w:r>
          </w:p>
        </w:tc>
        <w:tc>
          <w:tcPr>
            <w:tcW w:w="2160" w:type="dxa"/>
            <w:tcBorders>
              <w:top w:val="nil"/>
              <w:left w:val="nil"/>
              <w:bottom w:val="single" w:sz="4" w:space="0" w:color="auto"/>
              <w:right w:val="single" w:sz="4" w:space="0" w:color="auto"/>
            </w:tcBorders>
            <w:shd w:val="clear" w:color="auto" w:fill="auto"/>
            <w:noWrap/>
            <w:vAlign w:val="center"/>
            <w:hideMark/>
          </w:tcPr>
          <w:p w14:paraId="600ACE31" w14:textId="77777777" w:rsidR="00CC2B1F" w:rsidRPr="00012272" w:rsidRDefault="00CC2B1F" w:rsidP="00CC2B1F">
            <w:pPr>
              <w:jc w:val="center"/>
              <w:rPr>
                <w:color w:val="000000"/>
              </w:rPr>
            </w:pPr>
            <w:r w:rsidRPr="00012272">
              <w:rPr>
                <w:color w:val="000000"/>
              </w:rPr>
              <w:t>5</w:t>
            </w:r>
          </w:p>
        </w:tc>
        <w:tc>
          <w:tcPr>
            <w:tcW w:w="1120" w:type="dxa"/>
            <w:tcBorders>
              <w:top w:val="nil"/>
              <w:left w:val="nil"/>
              <w:bottom w:val="single" w:sz="4" w:space="0" w:color="auto"/>
              <w:right w:val="single" w:sz="4" w:space="0" w:color="auto"/>
            </w:tcBorders>
            <w:shd w:val="clear" w:color="auto" w:fill="auto"/>
            <w:noWrap/>
            <w:vAlign w:val="center"/>
            <w:hideMark/>
          </w:tcPr>
          <w:p w14:paraId="199525B0" w14:textId="77777777" w:rsidR="00CC2B1F" w:rsidRPr="00012272" w:rsidRDefault="00CC2B1F" w:rsidP="00CC2B1F">
            <w:pPr>
              <w:jc w:val="center"/>
              <w:rPr>
                <w:color w:val="000000"/>
              </w:rPr>
            </w:pPr>
            <w:r w:rsidRPr="00012272">
              <w:rPr>
                <w:color w:val="000000"/>
              </w:rPr>
              <w:t>9,1</w:t>
            </w:r>
          </w:p>
        </w:tc>
      </w:tr>
      <w:tr w:rsidR="00CC2B1F" w:rsidRPr="00012272" w14:paraId="3B974551" w14:textId="77777777" w:rsidTr="00CC2B1F">
        <w:trPr>
          <w:trHeight w:val="300"/>
          <w:jc w:val="center"/>
        </w:trPr>
        <w:tc>
          <w:tcPr>
            <w:tcW w:w="5980" w:type="dxa"/>
            <w:tcBorders>
              <w:top w:val="nil"/>
              <w:left w:val="single" w:sz="4" w:space="0" w:color="auto"/>
              <w:bottom w:val="single" w:sz="4" w:space="0" w:color="auto"/>
              <w:right w:val="single" w:sz="4" w:space="0" w:color="auto"/>
            </w:tcBorders>
            <w:shd w:val="clear" w:color="auto" w:fill="auto"/>
            <w:noWrap/>
            <w:vAlign w:val="center"/>
            <w:hideMark/>
          </w:tcPr>
          <w:p w14:paraId="16237ECC" w14:textId="77777777" w:rsidR="00CC2B1F" w:rsidRPr="00012272" w:rsidRDefault="00CC2B1F" w:rsidP="00CC2B1F">
            <w:pPr>
              <w:rPr>
                <w:color w:val="000000"/>
              </w:rPr>
            </w:pPr>
            <w:r w:rsidRPr="00012272">
              <w:rPr>
                <w:color w:val="000000"/>
              </w:rPr>
              <w:t>Fundação Getúlio Vargas (FGV)</w:t>
            </w:r>
          </w:p>
        </w:tc>
        <w:tc>
          <w:tcPr>
            <w:tcW w:w="2160" w:type="dxa"/>
            <w:tcBorders>
              <w:top w:val="nil"/>
              <w:left w:val="nil"/>
              <w:bottom w:val="single" w:sz="4" w:space="0" w:color="auto"/>
              <w:right w:val="single" w:sz="4" w:space="0" w:color="auto"/>
            </w:tcBorders>
            <w:shd w:val="clear" w:color="auto" w:fill="auto"/>
            <w:noWrap/>
            <w:vAlign w:val="center"/>
            <w:hideMark/>
          </w:tcPr>
          <w:p w14:paraId="6AC4231C" w14:textId="77777777" w:rsidR="00CC2B1F" w:rsidRPr="00012272" w:rsidRDefault="00CC2B1F" w:rsidP="00CC2B1F">
            <w:pPr>
              <w:jc w:val="center"/>
              <w:rPr>
                <w:color w:val="000000"/>
              </w:rPr>
            </w:pPr>
            <w:r w:rsidRPr="00012272">
              <w:rPr>
                <w:color w:val="000000"/>
              </w:rPr>
              <w:t>4</w:t>
            </w:r>
          </w:p>
        </w:tc>
        <w:tc>
          <w:tcPr>
            <w:tcW w:w="1120" w:type="dxa"/>
            <w:tcBorders>
              <w:top w:val="nil"/>
              <w:left w:val="nil"/>
              <w:bottom w:val="single" w:sz="4" w:space="0" w:color="auto"/>
              <w:right w:val="single" w:sz="4" w:space="0" w:color="auto"/>
            </w:tcBorders>
            <w:shd w:val="clear" w:color="auto" w:fill="auto"/>
            <w:noWrap/>
            <w:vAlign w:val="center"/>
            <w:hideMark/>
          </w:tcPr>
          <w:p w14:paraId="0183E28F" w14:textId="77777777" w:rsidR="00CC2B1F" w:rsidRPr="00012272" w:rsidRDefault="00CC2B1F" w:rsidP="00CC2B1F">
            <w:pPr>
              <w:jc w:val="center"/>
              <w:rPr>
                <w:color w:val="000000"/>
              </w:rPr>
            </w:pPr>
            <w:r w:rsidRPr="00012272">
              <w:rPr>
                <w:color w:val="000000"/>
              </w:rPr>
              <w:t>7,3</w:t>
            </w:r>
          </w:p>
        </w:tc>
      </w:tr>
      <w:tr w:rsidR="00CC2B1F" w:rsidRPr="00012272" w14:paraId="4ED903AA" w14:textId="77777777" w:rsidTr="00CC2B1F">
        <w:trPr>
          <w:trHeight w:val="300"/>
          <w:jc w:val="center"/>
        </w:trPr>
        <w:tc>
          <w:tcPr>
            <w:tcW w:w="5980" w:type="dxa"/>
            <w:tcBorders>
              <w:top w:val="nil"/>
              <w:left w:val="single" w:sz="4" w:space="0" w:color="auto"/>
              <w:bottom w:val="single" w:sz="4" w:space="0" w:color="auto"/>
              <w:right w:val="single" w:sz="4" w:space="0" w:color="auto"/>
            </w:tcBorders>
            <w:shd w:val="clear" w:color="auto" w:fill="auto"/>
            <w:noWrap/>
            <w:vAlign w:val="center"/>
            <w:hideMark/>
          </w:tcPr>
          <w:p w14:paraId="354B0533" w14:textId="77777777" w:rsidR="00CC2B1F" w:rsidRPr="00012272" w:rsidRDefault="00CC2B1F" w:rsidP="00CC2B1F">
            <w:pPr>
              <w:rPr>
                <w:color w:val="000000"/>
              </w:rPr>
            </w:pPr>
            <w:r w:rsidRPr="00012272">
              <w:rPr>
                <w:color w:val="000000"/>
              </w:rPr>
              <w:t>Pontifícia U</w:t>
            </w:r>
            <w:r>
              <w:rPr>
                <w:color w:val="000000"/>
              </w:rPr>
              <w:t>ni</w:t>
            </w:r>
            <w:r w:rsidRPr="00012272">
              <w:rPr>
                <w:color w:val="000000"/>
              </w:rPr>
              <w:t>versidade Católica do Paraná (PUC-PR)</w:t>
            </w:r>
          </w:p>
        </w:tc>
        <w:tc>
          <w:tcPr>
            <w:tcW w:w="2160" w:type="dxa"/>
            <w:tcBorders>
              <w:top w:val="nil"/>
              <w:left w:val="nil"/>
              <w:bottom w:val="single" w:sz="4" w:space="0" w:color="auto"/>
              <w:right w:val="single" w:sz="4" w:space="0" w:color="auto"/>
            </w:tcBorders>
            <w:shd w:val="clear" w:color="auto" w:fill="auto"/>
            <w:noWrap/>
            <w:vAlign w:val="center"/>
            <w:hideMark/>
          </w:tcPr>
          <w:p w14:paraId="1A13537D" w14:textId="77777777" w:rsidR="00CC2B1F" w:rsidRPr="00012272" w:rsidRDefault="00CC2B1F" w:rsidP="00CC2B1F">
            <w:pPr>
              <w:jc w:val="center"/>
              <w:rPr>
                <w:color w:val="000000"/>
              </w:rPr>
            </w:pPr>
            <w:r w:rsidRPr="00012272">
              <w:rPr>
                <w:color w:val="000000"/>
              </w:rPr>
              <w:t>4</w:t>
            </w:r>
          </w:p>
        </w:tc>
        <w:tc>
          <w:tcPr>
            <w:tcW w:w="1120" w:type="dxa"/>
            <w:tcBorders>
              <w:top w:val="nil"/>
              <w:left w:val="nil"/>
              <w:bottom w:val="single" w:sz="4" w:space="0" w:color="auto"/>
              <w:right w:val="single" w:sz="4" w:space="0" w:color="auto"/>
            </w:tcBorders>
            <w:shd w:val="clear" w:color="auto" w:fill="auto"/>
            <w:noWrap/>
            <w:vAlign w:val="center"/>
            <w:hideMark/>
          </w:tcPr>
          <w:p w14:paraId="7276B3B4" w14:textId="77777777" w:rsidR="00CC2B1F" w:rsidRPr="00012272" w:rsidRDefault="00CC2B1F" w:rsidP="00CC2B1F">
            <w:pPr>
              <w:jc w:val="center"/>
              <w:rPr>
                <w:color w:val="000000"/>
              </w:rPr>
            </w:pPr>
            <w:r w:rsidRPr="00012272">
              <w:rPr>
                <w:color w:val="000000"/>
              </w:rPr>
              <w:t>7,3</w:t>
            </w:r>
          </w:p>
        </w:tc>
      </w:tr>
      <w:tr w:rsidR="00CC2B1F" w:rsidRPr="00012272" w14:paraId="7D8330A9" w14:textId="77777777" w:rsidTr="00CC2B1F">
        <w:trPr>
          <w:trHeight w:val="300"/>
          <w:jc w:val="center"/>
        </w:trPr>
        <w:tc>
          <w:tcPr>
            <w:tcW w:w="5980" w:type="dxa"/>
            <w:tcBorders>
              <w:top w:val="nil"/>
              <w:left w:val="single" w:sz="4" w:space="0" w:color="auto"/>
              <w:bottom w:val="single" w:sz="4" w:space="0" w:color="auto"/>
              <w:right w:val="single" w:sz="4" w:space="0" w:color="auto"/>
            </w:tcBorders>
            <w:shd w:val="clear" w:color="auto" w:fill="auto"/>
            <w:noWrap/>
            <w:vAlign w:val="center"/>
            <w:hideMark/>
          </w:tcPr>
          <w:p w14:paraId="766E7396" w14:textId="77777777" w:rsidR="00CC2B1F" w:rsidRPr="00012272" w:rsidRDefault="00CC2B1F" w:rsidP="00CC2B1F">
            <w:pPr>
              <w:rPr>
                <w:color w:val="000000"/>
              </w:rPr>
            </w:pPr>
            <w:r w:rsidRPr="00012272">
              <w:rPr>
                <w:color w:val="000000"/>
              </w:rPr>
              <w:t>Universidade Federal de Minas Gerais (UFMG)</w:t>
            </w:r>
          </w:p>
        </w:tc>
        <w:tc>
          <w:tcPr>
            <w:tcW w:w="2160" w:type="dxa"/>
            <w:tcBorders>
              <w:top w:val="nil"/>
              <w:left w:val="nil"/>
              <w:bottom w:val="single" w:sz="4" w:space="0" w:color="auto"/>
              <w:right w:val="single" w:sz="4" w:space="0" w:color="auto"/>
            </w:tcBorders>
            <w:shd w:val="clear" w:color="auto" w:fill="auto"/>
            <w:noWrap/>
            <w:vAlign w:val="center"/>
            <w:hideMark/>
          </w:tcPr>
          <w:p w14:paraId="065531BD" w14:textId="77777777" w:rsidR="00CC2B1F" w:rsidRPr="00012272" w:rsidRDefault="00CC2B1F" w:rsidP="00CC2B1F">
            <w:pPr>
              <w:jc w:val="center"/>
              <w:rPr>
                <w:color w:val="000000"/>
              </w:rPr>
            </w:pPr>
            <w:r w:rsidRPr="00012272">
              <w:rPr>
                <w:color w:val="000000"/>
              </w:rPr>
              <w:t>3</w:t>
            </w:r>
          </w:p>
        </w:tc>
        <w:tc>
          <w:tcPr>
            <w:tcW w:w="1120" w:type="dxa"/>
            <w:tcBorders>
              <w:top w:val="nil"/>
              <w:left w:val="nil"/>
              <w:bottom w:val="single" w:sz="4" w:space="0" w:color="auto"/>
              <w:right w:val="single" w:sz="4" w:space="0" w:color="auto"/>
            </w:tcBorders>
            <w:shd w:val="clear" w:color="auto" w:fill="auto"/>
            <w:noWrap/>
            <w:vAlign w:val="center"/>
            <w:hideMark/>
          </w:tcPr>
          <w:p w14:paraId="0D61D709" w14:textId="77777777" w:rsidR="00CC2B1F" w:rsidRPr="00012272" w:rsidRDefault="00CC2B1F" w:rsidP="00CC2B1F">
            <w:pPr>
              <w:jc w:val="center"/>
              <w:rPr>
                <w:color w:val="000000"/>
              </w:rPr>
            </w:pPr>
            <w:r w:rsidRPr="00012272">
              <w:rPr>
                <w:color w:val="000000"/>
              </w:rPr>
              <w:t>5,5</w:t>
            </w:r>
          </w:p>
        </w:tc>
      </w:tr>
      <w:tr w:rsidR="00CC2B1F" w:rsidRPr="00012272" w14:paraId="1FD0216F" w14:textId="77777777" w:rsidTr="00CC2B1F">
        <w:trPr>
          <w:trHeight w:val="300"/>
          <w:jc w:val="center"/>
        </w:trPr>
        <w:tc>
          <w:tcPr>
            <w:tcW w:w="5980" w:type="dxa"/>
            <w:tcBorders>
              <w:top w:val="nil"/>
              <w:left w:val="single" w:sz="4" w:space="0" w:color="auto"/>
              <w:bottom w:val="single" w:sz="4" w:space="0" w:color="auto"/>
              <w:right w:val="single" w:sz="4" w:space="0" w:color="auto"/>
            </w:tcBorders>
            <w:shd w:val="clear" w:color="auto" w:fill="auto"/>
            <w:noWrap/>
            <w:vAlign w:val="center"/>
            <w:hideMark/>
          </w:tcPr>
          <w:p w14:paraId="2CEEACAC" w14:textId="77777777" w:rsidR="00CC2B1F" w:rsidRPr="00012272" w:rsidRDefault="00CC2B1F" w:rsidP="00CC2B1F">
            <w:pPr>
              <w:rPr>
                <w:color w:val="000000"/>
              </w:rPr>
            </w:pPr>
            <w:r w:rsidRPr="00012272">
              <w:rPr>
                <w:color w:val="000000"/>
              </w:rPr>
              <w:t>Universidade Federal do Espírito Santo (UFES)</w:t>
            </w:r>
          </w:p>
        </w:tc>
        <w:tc>
          <w:tcPr>
            <w:tcW w:w="2160" w:type="dxa"/>
            <w:tcBorders>
              <w:top w:val="nil"/>
              <w:left w:val="nil"/>
              <w:bottom w:val="single" w:sz="4" w:space="0" w:color="auto"/>
              <w:right w:val="single" w:sz="4" w:space="0" w:color="auto"/>
            </w:tcBorders>
            <w:shd w:val="clear" w:color="auto" w:fill="auto"/>
            <w:noWrap/>
            <w:vAlign w:val="center"/>
            <w:hideMark/>
          </w:tcPr>
          <w:p w14:paraId="5B62FDE7" w14:textId="77777777" w:rsidR="00CC2B1F" w:rsidRPr="00012272" w:rsidRDefault="00CC2B1F" w:rsidP="00CC2B1F">
            <w:pPr>
              <w:jc w:val="center"/>
              <w:rPr>
                <w:color w:val="000000"/>
              </w:rPr>
            </w:pPr>
            <w:r w:rsidRPr="00012272">
              <w:rPr>
                <w:color w:val="000000"/>
              </w:rPr>
              <w:t>2</w:t>
            </w:r>
          </w:p>
        </w:tc>
        <w:tc>
          <w:tcPr>
            <w:tcW w:w="1120" w:type="dxa"/>
            <w:tcBorders>
              <w:top w:val="nil"/>
              <w:left w:val="nil"/>
              <w:bottom w:val="single" w:sz="4" w:space="0" w:color="auto"/>
              <w:right w:val="single" w:sz="4" w:space="0" w:color="auto"/>
            </w:tcBorders>
            <w:shd w:val="clear" w:color="auto" w:fill="auto"/>
            <w:noWrap/>
            <w:vAlign w:val="center"/>
            <w:hideMark/>
          </w:tcPr>
          <w:p w14:paraId="7FB36254" w14:textId="77777777" w:rsidR="00CC2B1F" w:rsidRPr="00012272" w:rsidRDefault="00CC2B1F" w:rsidP="00CC2B1F">
            <w:pPr>
              <w:jc w:val="center"/>
              <w:rPr>
                <w:color w:val="000000"/>
              </w:rPr>
            </w:pPr>
            <w:r w:rsidRPr="00012272">
              <w:rPr>
                <w:color w:val="000000"/>
              </w:rPr>
              <w:t>3,6</w:t>
            </w:r>
          </w:p>
        </w:tc>
      </w:tr>
      <w:tr w:rsidR="00CC2B1F" w:rsidRPr="00012272" w14:paraId="4B06CDD8" w14:textId="77777777" w:rsidTr="00CC2B1F">
        <w:trPr>
          <w:trHeight w:val="300"/>
          <w:jc w:val="center"/>
        </w:trPr>
        <w:tc>
          <w:tcPr>
            <w:tcW w:w="5980" w:type="dxa"/>
            <w:tcBorders>
              <w:top w:val="nil"/>
              <w:left w:val="single" w:sz="4" w:space="0" w:color="auto"/>
              <w:bottom w:val="single" w:sz="4" w:space="0" w:color="auto"/>
              <w:right w:val="single" w:sz="4" w:space="0" w:color="auto"/>
            </w:tcBorders>
            <w:shd w:val="clear" w:color="auto" w:fill="auto"/>
            <w:noWrap/>
            <w:vAlign w:val="center"/>
            <w:hideMark/>
          </w:tcPr>
          <w:p w14:paraId="0E9F6EFA" w14:textId="77777777" w:rsidR="00CC2B1F" w:rsidRPr="00012272" w:rsidRDefault="00CC2B1F" w:rsidP="00CC2B1F">
            <w:pPr>
              <w:rPr>
                <w:color w:val="000000"/>
              </w:rPr>
            </w:pPr>
            <w:r w:rsidRPr="00012272">
              <w:rPr>
                <w:color w:val="000000"/>
              </w:rPr>
              <w:t>Universidade Federal de Uberlândia (UFU)</w:t>
            </w:r>
          </w:p>
        </w:tc>
        <w:tc>
          <w:tcPr>
            <w:tcW w:w="2160" w:type="dxa"/>
            <w:tcBorders>
              <w:top w:val="nil"/>
              <w:left w:val="nil"/>
              <w:bottom w:val="single" w:sz="4" w:space="0" w:color="auto"/>
              <w:right w:val="single" w:sz="4" w:space="0" w:color="auto"/>
            </w:tcBorders>
            <w:shd w:val="clear" w:color="auto" w:fill="auto"/>
            <w:noWrap/>
            <w:vAlign w:val="center"/>
            <w:hideMark/>
          </w:tcPr>
          <w:p w14:paraId="15712385" w14:textId="77777777" w:rsidR="00CC2B1F" w:rsidRPr="00012272" w:rsidRDefault="00CC2B1F" w:rsidP="00CC2B1F">
            <w:pPr>
              <w:jc w:val="center"/>
              <w:rPr>
                <w:color w:val="000000"/>
              </w:rPr>
            </w:pPr>
            <w:r w:rsidRPr="00012272">
              <w:rPr>
                <w:color w:val="000000"/>
              </w:rPr>
              <w:t>2</w:t>
            </w:r>
          </w:p>
        </w:tc>
        <w:tc>
          <w:tcPr>
            <w:tcW w:w="1120" w:type="dxa"/>
            <w:tcBorders>
              <w:top w:val="nil"/>
              <w:left w:val="nil"/>
              <w:bottom w:val="single" w:sz="4" w:space="0" w:color="auto"/>
              <w:right w:val="single" w:sz="4" w:space="0" w:color="auto"/>
            </w:tcBorders>
            <w:shd w:val="clear" w:color="auto" w:fill="auto"/>
            <w:noWrap/>
            <w:vAlign w:val="center"/>
            <w:hideMark/>
          </w:tcPr>
          <w:p w14:paraId="306C6FB9" w14:textId="77777777" w:rsidR="00CC2B1F" w:rsidRPr="00012272" w:rsidRDefault="00CC2B1F" w:rsidP="00CC2B1F">
            <w:pPr>
              <w:jc w:val="center"/>
              <w:rPr>
                <w:color w:val="000000"/>
              </w:rPr>
            </w:pPr>
            <w:r w:rsidRPr="00012272">
              <w:rPr>
                <w:color w:val="000000"/>
              </w:rPr>
              <w:t>3,6</w:t>
            </w:r>
          </w:p>
        </w:tc>
      </w:tr>
      <w:tr w:rsidR="00CC2B1F" w:rsidRPr="00012272" w14:paraId="3215364F" w14:textId="77777777" w:rsidTr="00CC2B1F">
        <w:trPr>
          <w:trHeight w:val="300"/>
          <w:jc w:val="center"/>
        </w:trPr>
        <w:tc>
          <w:tcPr>
            <w:tcW w:w="5980" w:type="dxa"/>
            <w:tcBorders>
              <w:top w:val="nil"/>
              <w:left w:val="single" w:sz="4" w:space="0" w:color="auto"/>
              <w:bottom w:val="single" w:sz="4" w:space="0" w:color="auto"/>
              <w:right w:val="single" w:sz="4" w:space="0" w:color="auto"/>
            </w:tcBorders>
            <w:shd w:val="clear" w:color="auto" w:fill="auto"/>
            <w:noWrap/>
            <w:vAlign w:val="center"/>
            <w:hideMark/>
          </w:tcPr>
          <w:p w14:paraId="5F13B5CD" w14:textId="77777777" w:rsidR="00CC2B1F" w:rsidRPr="00012272" w:rsidRDefault="00CC2B1F" w:rsidP="00CC2B1F">
            <w:pPr>
              <w:rPr>
                <w:color w:val="000000"/>
              </w:rPr>
            </w:pPr>
            <w:r w:rsidRPr="00012272">
              <w:rPr>
                <w:color w:val="000000"/>
              </w:rPr>
              <w:t>Outras</w:t>
            </w:r>
          </w:p>
        </w:tc>
        <w:tc>
          <w:tcPr>
            <w:tcW w:w="2160" w:type="dxa"/>
            <w:tcBorders>
              <w:top w:val="nil"/>
              <w:left w:val="nil"/>
              <w:bottom w:val="single" w:sz="4" w:space="0" w:color="auto"/>
              <w:right w:val="single" w:sz="4" w:space="0" w:color="auto"/>
            </w:tcBorders>
            <w:shd w:val="clear" w:color="auto" w:fill="auto"/>
            <w:noWrap/>
            <w:vAlign w:val="center"/>
            <w:hideMark/>
          </w:tcPr>
          <w:p w14:paraId="12326D9D" w14:textId="77777777" w:rsidR="00CC2B1F" w:rsidRPr="00012272" w:rsidRDefault="00CC2B1F" w:rsidP="00CC2B1F">
            <w:pPr>
              <w:jc w:val="center"/>
              <w:rPr>
                <w:color w:val="000000"/>
              </w:rPr>
            </w:pPr>
            <w:r w:rsidRPr="00012272">
              <w:rPr>
                <w:color w:val="000000"/>
              </w:rPr>
              <w:t>8</w:t>
            </w:r>
          </w:p>
        </w:tc>
        <w:tc>
          <w:tcPr>
            <w:tcW w:w="1120" w:type="dxa"/>
            <w:tcBorders>
              <w:top w:val="nil"/>
              <w:left w:val="nil"/>
              <w:bottom w:val="single" w:sz="4" w:space="0" w:color="auto"/>
              <w:right w:val="single" w:sz="4" w:space="0" w:color="auto"/>
            </w:tcBorders>
            <w:shd w:val="clear" w:color="auto" w:fill="auto"/>
            <w:noWrap/>
            <w:vAlign w:val="center"/>
            <w:hideMark/>
          </w:tcPr>
          <w:p w14:paraId="33A3E858" w14:textId="77777777" w:rsidR="00CC2B1F" w:rsidRPr="00012272" w:rsidRDefault="00CC2B1F" w:rsidP="00CC2B1F">
            <w:pPr>
              <w:jc w:val="center"/>
              <w:rPr>
                <w:color w:val="000000"/>
              </w:rPr>
            </w:pPr>
            <w:r w:rsidRPr="00012272">
              <w:rPr>
                <w:color w:val="000000"/>
              </w:rPr>
              <w:t>14,5</w:t>
            </w:r>
          </w:p>
        </w:tc>
      </w:tr>
      <w:tr w:rsidR="00CC2B1F" w:rsidRPr="00012272" w14:paraId="20776104" w14:textId="77777777" w:rsidTr="00CC2B1F">
        <w:trPr>
          <w:trHeight w:val="300"/>
          <w:jc w:val="center"/>
        </w:trPr>
        <w:tc>
          <w:tcPr>
            <w:tcW w:w="5980" w:type="dxa"/>
            <w:tcBorders>
              <w:top w:val="nil"/>
              <w:left w:val="single" w:sz="4" w:space="0" w:color="auto"/>
              <w:bottom w:val="single" w:sz="4" w:space="0" w:color="auto"/>
              <w:right w:val="single" w:sz="4" w:space="0" w:color="auto"/>
            </w:tcBorders>
            <w:shd w:val="clear" w:color="000000" w:fill="D0CECE"/>
            <w:vAlign w:val="center"/>
            <w:hideMark/>
          </w:tcPr>
          <w:p w14:paraId="72D15355" w14:textId="77777777" w:rsidR="00CC2B1F" w:rsidRPr="00012272" w:rsidRDefault="00CC2B1F" w:rsidP="00CC2B1F">
            <w:pPr>
              <w:jc w:val="center"/>
              <w:rPr>
                <w:b/>
                <w:bCs/>
                <w:color w:val="000000"/>
              </w:rPr>
            </w:pPr>
            <w:r w:rsidRPr="00012272">
              <w:rPr>
                <w:b/>
                <w:bCs/>
                <w:color w:val="000000"/>
              </w:rPr>
              <w:t xml:space="preserve">Total </w:t>
            </w:r>
          </w:p>
        </w:tc>
        <w:tc>
          <w:tcPr>
            <w:tcW w:w="2160" w:type="dxa"/>
            <w:tcBorders>
              <w:top w:val="nil"/>
              <w:left w:val="nil"/>
              <w:bottom w:val="single" w:sz="4" w:space="0" w:color="auto"/>
              <w:right w:val="single" w:sz="4" w:space="0" w:color="auto"/>
            </w:tcBorders>
            <w:shd w:val="clear" w:color="000000" w:fill="D0CECE"/>
            <w:vAlign w:val="center"/>
            <w:hideMark/>
          </w:tcPr>
          <w:p w14:paraId="6376CD87" w14:textId="77777777" w:rsidR="00CC2B1F" w:rsidRPr="00012272" w:rsidRDefault="00CC2B1F" w:rsidP="00CC2B1F">
            <w:pPr>
              <w:jc w:val="center"/>
              <w:rPr>
                <w:b/>
                <w:bCs/>
                <w:color w:val="000000"/>
              </w:rPr>
            </w:pPr>
            <w:r w:rsidRPr="00012272">
              <w:rPr>
                <w:b/>
                <w:bCs/>
                <w:color w:val="000000"/>
              </w:rPr>
              <w:t>55</w:t>
            </w:r>
          </w:p>
        </w:tc>
        <w:tc>
          <w:tcPr>
            <w:tcW w:w="1120" w:type="dxa"/>
            <w:tcBorders>
              <w:top w:val="nil"/>
              <w:left w:val="nil"/>
              <w:bottom w:val="single" w:sz="4" w:space="0" w:color="auto"/>
              <w:right w:val="single" w:sz="4" w:space="0" w:color="auto"/>
            </w:tcBorders>
            <w:shd w:val="clear" w:color="000000" w:fill="D0CECE"/>
            <w:vAlign w:val="center"/>
            <w:hideMark/>
          </w:tcPr>
          <w:p w14:paraId="5FB79260" w14:textId="77777777" w:rsidR="00CC2B1F" w:rsidRPr="00012272" w:rsidRDefault="00CC2B1F" w:rsidP="00CC2B1F">
            <w:pPr>
              <w:jc w:val="center"/>
              <w:rPr>
                <w:b/>
                <w:bCs/>
                <w:color w:val="000000"/>
              </w:rPr>
            </w:pPr>
            <w:r w:rsidRPr="00012272">
              <w:rPr>
                <w:b/>
                <w:bCs/>
                <w:color w:val="000000"/>
              </w:rPr>
              <w:t>100</w:t>
            </w:r>
          </w:p>
        </w:tc>
      </w:tr>
    </w:tbl>
    <w:p w14:paraId="1ED19EC3" w14:textId="77777777" w:rsidR="00CC2B1F" w:rsidRDefault="00CC2B1F" w:rsidP="00CC2B1F">
      <w:pPr>
        <w:spacing w:after="240"/>
        <w:jc w:val="both"/>
        <w:rPr>
          <w:sz w:val="24"/>
          <w:szCs w:val="24"/>
        </w:rPr>
      </w:pPr>
      <w:r>
        <w:rPr>
          <w:szCs w:val="24"/>
        </w:rPr>
        <w:t>Fonte: Elaborado</w:t>
      </w:r>
      <w:r w:rsidRPr="000B0A57">
        <w:rPr>
          <w:szCs w:val="24"/>
        </w:rPr>
        <w:t xml:space="preserve"> pelos autores.</w:t>
      </w:r>
    </w:p>
    <w:p w14:paraId="6AC45D2E" w14:textId="77777777" w:rsidR="00CC2B1F" w:rsidRDefault="00CC2B1F" w:rsidP="00CC2B1F">
      <w:pPr>
        <w:spacing w:after="240"/>
        <w:ind w:firstLine="709"/>
        <w:jc w:val="both"/>
        <w:rPr>
          <w:sz w:val="24"/>
          <w:szCs w:val="24"/>
        </w:rPr>
      </w:pPr>
      <w:r w:rsidRPr="00D31A62">
        <w:rPr>
          <w:sz w:val="24"/>
          <w:szCs w:val="24"/>
        </w:rPr>
        <w:t xml:space="preserve">Esses </w:t>
      </w:r>
      <w:r>
        <w:rPr>
          <w:sz w:val="24"/>
          <w:szCs w:val="24"/>
        </w:rPr>
        <w:t>55 vínculos</w:t>
      </w:r>
      <w:r w:rsidRPr="00D31A62">
        <w:rPr>
          <w:sz w:val="24"/>
          <w:szCs w:val="24"/>
        </w:rPr>
        <w:t xml:space="preserve"> </w:t>
      </w:r>
      <w:r>
        <w:rPr>
          <w:sz w:val="24"/>
          <w:szCs w:val="24"/>
        </w:rPr>
        <w:t>representam</w:t>
      </w:r>
      <w:r w:rsidRPr="00D31A62">
        <w:rPr>
          <w:sz w:val="24"/>
          <w:szCs w:val="24"/>
        </w:rPr>
        <w:t xml:space="preserve"> </w:t>
      </w:r>
      <w:r>
        <w:rPr>
          <w:sz w:val="24"/>
          <w:szCs w:val="24"/>
        </w:rPr>
        <w:t>55 autores diferentes, que estão</w:t>
      </w:r>
      <w:r w:rsidRPr="00D31A62">
        <w:rPr>
          <w:sz w:val="24"/>
          <w:szCs w:val="24"/>
        </w:rPr>
        <w:t xml:space="preserve"> distribuídos por </w:t>
      </w:r>
      <w:r>
        <w:rPr>
          <w:sz w:val="24"/>
          <w:szCs w:val="24"/>
        </w:rPr>
        <w:t>quantidade de autores por</w:t>
      </w:r>
      <w:r w:rsidRPr="00D31A62">
        <w:rPr>
          <w:sz w:val="24"/>
          <w:szCs w:val="24"/>
        </w:rPr>
        <w:t xml:space="preserve"> artigo</w:t>
      </w:r>
      <w:r>
        <w:rPr>
          <w:sz w:val="24"/>
          <w:szCs w:val="24"/>
        </w:rPr>
        <w:t>s, conforme a Tabela 6</w:t>
      </w:r>
      <w:r w:rsidRPr="00D31A62">
        <w:rPr>
          <w:sz w:val="24"/>
          <w:szCs w:val="24"/>
        </w:rPr>
        <w:t>.</w:t>
      </w:r>
      <w:r>
        <w:rPr>
          <w:sz w:val="24"/>
          <w:szCs w:val="24"/>
        </w:rPr>
        <w:t xml:space="preserve"> </w:t>
      </w:r>
      <w:r w:rsidRPr="00D31A62">
        <w:rPr>
          <w:sz w:val="24"/>
          <w:szCs w:val="24"/>
        </w:rPr>
        <w:t>As publicações</w:t>
      </w:r>
      <w:r>
        <w:rPr>
          <w:sz w:val="24"/>
          <w:szCs w:val="24"/>
        </w:rPr>
        <w:t>,</w:t>
      </w:r>
      <w:r w:rsidRPr="00D31A62">
        <w:rPr>
          <w:sz w:val="24"/>
          <w:szCs w:val="24"/>
        </w:rPr>
        <w:t xml:space="preserve"> </w:t>
      </w:r>
      <w:r>
        <w:rPr>
          <w:sz w:val="24"/>
          <w:szCs w:val="24"/>
        </w:rPr>
        <w:t>na maioria das vezes eram de</w:t>
      </w:r>
      <w:r w:rsidRPr="00D31A62">
        <w:rPr>
          <w:sz w:val="24"/>
          <w:szCs w:val="24"/>
        </w:rPr>
        <w:t xml:space="preserve"> </w:t>
      </w:r>
      <w:r>
        <w:rPr>
          <w:sz w:val="24"/>
          <w:szCs w:val="24"/>
        </w:rPr>
        <w:t xml:space="preserve">2 autores, representando 51,8% da amostra. Dentre as 27 publicações, apenas uma contava com 1 autor (3,7% da amostra). Todas as demais publicações possuíam 2 ou mais autores, com vínculo na mesma instituição ou não. Pode-se inferir então a </w:t>
      </w:r>
      <w:r w:rsidRPr="004F77E8">
        <w:rPr>
          <w:sz w:val="24"/>
          <w:szCs w:val="24"/>
        </w:rPr>
        <w:t xml:space="preserve">partir </w:t>
      </w:r>
      <w:r>
        <w:rPr>
          <w:sz w:val="24"/>
          <w:szCs w:val="24"/>
        </w:rPr>
        <w:t>das análises</w:t>
      </w:r>
      <w:r w:rsidRPr="004F77E8">
        <w:rPr>
          <w:sz w:val="24"/>
          <w:szCs w:val="24"/>
        </w:rPr>
        <w:t xml:space="preserve"> </w:t>
      </w:r>
      <w:r>
        <w:rPr>
          <w:sz w:val="24"/>
          <w:szCs w:val="24"/>
        </w:rPr>
        <w:t>deste</w:t>
      </w:r>
      <w:r w:rsidRPr="004F77E8">
        <w:rPr>
          <w:sz w:val="24"/>
          <w:szCs w:val="24"/>
        </w:rPr>
        <w:t xml:space="preserve"> estudo, que exista uma integração entre pesquisadores</w:t>
      </w:r>
      <w:r>
        <w:rPr>
          <w:sz w:val="24"/>
          <w:szCs w:val="24"/>
        </w:rPr>
        <w:t xml:space="preserve">, </w:t>
      </w:r>
      <w:r w:rsidRPr="00A95D7C">
        <w:rPr>
          <w:sz w:val="24"/>
          <w:szCs w:val="24"/>
        </w:rPr>
        <w:t>que tendem a criar um relacionamento interorganizacional</w:t>
      </w:r>
      <w:r>
        <w:rPr>
          <w:sz w:val="24"/>
          <w:szCs w:val="24"/>
        </w:rPr>
        <w:t xml:space="preserve"> no meio científico.</w:t>
      </w:r>
      <w:r w:rsidRPr="004F77E8">
        <w:rPr>
          <w:sz w:val="24"/>
          <w:szCs w:val="24"/>
        </w:rPr>
        <w:t xml:space="preserve"> </w:t>
      </w:r>
      <w:r>
        <w:rPr>
          <w:sz w:val="24"/>
          <w:szCs w:val="24"/>
        </w:rPr>
        <w:t>Burt (1992</w:t>
      </w:r>
      <w:r w:rsidRPr="00A95D7C">
        <w:rPr>
          <w:sz w:val="24"/>
          <w:szCs w:val="24"/>
        </w:rPr>
        <w:t>)</w:t>
      </w:r>
      <w:r>
        <w:rPr>
          <w:sz w:val="24"/>
          <w:szCs w:val="24"/>
        </w:rPr>
        <w:t xml:space="preserve"> aponta que </w:t>
      </w:r>
      <w:r w:rsidRPr="00A95D7C">
        <w:rPr>
          <w:sz w:val="24"/>
          <w:szCs w:val="24"/>
        </w:rPr>
        <w:t>esse tipo de associação possibilita trocas de informações entre os atores que as compõem e o amb</w:t>
      </w:r>
      <w:r>
        <w:rPr>
          <w:sz w:val="24"/>
          <w:szCs w:val="24"/>
        </w:rPr>
        <w:t xml:space="preserve">iente onde eles estão inseridos com finalidade de fomentar pesquisas. </w:t>
      </w:r>
    </w:p>
    <w:p w14:paraId="0A378C59" w14:textId="77777777" w:rsidR="00CC2B1F" w:rsidRPr="004F77E8" w:rsidRDefault="00CC2B1F" w:rsidP="00CC2B1F">
      <w:pPr>
        <w:spacing w:after="40"/>
        <w:jc w:val="center"/>
        <w:rPr>
          <w:b/>
        </w:rPr>
      </w:pPr>
      <w:r w:rsidRPr="004F77E8">
        <w:rPr>
          <w:b/>
        </w:rPr>
        <w:t>Tabela 6 – Tipo de autoria</w:t>
      </w:r>
    </w:p>
    <w:tbl>
      <w:tblPr>
        <w:tblW w:w="6740" w:type="dxa"/>
        <w:jc w:val="center"/>
        <w:tblCellMar>
          <w:left w:w="70" w:type="dxa"/>
          <w:right w:w="70" w:type="dxa"/>
        </w:tblCellMar>
        <w:tblLook w:val="04A0" w:firstRow="1" w:lastRow="0" w:firstColumn="1" w:lastColumn="0" w:noHBand="0" w:noVBand="1"/>
      </w:tblPr>
      <w:tblGrid>
        <w:gridCol w:w="2680"/>
        <w:gridCol w:w="2680"/>
        <w:gridCol w:w="1380"/>
      </w:tblGrid>
      <w:tr w:rsidR="00CC2B1F" w:rsidRPr="004F77E8" w14:paraId="6AD5DBA1" w14:textId="77777777" w:rsidTr="00CC2B1F">
        <w:trPr>
          <w:trHeight w:val="288"/>
          <w:jc w:val="center"/>
        </w:trPr>
        <w:tc>
          <w:tcPr>
            <w:tcW w:w="268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00FF5B2" w14:textId="77777777" w:rsidR="00CC2B1F" w:rsidRPr="004F77E8" w:rsidRDefault="00CC2B1F" w:rsidP="00CC2B1F">
            <w:pPr>
              <w:jc w:val="center"/>
              <w:rPr>
                <w:b/>
                <w:bCs/>
                <w:color w:val="000000"/>
              </w:rPr>
            </w:pPr>
            <w:r w:rsidRPr="004F77E8">
              <w:rPr>
                <w:b/>
                <w:bCs/>
                <w:color w:val="000000"/>
              </w:rPr>
              <w:t>Tipo de autoria</w:t>
            </w:r>
          </w:p>
        </w:tc>
        <w:tc>
          <w:tcPr>
            <w:tcW w:w="2680" w:type="dxa"/>
            <w:tcBorders>
              <w:top w:val="single" w:sz="4" w:space="0" w:color="auto"/>
              <w:left w:val="nil"/>
              <w:bottom w:val="single" w:sz="4" w:space="0" w:color="auto"/>
              <w:right w:val="single" w:sz="4" w:space="0" w:color="auto"/>
            </w:tcBorders>
            <w:shd w:val="clear" w:color="000000" w:fill="D0CECE"/>
            <w:noWrap/>
            <w:vAlign w:val="center"/>
            <w:hideMark/>
          </w:tcPr>
          <w:p w14:paraId="4F516C74" w14:textId="77777777" w:rsidR="00CC2B1F" w:rsidRPr="004F77E8" w:rsidRDefault="00CC2B1F" w:rsidP="00CC2B1F">
            <w:pPr>
              <w:jc w:val="center"/>
              <w:rPr>
                <w:b/>
                <w:bCs/>
                <w:color w:val="000000"/>
              </w:rPr>
            </w:pPr>
            <w:r w:rsidRPr="004F77E8">
              <w:rPr>
                <w:b/>
                <w:bCs/>
                <w:color w:val="000000"/>
              </w:rPr>
              <w:t>Total de artigos</w:t>
            </w:r>
          </w:p>
        </w:tc>
        <w:tc>
          <w:tcPr>
            <w:tcW w:w="1380" w:type="dxa"/>
            <w:tcBorders>
              <w:top w:val="single" w:sz="4" w:space="0" w:color="auto"/>
              <w:left w:val="nil"/>
              <w:bottom w:val="single" w:sz="4" w:space="0" w:color="auto"/>
              <w:right w:val="single" w:sz="4" w:space="0" w:color="auto"/>
            </w:tcBorders>
            <w:shd w:val="clear" w:color="000000" w:fill="D0CECE"/>
            <w:noWrap/>
            <w:vAlign w:val="center"/>
            <w:hideMark/>
          </w:tcPr>
          <w:p w14:paraId="01BA803A" w14:textId="77777777" w:rsidR="00CC2B1F" w:rsidRPr="004F77E8" w:rsidRDefault="00CC2B1F" w:rsidP="00CC2B1F">
            <w:pPr>
              <w:jc w:val="center"/>
              <w:rPr>
                <w:b/>
                <w:bCs/>
                <w:color w:val="000000"/>
              </w:rPr>
            </w:pPr>
            <w:r w:rsidRPr="004F77E8">
              <w:rPr>
                <w:b/>
                <w:bCs/>
                <w:color w:val="000000"/>
              </w:rPr>
              <w:t>%</w:t>
            </w:r>
          </w:p>
        </w:tc>
      </w:tr>
      <w:tr w:rsidR="00CC2B1F" w:rsidRPr="004F77E8" w14:paraId="09151885" w14:textId="77777777" w:rsidTr="00CC2B1F">
        <w:trPr>
          <w:trHeight w:val="288"/>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29578FED" w14:textId="77777777" w:rsidR="00CC2B1F" w:rsidRPr="004F77E8" w:rsidRDefault="00CC2B1F" w:rsidP="00CC2B1F">
            <w:pPr>
              <w:jc w:val="center"/>
              <w:rPr>
                <w:color w:val="000000"/>
              </w:rPr>
            </w:pPr>
            <w:r w:rsidRPr="004F77E8">
              <w:rPr>
                <w:color w:val="000000"/>
              </w:rPr>
              <w:t>Própria</w:t>
            </w:r>
          </w:p>
        </w:tc>
        <w:tc>
          <w:tcPr>
            <w:tcW w:w="2680" w:type="dxa"/>
            <w:tcBorders>
              <w:top w:val="nil"/>
              <w:left w:val="nil"/>
              <w:bottom w:val="single" w:sz="4" w:space="0" w:color="auto"/>
              <w:right w:val="single" w:sz="4" w:space="0" w:color="auto"/>
            </w:tcBorders>
            <w:shd w:val="clear" w:color="auto" w:fill="auto"/>
            <w:noWrap/>
            <w:vAlign w:val="center"/>
            <w:hideMark/>
          </w:tcPr>
          <w:p w14:paraId="1F3938D0" w14:textId="77777777" w:rsidR="00CC2B1F" w:rsidRPr="004F77E8" w:rsidRDefault="00CC2B1F" w:rsidP="00CC2B1F">
            <w:pPr>
              <w:jc w:val="center"/>
              <w:rPr>
                <w:color w:val="000000"/>
              </w:rPr>
            </w:pPr>
            <w:r w:rsidRPr="004F77E8">
              <w:rPr>
                <w:color w:val="000000"/>
              </w:rPr>
              <w:t>1</w:t>
            </w:r>
          </w:p>
        </w:tc>
        <w:tc>
          <w:tcPr>
            <w:tcW w:w="1380" w:type="dxa"/>
            <w:tcBorders>
              <w:top w:val="nil"/>
              <w:left w:val="nil"/>
              <w:bottom w:val="single" w:sz="4" w:space="0" w:color="auto"/>
              <w:right w:val="single" w:sz="4" w:space="0" w:color="auto"/>
            </w:tcBorders>
            <w:shd w:val="clear" w:color="auto" w:fill="auto"/>
            <w:noWrap/>
            <w:vAlign w:val="center"/>
            <w:hideMark/>
          </w:tcPr>
          <w:p w14:paraId="71454280" w14:textId="77777777" w:rsidR="00CC2B1F" w:rsidRPr="004F77E8" w:rsidRDefault="00CC2B1F" w:rsidP="00CC2B1F">
            <w:pPr>
              <w:jc w:val="center"/>
              <w:rPr>
                <w:color w:val="000000"/>
              </w:rPr>
            </w:pPr>
            <w:r w:rsidRPr="004F77E8">
              <w:rPr>
                <w:color w:val="000000"/>
              </w:rPr>
              <w:t>3,7</w:t>
            </w:r>
          </w:p>
        </w:tc>
      </w:tr>
      <w:tr w:rsidR="00CC2B1F" w:rsidRPr="004F77E8" w14:paraId="4A118E3A" w14:textId="77777777" w:rsidTr="00CC2B1F">
        <w:trPr>
          <w:trHeight w:val="288"/>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95A6F13" w14:textId="77777777" w:rsidR="00CC2B1F" w:rsidRPr="004F77E8" w:rsidRDefault="00CC2B1F" w:rsidP="00CC2B1F">
            <w:pPr>
              <w:jc w:val="center"/>
              <w:rPr>
                <w:color w:val="000000"/>
              </w:rPr>
            </w:pPr>
            <w:r w:rsidRPr="004F77E8">
              <w:rPr>
                <w:color w:val="000000"/>
              </w:rPr>
              <w:t>Com dois autores</w:t>
            </w:r>
          </w:p>
        </w:tc>
        <w:tc>
          <w:tcPr>
            <w:tcW w:w="2680" w:type="dxa"/>
            <w:tcBorders>
              <w:top w:val="nil"/>
              <w:left w:val="nil"/>
              <w:bottom w:val="single" w:sz="4" w:space="0" w:color="auto"/>
              <w:right w:val="single" w:sz="4" w:space="0" w:color="auto"/>
            </w:tcBorders>
            <w:shd w:val="clear" w:color="auto" w:fill="auto"/>
            <w:noWrap/>
            <w:vAlign w:val="center"/>
            <w:hideMark/>
          </w:tcPr>
          <w:p w14:paraId="6D63EDB0" w14:textId="77777777" w:rsidR="00CC2B1F" w:rsidRPr="004F77E8" w:rsidRDefault="00CC2B1F" w:rsidP="00CC2B1F">
            <w:pPr>
              <w:jc w:val="center"/>
              <w:rPr>
                <w:color w:val="000000"/>
              </w:rPr>
            </w:pPr>
            <w:r w:rsidRPr="004F77E8">
              <w:rPr>
                <w:color w:val="000000"/>
              </w:rPr>
              <w:t>14</w:t>
            </w:r>
          </w:p>
        </w:tc>
        <w:tc>
          <w:tcPr>
            <w:tcW w:w="1380" w:type="dxa"/>
            <w:tcBorders>
              <w:top w:val="nil"/>
              <w:left w:val="nil"/>
              <w:bottom w:val="single" w:sz="4" w:space="0" w:color="auto"/>
              <w:right w:val="single" w:sz="4" w:space="0" w:color="auto"/>
            </w:tcBorders>
            <w:shd w:val="clear" w:color="auto" w:fill="auto"/>
            <w:noWrap/>
            <w:vAlign w:val="center"/>
            <w:hideMark/>
          </w:tcPr>
          <w:p w14:paraId="2DA26536" w14:textId="77777777" w:rsidR="00CC2B1F" w:rsidRPr="004F77E8" w:rsidRDefault="00CC2B1F" w:rsidP="00CC2B1F">
            <w:pPr>
              <w:jc w:val="center"/>
              <w:rPr>
                <w:color w:val="000000"/>
              </w:rPr>
            </w:pPr>
            <w:r w:rsidRPr="004F77E8">
              <w:rPr>
                <w:color w:val="000000"/>
              </w:rPr>
              <w:t>51,8</w:t>
            </w:r>
          </w:p>
        </w:tc>
      </w:tr>
      <w:tr w:rsidR="00CC2B1F" w:rsidRPr="004F77E8" w14:paraId="3493DD97" w14:textId="77777777" w:rsidTr="00CC2B1F">
        <w:trPr>
          <w:trHeight w:val="288"/>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1E8A1719" w14:textId="77777777" w:rsidR="00CC2B1F" w:rsidRPr="004F77E8" w:rsidRDefault="00CC2B1F" w:rsidP="00CC2B1F">
            <w:pPr>
              <w:jc w:val="center"/>
              <w:rPr>
                <w:color w:val="000000"/>
              </w:rPr>
            </w:pPr>
            <w:r w:rsidRPr="004F77E8">
              <w:rPr>
                <w:color w:val="000000"/>
              </w:rPr>
              <w:t>Com três autores</w:t>
            </w:r>
          </w:p>
        </w:tc>
        <w:tc>
          <w:tcPr>
            <w:tcW w:w="2680" w:type="dxa"/>
            <w:tcBorders>
              <w:top w:val="nil"/>
              <w:left w:val="nil"/>
              <w:bottom w:val="single" w:sz="4" w:space="0" w:color="auto"/>
              <w:right w:val="single" w:sz="4" w:space="0" w:color="auto"/>
            </w:tcBorders>
            <w:shd w:val="clear" w:color="auto" w:fill="auto"/>
            <w:noWrap/>
            <w:vAlign w:val="center"/>
            <w:hideMark/>
          </w:tcPr>
          <w:p w14:paraId="32A4CD42" w14:textId="77777777" w:rsidR="00CC2B1F" w:rsidRPr="004F77E8" w:rsidRDefault="00CC2B1F" w:rsidP="00CC2B1F">
            <w:pPr>
              <w:jc w:val="center"/>
              <w:rPr>
                <w:color w:val="000000"/>
              </w:rPr>
            </w:pPr>
            <w:r w:rsidRPr="004F77E8">
              <w:rPr>
                <w:color w:val="000000"/>
              </w:rPr>
              <w:t>7</w:t>
            </w:r>
          </w:p>
        </w:tc>
        <w:tc>
          <w:tcPr>
            <w:tcW w:w="1380" w:type="dxa"/>
            <w:tcBorders>
              <w:top w:val="nil"/>
              <w:left w:val="nil"/>
              <w:bottom w:val="single" w:sz="4" w:space="0" w:color="auto"/>
              <w:right w:val="single" w:sz="4" w:space="0" w:color="auto"/>
            </w:tcBorders>
            <w:shd w:val="clear" w:color="auto" w:fill="auto"/>
            <w:noWrap/>
            <w:vAlign w:val="center"/>
            <w:hideMark/>
          </w:tcPr>
          <w:p w14:paraId="77633923" w14:textId="77777777" w:rsidR="00CC2B1F" w:rsidRPr="004F77E8" w:rsidRDefault="00CC2B1F" w:rsidP="00CC2B1F">
            <w:pPr>
              <w:jc w:val="center"/>
              <w:rPr>
                <w:color w:val="000000"/>
              </w:rPr>
            </w:pPr>
            <w:r w:rsidRPr="004F77E8">
              <w:rPr>
                <w:color w:val="000000"/>
              </w:rPr>
              <w:t>25,9</w:t>
            </w:r>
          </w:p>
        </w:tc>
      </w:tr>
      <w:tr w:rsidR="00CC2B1F" w:rsidRPr="004F77E8" w14:paraId="5B339ACB" w14:textId="77777777" w:rsidTr="00CC2B1F">
        <w:trPr>
          <w:trHeight w:val="288"/>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27A8B6A9" w14:textId="77777777" w:rsidR="00CC2B1F" w:rsidRPr="004F77E8" w:rsidRDefault="00CC2B1F" w:rsidP="00CC2B1F">
            <w:pPr>
              <w:jc w:val="center"/>
              <w:rPr>
                <w:color w:val="000000"/>
              </w:rPr>
            </w:pPr>
            <w:r w:rsidRPr="004F77E8">
              <w:rPr>
                <w:color w:val="000000"/>
              </w:rPr>
              <w:t>Com quatro autores</w:t>
            </w:r>
          </w:p>
        </w:tc>
        <w:tc>
          <w:tcPr>
            <w:tcW w:w="2680" w:type="dxa"/>
            <w:tcBorders>
              <w:top w:val="nil"/>
              <w:left w:val="nil"/>
              <w:bottom w:val="single" w:sz="4" w:space="0" w:color="auto"/>
              <w:right w:val="single" w:sz="4" w:space="0" w:color="auto"/>
            </w:tcBorders>
            <w:shd w:val="clear" w:color="auto" w:fill="auto"/>
            <w:noWrap/>
            <w:vAlign w:val="center"/>
            <w:hideMark/>
          </w:tcPr>
          <w:p w14:paraId="0E742BD8" w14:textId="77777777" w:rsidR="00CC2B1F" w:rsidRPr="004F77E8" w:rsidRDefault="00CC2B1F" w:rsidP="00CC2B1F">
            <w:pPr>
              <w:jc w:val="center"/>
              <w:rPr>
                <w:color w:val="000000"/>
              </w:rPr>
            </w:pPr>
            <w:r w:rsidRPr="004F77E8">
              <w:rPr>
                <w:color w:val="000000"/>
              </w:rPr>
              <w:t>5</w:t>
            </w:r>
          </w:p>
        </w:tc>
        <w:tc>
          <w:tcPr>
            <w:tcW w:w="1380" w:type="dxa"/>
            <w:tcBorders>
              <w:top w:val="nil"/>
              <w:left w:val="nil"/>
              <w:bottom w:val="single" w:sz="4" w:space="0" w:color="auto"/>
              <w:right w:val="single" w:sz="4" w:space="0" w:color="auto"/>
            </w:tcBorders>
            <w:shd w:val="clear" w:color="auto" w:fill="auto"/>
            <w:noWrap/>
            <w:vAlign w:val="center"/>
            <w:hideMark/>
          </w:tcPr>
          <w:p w14:paraId="19C2A4A9" w14:textId="77777777" w:rsidR="00CC2B1F" w:rsidRPr="004F77E8" w:rsidRDefault="00CC2B1F" w:rsidP="00CC2B1F">
            <w:pPr>
              <w:jc w:val="center"/>
              <w:rPr>
                <w:color w:val="000000"/>
              </w:rPr>
            </w:pPr>
            <w:r w:rsidRPr="004F77E8">
              <w:rPr>
                <w:color w:val="000000"/>
              </w:rPr>
              <w:t>18,5</w:t>
            </w:r>
          </w:p>
        </w:tc>
      </w:tr>
      <w:tr w:rsidR="00CC2B1F" w:rsidRPr="004F77E8" w14:paraId="0584A064" w14:textId="77777777" w:rsidTr="00CC2B1F">
        <w:trPr>
          <w:trHeight w:val="288"/>
          <w:jc w:val="center"/>
        </w:trPr>
        <w:tc>
          <w:tcPr>
            <w:tcW w:w="2680" w:type="dxa"/>
            <w:tcBorders>
              <w:top w:val="nil"/>
              <w:left w:val="single" w:sz="4" w:space="0" w:color="auto"/>
              <w:bottom w:val="single" w:sz="4" w:space="0" w:color="auto"/>
              <w:right w:val="single" w:sz="4" w:space="0" w:color="auto"/>
            </w:tcBorders>
            <w:shd w:val="clear" w:color="000000" w:fill="D0CECE"/>
            <w:noWrap/>
            <w:vAlign w:val="bottom"/>
            <w:hideMark/>
          </w:tcPr>
          <w:p w14:paraId="65C64ED0" w14:textId="77777777" w:rsidR="00CC2B1F" w:rsidRPr="004F77E8" w:rsidRDefault="00CC2B1F" w:rsidP="00CC2B1F">
            <w:pPr>
              <w:jc w:val="center"/>
              <w:rPr>
                <w:b/>
                <w:bCs/>
                <w:color w:val="000000"/>
              </w:rPr>
            </w:pPr>
            <w:r w:rsidRPr="004F77E8">
              <w:rPr>
                <w:b/>
                <w:bCs/>
                <w:color w:val="000000"/>
              </w:rPr>
              <w:t>Total</w:t>
            </w:r>
          </w:p>
        </w:tc>
        <w:tc>
          <w:tcPr>
            <w:tcW w:w="2680" w:type="dxa"/>
            <w:tcBorders>
              <w:top w:val="nil"/>
              <w:left w:val="nil"/>
              <w:bottom w:val="single" w:sz="4" w:space="0" w:color="auto"/>
              <w:right w:val="single" w:sz="4" w:space="0" w:color="auto"/>
            </w:tcBorders>
            <w:shd w:val="clear" w:color="000000" w:fill="D0CECE"/>
            <w:noWrap/>
            <w:vAlign w:val="center"/>
            <w:hideMark/>
          </w:tcPr>
          <w:p w14:paraId="03CA5F14" w14:textId="77777777" w:rsidR="00CC2B1F" w:rsidRPr="004F77E8" w:rsidRDefault="00CC2B1F" w:rsidP="00CC2B1F">
            <w:pPr>
              <w:jc w:val="center"/>
              <w:rPr>
                <w:b/>
                <w:bCs/>
                <w:color w:val="000000"/>
              </w:rPr>
            </w:pPr>
            <w:r w:rsidRPr="004F77E8">
              <w:rPr>
                <w:b/>
                <w:bCs/>
                <w:color w:val="000000"/>
              </w:rPr>
              <w:t>27</w:t>
            </w:r>
          </w:p>
        </w:tc>
        <w:tc>
          <w:tcPr>
            <w:tcW w:w="1380" w:type="dxa"/>
            <w:tcBorders>
              <w:top w:val="nil"/>
              <w:left w:val="nil"/>
              <w:bottom w:val="single" w:sz="4" w:space="0" w:color="auto"/>
              <w:right w:val="single" w:sz="4" w:space="0" w:color="auto"/>
            </w:tcBorders>
            <w:shd w:val="clear" w:color="000000" w:fill="D0CECE"/>
            <w:noWrap/>
            <w:vAlign w:val="center"/>
            <w:hideMark/>
          </w:tcPr>
          <w:p w14:paraId="05AE29C2" w14:textId="77777777" w:rsidR="00CC2B1F" w:rsidRPr="004F77E8" w:rsidRDefault="00CC2B1F" w:rsidP="00CC2B1F">
            <w:pPr>
              <w:jc w:val="center"/>
              <w:rPr>
                <w:b/>
                <w:bCs/>
                <w:color w:val="000000"/>
              </w:rPr>
            </w:pPr>
            <w:r w:rsidRPr="004F77E8">
              <w:rPr>
                <w:b/>
                <w:bCs/>
                <w:color w:val="000000"/>
              </w:rPr>
              <w:t>100</w:t>
            </w:r>
          </w:p>
        </w:tc>
      </w:tr>
    </w:tbl>
    <w:p w14:paraId="4C09D68C" w14:textId="77777777" w:rsidR="00CC2B1F" w:rsidRPr="008D06FA" w:rsidRDefault="00CC2B1F" w:rsidP="00CC2B1F">
      <w:pPr>
        <w:spacing w:after="240"/>
        <w:jc w:val="both"/>
        <w:rPr>
          <w:szCs w:val="24"/>
        </w:rPr>
      </w:pPr>
      <w:r>
        <w:rPr>
          <w:szCs w:val="24"/>
        </w:rPr>
        <w:t xml:space="preserve">                       Fonte: Elaborado pelos autores.</w:t>
      </w:r>
    </w:p>
    <w:p w14:paraId="307897DF" w14:textId="77777777" w:rsidR="00CC2B1F" w:rsidRDefault="00CC2B1F" w:rsidP="00CC2B1F">
      <w:pPr>
        <w:spacing w:after="240"/>
        <w:ind w:firstLine="709"/>
        <w:jc w:val="both"/>
        <w:rPr>
          <w:sz w:val="24"/>
          <w:szCs w:val="24"/>
        </w:rPr>
      </w:pPr>
      <w:r>
        <w:rPr>
          <w:sz w:val="24"/>
          <w:szCs w:val="24"/>
        </w:rPr>
        <w:t xml:space="preserve">Na Tabela 7 são apresentados os autores que tiveram </w:t>
      </w:r>
      <w:r w:rsidRPr="004F77E8">
        <w:rPr>
          <w:sz w:val="24"/>
          <w:szCs w:val="24"/>
        </w:rPr>
        <w:t xml:space="preserve">no período analisado, dois ou mais artigos publicados sobre </w:t>
      </w:r>
      <w:r w:rsidRPr="00DF3645">
        <w:rPr>
          <w:sz w:val="24"/>
          <w:szCs w:val="24"/>
        </w:rPr>
        <w:t>liquidez de mercado</w:t>
      </w:r>
      <w:r>
        <w:rPr>
          <w:sz w:val="24"/>
          <w:szCs w:val="24"/>
        </w:rPr>
        <w:t xml:space="preserve">. Dentre eles, destaca-se Márcio André Veras Machado, da Universidade Federal da Paraíba (UFPB), com autoria em 4 artigos sobre o tema no período estudado. </w:t>
      </w:r>
      <w:r w:rsidRPr="005C0911">
        <w:rPr>
          <w:sz w:val="24"/>
          <w:szCs w:val="24"/>
        </w:rPr>
        <w:t xml:space="preserve">Ressalta-se ainda </w:t>
      </w:r>
      <w:r>
        <w:rPr>
          <w:sz w:val="24"/>
          <w:szCs w:val="24"/>
        </w:rPr>
        <w:t>Hudson Fernandes Amaral</w:t>
      </w:r>
      <w:r w:rsidRPr="005C0911">
        <w:rPr>
          <w:sz w:val="24"/>
          <w:szCs w:val="24"/>
        </w:rPr>
        <w:t xml:space="preserve"> (</w:t>
      </w:r>
      <w:r>
        <w:rPr>
          <w:sz w:val="24"/>
          <w:szCs w:val="24"/>
        </w:rPr>
        <w:t>UFMG</w:t>
      </w:r>
      <w:r w:rsidRPr="005C0911">
        <w:rPr>
          <w:sz w:val="24"/>
          <w:szCs w:val="24"/>
        </w:rPr>
        <w:t xml:space="preserve">), </w:t>
      </w:r>
      <w:r>
        <w:rPr>
          <w:sz w:val="24"/>
          <w:szCs w:val="24"/>
        </w:rPr>
        <w:t>Orleans Silva Martins (UFPB) e</w:t>
      </w:r>
      <w:r w:rsidRPr="005C0911">
        <w:rPr>
          <w:sz w:val="24"/>
          <w:szCs w:val="24"/>
        </w:rPr>
        <w:t xml:space="preserve"> </w:t>
      </w:r>
      <w:r>
        <w:rPr>
          <w:sz w:val="24"/>
          <w:szCs w:val="24"/>
        </w:rPr>
        <w:t>Edilson Paulo (UFPB), que possuem autoria em 3</w:t>
      </w:r>
      <w:r w:rsidRPr="005C0911">
        <w:rPr>
          <w:sz w:val="24"/>
          <w:szCs w:val="24"/>
        </w:rPr>
        <w:t xml:space="preserve"> artigos</w:t>
      </w:r>
      <w:r>
        <w:rPr>
          <w:sz w:val="24"/>
          <w:szCs w:val="24"/>
        </w:rPr>
        <w:t xml:space="preserve"> cada.</w:t>
      </w:r>
      <w:r w:rsidRPr="005C0911">
        <w:rPr>
          <w:sz w:val="24"/>
          <w:szCs w:val="24"/>
        </w:rPr>
        <w:t xml:space="preserve"> </w:t>
      </w:r>
      <w:r>
        <w:rPr>
          <w:sz w:val="24"/>
          <w:szCs w:val="24"/>
        </w:rPr>
        <w:t xml:space="preserve">Apesar da Universidade de São Paulo (USP) ser a instituição com o maior número de autores vinculados, a maioria dos autores mais representativos da amostra possui vinculação com a UFPB. </w:t>
      </w:r>
    </w:p>
    <w:p w14:paraId="766C5A90" w14:textId="4D52A17F" w:rsidR="00E6136F" w:rsidRPr="00CC2B1F" w:rsidRDefault="00E6136F" w:rsidP="00CC2B1F">
      <w:pPr>
        <w:jc w:val="both"/>
        <w:rPr>
          <w:sz w:val="24"/>
          <w:szCs w:val="24"/>
        </w:rPr>
      </w:pPr>
    </w:p>
    <w:p w14:paraId="393BA3CD" w14:textId="77777777" w:rsidR="00CC2B1F" w:rsidRPr="00A01B15" w:rsidRDefault="00CC2B1F" w:rsidP="00CC2B1F">
      <w:pPr>
        <w:spacing w:after="40"/>
        <w:jc w:val="center"/>
        <w:rPr>
          <w:b/>
          <w:szCs w:val="24"/>
        </w:rPr>
      </w:pPr>
      <w:r w:rsidRPr="00A01B15">
        <w:rPr>
          <w:b/>
          <w:szCs w:val="24"/>
        </w:rPr>
        <w:t>Tabela 7 – Autores mais representativos da amostra</w:t>
      </w:r>
    </w:p>
    <w:tbl>
      <w:tblPr>
        <w:tblW w:w="8020" w:type="dxa"/>
        <w:jc w:val="center"/>
        <w:tblCellMar>
          <w:left w:w="70" w:type="dxa"/>
          <w:right w:w="70" w:type="dxa"/>
        </w:tblCellMar>
        <w:tblLook w:val="04A0" w:firstRow="1" w:lastRow="0" w:firstColumn="1" w:lastColumn="0" w:noHBand="0" w:noVBand="1"/>
      </w:tblPr>
      <w:tblGrid>
        <w:gridCol w:w="3220"/>
        <w:gridCol w:w="1600"/>
        <w:gridCol w:w="1600"/>
        <w:gridCol w:w="1600"/>
      </w:tblGrid>
      <w:tr w:rsidR="00CC2B1F" w:rsidRPr="00A01B15" w14:paraId="03A2526A" w14:textId="77777777" w:rsidTr="00CC2B1F">
        <w:trPr>
          <w:trHeight w:val="588"/>
          <w:jc w:val="center"/>
        </w:trPr>
        <w:tc>
          <w:tcPr>
            <w:tcW w:w="32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4007BFA5" w14:textId="77777777" w:rsidR="00CC2B1F" w:rsidRPr="00A01B15" w:rsidRDefault="00CC2B1F" w:rsidP="00CC2B1F">
            <w:pPr>
              <w:jc w:val="center"/>
              <w:rPr>
                <w:b/>
                <w:bCs/>
                <w:color w:val="000000"/>
              </w:rPr>
            </w:pPr>
            <w:r w:rsidRPr="00A01B15">
              <w:rPr>
                <w:b/>
                <w:bCs/>
                <w:color w:val="000000"/>
              </w:rPr>
              <w:t>Autores mais representativos da amostra</w:t>
            </w:r>
          </w:p>
        </w:tc>
        <w:tc>
          <w:tcPr>
            <w:tcW w:w="1600" w:type="dxa"/>
            <w:tcBorders>
              <w:top w:val="single" w:sz="4" w:space="0" w:color="auto"/>
              <w:left w:val="nil"/>
              <w:bottom w:val="single" w:sz="4" w:space="0" w:color="auto"/>
              <w:right w:val="single" w:sz="4" w:space="0" w:color="auto"/>
            </w:tcBorders>
            <w:shd w:val="clear" w:color="000000" w:fill="D0CECE"/>
            <w:noWrap/>
            <w:vAlign w:val="center"/>
            <w:hideMark/>
          </w:tcPr>
          <w:p w14:paraId="0450046C" w14:textId="77777777" w:rsidR="00CC2B1F" w:rsidRPr="00A01B15" w:rsidRDefault="00CC2B1F" w:rsidP="00CC2B1F">
            <w:pPr>
              <w:jc w:val="center"/>
              <w:rPr>
                <w:b/>
                <w:bCs/>
                <w:color w:val="000000"/>
              </w:rPr>
            </w:pPr>
            <w:r>
              <w:rPr>
                <w:b/>
                <w:bCs/>
                <w:color w:val="000000"/>
              </w:rPr>
              <w:t xml:space="preserve">Vínculo </w:t>
            </w:r>
          </w:p>
        </w:tc>
        <w:tc>
          <w:tcPr>
            <w:tcW w:w="1600" w:type="dxa"/>
            <w:tcBorders>
              <w:top w:val="single" w:sz="4" w:space="0" w:color="auto"/>
              <w:left w:val="nil"/>
              <w:bottom w:val="single" w:sz="4" w:space="0" w:color="auto"/>
              <w:right w:val="single" w:sz="4" w:space="0" w:color="auto"/>
            </w:tcBorders>
            <w:shd w:val="clear" w:color="000000" w:fill="D0CECE"/>
            <w:noWrap/>
            <w:vAlign w:val="center"/>
            <w:hideMark/>
          </w:tcPr>
          <w:p w14:paraId="0CC650CB" w14:textId="77777777" w:rsidR="00CC2B1F" w:rsidRPr="00A01B15" w:rsidRDefault="00CC2B1F" w:rsidP="00CC2B1F">
            <w:pPr>
              <w:jc w:val="center"/>
              <w:rPr>
                <w:b/>
                <w:bCs/>
                <w:color w:val="000000"/>
              </w:rPr>
            </w:pPr>
            <w:r w:rsidRPr="00A01B15">
              <w:rPr>
                <w:b/>
                <w:bCs/>
                <w:color w:val="000000"/>
              </w:rPr>
              <w:t>Título</w:t>
            </w:r>
          </w:p>
        </w:tc>
        <w:tc>
          <w:tcPr>
            <w:tcW w:w="1600" w:type="dxa"/>
            <w:tcBorders>
              <w:top w:val="single" w:sz="4" w:space="0" w:color="auto"/>
              <w:left w:val="nil"/>
              <w:bottom w:val="single" w:sz="4" w:space="0" w:color="auto"/>
              <w:right w:val="single" w:sz="4" w:space="0" w:color="auto"/>
            </w:tcBorders>
            <w:shd w:val="clear" w:color="000000" w:fill="D0CECE"/>
            <w:vAlign w:val="center"/>
            <w:hideMark/>
          </w:tcPr>
          <w:p w14:paraId="2F164002" w14:textId="77777777" w:rsidR="00CC2B1F" w:rsidRPr="00A01B15" w:rsidRDefault="00CC2B1F" w:rsidP="00CC2B1F">
            <w:pPr>
              <w:jc w:val="center"/>
              <w:rPr>
                <w:b/>
                <w:bCs/>
                <w:color w:val="000000"/>
              </w:rPr>
            </w:pPr>
            <w:r w:rsidRPr="00A01B15">
              <w:rPr>
                <w:b/>
                <w:bCs/>
                <w:color w:val="000000"/>
              </w:rPr>
              <w:t>Ocorrência de autoria</w:t>
            </w:r>
          </w:p>
        </w:tc>
      </w:tr>
      <w:tr w:rsidR="00CC2B1F" w:rsidRPr="00A01B15" w14:paraId="72211768" w14:textId="77777777" w:rsidTr="00CC2B1F">
        <w:trPr>
          <w:trHeight w:val="321"/>
          <w:jc w:val="center"/>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05405D24" w14:textId="77777777" w:rsidR="00CC2B1F" w:rsidRPr="00A01B15" w:rsidRDefault="00CC2B1F" w:rsidP="00CC2B1F">
            <w:pPr>
              <w:rPr>
                <w:color w:val="000000"/>
              </w:rPr>
            </w:pPr>
            <w:r w:rsidRPr="00A01B15">
              <w:rPr>
                <w:color w:val="000000"/>
              </w:rPr>
              <w:lastRenderedPageBreak/>
              <w:t>Márcio André Veras Machado</w:t>
            </w:r>
          </w:p>
        </w:tc>
        <w:tc>
          <w:tcPr>
            <w:tcW w:w="1600" w:type="dxa"/>
            <w:tcBorders>
              <w:top w:val="nil"/>
              <w:left w:val="nil"/>
              <w:bottom w:val="single" w:sz="4" w:space="0" w:color="auto"/>
              <w:right w:val="single" w:sz="4" w:space="0" w:color="auto"/>
            </w:tcBorders>
            <w:shd w:val="clear" w:color="auto" w:fill="auto"/>
            <w:noWrap/>
            <w:vAlign w:val="center"/>
            <w:hideMark/>
          </w:tcPr>
          <w:p w14:paraId="1141DD23" w14:textId="77777777" w:rsidR="00CC2B1F" w:rsidRPr="00A01B15" w:rsidRDefault="00CC2B1F" w:rsidP="00CC2B1F">
            <w:pPr>
              <w:jc w:val="center"/>
              <w:rPr>
                <w:color w:val="000000"/>
              </w:rPr>
            </w:pPr>
            <w:r w:rsidRPr="00A01B15">
              <w:rPr>
                <w:color w:val="000000"/>
              </w:rPr>
              <w:t>UFPB</w:t>
            </w:r>
          </w:p>
        </w:tc>
        <w:tc>
          <w:tcPr>
            <w:tcW w:w="1600" w:type="dxa"/>
            <w:tcBorders>
              <w:top w:val="nil"/>
              <w:left w:val="nil"/>
              <w:bottom w:val="single" w:sz="4" w:space="0" w:color="auto"/>
              <w:right w:val="single" w:sz="4" w:space="0" w:color="auto"/>
            </w:tcBorders>
            <w:shd w:val="clear" w:color="auto" w:fill="auto"/>
            <w:noWrap/>
            <w:vAlign w:val="center"/>
            <w:hideMark/>
          </w:tcPr>
          <w:p w14:paraId="26CD3DE4" w14:textId="77777777" w:rsidR="00CC2B1F" w:rsidRPr="00A01B15" w:rsidRDefault="00CC2B1F" w:rsidP="00CC2B1F">
            <w:pPr>
              <w:jc w:val="center"/>
              <w:rPr>
                <w:color w:val="000000"/>
              </w:rPr>
            </w:pPr>
            <w:r w:rsidRPr="00A01B15">
              <w:rPr>
                <w:color w:val="000000"/>
              </w:rPr>
              <w:t>Doutor</w:t>
            </w:r>
          </w:p>
        </w:tc>
        <w:tc>
          <w:tcPr>
            <w:tcW w:w="1600" w:type="dxa"/>
            <w:tcBorders>
              <w:top w:val="nil"/>
              <w:left w:val="nil"/>
              <w:bottom w:val="single" w:sz="4" w:space="0" w:color="auto"/>
              <w:right w:val="single" w:sz="4" w:space="0" w:color="auto"/>
            </w:tcBorders>
            <w:shd w:val="clear" w:color="auto" w:fill="auto"/>
            <w:noWrap/>
            <w:vAlign w:val="center"/>
            <w:hideMark/>
          </w:tcPr>
          <w:p w14:paraId="2ACC13D2" w14:textId="77777777" w:rsidR="00CC2B1F" w:rsidRPr="00A01B15" w:rsidRDefault="00CC2B1F" w:rsidP="00CC2B1F">
            <w:pPr>
              <w:jc w:val="center"/>
              <w:rPr>
                <w:color w:val="000000"/>
              </w:rPr>
            </w:pPr>
            <w:r w:rsidRPr="00A01B15">
              <w:rPr>
                <w:color w:val="000000"/>
              </w:rPr>
              <w:t>4</w:t>
            </w:r>
          </w:p>
        </w:tc>
      </w:tr>
      <w:tr w:rsidR="00CC2B1F" w:rsidRPr="00A01B15" w14:paraId="4C04E28C" w14:textId="77777777" w:rsidTr="00CC2B1F">
        <w:trPr>
          <w:trHeight w:val="321"/>
          <w:jc w:val="center"/>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7A8BF2DA" w14:textId="77777777" w:rsidR="00CC2B1F" w:rsidRPr="00A01B15" w:rsidRDefault="00CC2B1F" w:rsidP="00CC2B1F">
            <w:pPr>
              <w:rPr>
                <w:color w:val="000000"/>
              </w:rPr>
            </w:pPr>
            <w:r w:rsidRPr="00A01B15">
              <w:rPr>
                <w:color w:val="000000"/>
              </w:rPr>
              <w:t>Hudson Fernandes Amaral</w:t>
            </w:r>
          </w:p>
        </w:tc>
        <w:tc>
          <w:tcPr>
            <w:tcW w:w="1600" w:type="dxa"/>
            <w:tcBorders>
              <w:top w:val="nil"/>
              <w:left w:val="nil"/>
              <w:bottom w:val="single" w:sz="4" w:space="0" w:color="auto"/>
              <w:right w:val="single" w:sz="4" w:space="0" w:color="auto"/>
            </w:tcBorders>
            <w:shd w:val="clear" w:color="auto" w:fill="auto"/>
            <w:noWrap/>
            <w:vAlign w:val="center"/>
            <w:hideMark/>
          </w:tcPr>
          <w:p w14:paraId="65F0A1FC" w14:textId="77777777" w:rsidR="00CC2B1F" w:rsidRPr="00A01B15" w:rsidRDefault="00CC2B1F" w:rsidP="00CC2B1F">
            <w:pPr>
              <w:jc w:val="center"/>
              <w:rPr>
                <w:color w:val="000000"/>
              </w:rPr>
            </w:pPr>
            <w:r w:rsidRPr="00A01B15">
              <w:rPr>
                <w:color w:val="000000"/>
              </w:rPr>
              <w:t>UFMG</w:t>
            </w:r>
          </w:p>
        </w:tc>
        <w:tc>
          <w:tcPr>
            <w:tcW w:w="1600" w:type="dxa"/>
            <w:tcBorders>
              <w:top w:val="nil"/>
              <w:left w:val="nil"/>
              <w:bottom w:val="single" w:sz="4" w:space="0" w:color="auto"/>
              <w:right w:val="single" w:sz="4" w:space="0" w:color="auto"/>
            </w:tcBorders>
            <w:shd w:val="clear" w:color="auto" w:fill="auto"/>
            <w:noWrap/>
            <w:vAlign w:val="center"/>
            <w:hideMark/>
          </w:tcPr>
          <w:p w14:paraId="5B832613" w14:textId="77777777" w:rsidR="00CC2B1F" w:rsidRPr="00A01B15" w:rsidRDefault="00CC2B1F" w:rsidP="00CC2B1F">
            <w:pPr>
              <w:jc w:val="center"/>
              <w:rPr>
                <w:color w:val="000000"/>
              </w:rPr>
            </w:pPr>
            <w:r w:rsidRPr="00A01B15">
              <w:rPr>
                <w:color w:val="000000"/>
              </w:rPr>
              <w:t>Doutor</w:t>
            </w:r>
          </w:p>
        </w:tc>
        <w:tc>
          <w:tcPr>
            <w:tcW w:w="1600" w:type="dxa"/>
            <w:tcBorders>
              <w:top w:val="nil"/>
              <w:left w:val="nil"/>
              <w:bottom w:val="single" w:sz="4" w:space="0" w:color="auto"/>
              <w:right w:val="single" w:sz="4" w:space="0" w:color="auto"/>
            </w:tcBorders>
            <w:shd w:val="clear" w:color="auto" w:fill="auto"/>
            <w:noWrap/>
            <w:vAlign w:val="center"/>
            <w:hideMark/>
          </w:tcPr>
          <w:p w14:paraId="51588576" w14:textId="77777777" w:rsidR="00CC2B1F" w:rsidRPr="00A01B15" w:rsidRDefault="00CC2B1F" w:rsidP="00CC2B1F">
            <w:pPr>
              <w:jc w:val="center"/>
              <w:rPr>
                <w:color w:val="000000"/>
              </w:rPr>
            </w:pPr>
            <w:r w:rsidRPr="00A01B15">
              <w:rPr>
                <w:color w:val="000000"/>
              </w:rPr>
              <w:t>3</w:t>
            </w:r>
          </w:p>
        </w:tc>
      </w:tr>
      <w:tr w:rsidR="00CC2B1F" w:rsidRPr="00A01B15" w14:paraId="0929AE6D" w14:textId="77777777" w:rsidTr="00CC2B1F">
        <w:trPr>
          <w:trHeight w:val="321"/>
          <w:jc w:val="center"/>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7273F72A" w14:textId="77777777" w:rsidR="00CC2B1F" w:rsidRPr="00A01B15" w:rsidRDefault="00CC2B1F" w:rsidP="00CC2B1F">
            <w:pPr>
              <w:rPr>
                <w:color w:val="000000"/>
              </w:rPr>
            </w:pPr>
            <w:r w:rsidRPr="00A01B15">
              <w:rPr>
                <w:color w:val="000000"/>
              </w:rPr>
              <w:t>Orleans Silva Martins</w:t>
            </w:r>
          </w:p>
        </w:tc>
        <w:tc>
          <w:tcPr>
            <w:tcW w:w="1600" w:type="dxa"/>
            <w:tcBorders>
              <w:top w:val="nil"/>
              <w:left w:val="nil"/>
              <w:bottom w:val="single" w:sz="4" w:space="0" w:color="auto"/>
              <w:right w:val="single" w:sz="4" w:space="0" w:color="auto"/>
            </w:tcBorders>
            <w:shd w:val="clear" w:color="auto" w:fill="auto"/>
            <w:noWrap/>
            <w:vAlign w:val="center"/>
            <w:hideMark/>
          </w:tcPr>
          <w:p w14:paraId="65DDEC15" w14:textId="77777777" w:rsidR="00CC2B1F" w:rsidRPr="00A01B15" w:rsidRDefault="00CC2B1F" w:rsidP="00CC2B1F">
            <w:pPr>
              <w:jc w:val="center"/>
              <w:rPr>
                <w:color w:val="000000"/>
              </w:rPr>
            </w:pPr>
            <w:r w:rsidRPr="00A01B15">
              <w:rPr>
                <w:color w:val="000000"/>
              </w:rPr>
              <w:t>UFPB</w:t>
            </w:r>
          </w:p>
        </w:tc>
        <w:tc>
          <w:tcPr>
            <w:tcW w:w="1600" w:type="dxa"/>
            <w:tcBorders>
              <w:top w:val="nil"/>
              <w:left w:val="nil"/>
              <w:bottom w:val="single" w:sz="4" w:space="0" w:color="auto"/>
              <w:right w:val="single" w:sz="4" w:space="0" w:color="auto"/>
            </w:tcBorders>
            <w:shd w:val="clear" w:color="auto" w:fill="auto"/>
            <w:noWrap/>
            <w:vAlign w:val="center"/>
            <w:hideMark/>
          </w:tcPr>
          <w:p w14:paraId="0DB6DC24" w14:textId="77777777" w:rsidR="00CC2B1F" w:rsidRPr="00A01B15" w:rsidRDefault="00CC2B1F" w:rsidP="00CC2B1F">
            <w:pPr>
              <w:jc w:val="center"/>
              <w:rPr>
                <w:color w:val="000000"/>
              </w:rPr>
            </w:pPr>
            <w:r w:rsidRPr="00A01B15">
              <w:rPr>
                <w:color w:val="000000"/>
              </w:rPr>
              <w:t>Doutor</w:t>
            </w:r>
          </w:p>
        </w:tc>
        <w:tc>
          <w:tcPr>
            <w:tcW w:w="1600" w:type="dxa"/>
            <w:tcBorders>
              <w:top w:val="nil"/>
              <w:left w:val="nil"/>
              <w:bottom w:val="single" w:sz="4" w:space="0" w:color="auto"/>
              <w:right w:val="single" w:sz="4" w:space="0" w:color="auto"/>
            </w:tcBorders>
            <w:shd w:val="clear" w:color="auto" w:fill="auto"/>
            <w:noWrap/>
            <w:vAlign w:val="center"/>
            <w:hideMark/>
          </w:tcPr>
          <w:p w14:paraId="3B2803E1" w14:textId="77777777" w:rsidR="00CC2B1F" w:rsidRPr="00A01B15" w:rsidRDefault="00CC2B1F" w:rsidP="00CC2B1F">
            <w:pPr>
              <w:jc w:val="center"/>
              <w:rPr>
                <w:color w:val="000000"/>
              </w:rPr>
            </w:pPr>
            <w:r w:rsidRPr="00A01B15">
              <w:rPr>
                <w:color w:val="000000"/>
              </w:rPr>
              <w:t>3</w:t>
            </w:r>
          </w:p>
        </w:tc>
      </w:tr>
      <w:tr w:rsidR="00CC2B1F" w:rsidRPr="00A01B15" w14:paraId="287A18CD" w14:textId="77777777" w:rsidTr="00CC2B1F">
        <w:trPr>
          <w:trHeight w:val="321"/>
          <w:jc w:val="center"/>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1F153D5A" w14:textId="77777777" w:rsidR="00CC2B1F" w:rsidRPr="00A01B15" w:rsidRDefault="00CC2B1F" w:rsidP="00CC2B1F">
            <w:pPr>
              <w:rPr>
                <w:color w:val="000000"/>
              </w:rPr>
            </w:pPr>
            <w:r w:rsidRPr="00A01B15">
              <w:rPr>
                <w:color w:val="000000"/>
              </w:rPr>
              <w:t>Edilson Paulo</w:t>
            </w:r>
          </w:p>
        </w:tc>
        <w:tc>
          <w:tcPr>
            <w:tcW w:w="1600" w:type="dxa"/>
            <w:tcBorders>
              <w:top w:val="nil"/>
              <w:left w:val="nil"/>
              <w:bottom w:val="single" w:sz="4" w:space="0" w:color="auto"/>
              <w:right w:val="single" w:sz="4" w:space="0" w:color="auto"/>
            </w:tcBorders>
            <w:shd w:val="clear" w:color="auto" w:fill="auto"/>
            <w:noWrap/>
            <w:vAlign w:val="center"/>
            <w:hideMark/>
          </w:tcPr>
          <w:p w14:paraId="0CDF708D" w14:textId="77777777" w:rsidR="00CC2B1F" w:rsidRPr="00A01B15" w:rsidRDefault="00CC2B1F" w:rsidP="00CC2B1F">
            <w:pPr>
              <w:jc w:val="center"/>
              <w:rPr>
                <w:color w:val="000000"/>
              </w:rPr>
            </w:pPr>
            <w:r w:rsidRPr="00A01B15">
              <w:rPr>
                <w:color w:val="000000"/>
              </w:rPr>
              <w:t>UFPB</w:t>
            </w:r>
          </w:p>
        </w:tc>
        <w:tc>
          <w:tcPr>
            <w:tcW w:w="1600" w:type="dxa"/>
            <w:tcBorders>
              <w:top w:val="nil"/>
              <w:left w:val="nil"/>
              <w:bottom w:val="single" w:sz="4" w:space="0" w:color="auto"/>
              <w:right w:val="single" w:sz="4" w:space="0" w:color="auto"/>
            </w:tcBorders>
            <w:shd w:val="clear" w:color="auto" w:fill="auto"/>
            <w:noWrap/>
            <w:vAlign w:val="center"/>
            <w:hideMark/>
          </w:tcPr>
          <w:p w14:paraId="72ED964E" w14:textId="77777777" w:rsidR="00CC2B1F" w:rsidRPr="00A01B15" w:rsidRDefault="00CC2B1F" w:rsidP="00CC2B1F">
            <w:pPr>
              <w:jc w:val="center"/>
              <w:rPr>
                <w:color w:val="000000"/>
              </w:rPr>
            </w:pPr>
            <w:r w:rsidRPr="00A01B15">
              <w:rPr>
                <w:color w:val="000000"/>
              </w:rPr>
              <w:t>Doutor</w:t>
            </w:r>
          </w:p>
        </w:tc>
        <w:tc>
          <w:tcPr>
            <w:tcW w:w="1600" w:type="dxa"/>
            <w:tcBorders>
              <w:top w:val="nil"/>
              <w:left w:val="nil"/>
              <w:bottom w:val="single" w:sz="4" w:space="0" w:color="auto"/>
              <w:right w:val="single" w:sz="4" w:space="0" w:color="auto"/>
            </w:tcBorders>
            <w:shd w:val="clear" w:color="auto" w:fill="auto"/>
            <w:noWrap/>
            <w:vAlign w:val="center"/>
            <w:hideMark/>
          </w:tcPr>
          <w:p w14:paraId="1FAC1A4F" w14:textId="77777777" w:rsidR="00CC2B1F" w:rsidRPr="00A01B15" w:rsidRDefault="00CC2B1F" w:rsidP="00CC2B1F">
            <w:pPr>
              <w:jc w:val="center"/>
              <w:rPr>
                <w:color w:val="000000"/>
              </w:rPr>
            </w:pPr>
            <w:r w:rsidRPr="00A01B15">
              <w:rPr>
                <w:color w:val="000000"/>
              </w:rPr>
              <w:t>3</w:t>
            </w:r>
          </w:p>
        </w:tc>
      </w:tr>
      <w:tr w:rsidR="00CC2B1F" w:rsidRPr="00A01B15" w14:paraId="35EFB6D1" w14:textId="77777777" w:rsidTr="00CC2B1F">
        <w:trPr>
          <w:trHeight w:val="321"/>
          <w:jc w:val="center"/>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6F162A9D" w14:textId="77777777" w:rsidR="00CC2B1F" w:rsidRPr="00A01B15" w:rsidRDefault="00CC2B1F" w:rsidP="00CC2B1F">
            <w:pPr>
              <w:rPr>
                <w:color w:val="000000"/>
              </w:rPr>
            </w:pPr>
            <w:r w:rsidRPr="00A01B15">
              <w:rPr>
                <w:color w:val="000000"/>
              </w:rPr>
              <w:t>Laíse Ferraz Correia</w:t>
            </w:r>
          </w:p>
        </w:tc>
        <w:tc>
          <w:tcPr>
            <w:tcW w:w="1600" w:type="dxa"/>
            <w:tcBorders>
              <w:top w:val="nil"/>
              <w:left w:val="nil"/>
              <w:bottom w:val="single" w:sz="4" w:space="0" w:color="auto"/>
              <w:right w:val="single" w:sz="4" w:space="0" w:color="auto"/>
            </w:tcBorders>
            <w:shd w:val="clear" w:color="auto" w:fill="auto"/>
            <w:noWrap/>
            <w:vAlign w:val="center"/>
            <w:hideMark/>
          </w:tcPr>
          <w:p w14:paraId="406DC771" w14:textId="77777777" w:rsidR="00CC2B1F" w:rsidRPr="00A01B15" w:rsidRDefault="00CC2B1F" w:rsidP="00CC2B1F">
            <w:pPr>
              <w:jc w:val="center"/>
              <w:rPr>
                <w:color w:val="000000"/>
              </w:rPr>
            </w:pPr>
            <w:r w:rsidRPr="00A01B15">
              <w:rPr>
                <w:color w:val="000000"/>
              </w:rPr>
              <w:t>CEFET-MG</w:t>
            </w:r>
          </w:p>
        </w:tc>
        <w:tc>
          <w:tcPr>
            <w:tcW w:w="1600" w:type="dxa"/>
            <w:tcBorders>
              <w:top w:val="nil"/>
              <w:left w:val="nil"/>
              <w:bottom w:val="single" w:sz="4" w:space="0" w:color="auto"/>
              <w:right w:val="single" w:sz="4" w:space="0" w:color="auto"/>
            </w:tcBorders>
            <w:shd w:val="clear" w:color="auto" w:fill="auto"/>
            <w:noWrap/>
            <w:vAlign w:val="center"/>
            <w:hideMark/>
          </w:tcPr>
          <w:p w14:paraId="4E88FE03" w14:textId="77777777" w:rsidR="00CC2B1F" w:rsidRPr="00A01B15" w:rsidRDefault="00CC2B1F" w:rsidP="00CC2B1F">
            <w:pPr>
              <w:jc w:val="center"/>
              <w:rPr>
                <w:color w:val="000000"/>
              </w:rPr>
            </w:pPr>
            <w:r w:rsidRPr="00A01B15">
              <w:rPr>
                <w:color w:val="000000"/>
              </w:rPr>
              <w:t>Doutora</w:t>
            </w:r>
          </w:p>
        </w:tc>
        <w:tc>
          <w:tcPr>
            <w:tcW w:w="1600" w:type="dxa"/>
            <w:tcBorders>
              <w:top w:val="nil"/>
              <w:left w:val="nil"/>
              <w:bottom w:val="single" w:sz="4" w:space="0" w:color="auto"/>
              <w:right w:val="single" w:sz="4" w:space="0" w:color="auto"/>
            </w:tcBorders>
            <w:shd w:val="clear" w:color="auto" w:fill="auto"/>
            <w:noWrap/>
            <w:vAlign w:val="center"/>
            <w:hideMark/>
          </w:tcPr>
          <w:p w14:paraId="78858943" w14:textId="77777777" w:rsidR="00CC2B1F" w:rsidRPr="00A01B15" w:rsidRDefault="00CC2B1F" w:rsidP="00CC2B1F">
            <w:pPr>
              <w:jc w:val="center"/>
              <w:rPr>
                <w:color w:val="000000"/>
              </w:rPr>
            </w:pPr>
            <w:r w:rsidRPr="00A01B15">
              <w:rPr>
                <w:color w:val="000000"/>
              </w:rPr>
              <w:t>2</w:t>
            </w:r>
          </w:p>
        </w:tc>
      </w:tr>
      <w:tr w:rsidR="00CC2B1F" w:rsidRPr="00A01B15" w14:paraId="7711C514" w14:textId="77777777" w:rsidTr="00CC2B1F">
        <w:trPr>
          <w:trHeight w:val="321"/>
          <w:jc w:val="center"/>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484543EC" w14:textId="77777777" w:rsidR="00CC2B1F" w:rsidRPr="00A01B15" w:rsidRDefault="00CC2B1F" w:rsidP="00CC2B1F">
            <w:pPr>
              <w:rPr>
                <w:color w:val="000000"/>
              </w:rPr>
            </w:pPr>
            <w:r w:rsidRPr="00A01B15">
              <w:rPr>
                <w:color w:val="000000"/>
              </w:rPr>
              <w:t xml:space="preserve">Hsia Hua Sheng </w:t>
            </w:r>
          </w:p>
        </w:tc>
        <w:tc>
          <w:tcPr>
            <w:tcW w:w="1600" w:type="dxa"/>
            <w:tcBorders>
              <w:top w:val="nil"/>
              <w:left w:val="nil"/>
              <w:bottom w:val="single" w:sz="4" w:space="0" w:color="auto"/>
              <w:right w:val="single" w:sz="4" w:space="0" w:color="auto"/>
            </w:tcBorders>
            <w:shd w:val="clear" w:color="auto" w:fill="auto"/>
            <w:noWrap/>
            <w:vAlign w:val="center"/>
            <w:hideMark/>
          </w:tcPr>
          <w:p w14:paraId="244B7FF7" w14:textId="77777777" w:rsidR="00CC2B1F" w:rsidRPr="00A01B15" w:rsidRDefault="00CC2B1F" w:rsidP="00CC2B1F">
            <w:pPr>
              <w:jc w:val="center"/>
              <w:rPr>
                <w:color w:val="000000"/>
              </w:rPr>
            </w:pPr>
            <w:r w:rsidRPr="00A01B15">
              <w:rPr>
                <w:color w:val="000000"/>
              </w:rPr>
              <w:t>FGV</w:t>
            </w:r>
          </w:p>
        </w:tc>
        <w:tc>
          <w:tcPr>
            <w:tcW w:w="1600" w:type="dxa"/>
            <w:tcBorders>
              <w:top w:val="nil"/>
              <w:left w:val="nil"/>
              <w:bottom w:val="single" w:sz="4" w:space="0" w:color="auto"/>
              <w:right w:val="single" w:sz="4" w:space="0" w:color="auto"/>
            </w:tcBorders>
            <w:shd w:val="clear" w:color="auto" w:fill="auto"/>
            <w:noWrap/>
            <w:vAlign w:val="center"/>
            <w:hideMark/>
          </w:tcPr>
          <w:p w14:paraId="7F78E84A" w14:textId="77777777" w:rsidR="00CC2B1F" w:rsidRPr="00A01B15" w:rsidRDefault="00CC2B1F" w:rsidP="00CC2B1F">
            <w:pPr>
              <w:jc w:val="center"/>
              <w:rPr>
                <w:color w:val="000000"/>
              </w:rPr>
            </w:pPr>
            <w:r w:rsidRPr="00A01B15">
              <w:rPr>
                <w:color w:val="000000"/>
              </w:rPr>
              <w:t>Doutor</w:t>
            </w:r>
          </w:p>
        </w:tc>
        <w:tc>
          <w:tcPr>
            <w:tcW w:w="1600" w:type="dxa"/>
            <w:tcBorders>
              <w:top w:val="nil"/>
              <w:left w:val="nil"/>
              <w:bottom w:val="single" w:sz="4" w:space="0" w:color="auto"/>
              <w:right w:val="single" w:sz="4" w:space="0" w:color="auto"/>
            </w:tcBorders>
            <w:shd w:val="clear" w:color="auto" w:fill="auto"/>
            <w:noWrap/>
            <w:vAlign w:val="center"/>
            <w:hideMark/>
          </w:tcPr>
          <w:p w14:paraId="5C745C9C" w14:textId="77777777" w:rsidR="00CC2B1F" w:rsidRPr="00A01B15" w:rsidRDefault="00CC2B1F" w:rsidP="00CC2B1F">
            <w:pPr>
              <w:jc w:val="center"/>
              <w:rPr>
                <w:color w:val="000000"/>
              </w:rPr>
            </w:pPr>
            <w:r w:rsidRPr="00A01B15">
              <w:rPr>
                <w:color w:val="000000"/>
              </w:rPr>
              <w:t>2</w:t>
            </w:r>
          </w:p>
        </w:tc>
      </w:tr>
      <w:tr w:rsidR="00CC2B1F" w:rsidRPr="00A01B15" w14:paraId="56DEFC68" w14:textId="77777777" w:rsidTr="00CC2B1F">
        <w:trPr>
          <w:trHeight w:val="321"/>
          <w:jc w:val="center"/>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7FC28C7E" w14:textId="77777777" w:rsidR="00CC2B1F" w:rsidRPr="00A01B15" w:rsidRDefault="00CC2B1F" w:rsidP="00CC2B1F">
            <w:pPr>
              <w:rPr>
                <w:color w:val="000000"/>
              </w:rPr>
            </w:pPr>
            <w:r w:rsidRPr="00A01B15">
              <w:rPr>
                <w:color w:val="000000"/>
              </w:rPr>
              <w:t xml:space="preserve">Kelmara Mendes Vieira </w:t>
            </w:r>
          </w:p>
        </w:tc>
        <w:tc>
          <w:tcPr>
            <w:tcW w:w="1600" w:type="dxa"/>
            <w:tcBorders>
              <w:top w:val="nil"/>
              <w:left w:val="nil"/>
              <w:bottom w:val="single" w:sz="4" w:space="0" w:color="auto"/>
              <w:right w:val="single" w:sz="4" w:space="0" w:color="auto"/>
            </w:tcBorders>
            <w:shd w:val="clear" w:color="auto" w:fill="auto"/>
            <w:noWrap/>
            <w:vAlign w:val="center"/>
            <w:hideMark/>
          </w:tcPr>
          <w:p w14:paraId="6594C445" w14:textId="77777777" w:rsidR="00CC2B1F" w:rsidRPr="00A01B15" w:rsidRDefault="00CC2B1F" w:rsidP="00CC2B1F">
            <w:pPr>
              <w:jc w:val="center"/>
              <w:rPr>
                <w:color w:val="000000"/>
              </w:rPr>
            </w:pPr>
            <w:r w:rsidRPr="00A01B15">
              <w:rPr>
                <w:color w:val="000000"/>
              </w:rPr>
              <w:t>UFSM</w:t>
            </w:r>
          </w:p>
        </w:tc>
        <w:tc>
          <w:tcPr>
            <w:tcW w:w="1600" w:type="dxa"/>
            <w:tcBorders>
              <w:top w:val="nil"/>
              <w:left w:val="nil"/>
              <w:bottom w:val="single" w:sz="4" w:space="0" w:color="auto"/>
              <w:right w:val="single" w:sz="4" w:space="0" w:color="auto"/>
            </w:tcBorders>
            <w:shd w:val="clear" w:color="auto" w:fill="auto"/>
            <w:noWrap/>
            <w:vAlign w:val="center"/>
            <w:hideMark/>
          </w:tcPr>
          <w:p w14:paraId="173A66B5" w14:textId="77777777" w:rsidR="00CC2B1F" w:rsidRPr="00A01B15" w:rsidRDefault="00CC2B1F" w:rsidP="00CC2B1F">
            <w:pPr>
              <w:jc w:val="center"/>
              <w:rPr>
                <w:color w:val="000000"/>
              </w:rPr>
            </w:pPr>
            <w:r w:rsidRPr="00A01B15">
              <w:rPr>
                <w:color w:val="000000"/>
              </w:rPr>
              <w:t>Doutora</w:t>
            </w:r>
          </w:p>
        </w:tc>
        <w:tc>
          <w:tcPr>
            <w:tcW w:w="1600" w:type="dxa"/>
            <w:tcBorders>
              <w:top w:val="nil"/>
              <w:left w:val="nil"/>
              <w:bottom w:val="single" w:sz="4" w:space="0" w:color="auto"/>
              <w:right w:val="single" w:sz="4" w:space="0" w:color="auto"/>
            </w:tcBorders>
            <w:shd w:val="clear" w:color="auto" w:fill="auto"/>
            <w:noWrap/>
            <w:vAlign w:val="center"/>
            <w:hideMark/>
          </w:tcPr>
          <w:p w14:paraId="3682E6DA" w14:textId="77777777" w:rsidR="00CC2B1F" w:rsidRPr="00A01B15" w:rsidRDefault="00CC2B1F" w:rsidP="00CC2B1F">
            <w:pPr>
              <w:jc w:val="center"/>
              <w:rPr>
                <w:color w:val="000000"/>
              </w:rPr>
            </w:pPr>
            <w:r w:rsidRPr="00A01B15">
              <w:rPr>
                <w:color w:val="000000"/>
              </w:rPr>
              <w:t>2</w:t>
            </w:r>
          </w:p>
        </w:tc>
      </w:tr>
      <w:tr w:rsidR="00CC2B1F" w:rsidRPr="00A01B15" w14:paraId="6C564297" w14:textId="77777777" w:rsidTr="00CC2B1F">
        <w:trPr>
          <w:trHeight w:val="321"/>
          <w:jc w:val="center"/>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4385F8FF" w14:textId="77777777" w:rsidR="00CC2B1F" w:rsidRPr="00A01B15" w:rsidRDefault="00CC2B1F" w:rsidP="00CC2B1F">
            <w:pPr>
              <w:rPr>
                <w:color w:val="000000"/>
              </w:rPr>
            </w:pPr>
            <w:r w:rsidRPr="00A01B15">
              <w:rPr>
                <w:color w:val="000000"/>
              </w:rPr>
              <w:t>Paulo Sérgio Ceretta</w:t>
            </w:r>
          </w:p>
        </w:tc>
        <w:tc>
          <w:tcPr>
            <w:tcW w:w="1600" w:type="dxa"/>
            <w:tcBorders>
              <w:top w:val="nil"/>
              <w:left w:val="nil"/>
              <w:bottom w:val="single" w:sz="4" w:space="0" w:color="auto"/>
              <w:right w:val="single" w:sz="4" w:space="0" w:color="auto"/>
            </w:tcBorders>
            <w:shd w:val="clear" w:color="auto" w:fill="auto"/>
            <w:noWrap/>
            <w:vAlign w:val="center"/>
            <w:hideMark/>
          </w:tcPr>
          <w:p w14:paraId="05AE38F7" w14:textId="77777777" w:rsidR="00CC2B1F" w:rsidRPr="00A01B15" w:rsidRDefault="00CC2B1F" w:rsidP="00CC2B1F">
            <w:pPr>
              <w:jc w:val="center"/>
              <w:rPr>
                <w:color w:val="000000"/>
              </w:rPr>
            </w:pPr>
            <w:r w:rsidRPr="00A01B15">
              <w:rPr>
                <w:color w:val="000000"/>
              </w:rPr>
              <w:t>UFSM</w:t>
            </w:r>
          </w:p>
        </w:tc>
        <w:tc>
          <w:tcPr>
            <w:tcW w:w="1600" w:type="dxa"/>
            <w:tcBorders>
              <w:top w:val="nil"/>
              <w:left w:val="nil"/>
              <w:bottom w:val="single" w:sz="4" w:space="0" w:color="auto"/>
              <w:right w:val="single" w:sz="4" w:space="0" w:color="auto"/>
            </w:tcBorders>
            <w:shd w:val="clear" w:color="auto" w:fill="auto"/>
            <w:noWrap/>
            <w:vAlign w:val="center"/>
            <w:hideMark/>
          </w:tcPr>
          <w:p w14:paraId="07CC058B" w14:textId="77777777" w:rsidR="00CC2B1F" w:rsidRPr="00A01B15" w:rsidRDefault="00CC2B1F" w:rsidP="00CC2B1F">
            <w:pPr>
              <w:jc w:val="center"/>
              <w:rPr>
                <w:color w:val="000000"/>
              </w:rPr>
            </w:pPr>
            <w:r w:rsidRPr="00A01B15">
              <w:rPr>
                <w:color w:val="000000"/>
              </w:rPr>
              <w:t>Doutor</w:t>
            </w:r>
          </w:p>
        </w:tc>
        <w:tc>
          <w:tcPr>
            <w:tcW w:w="1600" w:type="dxa"/>
            <w:tcBorders>
              <w:top w:val="nil"/>
              <w:left w:val="nil"/>
              <w:bottom w:val="single" w:sz="4" w:space="0" w:color="auto"/>
              <w:right w:val="single" w:sz="4" w:space="0" w:color="auto"/>
            </w:tcBorders>
            <w:shd w:val="clear" w:color="auto" w:fill="auto"/>
            <w:noWrap/>
            <w:vAlign w:val="center"/>
            <w:hideMark/>
          </w:tcPr>
          <w:p w14:paraId="38FD669C" w14:textId="77777777" w:rsidR="00CC2B1F" w:rsidRPr="00A01B15" w:rsidRDefault="00CC2B1F" w:rsidP="00CC2B1F">
            <w:pPr>
              <w:jc w:val="center"/>
              <w:rPr>
                <w:color w:val="000000"/>
              </w:rPr>
            </w:pPr>
            <w:r w:rsidRPr="00A01B15">
              <w:rPr>
                <w:color w:val="000000"/>
              </w:rPr>
              <w:t>2</w:t>
            </w:r>
          </w:p>
        </w:tc>
      </w:tr>
      <w:tr w:rsidR="00CC2B1F" w:rsidRPr="00A01B15" w14:paraId="3E44F4E0" w14:textId="77777777" w:rsidTr="00CC2B1F">
        <w:trPr>
          <w:trHeight w:val="321"/>
          <w:jc w:val="center"/>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4445857A" w14:textId="77777777" w:rsidR="00CC2B1F" w:rsidRPr="00A01B15" w:rsidRDefault="00CC2B1F" w:rsidP="00CC2B1F">
            <w:pPr>
              <w:rPr>
                <w:color w:val="000000"/>
              </w:rPr>
            </w:pPr>
            <w:r w:rsidRPr="00A01B15">
              <w:rPr>
                <w:color w:val="000000"/>
              </w:rPr>
              <w:t>Fernando Dal-Ri Murcia</w:t>
            </w:r>
          </w:p>
        </w:tc>
        <w:tc>
          <w:tcPr>
            <w:tcW w:w="1600" w:type="dxa"/>
            <w:tcBorders>
              <w:top w:val="nil"/>
              <w:left w:val="nil"/>
              <w:bottom w:val="single" w:sz="4" w:space="0" w:color="auto"/>
              <w:right w:val="single" w:sz="4" w:space="0" w:color="auto"/>
            </w:tcBorders>
            <w:shd w:val="clear" w:color="auto" w:fill="auto"/>
            <w:noWrap/>
            <w:vAlign w:val="center"/>
            <w:hideMark/>
          </w:tcPr>
          <w:p w14:paraId="3A1E8571" w14:textId="77777777" w:rsidR="00CC2B1F" w:rsidRPr="00A01B15" w:rsidRDefault="00CC2B1F" w:rsidP="00CC2B1F">
            <w:pPr>
              <w:jc w:val="center"/>
              <w:rPr>
                <w:color w:val="000000"/>
              </w:rPr>
            </w:pPr>
            <w:r w:rsidRPr="00A01B15">
              <w:rPr>
                <w:color w:val="000000"/>
              </w:rPr>
              <w:t>USP</w:t>
            </w:r>
          </w:p>
        </w:tc>
        <w:tc>
          <w:tcPr>
            <w:tcW w:w="1600" w:type="dxa"/>
            <w:tcBorders>
              <w:top w:val="nil"/>
              <w:left w:val="nil"/>
              <w:bottom w:val="single" w:sz="4" w:space="0" w:color="auto"/>
              <w:right w:val="single" w:sz="4" w:space="0" w:color="auto"/>
            </w:tcBorders>
            <w:shd w:val="clear" w:color="auto" w:fill="auto"/>
            <w:noWrap/>
            <w:vAlign w:val="center"/>
            <w:hideMark/>
          </w:tcPr>
          <w:p w14:paraId="3FF21E03" w14:textId="77777777" w:rsidR="00CC2B1F" w:rsidRPr="00A01B15" w:rsidRDefault="00CC2B1F" w:rsidP="00CC2B1F">
            <w:pPr>
              <w:jc w:val="center"/>
              <w:rPr>
                <w:color w:val="000000"/>
              </w:rPr>
            </w:pPr>
            <w:r w:rsidRPr="00A01B15">
              <w:rPr>
                <w:color w:val="000000"/>
              </w:rPr>
              <w:t>Doutor</w:t>
            </w:r>
          </w:p>
        </w:tc>
        <w:tc>
          <w:tcPr>
            <w:tcW w:w="1600" w:type="dxa"/>
            <w:tcBorders>
              <w:top w:val="nil"/>
              <w:left w:val="nil"/>
              <w:bottom w:val="single" w:sz="4" w:space="0" w:color="auto"/>
              <w:right w:val="single" w:sz="4" w:space="0" w:color="auto"/>
            </w:tcBorders>
            <w:shd w:val="clear" w:color="auto" w:fill="auto"/>
            <w:noWrap/>
            <w:vAlign w:val="center"/>
            <w:hideMark/>
          </w:tcPr>
          <w:p w14:paraId="46762A63" w14:textId="77777777" w:rsidR="00CC2B1F" w:rsidRPr="00A01B15" w:rsidRDefault="00CC2B1F" w:rsidP="00CC2B1F">
            <w:pPr>
              <w:jc w:val="center"/>
              <w:rPr>
                <w:color w:val="000000"/>
              </w:rPr>
            </w:pPr>
            <w:r w:rsidRPr="00A01B15">
              <w:rPr>
                <w:color w:val="000000"/>
              </w:rPr>
              <w:t>2</w:t>
            </w:r>
          </w:p>
        </w:tc>
      </w:tr>
    </w:tbl>
    <w:p w14:paraId="76731834" w14:textId="77777777" w:rsidR="00CC2B1F" w:rsidRPr="008D06FA" w:rsidRDefault="00CC2B1F" w:rsidP="00CC2B1F">
      <w:pPr>
        <w:spacing w:after="240"/>
        <w:jc w:val="both"/>
        <w:rPr>
          <w:szCs w:val="24"/>
        </w:rPr>
      </w:pPr>
      <w:r>
        <w:rPr>
          <w:szCs w:val="24"/>
        </w:rPr>
        <w:t xml:space="preserve">          Fonte: Elaborado pelos autores.</w:t>
      </w:r>
    </w:p>
    <w:p w14:paraId="38747322" w14:textId="77777777" w:rsidR="00CC2B1F" w:rsidRDefault="00CC2B1F" w:rsidP="00CC2B1F">
      <w:pPr>
        <w:ind w:firstLine="709"/>
        <w:jc w:val="both"/>
        <w:rPr>
          <w:sz w:val="24"/>
          <w:szCs w:val="24"/>
        </w:rPr>
      </w:pPr>
      <w:r>
        <w:rPr>
          <w:sz w:val="24"/>
          <w:szCs w:val="24"/>
        </w:rPr>
        <w:t xml:space="preserve">O restante dos autores contribuiu com uma autoria cada em artigos sobre o tema. Nota-se que há predominância da titulação de doutor (a) nos autores mais representativos da amostra, corroborando com a Figura 1 apresentada anteriormente, que aponta que 63,3% dos autores que publicam sobre </w:t>
      </w:r>
      <w:r w:rsidRPr="00DF3645">
        <w:rPr>
          <w:sz w:val="24"/>
          <w:szCs w:val="24"/>
        </w:rPr>
        <w:t>liquidez de mercado</w:t>
      </w:r>
      <w:r>
        <w:rPr>
          <w:i/>
          <w:sz w:val="24"/>
          <w:szCs w:val="24"/>
        </w:rPr>
        <w:t xml:space="preserve"> </w:t>
      </w:r>
      <w:r>
        <w:rPr>
          <w:sz w:val="24"/>
          <w:szCs w:val="24"/>
        </w:rPr>
        <w:t xml:space="preserve">são doutores (as). </w:t>
      </w:r>
    </w:p>
    <w:p w14:paraId="6671BD16" w14:textId="77777777" w:rsidR="00CC2B1F" w:rsidRDefault="00CC2B1F" w:rsidP="00CC2B1F">
      <w:pPr>
        <w:suppressAutoHyphens w:val="0"/>
        <w:spacing w:before="240" w:after="240"/>
        <w:rPr>
          <w:b/>
          <w:sz w:val="24"/>
          <w:szCs w:val="24"/>
        </w:rPr>
      </w:pPr>
      <w:r w:rsidRPr="0066534C">
        <w:rPr>
          <w:b/>
          <w:color w:val="231F20"/>
          <w:sz w:val="24"/>
          <w:szCs w:val="24"/>
        </w:rPr>
        <w:t xml:space="preserve">5 </w:t>
      </w:r>
      <w:r w:rsidRPr="0066534C">
        <w:rPr>
          <w:b/>
          <w:sz w:val="24"/>
          <w:szCs w:val="24"/>
        </w:rPr>
        <w:t>Considerações Finais</w:t>
      </w:r>
    </w:p>
    <w:p w14:paraId="346FD7C0" w14:textId="77777777" w:rsidR="00CC2B1F" w:rsidRDefault="00CC2B1F" w:rsidP="00CC2B1F">
      <w:pPr>
        <w:suppressAutoHyphens w:val="0"/>
        <w:ind w:firstLine="709"/>
        <w:jc w:val="both"/>
        <w:rPr>
          <w:sz w:val="24"/>
          <w:szCs w:val="24"/>
        </w:rPr>
      </w:pPr>
      <w:r>
        <w:rPr>
          <w:sz w:val="24"/>
          <w:szCs w:val="24"/>
        </w:rPr>
        <w:t xml:space="preserve">Esse estudo objetivou </w:t>
      </w:r>
      <w:r w:rsidRPr="008F4163">
        <w:rPr>
          <w:sz w:val="24"/>
          <w:szCs w:val="24"/>
        </w:rPr>
        <w:t>analisar</w:t>
      </w:r>
      <w:r>
        <w:rPr>
          <w:sz w:val="24"/>
          <w:szCs w:val="24"/>
        </w:rPr>
        <w:t>, por meio de uma pesquisa bibliométrica,</w:t>
      </w:r>
      <w:r w:rsidRPr="008F4163">
        <w:rPr>
          <w:sz w:val="24"/>
          <w:szCs w:val="24"/>
        </w:rPr>
        <w:t xml:space="preserve"> a produção científica </w:t>
      </w:r>
      <w:r>
        <w:rPr>
          <w:sz w:val="24"/>
          <w:szCs w:val="24"/>
        </w:rPr>
        <w:t>sobre liquidez de mercado no Brasil no período de 2007 a 2016, de modo a compreender como a academia tem tratado esse tema nos periódicos de relevância. Para isso foram selecionados os periódicos</w:t>
      </w:r>
      <w:r w:rsidRPr="0013692B">
        <w:rPr>
          <w:sz w:val="24"/>
          <w:szCs w:val="24"/>
        </w:rPr>
        <w:t xml:space="preserve"> nacionais </w:t>
      </w:r>
      <w:r>
        <w:rPr>
          <w:sz w:val="24"/>
          <w:szCs w:val="24"/>
        </w:rPr>
        <w:t xml:space="preserve">A2 </w:t>
      </w:r>
      <w:r w:rsidRPr="0013692B">
        <w:rPr>
          <w:sz w:val="24"/>
          <w:szCs w:val="24"/>
        </w:rPr>
        <w:t xml:space="preserve">de </w:t>
      </w:r>
      <w:r>
        <w:rPr>
          <w:sz w:val="24"/>
          <w:szCs w:val="24"/>
        </w:rPr>
        <w:t xml:space="preserve">administração, finanças e </w:t>
      </w:r>
      <w:r w:rsidRPr="0013692B">
        <w:rPr>
          <w:sz w:val="24"/>
          <w:szCs w:val="24"/>
        </w:rPr>
        <w:t>contabilidade</w:t>
      </w:r>
      <w:r>
        <w:rPr>
          <w:sz w:val="24"/>
          <w:szCs w:val="24"/>
        </w:rPr>
        <w:t xml:space="preserve">. Após uma análise de conteúdo, foram selecionados 27 artigos, e por meio da investigação foi possível identificar os principais autores, instituições de origem, periódicos mais profícuos sobre o tema, entre outros. </w:t>
      </w:r>
    </w:p>
    <w:p w14:paraId="41B4A3A9" w14:textId="77777777" w:rsidR="00CC2B1F" w:rsidRDefault="00CC2B1F" w:rsidP="00CC2B1F">
      <w:pPr>
        <w:suppressAutoHyphens w:val="0"/>
        <w:ind w:firstLine="709"/>
        <w:jc w:val="both"/>
        <w:rPr>
          <w:sz w:val="24"/>
          <w:szCs w:val="24"/>
        </w:rPr>
      </w:pPr>
      <w:r>
        <w:rPr>
          <w:sz w:val="24"/>
          <w:szCs w:val="24"/>
        </w:rPr>
        <w:t xml:space="preserve">Alguns constructos foram escolhidos para efetuar a análise. No tocante ao número de artigos distribuídos por ano de publicação nos periódicos analisados pode-se observar que o ano de 2014 foi o mais produtivo em relação ao número de publicações sobre o tema. O periódico mais prolífico do ano foi o </w:t>
      </w:r>
      <w:r w:rsidRPr="0089086F">
        <w:rPr>
          <w:i/>
          <w:sz w:val="24"/>
          <w:szCs w:val="24"/>
        </w:rPr>
        <w:t>Brazilian Business Review</w:t>
      </w:r>
      <w:r>
        <w:rPr>
          <w:sz w:val="24"/>
          <w:szCs w:val="24"/>
        </w:rPr>
        <w:t xml:space="preserve">, com 3 publicações. A maioria dos periódicos selecionados não teve nenhum artigo que tratasse especificamente do tema, em nenhum dos anos. </w:t>
      </w:r>
    </w:p>
    <w:p w14:paraId="49F76C1A" w14:textId="77777777" w:rsidR="00CC2B1F" w:rsidRDefault="00CC2B1F" w:rsidP="00CC2B1F">
      <w:pPr>
        <w:suppressAutoHyphens w:val="0"/>
        <w:ind w:firstLine="709"/>
        <w:jc w:val="both"/>
        <w:rPr>
          <w:sz w:val="24"/>
          <w:szCs w:val="24"/>
        </w:rPr>
      </w:pPr>
      <w:r>
        <w:rPr>
          <w:sz w:val="24"/>
          <w:szCs w:val="24"/>
        </w:rPr>
        <w:t xml:space="preserve">Nos artigos, foi identificado um total de 55 autores, e pode-se verificar que dentre eles, 35 possuíam o título de doutor (a), 11 deles eram mestres, havia 4 mestrandos (as) e 5 eram doutorandos (as) à época das publicações. Há uma predominância de doutores (as) na pesquisa do tema em questão (63,3% da amostra), seguido por autores com título de mestre (20% da amostra). Destaca-se Márcio André Veras Machado da UFPB como o autor mais produtivo em relação a artigos publicados sobre </w:t>
      </w:r>
      <w:r w:rsidRPr="00DF3645">
        <w:rPr>
          <w:sz w:val="24"/>
          <w:szCs w:val="24"/>
        </w:rPr>
        <w:t>liquidez de mercado</w:t>
      </w:r>
      <w:r>
        <w:rPr>
          <w:i/>
          <w:sz w:val="24"/>
          <w:szCs w:val="24"/>
        </w:rPr>
        <w:t xml:space="preserve"> </w:t>
      </w:r>
      <w:r>
        <w:rPr>
          <w:sz w:val="24"/>
          <w:szCs w:val="24"/>
        </w:rPr>
        <w:t xml:space="preserve">no período analisado. Apesar do autor mais representativo da amostra ser da UFPB, a instituição que possui mais autores vinculados a ela é a USP, com o total de 15 autores afiliados. A UFPB está empatada em segundo lugar, juntamente com a PUC-RJ, com 6 autores vinculados a cada uma. </w:t>
      </w:r>
    </w:p>
    <w:p w14:paraId="33FAF5E4" w14:textId="77777777" w:rsidR="00CC2B1F" w:rsidRPr="004E59A3" w:rsidRDefault="00CC2B1F" w:rsidP="00CC2B1F">
      <w:pPr>
        <w:suppressAutoHyphens w:val="0"/>
        <w:ind w:firstLine="709"/>
        <w:jc w:val="both"/>
        <w:rPr>
          <w:sz w:val="24"/>
          <w:szCs w:val="24"/>
        </w:rPr>
      </w:pPr>
      <w:r w:rsidRPr="004E59A3">
        <w:rPr>
          <w:sz w:val="24"/>
          <w:szCs w:val="24"/>
        </w:rPr>
        <w:t xml:space="preserve">As publicações em sua maioria contavam com </w:t>
      </w:r>
      <w:r>
        <w:rPr>
          <w:sz w:val="24"/>
          <w:szCs w:val="24"/>
        </w:rPr>
        <w:t xml:space="preserve">a presença </w:t>
      </w:r>
      <w:r w:rsidRPr="004E59A3">
        <w:rPr>
          <w:sz w:val="24"/>
          <w:szCs w:val="24"/>
        </w:rPr>
        <w:t>de 2 ou mais autores, sendo apenas uma delas de autoria própria.</w:t>
      </w:r>
      <w:r>
        <w:rPr>
          <w:sz w:val="24"/>
          <w:szCs w:val="24"/>
        </w:rPr>
        <w:t xml:space="preserve"> Infere-se que existe uma integração entre os pesquisadores, que têm preferência por publicar em parceria com outros, sejam eles vinculados à mesma instituição ou a instituições diferentes. </w:t>
      </w:r>
    </w:p>
    <w:p w14:paraId="1E2CDB32" w14:textId="77777777" w:rsidR="00CC2B1F" w:rsidRDefault="00CC2B1F" w:rsidP="006420DC">
      <w:pPr>
        <w:shd w:val="clear" w:color="auto" w:fill="FFFFFF"/>
        <w:ind w:firstLine="709"/>
        <w:jc w:val="both"/>
        <w:rPr>
          <w:sz w:val="24"/>
          <w:szCs w:val="24"/>
        </w:rPr>
      </w:pPr>
      <w:r w:rsidRPr="003D0B52">
        <w:rPr>
          <w:sz w:val="24"/>
          <w:szCs w:val="24"/>
        </w:rPr>
        <w:t xml:space="preserve">No entanto, é importante ressaltar as limitações presentes nesse estudo. Destaca-se a ausência dos artigos </w:t>
      </w:r>
      <w:r w:rsidRPr="00381CE8">
        <w:rPr>
          <w:sz w:val="24"/>
          <w:szCs w:val="24"/>
        </w:rPr>
        <w:t xml:space="preserve">que </w:t>
      </w:r>
      <w:r w:rsidRPr="003D0B52">
        <w:rPr>
          <w:sz w:val="24"/>
          <w:szCs w:val="24"/>
        </w:rPr>
        <w:t xml:space="preserve">abrangiam o tema </w:t>
      </w:r>
      <w:r w:rsidRPr="00DF3645">
        <w:rPr>
          <w:sz w:val="24"/>
          <w:szCs w:val="24"/>
        </w:rPr>
        <w:t>liquidez de mercado</w:t>
      </w:r>
      <w:r w:rsidRPr="003D0B52">
        <w:rPr>
          <w:sz w:val="24"/>
          <w:szCs w:val="24"/>
        </w:rPr>
        <w:t xml:space="preserve"> </w:t>
      </w:r>
      <w:r w:rsidRPr="00381CE8">
        <w:rPr>
          <w:sz w:val="24"/>
          <w:szCs w:val="24"/>
        </w:rPr>
        <w:t>e</w:t>
      </w:r>
      <w:r w:rsidRPr="003D0B52">
        <w:rPr>
          <w:sz w:val="24"/>
          <w:szCs w:val="24"/>
        </w:rPr>
        <w:t xml:space="preserve"> que possam ter sidos </w:t>
      </w:r>
      <w:r w:rsidRPr="00381CE8">
        <w:rPr>
          <w:sz w:val="24"/>
          <w:szCs w:val="24"/>
        </w:rPr>
        <w:t>desconsidera</w:t>
      </w:r>
      <w:r w:rsidRPr="003D0B52">
        <w:rPr>
          <w:sz w:val="24"/>
          <w:szCs w:val="24"/>
        </w:rPr>
        <w:t xml:space="preserve">dos </w:t>
      </w:r>
      <w:r w:rsidRPr="00381CE8">
        <w:rPr>
          <w:sz w:val="24"/>
          <w:szCs w:val="24"/>
        </w:rPr>
        <w:t>na</w:t>
      </w:r>
      <w:r w:rsidRPr="003D0B52">
        <w:rPr>
          <w:sz w:val="24"/>
          <w:szCs w:val="24"/>
        </w:rPr>
        <w:t xml:space="preserve"> triagem inicial, feita via </w:t>
      </w:r>
      <w:r w:rsidRPr="003D0B52">
        <w:rPr>
          <w:i/>
          <w:sz w:val="24"/>
          <w:szCs w:val="24"/>
        </w:rPr>
        <w:t>web</w:t>
      </w:r>
      <w:r w:rsidRPr="003D0B52">
        <w:rPr>
          <w:sz w:val="24"/>
          <w:szCs w:val="24"/>
        </w:rPr>
        <w:t xml:space="preserve"> </w:t>
      </w:r>
      <w:r w:rsidRPr="003D0B52">
        <w:rPr>
          <w:color w:val="000000" w:themeColor="text1"/>
          <w:sz w:val="24"/>
          <w:szCs w:val="24"/>
        </w:rPr>
        <w:t>através da inserção do termo chave “Liquidez” (</w:t>
      </w:r>
      <w:r w:rsidRPr="003D0B52">
        <w:rPr>
          <w:i/>
          <w:color w:val="000000" w:themeColor="text1"/>
          <w:sz w:val="24"/>
          <w:szCs w:val="24"/>
        </w:rPr>
        <w:t>Liquidity</w:t>
      </w:r>
      <w:r w:rsidRPr="003D0B52">
        <w:rPr>
          <w:color w:val="000000" w:themeColor="text1"/>
          <w:sz w:val="24"/>
          <w:szCs w:val="24"/>
        </w:rPr>
        <w:t xml:space="preserve">) no buscador </w:t>
      </w:r>
      <w:r w:rsidRPr="003D0B52">
        <w:rPr>
          <w:i/>
          <w:color w:val="000000" w:themeColor="text1"/>
          <w:sz w:val="24"/>
          <w:szCs w:val="24"/>
        </w:rPr>
        <w:t>Google Scholar</w:t>
      </w:r>
      <w:r w:rsidRPr="003D0B52">
        <w:rPr>
          <w:color w:val="000000" w:themeColor="text1"/>
          <w:sz w:val="24"/>
          <w:szCs w:val="24"/>
        </w:rPr>
        <w:t>.</w:t>
      </w:r>
      <w:r w:rsidRPr="003D0B52">
        <w:rPr>
          <w:sz w:val="24"/>
          <w:szCs w:val="24"/>
        </w:rPr>
        <w:t xml:space="preserve"> Vale lembrar que esse tipo de pesquisa se atém ao </w:t>
      </w:r>
      <w:r w:rsidRPr="003D0B52">
        <w:rPr>
          <w:sz w:val="24"/>
          <w:szCs w:val="24"/>
        </w:rPr>
        <w:lastRenderedPageBreak/>
        <w:t xml:space="preserve">tamanho da amostra selecionada e, portanto, essa análise não deve ser generalizada. </w:t>
      </w:r>
      <w:r w:rsidRPr="00381CE8">
        <w:rPr>
          <w:sz w:val="24"/>
          <w:szCs w:val="24"/>
        </w:rPr>
        <w:t xml:space="preserve">No entanto, </w:t>
      </w:r>
      <w:r w:rsidRPr="003D0B52">
        <w:rPr>
          <w:sz w:val="24"/>
          <w:szCs w:val="24"/>
        </w:rPr>
        <w:t xml:space="preserve">apesar dessas limitações, </w:t>
      </w:r>
      <w:r w:rsidRPr="00381CE8">
        <w:rPr>
          <w:sz w:val="24"/>
          <w:szCs w:val="24"/>
        </w:rPr>
        <w:t xml:space="preserve">não significa que as contribuições trazidas por este estudo não sejam relevantes. Recomenda-se para </w:t>
      </w:r>
      <w:r>
        <w:rPr>
          <w:sz w:val="24"/>
          <w:szCs w:val="24"/>
        </w:rPr>
        <w:t>pesquisas futuras</w:t>
      </w:r>
      <w:r w:rsidRPr="00381CE8">
        <w:rPr>
          <w:sz w:val="24"/>
          <w:szCs w:val="24"/>
        </w:rPr>
        <w:t xml:space="preserve"> a replicação deste </w:t>
      </w:r>
      <w:r w:rsidRPr="003D0B52">
        <w:rPr>
          <w:sz w:val="24"/>
          <w:szCs w:val="24"/>
        </w:rPr>
        <w:t>estudo com uso de uma meta-</w:t>
      </w:r>
      <w:r w:rsidRPr="00381CE8">
        <w:rPr>
          <w:sz w:val="24"/>
          <w:szCs w:val="24"/>
        </w:rPr>
        <w:t>an</w:t>
      </w:r>
      <w:r w:rsidRPr="003D0B52">
        <w:rPr>
          <w:sz w:val="24"/>
          <w:szCs w:val="24"/>
        </w:rPr>
        <w:t xml:space="preserve">álise ou uma revisão sistemática da literatura, a fim de </w:t>
      </w:r>
      <w:r w:rsidRPr="003D0B52">
        <w:rPr>
          <w:color w:val="222222"/>
          <w:sz w:val="24"/>
          <w:szCs w:val="24"/>
          <w:shd w:val="clear" w:color="auto" w:fill="FFFFFF"/>
        </w:rPr>
        <w:t xml:space="preserve">integrar os resultados de vários estudos sobre o tema de pesquisa em questão. </w:t>
      </w:r>
    </w:p>
    <w:p w14:paraId="39E1CAD5" w14:textId="77777777" w:rsidR="00CC2B1F" w:rsidRPr="00650910" w:rsidRDefault="00CC2B1F" w:rsidP="00CC2B1F">
      <w:pPr>
        <w:autoSpaceDE w:val="0"/>
        <w:autoSpaceDN w:val="0"/>
        <w:adjustRightInd w:val="0"/>
        <w:spacing w:before="240" w:after="240"/>
        <w:jc w:val="both"/>
        <w:rPr>
          <w:b/>
          <w:color w:val="000000" w:themeColor="text1"/>
          <w:sz w:val="24"/>
          <w:szCs w:val="24"/>
        </w:rPr>
      </w:pPr>
      <w:r w:rsidRPr="00650910">
        <w:rPr>
          <w:b/>
          <w:color w:val="000000" w:themeColor="text1"/>
          <w:sz w:val="24"/>
          <w:szCs w:val="24"/>
        </w:rPr>
        <w:t>Referências</w:t>
      </w:r>
    </w:p>
    <w:p w14:paraId="262F13AA" w14:textId="77777777" w:rsidR="00CC2B1F" w:rsidRPr="00145179" w:rsidRDefault="00CC2B1F" w:rsidP="00CC2B1F">
      <w:pPr>
        <w:widowControl w:val="0"/>
        <w:autoSpaceDE w:val="0"/>
        <w:autoSpaceDN w:val="0"/>
        <w:adjustRightInd w:val="0"/>
        <w:spacing w:after="240"/>
        <w:ind w:left="425" w:hanging="425"/>
        <w:jc w:val="both"/>
        <w:rPr>
          <w:noProof/>
          <w:sz w:val="24"/>
          <w:szCs w:val="24"/>
          <w:lang w:val="en-US"/>
        </w:rPr>
      </w:pPr>
      <w:r w:rsidRPr="00145179">
        <w:rPr>
          <w:sz w:val="24"/>
          <w:szCs w:val="24"/>
        </w:rPr>
        <w:fldChar w:fldCharType="begin" w:fldLock="1"/>
      </w:r>
      <w:r w:rsidRPr="00650910">
        <w:rPr>
          <w:sz w:val="24"/>
          <w:szCs w:val="24"/>
        </w:rPr>
        <w:instrText xml:space="preserve">ADDIN Mendeley Bibliography CSL_BIBLIOGRAPHY </w:instrText>
      </w:r>
      <w:r w:rsidRPr="00145179">
        <w:rPr>
          <w:sz w:val="24"/>
          <w:szCs w:val="24"/>
        </w:rPr>
        <w:fldChar w:fldCharType="separate"/>
      </w:r>
      <w:r w:rsidRPr="00650910">
        <w:rPr>
          <w:noProof/>
          <w:sz w:val="24"/>
          <w:szCs w:val="24"/>
        </w:rPr>
        <w:t xml:space="preserve">Amihud, Y., &amp; Mendelson, H. (1986). </w:t>
      </w:r>
      <w:r w:rsidRPr="00145179">
        <w:rPr>
          <w:noProof/>
          <w:sz w:val="24"/>
          <w:szCs w:val="24"/>
          <w:lang w:val="en-US"/>
        </w:rPr>
        <w:t xml:space="preserve">Asset pricing and the bid-ask spread. </w:t>
      </w:r>
      <w:r w:rsidRPr="00145179">
        <w:rPr>
          <w:bCs/>
          <w:noProof/>
          <w:sz w:val="24"/>
          <w:szCs w:val="24"/>
          <w:lang w:val="en-US"/>
        </w:rPr>
        <w:t>J</w:t>
      </w:r>
      <w:r w:rsidRPr="00145179">
        <w:rPr>
          <w:bCs/>
          <w:i/>
          <w:noProof/>
          <w:sz w:val="24"/>
          <w:szCs w:val="24"/>
          <w:lang w:val="en-US"/>
        </w:rPr>
        <w:t>ournal of Financial Economics</w:t>
      </w:r>
      <w:r w:rsidRPr="00145179">
        <w:rPr>
          <w:noProof/>
          <w:sz w:val="24"/>
          <w:szCs w:val="24"/>
          <w:lang w:val="en-US"/>
        </w:rPr>
        <w:t xml:space="preserve">, </w:t>
      </w:r>
      <w:r w:rsidRPr="00195FF4">
        <w:rPr>
          <w:i/>
          <w:noProof/>
          <w:sz w:val="24"/>
          <w:szCs w:val="24"/>
          <w:lang w:val="en-US"/>
        </w:rPr>
        <w:t xml:space="preserve">17 </w:t>
      </w:r>
      <w:r w:rsidRPr="00145E3B">
        <w:rPr>
          <w:noProof/>
          <w:sz w:val="24"/>
          <w:szCs w:val="24"/>
          <w:lang w:val="en-US"/>
        </w:rPr>
        <w:t>(2)</w:t>
      </w:r>
      <w:r>
        <w:rPr>
          <w:noProof/>
          <w:sz w:val="24"/>
          <w:szCs w:val="24"/>
          <w:lang w:val="en-US"/>
        </w:rPr>
        <w:t>,</w:t>
      </w:r>
      <w:r w:rsidRPr="00145179">
        <w:rPr>
          <w:noProof/>
          <w:sz w:val="24"/>
          <w:szCs w:val="24"/>
          <w:lang w:val="en-US"/>
        </w:rPr>
        <w:t xml:space="preserve"> 223–249</w:t>
      </w:r>
      <w:r>
        <w:rPr>
          <w:noProof/>
          <w:sz w:val="24"/>
          <w:szCs w:val="24"/>
          <w:lang w:val="en-US"/>
        </w:rPr>
        <w:t>.</w:t>
      </w:r>
    </w:p>
    <w:p w14:paraId="771222C4" w14:textId="77777777" w:rsidR="00CC2B1F" w:rsidRPr="00145179" w:rsidRDefault="00CC2B1F" w:rsidP="00CC2B1F">
      <w:pPr>
        <w:widowControl w:val="0"/>
        <w:autoSpaceDE w:val="0"/>
        <w:autoSpaceDN w:val="0"/>
        <w:adjustRightInd w:val="0"/>
        <w:spacing w:after="240"/>
        <w:ind w:left="425" w:hanging="425"/>
        <w:jc w:val="both"/>
        <w:rPr>
          <w:noProof/>
          <w:sz w:val="24"/>
          <w:szCs w:val="24"/>
          <w:lang w:val="en-US"/>
        </w:rPr>
      </w:pPr>
      <w:r>
        <w:rPr>
          <w:noProof/>
          <w:sz w:val="24"/>
          <w:szCs w:val="24"/>
          <w:lang w:val="en-US"/>
        </w:rPr>
        <w:t>Amihud, Y., &amp;</w:t>
      </w:r>
      <w:r w:rsidRPr="00145179">
        <w:rPr>
          <w:noProof/>
          <w:sz w:val="24"/>
          <w:szCs w:val="24"/>
          <w:lang w:val="en-US"/>
        </w:rPr>
        <w:t xml:space="preserve"> Mendelson, H. </w:t>
      </w:r>
      <w:r>
        <w:rPr>
          <w:noProof/>
          <w:sz w:val="24"/>
          <w:szCs w:val="24"/>
          <w:lang w:val="en-US"/>
        </w:rPr>
        <w:t xml:space="preserve">(1988). </w:t>
      </w:r>
      <w:r w:rsidRPr="00145179">
        <w:rPr>
          <w:noProof/>
          <w:sz w:val="24"/>
          <w:szCs w:val="24"/>
          <w:lang w:val="en-US"/>
        </w:rPr>
        <w:t xml:space="preserve">Liquidity and asset price: financial management implications. </w:t>
      </w:r>
      <w:r w:rsidRPr="003E523F">
        <w:rPr>
          <w:i/>
          <w:noProof/>
          <w:sz w:val="24"/>
          <w:szCs w:val="24"/>
          <w:lang w:val="en-US"/>
        </w:rPr>
        <w:t>Financial Management</w:t>
      </w:r>
      <w:r>
        <w:rPr>
          <w:noProof/>
          <w:sz w:val="24"/>
          <w:szCs w:val="24"/>
          <w:lang w:val="en-US"/>
        </w:rPr>
        <w:t xml:space="preserve">, </w:t>
      </w:r>
      <w:r w:rsidRPr="003E523F">
        <w:rPr>
          <w:i/>
          <w:noProof/>
          <w:sz w:val="24"/>
          <w:szCs w:val="24"/>
          <w:lang w:val="en-US"/>
        </w:rPr>
        <w:t xml:space="preserve"> 17 </w:t>
      </w:r>
      <w:r w:rsidRPr="00145E3B">
        <w:rPr>
          <w:noProof/>
          <w:sz w:val="24"/>
          <w:szCs w:val="24"/>
          <w:lang w:val="en-US"/>
        </w:rPr>
        <w:t>(1)</w:t>
      </w:r>
      <w:r>
        <w:rPr>
          <w:noProof/>
          <w:sz w:val="24"/>
          <w:szCs w:val="24"/>
          <w:lang w:val="en-US"/>
        </w:rPr>
        <w:t>,</w:t>
      </w:r>
      <w:r w:rsidRPr="00145179">
        <w:rPr>
          <w:noProof/>
          <w:sz w:val="24"/>
          <w:szCs w:val="24"/>
          <w:lang w:val="en-US"/>
        </w:rPr>
        <w:t xml:space="preserve"> 5-15.</w:t>
      </w:r>
    </w:p>
    <w:p w14:paraId="0DCCBA62" w14:textId="77777777" w:rsidR="00CC2B1F" w:rsidRPr="00145179" w:rsidRDefault="00CC2B1F" w:rsidP="00CC2B1F">
      <w:pPr>
        <w:widowControl w:val="0"/>
        <w:autoSpaceDE w:val="0"/>
        <w:autoSpaceDN w:val="0"/>
        <w:adjustRightInd w:val="0"/>
        <w:spacing w:after="240"/>
        <w:ind w:left="425" w:hanging="425"/>
        <w:jc w:val="both"/>
        <w:rPr>
          <w:noProof/>
          <w:sz w:val="24"/>
          <w:szCs w:val="24"/>
          <w:lang w:val="en-US"/>
        </w:rPr>
      </w:pPr>
      <w:r w:rsidRPr="00145179">
        <w:rPr>
          <w:noProof/>
          <w:sz w:val="24"/>
          <w:szCs w:val="24"/>
          <w:lang w:val="en-US"/>
        </w:rPr>
        <w:t>Amihud</w:t>
      </w:r>
      <w:r>
        <w:rPr>
          <w:noProof/>
          <w:sz w:val="24"/>
          <w:szCs w:val="24"/>
          <w:lang w:val="en-US"/>
        </w:rPr>
        <w:t>, Y., &amp;</w:t>
      </w:r>
      <w:r w:rsidRPr="00145179">
        <w:rPr>
          <w:noProof/>
          <w:sz w:val="24"/>
          <w:szCs w:val="24"/>
          <w:lang w:val="en-US"/>
        </w:rPr>
        <w:t xml:space="preserve"> Mendelson, </w:t>
      </w:r>
      <w:r>
        <w:rPr>
          <w:noProof/>
          <w:sz w:val="24"/>
          <w:szCs w:val="24"/>
          <w:lang w:val="en-US"/>
        </w:rPr>
        <w:t xml:space="preserve"> </w:t>
      </w:r>
      <w:r w:rsidRPr="00145179">
        <w:rPr>
          <w:noProof/>
          <w:sz w:val="24"/>
          <w:szCs w:val="24"/>
          <w:lang w:val="en-US"/>
        </w:rPr>
        <w:t>H.</w:t>
      </w:r>
      <w:r>
        <w:rPr>
          <w:noProof/>
          <w:sz w:val="24"/>
          <w:szCs w:val="24"/>
          <w:lang w:val="en-US"/>
        </w:rPr>
        <w:t xml:space="preserve"> (1991).</w:t>
      </w:r>
      <w:r w:rsidRPr="00145179">
        <w:rPr>
          <w:noProof/>
          <w:sz w:val="24"/>
          <w:szCs w:val="24"/>
          <w:lang w:val="en-US"/>
        </w:rPr>
        <w:t xml:space="preserve"> Liquidity, asset prices and financial policy. </w:t>
      </w:r>
      <w:r w:rsidRPr="00145E3B">
        <w:rPr>
          <w:i/>
          <w:noProof/>
          <w:sz w:val="24"/>
          <w:szCs w:val="24"/>
          <w:lang w:val="en-US"/>
        </w:rPr>
        <w:t>Financial Analysts Journal</w:t>
      </w:r>
      <w:r>
        <w:rPr>
          <w:noProof/>
          <w:sz w:val="24"/>
          <w:szCs w:val="24"/>
          <w:lang w:val="en-US"/>
        </w:rPr>
        <w:t xml:space="preserve">, </w:t>
      </w:r>
      <w:r w:rsidRPr="00145E3B">
        <w:rPr>
          <w:i/>
          <w:noProof/>
          <w:sz w:val="24"/>
          <w:szCs w:val="24"/>
          <w:lang w:val="en-US"/>
        </w:rPr>
        <w:t>47</w:t>
      </w:r>
      <w:r>
        <w:rPr>
          <w:noProof/>
          <w:sz w:val="24"/>
          <w:szCs w:val="24"/>
          <w:lang w:val="en-US"/>
        </w:rPr>
        <w:t xml:space="preserve"> (</w:t>
      </w:r>
      <w:r w:rsidRPr="00145179">
        <w:rPr>
          <w:noProof/>
          <w:sz w:val="24"/>
          <w:szCs w:val="24"/>
          <w:lang w:val="en-US"/>
        </w:rPr>
        <w:t>6</w:t>
      </w:r>
      <w:r>
        <w:rPr>
          <w:noProof/>
          <w:sz w:val="24"/>
          <w:szCs w:val="24"/>
          <w:lang w:val="en-US"/>
        </w:rPr>
        <w:t>),</w:t>
      </w:r>
      <w:r w:rsidRPr="00145179">
        <w:rPr>
          <w:noProof/>
          <w:sz w:val="24"/>
          <w:szCs w:val="24"/>
          <w:lang w:val="en-US"/>
        </w:rPr>
        <w:t xml:space="preserve"> 56-6</w:t>
      </w:r>
      <w:r>
        <w:rPr>
          <w:noProof/>
          <w:sz w:val="24"/>
          <w:szCs w:val="24"/>
          <w:lang w:val="en-US"/>
        </w:rPr>
        <w:t>6.</w:t>
      </w:r>
      <w:r w:rsidRPr="00145179">
        <w:rPr>
          <w:noProof/>
          <w:sz w:val="24"/>
          <w:szCs w:val="24"/>
          <w:lang w:val="en-US"/>
        </w:rPr>
        <w:t xml:space="preserve"> </w:t>
      </w:r>
    </w:p>
    <w:p w14:paraId="0216FAC7" w14:textId="77777777" w:rsidR="00CC2B1F" w:rsidRPr="00145179" w:rsidRDefault="00CC2B1F" w:rsidP="00CC2B1F">
      <w:pPr>
        <w:widowControl w:val="0"/>
        <w:autoSpaceDE w:val="0"/>
        <w:autoSpaceDN w:val="0"/>
        <w:adjustRightInd w:val="0"/>
        <w:spacing w:after="240"/>
        <w:ind w:left="425" w:hanging="425"/>
        <w:jc w:val="both"/>
        <w:rPr>
          <w:noProof/>
          <w:sz w:val="24"/>
          <w:szCs w:val="24"/>
          <w:lang w:val="en-US"/>
        </w:rPr>
      </w:pPr>
      <w:r w:rsidRPr="00145179">
        <w:rPr>
          <w:noProof/>
          <w:sz w:val="24"/>
          <w:szCs w:val="24"/>
          <w:lang w:val="en-US"/>
        </w:rPr>
        <w:t>Amihud, Y.</w:t>
      </w:r>
      <w:r>
        <w:rPr>
          <w:noProof/>
          <w:sz w:val="24"/>
          <w:szCs w:val="24"/>
          <w:lang w:val="en-US"/>
        </w:rPr>
        <w:t xml:space="preserve"> (2002).</w:t>
      </w:r>
      <w:r w:rsidRPr="00145179">
        <w:rPr>
          <w:noProof/>
          <w:sz w:val="24"/>
          <w:szCs w:val="24"/>
          <w:lang w:val="en-US"/>
        </w:rPr>
        <w:t xml:space="preserve"> Illiquidity and stock returns: cross-section and time series effects. </w:t>
      </w:r>
      <w:r w:rsidRPr="00145E3B">
        <w:rPr>
          <w:i/>
          <w:noProof/>
          <w:sz w:val="24"/>
          <w:szCs w:val="24"/>
          <w:lang w:val="en-US"/>
        </w:rPr>
        <w:t>Journal of Financial Markets</w:t>
      </w:r>
      <w:r w:rsidRPr="00145E3B">
        <w:rPr>
          <w:noProof/>
          <w:sz w:val="24"/>
          <w:szCs w:val="24"/>
          <w:lang w:val="en-US"/>
        </w:rPr>
        <w:t>,</w:t>
      </w:r>
      <w:r w:rsidRPr="00145E3B">
        <w:rPr>
          <w:i/>
          <w:noProof/>
          <w:sz w:val="24"/>
          <w:szCs w:val="24"/>
          <w:lang w:val="en-US"/>
        </w:rPr>
        <w:t xml:space="preserve"> 5 </w:t>
      </w:r>
      <w:r>
        <w:rPr>
          <w:noProof/>
          <w:sz w:val="24"/>
          <w:szCs w:val="24"/>
          <w:lang w:val="en-US"/>
        </w:rPr>
        <w:t>(1), 31-56.</w:t>
      </w:r>
      <w:r w:rsidRPr="00145179">
        <w:rPr>
          <w:noProof/>
          <w:sz w:val="24"/>
          <w:szCs w:val="24"/>
          <w:lang w:val="en-US"/>
        </w:rPr>
        <w:t xml:space="preserve"> </w:t>
      </w:r>
    </w:p>
    <w:p w14:paraId="469F481C" w14:textId="77777777" w:rsidR="00CC2B1F" w:rsidRPr="00145179" w:rsidRDefault="00CC2B1F" w:rsidP="00CC2B1F">
      <w:pPr>
        <w:widowControl w:val="0"/>
        <w:autoSpaceDE w:val="0"/>
        <w:autoSpaceDN w:val="0"/>
        <w:adjustRightInd w:val="0"/>
        <w:spacing w:after="240"/>
        <w:ind w:left="425" w:hanging="425"/>
        <w:jc w:val="both"/>
        <w:rPr>
          <w:noProof/>
          <w:sz w:val="24"/>
          <w:szCs w:val="24"/>
          <w:lang w:val="en-US"/>
        </w:rPr>
      </w:pPr>
      <w:r w:rsidRPr="00145179">
        <w:rPr>
          <w:noProof/>
          <w:sz w:val="24"/>
          <w:szCs w:val="24"/>
          <w:lang w:val="en-US"/>
        </w:rPr>
        <w:t>Amihud</w:t>
      </w:r>
      <w:r>
        <w:rPr>
          <w:noProof/>
          <w:sz w:val="24"/>
          <w:szCs w:val="24"/>
          <w:lang w:val="en-US"/>
        </w:rPr>
        <w:t>, Y., &amp;</w:t>
      </w:r>
      <w:r w:rsidRPr="00145179">
        <w:rPr>
          <w:noProof/>
          <w:sz w:val="24"/>
          <w:szCs w:val="24"/>
          <w:lang w:val="en-US"/>
        </w:rPr>
        <w:t xml:space="preserve"> Mendelson, H. </w:t>
      </w:r>
      <w:r>
        <w:rPr>
          <w:noProof/>
          <w:sz w:val="24"/>
          <w:szCs w:val="24"/>
          <w:lang w:val="en-US"/>
        </w:rPr>
        <w:t xml:space="preserve">(2006). </w:t>
      </w:r>
      <w:r w:rsidRPr="00145179">
        <w:rPr>
          <w:noProof/>
          <w:sz w:val="24"/>
          <w:szCs w:val="24"/>
          <w:lang w:val="en-US"/>
        </w:rPr>
        <w:t xml:space="preserve">Stock and bond liquidity and its effect on prices and financial policies. </w:t>
      </w:r>
      <w:r w:rsidRPr="00145E3B">
        <w:rPr>
          <w:i/>
          <w:noProof/>
          <w:sz w:val="24"/>
          <w:szCs w:val="24"/>
          <w:lang w:val="en-US"/>
        </w:rPr>
        <w:t>Financial Market Portfolio Management</w:t>
      </w:r>
      <w:r>
        <w:rPr>
          <w:noProof/>
          <w:sz w:val="24"/>
          <w:szCs w:val="24"/>
          <w:lang w:val="en-US"/>
        </w:rPr>
        <w:t xml:space="preserve">, </w:t>
      </w:r>
      <w:r w:rsidRPr="00145E3B">
        <w:rPr>
          <w:i/>
          <w:noProof/>
          <w:sz w:val="24"/>
          <w:szCs w:val="24"/>
          <w:lang w:val="en-US"/>
        </w:rPr>
        <w:t>20</w:t>
      </w:r>
      <w:r w:rsidRPr="00145179">
        <w:rPr>
          <w:noProof/>
          <w:sz w:val="24"/>
          <w:szCs w:val="24"/>
          <w:lang w:val="en-US"/>
        </w:rPr>
        <w:t xml:space="preserve"> </w:t>
      </w:r>
      <w:r>
        <w:rPr>
          <w:noProof/>
          <w:sz w:val="24"/>
          <w:szCs w:val="24"/>
          <w:lang w:val="en-US"/>
        </w:rPr>
        <w:t>(</w:t>
      </w:r>
      <w:r w:rsidRPr="00145179">
        <w:rPr>
          <w:noProof/>
          <w:sz w:val="24"/>
          <w:szCs w:val="24"/>
          <w:lang w:val="en-US"/>
        </w:rPr>
        <w:t>1</w:t>
      </w:r>
      <w:r>
        <w:rPr>
          <w:noProof/>
          <w:sz w:val="24"/>
          <w:szCs w:val="24"/>
          <w:lang w:val="en-US"/>
        </w:rPr>
        <w:t>)</w:t>
      </w:r>
      <w:r w:rsidRPr="00145179">
        <w:rPr>
          <w:noProof/>
          <w:sz w:val="24"/>
          <w:szCs w:val="24"/>
          <w:lang w:val="en-US"/>
        </w:rPr>
        <w:t>, 19-32</w:t>
      </w:r>
      <w:r>
        <w:rPr>
          <w:noProof/>
          <w:sz w:val="24"/>
          <w:szCs w:val="24"/>
          <w:lang w:val="en-US"/>
        </w:rPr>
        <w:t>.</w:t>
      </w:r>
    </w:p>
    <w:p w14:paraId="679E2D45" w14:textId="77777777" w:rsidR="00CC2B1F" w:rsidRPr="00145179" w:rsidRDefault="00CC2B1F" w:rsidP="00CC2B1F">
      <w:pPr>
        <w:widowControl w:val="0"/>
        <w:autoSpaceDE w:val="0"/>
        <w:autoSpaceDN w:val="0"/>
        <w:adjustRightInd w:val="0"/>
        <w:spacing w:after="240"/>
        <w:ind w:left="425" w:hanging="425"/>
        <w:jc w:val="both"/>
        <w:rPr>
          <w:noProof/>
          <w:sz w:val="24"/>
          <w:szCs w:val="24"/>
          <w:lang w:val="en-US"/>
        </w:rPr>
      </w:pPr>
      <w:r w:rsidRPr="00145179">
        <w:rPr>
          <w:noProof/>
          <w:sz w:val="24"/>
          <w:szCs w:val="24"/>
          <w:lang w:val="en-US"/>
        </w:rPr>
        <w:t xml:space="preserve">Black, F. </w:t>
      </w:r>
      <w:r>
        <w:rPr>
          <w:noProof/>
          <w:sz w:val="24"/>
          <w:szCs w:val="24"/>
          <w:lang w:val="en-US"/>
        </w:rPr>
        <w:t xml:space="preserve">(1971). </w:t>
      </w:r>
      <w:r w:rsidRPr="00145179">
        <w:rPr>
          <w:noProof/>
          <w:sz w:val="24"/>
          <w:szCs w:val="24"/>
          <w:lang w:val="en-US"/>
        </w:rPr>
        <w:t xml:space="preserve">Towards a fully automated exchange. </w:t>
      </w:r>
      <w:r w:rsidRPr="00F24D69">
        <w:rPr>
          <w:i/>
          <w:noProof/>
          <w:sz w:val="24"/>
          <w:szCs w:val="24"/>
          <w:lang w:val="en-US"/>
        </w:rPr>
        <w:t>Financial Analysts Journal</w:t>
      </w:r>
      <w:r>
        <w:rPr>
          <w:noProof/>
          <w:sz w:val="24"/>
          <w:szCs w:val="24"/>
          <w:lang w:val="en-US"/>
        </w:rPr>
        <w:t xml:space="preserve">, </w:t>
      </w:r>
      <w:r w:rsidRPr="00F24D69">
        <w:rPr>
          <w:i/>
          <w:noProof/>
          <w:sz w:val="24"/>
          <w:szCs w:val="24"/>
          <w:lang w:val="en-US"/>
        </w:rPr>
        <w:t>27</w:t>
      </w:r>
      <w:r>
        <w:rPr>
          <w:noProof/>
          <w:sz w:val="24"/>
          <w:szCs w:val="24"/>
          <w:lang w:val="en-US"/>
        </w:rPr>
        <w:t xml:space="preserve"> (4), 29-35.</w:t>
      </w:r>
    </w:p>
    <w:p w14:paraId="3A3B8B68" w14:textId="77777777" w:rsidR="00CC2B1F" w:rsidRPr="00145179" w:rsidRDefault="00CC2B1F" w:rsidP="00CC2B1F">
      <w:pPr>
        <w:widowControl w:val="0"/>
        <w:autoSpaceDE w:val="0"/>
        <w:autoSpaceDN w:val="0"/>
        <w:adjustRightInd w:val="0"/>
        <w:spacing w:after="240"/>
        <w:ind w:left="425" w:hanging="425"/>
        <w:jc w:val="both"/>
        <w:rPr>
          <w:noProof/>
          <w:sz w:val="24"/>
          <w:szCs w:val="24"/>
        </w:rPr>
      </w:pPr>
      <w:r w:rsidRPr="00145179">
        <w:rPr>
          <w:noProof/>
          <w:sz w:val="24"/>
          <w:szCs w:val="24"/>
          <w:lang w:val="en-US"/>
        </w:rPr>
        <w:t>Brennan</w:t>
      </w:r>
      <w:r>
        <w:rPr>
          <w:noProof/>
          <w:sz w:val="24"/>
          <w:szCs w:val="24"/>
          <w:lang w:val="en-US"/>
        </w:rPr>
        <w:t>, M. J., &amp;</w:t>
      </w:r>
      <w:r w:rsidRPr="00145179">
        <w:rPr>
          <w:noProof/>
          <w:sz w:val="24"/>
          <w:szCs w:val="24"/>
          <w:lang w:val="en-US"/>
        </w:rPr>
        <w:t xml:space="preserve"> Subrahmanyam, A. </w:t>
      </w:r>
      <w:r>
        <w:rPr>
          <w:noProof/>
          <w:sz w:val="24"/>
          <w:szCs w:val="24"/>
          <w:lang w:val="en-US"/>
        </w:rPr>
        <w:t xml:space="preserve">(1996). </w:t>
      </w:r>
      <w:r w:rsidRPr="00145179">
        <w:rPr>
          <w:noProof/>
          <w:sz w:val="24"/>
          <w:szCs w:val="24"/>
          <w:lang w:val="en-US"/>
        </w:rPr>
        <w:t xml:space="preserve">Market microstructure and asset pricing:on the compensation for illiquidity in stock returns. </w:t>
      </w:r>
      <w:r w:rsidRPr="00F24D69">
        <w:rPr>
          <w:i/>
          <w:noProof/>
          <w:sz w:val="24"/>
          <w:szCs w:val="24"/>
        </w:rPr>
        <w:t>Journal of Financial Economics</w:t>
      </w:r>
      <w:r w:rsidRPr="00145179">
        <w:rPr>
          <w:noProof/>
          <w:sz w:val="24"/>
          <w:szCs w:val="24"/>
        </w:rPr>
        <w:t xml:space="preserve">, </w:t>
      </w:r>
      <w:r w:rsidRPr="00F24D69">
        <w:rPr>
          <w:i/>
          <w:noProof/>
          <w:sz w:val="24"/>
          <w:szCs w:val="24"/>
        </w:rPr>
        <w:t>41</w:t>
      </w:r>
      <w:r>
        <w:rPr>
          <w:i/>
          <w:noProof/>
          <w:sz w:val="24"/>
          <w:szCs w:val="24"/>
        </w:rPr>
        <w:t xml:space="preserve"> </w:t>
      </w:r>
      <w:r>
        <w:rPr>
          <w:noProof/>
          <w:sz w:val="24"/>
          <w:szCs w:val="24"/>
        </w:rPr>
        <w:t>(3), 441–464.</w:t>
      </w:r>
    </w:p>
    <w:p w14:paraId="195FD85F" w14:textId="77777777" w:rsidR="00CC2B1F" w:rsidRPr="00650910" w:rsidRDefault="00CC2B1F" w:rsidP="00CC2B1F">
      <w:pPr>
        <w:spacing w:after="240"/>
        <w:ind w:left="425" w:hanging="425"/>
        <w:jc w:val="both"/>
        <w:rPr>
          <w:color w:val="000000"/>
          <w:sz w:val="24"/>
          <w:szCs w:val="24"/>
          <w:shd w:val="clear" w:color="auto" w:fill="FFFFFF"/>
        </w:rPr>
      </w:pPr>
      <w:r>
        <w:rPr>
          <w:color w:val="000000"/>
          <w:sz w:val="24"/>
          <w:szCs w:val="24"/>
          <w:shd w:val="clear" w:color="auto" w:fill="FFFFFF"/>
        </w:rPr>
        <w:t xml:space="preserve">Bruni, A. </w:t>
      </w:r>
      <w:r w:rsidRPr="00AE1C86">
        <w:rPr>
          <w:color w:val="000000"/>
          <w:sz w:val="24"/>
          <w:szCs w:val="24"/>
          <w:shd w:val="clear" w:color="auto" w:fill="FFFFFF"/>
        </w:rPr>
        <w:t xml:space="preserve">L., &amp; Famá, R. (1998). Liquidez e avaliação de ativos financeiros: evidências empíricas na BOVESPA (1988-1996). </w:t>
      </w:r>
      <w:r w:rsidRPr="00650910">
        <w:rPr>
          <w:color w:val="000000"/>
          <w:sz w:val="24"/>
          <w:szCs w:val="24"/>
          <w:shd w:val="clear" w:color="auto" w:fill="FFFFFF"/>
        </w:rPr>
        <w:t>(Em CD-ROM). In: </w:t>
      </w:r>
      <w:r w:rsidRPr="00650910">
        <w:rPr>
          <w:i/>
          <w:iCs/>
          <w:color w:val="000000"/>
          <w:sz w:val="24"/>
          <w:szCs w:val="24"/>
          <w:shd w:val="clear" w:color="auto" w:fill="FFFFFF"/>
        </w:rPr>
        <w:t>Anais</w:t>
      </w:r>
      <w:r w:rsidRPr="00650910">
        <w:rPr>
          <w:color w:val="000000"/>
          <w:sz w:val="24"/>
          <w:szCs w:val="24"/>
          <w:shd w:val="clear" w:color="auto" w:fill="FFFFFF"/>
        </w:rPr>
        <w:t>. São Paulo: ANPAD.</w:t>
      </w:r>
    </w:p>
    <w:p w14:paraId="0CFC61D9" w14:textId="77777777" w:rsidR="00CC2B1F" w:rsidRPr="00145179" w:rsidRDefault="00CC2B1F" w:rsidP="00CC2B1F">
      <w:pPr>
        <w:spacing w:after="240"/>
        <w:ind w:left="425" w:hanging="425"/>
        <w:jc w:val="both"/>
        <w:rPr>
          <w:sz w:val="24"/>
          <w:szCs w:val="24"/>
          <w:lang w:val="en-US"/>
        </w:rPr>
      </w:pPr>
      <w:r w:rsidRPr="00650910">
        <w:rPr>
          <w:sz w:val="24"/>
          <w:szCs w:val="24"/>
        </w:rPr>
        <w:t xml:space="preserve">Burt, R. S. (1992). </w:t>
      </w:r>
      <w:r w:rsidRPr="00145179">
        <w:rPr>
          <w:i/>
          <w:sz w:val="24"/>
          <w:szCs w:val="24"/>
          <w:lang w:val="en-US"/>
        </w:rPr>
        <w:t>Structural holes</w:t>
      </w:r>
      <w:r w:rsidRPr="00145179">
        <w:rPr>
          <w:sz w:val="24"/>
          <w:szCs w:val="24"/>
          <w:lang w:val="en-US"/>
        </w:rPr>
        <w:t>: the social structure of competition. Cambri</w:t>
      </w:r>
      <w:r>
        <w:rPr>
          <w:sz w:val="24"/>
          <w:szCs w:val="24"/>
          <w:lang w:val="en-US"/>
        </w:rPr>
        <w:t>dge: Harvard University Press.</w:t>
      </w:r>
    </w:p>
    <w:p w14:paraId="49427130" w14:textId="77777777" w:rsidR="00CC2B1F" w:rsidRPr="00145179" w:rsidRDefault="00CC2B1F" w:rsidP="00CC2B1F">
      <w:pPr>
        <w:widowControl w:val="0"/>
        <w:autoSpaceDE w:val="0"/>
        <w:autoSpaceDN w:val="0"/>
        <w:adjustRightInd w:val="0"/>
        <w:spacing w:after="240"/>
        <w:ind w:left="425" w:hanging="425"/>
        <w:jc w:val="both"/>
        <w:rPr>
          <w:noProof/>
          <w:sz w:val="24"/>
          <w:szCs w:val="24"/>
          <w:lang w:val="en-US"/>
        </w:rPr>
      </w:pPr>
      <w:r w:rsidRPr="00145179">
        <w:rPr>
          <w:noProof/>
          <w:sz w:val="24"/>
          <w:szCs w:val="24"/>
          <w:lang w:val="en-US"/>
        </w:rPr>
        <w:t>Chan</w:t>
      </w:r>
      <w:r>
        <w:rPr>
          <w:noProof/>
          <w:sz w:val="24"/>
          <w:szCs w:val="24"/>
          <w:lang w:val="en-US"/>
        </w:rPr>
        <w:t>, H. W., &amp;</w:t>
      </w:r>
      <w:r w:rsidRPr="00145179">
        <w:rPr>
          <w:noProof/>
          <w:sz w:val="24"/>
          <w:szCs w:val="24"/>
          <w:lang w:val="en-US"/>
        </w:rPr>
        <w:t xml:space="preserve"> Faff, R. W. </w:t>
      </w:r>
      <w:r>
        <w:rPr>
          <w:noProof/>
          <w:sz w:val="24"/>
          <w:szCs w:val="24"/>
          <w:lang w:val="en-US"/>
        </w:rPr>
        <w:t xml:space="preserve">(2005). </w:t>
      </w:r>
      <w:r w:rsidRPr="00145179">
        <w:rPr>
          <w:noProof/>
          <w:sz w:val="24"/>
          <w:szCs w:val="24"/>
          <w:lang w:val="en-US"/>
        </w:rPr>
        <w:t>Asset pricing and the illiquidity pr</w:t>
      </w:r>
      <w:r>
        <w:rPr>
          <w:noProof/>
          <w:sz w:val="24"/>
          <w:szCs w:val="24"/>
          <w:lang w:val="en-US"/>
        </w:rPr>
        <w:t xml:space="preserve">emium. </w:t>
      </w:r>
      <w:r w:rsidRPr="0026398D">
        <w:rPr>
          <w:i/>
          <w:noProof/>
          <w:sz w:val="24"/>
          <w:szCs w:val="24"/>
          <w:lang w:val="en-US"/>
        </w:rPr>
        <w:t>The Financial Review</w:t>
      </w:r>
      <w:r>
        <w:rPr>
          <w:noProof/>
          <w:sz w:val="24"/>
          <w:szCs w:val="24"/>
          <w:lang w:val="en-US"/>
        </w:rPr>
        <w:t xml:space="preserve">, </w:t>
      </w:r>
      <w:r w:rsidRPr="00067784">
        <w:rPr>
          <w:i/>
          <w:noProof/>
          <w:sz w:val="24"/>
          <w:szCs w:val="24"/>
          <w:lang w:val="en-US"/>
        </w:rPr>
        <w:t>40</w:t>
      </w:r>
      <w:r>
        <w:rPr>
          <w:noProof/>
          <w:sz w:val="24"/>
          <w:szCs w:val="24"/>
          <w:lang w:val="en-US"/>
        </w:rPr>
        <w:t xml:space="preserve"> (4)</w:t>
      </w:r>
      <w:r w:rsidRPr="00145179">
        <w:rPr>
          <w:noProof/>
          <w:sz w:val="24"/>
          <w:szCs w:val="24"/>
          <w:lang w:val="en-US"/>
        </w:rPr>
        <w:t xml:space="preserve">, </w:t>
      </w:r>
      <w:r>
        <w:rPr>
          <w:noProof/>
          <w:sz w:val="24"/>
          <w:szCs w:val="24"/>
          <w:lang w:val="en-US"/>
        </w:rPr>
        <w:t>429–458.</w:t>
      </w:r>
      <w:r w:rsidRPr="00145179">
        <w:rPr>
          <w:noProof/>
          <w:sz w:val="24"/>
          <w:szCs w:val="24"/>
          <w:lang w:val="en-US"/>
        </w:rPr>
        <w:t xml:space="preserve"> </w:t>
      </w:r>
    </w:p>
    <w:p w14:paraId="14FD107D" w14:textId="77777777" w:rsidR="00CC2B1F" w:rsidRPr="00145179" w:rsidRDefault="00CC2B1F" w:rsidP="00CC2B1F">
      <w:pPr>
        <w:widowControl w:val="0"/>
        <w:autoSpaceDE w:val="0"/>
        <w:autoSpaceDN w:val="0"/>
        <w:adjustRightInd w:val="0"/>
        <w:spacing w:after="240"/>
        <w:ind w:left="425" w:hanging="425"/>
        <w:jc w:val="both"/>
        <w:rPr>
          <w:noProof/>
          <w:sz w:val="24"/>
          <w:szCs w:val="24"/>
        </w:rPr>
      </w:pPr>
      <w:r w:rsidRPr="00145179">
        <w:rPr>
          <w:noProof/>
          <w:sz w:val="24"/>
          <w:szCs w:val="24"/>
          <w:lang w:val="en-US"/>
        </w:rPr>
        <w:t>Chordia</w:t>
      </w:r>
      <w:r>
        <w:rPr>
          <w:noProof/>
          <w:sz w:val="24"/>
          <w:szCs w:val="24"/>
          <w:lang w:val="en-US"/>
        </w:rPr>
        <w:t>, T.,</w:t>
      </w:r>
      <w:r w:rsidRPr="00145179">
        <w:rPr>
          <w:noProof/>
          <w:sz w:val="24"/>
          <w:szCs w:val="24"/>
          <w:lang w:val="en-US"/>
        </w:rPr>
        <w:t xml:space="preserve"> Subrahmanyam</w:t>
      </w:r>
      <w:r>
        <w:rPr>
          <w:noProof/>
          <w:sz w:val="24"/>
          <w:szCs w:val="24"/>
          <w:lang w:val="en-US"/>
        </w:rPr>
        <w:t>, A., &amp;</w:t>
      </w:r>
      <w:r w:rsidRPr="00145179">
        <w:rPr>
          <w:noProof/>
          <w:sz w:val="24"/>
          <w:szCs w:val="24"/>
          <w:lang w:val="en-US"/>
        </w:rPr>
        <w:t xml:space="preserve"> Anshuman, V. R. </w:t>
      </w:r>
      <w:r>
        <w:rPr>
          <w:noProof/>
          <w:sz w:val="24"/>
          <w:szCs w:val="24"/>
          <w:lang w:val="en-US"/>
        </w:rPr>
        <w:t xml:space="preserve">(2001). </w:t>
      </w:r>
      <w:r w:rsidRPr="00145179">
        <w:rPr>
          <w:noProof/>
          <w:sz w:val="24"/>
          <w:szCs w:val="24"/>
          <w:lang w:val="en-US"/>
        </w:rPr>
        <w:t xml:space="preserve">Trading activity and expected stock returns. </w:t>
      </w:r>
      <w:r w:rsidRPr="00145179">
        <w:rPr>
          <w:noProof/>
          <w:sz w:val="24"/>
          <w:szCs w:val="24"/>
        </w:rPr>
        <w:t>J</w:t>
      </w:r>
      <w:r w:rsidRPr="00305F40">
        <w:rPr>
          <w:i/>
          <w:noProof/>
          <w:sz w:val="24"/>
          <w:szCs w:val="24"/>
        </w:rPr>
        <w:t>ournal of Financial Economics</w:t>
      </w:r>
      <w:r w:rsidRPr="00145179">
        <w:rPr>
          <w:noProof/>
          <w:sz w:val="24"/>
          <w:szCs w:val="24"/>
        </w:rPr>
        <w:t>,</w:t>
      </w:r>
      <w:r>
        <w:rPr>
          <w:noProof/>
          <w:sz w:val="24"/>
          <w:szCs w:val="24"/>
        </w:rPr>
        <w:t xml:space="preserve"> </w:t>
      </w:r>
      <w:r w:rsidRPr="00305F40">
        <w:rPr>
          <w:i/>
          <w:noProof/>
          <w:sz w:val="24"/>
          <w:szCs w:val="24"/>
        </w:rPr>
        <w:t>59</w:t>
      </w:r>
      <w:r>
        <w:rPr>
          <w:noProof/>
          <w:sz w:val="24"/>
          <w:szCs w:val="24"/>
        </w:rPr>
        <w:t xml:space="preserve"> (</w:t>
      </w:r>
      <w:r w:rsidRPr="00145179">
        <w:rPr>
          <w:noProof/>
          <w:sz w:val="24"/>
          <w:szCs w:val="24"/>
        </w:rPr>
        <w:t>1</w:t>
      </w:r>
      <w:r>
        <w:rPr>
          <w:noProof/>
          <w:sz w:val="24"/>
          <w:szCs w:val="24"/>
        </w:rPr>
        <w:t>)</w:t>
      </w:r>
      <w:r w:rsidRPr="00145179">
        <w:rPr>
          <w:noProof/>
          <w:sz w:val="24"/>
          <w:szCs w:val="24"/>
        </w:rPr>
        <w:t xml:space="preserve">, </w:t>
      </w:r>
      <w:r>
        <w:rPr>
          <w:noProof/>
          <w:sz w:val="24"/>
          <w:szCs w:val="24"/>
        </w:rPr>
        <w:t>3-32</w:t>
      </w:r>
      <w:r w:rsidRPr="00145179">
        <w:rPr>
          <w:noProof/>
          <w:sz w:val="24"/>
          <w:szCs w:val="24"/>
        </w:rPr>
        <w:t>.</w:t>
      </w:r>
    </w:p>
    <w:p w14:paraId="4B6E3AEA" w14:textId="77777777" w:rsidR="00CC2B1F" w:rsidRPr="00145179" w:rsidRDefault="00CC2B1F" w:rsidP="00CC2B1F">
      <w:pPr>
        <w:widowControl w:val="0"/>
        <w:autoSpaceDE w:val="0"/>
        <w:autoSpaceDN w:val="0"/>
        <w:adjustRightInd w:val="0"/>
        <w:spacing w:after="240"/>
        <w:ind w:left="425" w:hanging="425"/>
        <w:jc w:val="both"/>
        <w:rPr>
          <w:noProof/>
          <w:sz w:val="24"/>
          <w:szCs w:val="24"/>
        </w:rPr>
      </w:pPr>
      <w:r w:rsidRPr="00145179">
        <w:rPr>
          <w:noProof/>
          <w:sz w:val="24"/>
          <w:szCs w:val="24"/>
        </w:rPr>
        <w:t xml:space="preserve">Correia, </w:t>
      </w:r>
      <w:r>
        <w:rPr>
          <w:noProof/>
          <w:sz w:val="24"/>
          <w:szCs w:val="24"/>
        </w:rPr>
        <w:t>L. F.,</w:t>
      </w:r>
      <w:r w:rsidRPr="00145179">
        <w:rPr>
          <w:noProof/>
          <w:sz w:val="24"/>
          <w:szCs w:val="24"/>
        </w:rPr>
        <w:t xml:space="preserve"> Amaral</w:t>
      </w:r>
      <w:r>
        <w:rPr>
          <w:noProof/>
          <w:sz w:val="24"/>
          <w:szCs w:val="24"/>
        </w:rPr>
        <w:t>, H. F., &amp;</w:t>
      </w:r>
      <w:r w:rsidRPr="00145179">
        <w:rPr>
          <w:noProof/>
          <w:sz w:val="24"/>
          <w:szCs w:val="24"/>
        </w:rPr>
        <w:t xml:space="preserve"> Bressan, A. A. </w:t>
      </w:r>
      <w:r>
        <w:rPr>
          <w:noProof/>
          <w:sz w:val="24"/>
          <w:szCs w:val="24"/>
        </w:rPr>
        <w:t>(2008). O</w:t>
      </w:r>
      <w:r w:rsidRPr="00145179">
        <w:rPr>
          <w:noProof/>
          <w:sz w:val="24"/>
          <w:szCs w:val="24"/>
        </w:rPr>
        <w:t xml:space="preserve"> efeito da liquidez sobre a rentabilidade de mercado das ações negociadas no mercado acionário brasileiro. </w:t>
      </w:r>
      <w:r w:rsidRPr="00305F40">
        <w:rPr>
          <w:i/>
          <w:noProof/>
          <w:sz w:val="24"/>
          <w:szCs w:val="24"/>
        </w:rPr>
        <w:t>Revista de Administraçãoo e Contabilidade da Unisinos – BASE</w:t>
      </w:r>
      <w:r w:rsidRPr="00145179">
        <w:rPr>
          <w:noProof/>
          <w:sz w:val="24"/>
          <w:szCs w:val="24"/>
        </w:rPr>
        <w:t xml:space="preserve">, </w:t>
      </w:r>
      <w:r w:rsidRPr="00305F40">
        <w:rPr>
          <w:i/>
          <w:noProof/>
          <w:sz w:val="24"/>
          <w:szCs w:val="24"/>
        </w:rPr>
        <w:t>5</w:t>
      </w:r>
      <w:r w:rsidRPr="00C35251">
        <w:rPr>
          <w:noProof/>
          <w:sz w:val="24"/>
          <w:szCs w:val="24"/>
        </w:rPr>
        <w:t xml:space="preserve"> (2)</w:t>
      </w:r>
      <w:r w:rsidRPr="00145179">
        <w:rPr>
          <w:noProof/>
          <w:sz w:val="24"/>
          <w:szCs w:val="24"/>
        </w:rPr>
        <w:t>,</w:t>
      </w:r>
      <w:r>
        <w:rPr>
          <w:noProof/>
          <w:sz w:val="24"/>
          <w:szCs w:val="24"/>
        </w:rPr>
        <w:t xml:space="preserve"> 111–118.</w:t>
      </w:r>
    </w:p>
    <w:p w14:paraId="5ED702FD" w14:textId="77777777" w:rsidR="00CC2B1F" w:rsidRPr="00C35251" w:rsidRDefault="00CC2B1F" w:rsidP="00CC2B1F">
      <w:pPr>
        <w:widowControl w:val="0"/>
        <w:autoSpaceDE w:val="0"/>
        <w:autoSpaceDN w:val="0"/>
        <w:adjustRightInd w:val="0"/>
        <w:spacing w:after="240"/>
        <w:ind w:left="425" w:hanging="425"/>
        <w:jc w:val="both"/>
        <w:rPr>
          <w:noProof/>
          <w:sz w:val="24"/>
          <w:szCs w:val="24"/>
          <w:lang w:val="en-US"/>
        </w:rPr>
      </w:pPr>
      <w:r w:rsidRPr="00145179">
        <w:rPr>
          <w:noProof/>
          <w:sz w:val="24"/>
          <w:szCs w:val="24"/>
        </w:rPr>
        <w:t>Correia</w:t>
      </w:r>
      <w:r>
        <w:rPr>
          <w:noProof/>
          <w:sz w:val="24"/>
          <w:szCs w:val="24"/>
        </w:rPr>
        <w:t>, L. F., &amp;</w:t>
      </w:r>
      <w:r w:rsidRPr="00145179">
        <w:rPr>
          <w:noProof/>
          <w:sz w:val="24"/>
          <w:szCs w:val="24"/>
        </w:rPr>
        <w:t xml:space="preserve"> Amaral, H. F. </w:t>
      </w:r>
      <w:r>
        <w:rPr>
          <w:noProof/>
          <w:sz w:val="24"/>
          <w:szCs w:val="24"/>
        </w:rPr>
        <w:t xml:space="preserve">(2014). </w:t>
      </w:r>
      <w:r w:rsidRPr="00145179">
        <w:rPr>
          <w:noProof/>
          <w:sz w:val="24"/>
          <w:szCs w:val="24"/>
        </w:rPr>
        <w:t xml:space="preserve">Determinantes da liquidez de mercado das ações negociadas na BM&amp;FBOVESPA. </w:t>
      </w:r>
      <w:r w:rsidRPr="00C35251">
        <w:rPr>
          <w:i/>
          <w:noProof/>
          <w:sz w:val="24"/>
          <w:szCs w:val="24"/>
          <w:lang w:val="en-US"/>
        </w:rPr>
        <w:t>Brazilian Business Review</w:t>
      </w:r>
      <w:r w:rsidRPr="00C35251">
        <w:rPr>
          <w:noProof/>
          <w:sz w:val="24"/>
          <w:szCs w:val="24"/>
          <w:lang w:val="en-US"/>
        </w:rPr>
        <w:t xml:space="preserve">, </w:t>
      </w:r>
      <w:r w:rsidRPr="00C35251">
        <w:rPr>
          <w:i/>
          <w:noProof/>
          <w:sz w:val="24"/>
          <w:szCs w:val="24"/>
          <w:lang w:val="en-US"/>
        </w:rPr>
        <w:t xml:space="preserve">11 </w:t>
      </w:r>
      <w:r w:rsidRPr="00C35251">
        <w:rPr>
          <w:noProof/>
          <w:sz w:val="24"/>
          <w:szCs w:val="24"/>
          <w:lang w:val="en-US"/>
        </w:rPr>
        <w:t>(6), 77-100.</w:t>
      </w:r>
    </w:p>
    <w:p w14:paraId="799A97E5" w14:textId="77777777" w:rsidR="00CC2B1F" w:rsidRPr="00145179" w:rsidRDefault="00CC2B1F" w:rsidP="00CC2B1F">
      <w:pPr>
        <w:widowControl w:val="0"/>
        <w:autoSpaceDE w:val="0"/>
        <w:autoSpaceDN w:val="0"/>
        <w:adjustRightInd w:val="0"/>
        <w:spacing w:after="240"/>
        <w:ind w:left="425" w:hanging="425"/>
        <w:jc w:val="both"/>
        <w:rPr>
          <w:noProof/>
          <w:sz w:val="24"/>
          <w:szCs w:val="24"/>
          <w:lang w:val="en-US"/>
        </w:rPr>
      </w:pPr>
      <w:r w:rsidRPr="00650910">
        <w:rPr>
          <w:noProof/>
          <w:sz w:val="24"/>
          <w:szCs w:val="24"/>
          <w:lang w:val="en-US"/>
        </w:rPr>
        <w:t xml:space="preserve">Datar, V. T., Naik, N. Y., Radcliffe, R. (1998). </w:t>
      </w:r>
      <w:r w:rsidRPr="00145179">
        <w:rPr>
          <w:noProof/>
          <w:sz w:val="24"/>
          <w:szCs w:val="24"/>
          <w:lang w:val="en-US"/>
        </w:rPr>
        <w:t xml:space="preserve">Liquidity and stock returns: an alternative test. </w:t>
      </w:r>
      <w:r w:rsidRPr="00C35251">
        <w:rPr>
          <w:i/>
          <w:noProof/>
          <w:sz w:val="24"/>
          <w:szCs w:val="24"/>
          <w:lang w:val="en-US"/>
        </w:rPr>
        <w:t>Journal of Financial Markets</w:t>
      </w:r>
      <w:r w:rsidRPr="00145179">
        <w:rPr>
          <w:noProof/>
          <w:sz w:val="24"/>
          <w:szCs w:val="24"/>
          <w:lang w:val="en-US"/>
        </w:rPr>
        <w:t xml:space="preserve">, </w:t>
      </w:r>
      <w:r w:rsidRPr="00C35251">
        <w:rPr>
          <w:i/>
          <w:noProof/>
          <w:sz w:val="24"/>
          <w:szCs w:val="24"/>
          <w:lang w:val="en-US"/>
        </w:rPr>
        <w:t>1</w:t>
      </w:r>
      <w:r>
        <w:rPr>
          <w:noProof/>
          <w:sz w:val="24"/>
          <w:szCs w:val="24"/>
          <w:lang w:val="en-US"/>
        </w:rPr>
        <w:t>,</w:t>
      </w:r>
      <w:r w:rsidRPr="00145179">
        <w:rPr>
          <w:noProof/>
          <w:sz w:val="24"/>
          <w:szCs w:val="24"/>
          <w:lang w:val="en-US"/>
        </w:rPr>
        <w:t xml:space="preserve"> 203–219</w:t>
      </w:r>
      <w:r>
        <w:rPr>
          <w:noProof/>
          <w:sz w:val="24"/>
          <w:szCs w:val="24"/>
          <w:lang w:val="en-US"/>
        </w:rPr>
        <w:t>.</w:t>
      </w:r>
      <w:r w:rsidRPr="00145179">
        <w:rPr>
          <w:noProof/>
          <w:sz w:val="24"/>
          <w:szCs w:val="24"/>
          <w:lang w:val="en-US"/>
        </w:rPr>
        <w:t xml:space="preserve"> </w:t>
      </w:r>
    </w:p>
    <w:p w14:paraId="3AC2334A" w14:textId="77777777" w:rsidR="00CC2B1F" w:rsidRPr="00650910" w:rsidRDefault="00CC2B1F" w:rsidP="00CC2B1F">
      <w:pPr>
        <w:widowControl w:val="0"/>
        <w:autoSpaceDE w:val="0"/>
        <w:autoSpaceDN w:val="0"/>
        <w:adjustRightInd w:val="0"/>
        <w:spacing w:after="240"/>
        <w:ind w:left="425" w:hanging="425"/>
        <w:jc w:val="both"/>
        <w:rPr>
          <w:iCs/>
          <w:noProof/>
          <w:sz w:val="24"/>
          <w:szCs w:val="24"/>
          <w:lang w:val="en-US"/>
        </w:rPr>
      </w:pPr>
      <w:r w:rsidRPr="00145179">
        <w:rPr>
          <w:iCs/>
          <w:caps/>
          <w:noProof/>
          <w:sz w:val="24"/>
          <w:szCs w:val="24"/>
          <w:lang w:val="en-US"/>
        </w:rPr>
        <w:lastRenderedPageBreak/>
        <w:t>D</w:t>
      </w:r>
      <w:r w:rsidRPr="00145179">
        <w:rPr>
          <w:iCs/>
          <w:noProof/>
          <w:sz w:val="24"/>
          <w:szCs w:val="24"/>
          <w:lang w:val="en-US"/>
        </w:rPr>
        <w:t xml:space="preserve">emsetz, H. The cost of transaction. </w:t>
      </w:r>
      <w:r w:rsidRPr="00650910">
        <w:rPr>
          <w:iCs/>
          <w:noProof/>
          <w:sz w:val="24"/>
          <w:szCs w:val="24"/>
          <w:lang w:val="en-US"/>
        </w:rPr>
        <w:t xml:space="preserve">(1968). </w:t>
      </w:r>
      <w:r w:rsidRPr="00650910">
        <w:rPr>
          <w:i/>
          <w:iCs/>
          <w:noProof/>
          <w:sz w:val="24"/>
          <w:szCs w:val="24"/>
          <w:lang w:val="en-US"/>
        </w:rPr>
        <w:t>Quarterly Journal of Economics</w:t>
      </w:r>
      <w:r w:rsidRPr="00650910">
        <w:rPr>
          <w:iCs/>
          <w:noProof/>
          <w:sz w:val="24"/>
          <w:szCs w:val="24"/>
          <w:lang w:val="en-US"/>
        </w:rPr>
        <w:t xml:space="preserve">, </w:t>
      </w:r>
      <w:r w:rsidRPr="00650910">
        <w:rPr>
          <w:i/>
          <w:iCs/>
          <w:noProof/>
          <w:sz w:val="24"/>
          <w:szCs w:val="24"/>
          <w:lang w:val="en-US"/>
        </w:rPr>
        <w:t>82</w:t>
      </w:r>
      <w:r w:rsidRPr="00650910">
        <w:rPr>
          <w:iCs/>
          <w:noProof/>
          <w:sz w:val="24"/>
          <w:szCs w:val="24"/>
          <w:lang w:val="en-US"/>
        </w:rPr>
        <w:t>, 33-53.</w:t>
      </w:r>
    </w:p>
    <w:p w14:paraId="4736648A" w14:textId="77777777" w:rsidR="00CC2B1F" w:rsidRPr="00145179" w:rsidRDefault="00CC2B1F" w:rsidP="00CC2B1F">
      <w:pPr>
        <w:widowControl w:val="0"/>
        <w:autoSpaceDE w:val="0"/>
        <w:autoSpaceDN w:val="0"/>
        <w:adjustRightInd w:val="0"/>
        <w:spacing w:after="240"/>
        <w:ind w:left="425" w:hanging="425"/>
        <w:jc w:val="both"/>
        <w:rPr>
          <w:noProof/>
          <w:sz w:val="24"/>
          <w:szCs w:val="24"/>
        </w:rPr>
      </w:pPr>
      <w:r w:rsidRPr="00650910">
        <w:rPr>
          <w:noProof/>
          <w:sz w:val="24"/>
          <w:szCs w:val="24"/>
          <w:lang w:val="en-US"/>
        </w:rPr>
        <w:t xml:space="preserve">Gabriel, F. S., Abreu, I. M., &amp; Lemes, S. (2014). </w:t>
      </w:r>
      <w:r w:rsidRPr="00145179">
        <w:rPr>
          <w:noProof/>
          <w:sz w:val="24"/>
          <w:szCs w:val="24"/>
        </w:rPr>
        <w:t>Evidenciação de riscos das empresas brasileiras do setor da construção civil após a crise financeir</w:t>
      </w:r>
      <w:r>
        <w:rPr>
          <w:noProof/>
          <w:sz w:val="24"/>
          <w:szCs w:val="24"/>
        </w:rPr>
        <w:t>a internacional de 2008 : u</w:t>
      </w:r>
      <w:r w:rsidRPr="00145179">
        <w:rPr>
          <w:noProof/>
          <w:sz w:val="24"/>
          <w:szCs w:val="24"/>
        </w:rPr>
        <w:t xml:space="preserve">ma análise de dados em painel. </w:t>
      </w:r>
      <w:r w:rsidRPr="00145179">
        <w:rPr>
          <w:i/>
          <w:noProof/>
          <w:sz w:val="24"/>
          <w:szCs w:val="24"/>
        </w:rPr>
        <w:t>Revista de Administração, Contabilidade e Economia - RACE</w:t>
      </w:r>
      <w:r w:rsidRPr="00145179">
        <w:rPr>
          <w:noProof/>
          <w:sz w:val="24"/>
          <w:szCs w:val="24"/>
        </w:rPr>
        <w:t xml:space="preserve">, </w:t>
      </w:r>
      <w:r w:rsidRPr="00EA6871">
        <w:rPr>
          <w:i/>
          <w:noProof/>
          <w:sz w:val="24"/>
          <w:szCs w:val="24"/>
        </w:rPr>
        <w:t>13</w:t>
      </w:r>
      <w:r>
        <w:rPr>
          <w:noProof/>
          <w:sz w:val="24"/>
          <w:szCs w:val="24"/>
        </w:rPr>
        <w:t xml:space="preserve"> (</w:t>
      </w:r>
      <w:r w:rsidRPr="00145179">
        <w:rPr>
          <w:noProof/>
          <w:sz w:val="24"/>
          <w:szCs w:val="24"/>
        </w:rPr>
        <w:t>3</w:t>
      </w:r>
      <w:r>
        <w:rPr>
          <w:noProof/>
          <w:sz w:val="24"/>
          <w:szCs w:val="24"/>
        </w:rPr>
        <w:t>)</w:t>
      </w:r>
      <w:r w:rsidRPr="00145179">
        <w:rPr>
          <w:noProof/>
          <w:sz w:val="24"/>
          <w:szCs w:val="24"/>
        </w:rPr>
        <w:t>, 979-1000</w:t>
      </w:r>
      <w:r>
        <w:rPr>
          <w:noProof/>
          <w:sz w:val="24"/>
          <w:szCs w:val="24"/>
        </w:rPr>
        <w:t>.</w:t>
      </w:r>
    </w:p>
    <w:p w14:paraId="0CBBE6FD" w14:textId="77777777" w:rsidR="00CC2B1F" w:rsidRPr="00145179" w:rsidRDefault="00CC2B1F" w:rsidP="00CC2B1F">
      <w:pPr>
        <w:widowControl w:val="0"/>
        <w:autoSpaceDE w:val="0"/>
        <w:autoSpaceDN w:val="0"/>
        <w:adjustRightInd w:val="0"/>
        <w:spacing w:after="240"/>
        <w:ind w:left="425" w:hanging="425"/>
        <w:jc w:val="both"/>
        <w:rPr>
          <w:noProof/>
          <w:sz w:val="24"/>
          <w:szCs w:val="24"/>
        </w:rPr>
      </w:pPr>
      <w:r w:rsidRPr="00650910">
        <w:rPr>
          <w:noProof/>
          <w:sz w:val="24"/>
          <w:szCs w:val="24"/>
        </w:rPr>
        <w:t xml:space="preserve">Gonçalves, P. E., &amp; Sheng, H. H. (2010). </w:t>
      </w:r>
      <w:r w:rsidRPr="00145179">
        <w:rPr>
          <w:noProof/>
          <w:sz w:val="24"/>
          <w:szCs w:val="24"/>
        </w:rPr>
        <w:t xml:space="preserve">O apreçamento do spread de liquidez no mercado secundário de debêntures. </w:t>
      </w:r>
      <w:r w:rsidRPr="00145179">
        <w:rPr>
          <w:i/>
          <w:noProof/>
          <w:sz w:val="24"/>
          <w:szCs w:val="24"/>
        </w:rPr>
        <w:t>Revista de Administração da Universidade de São Paulo - RAUSP</w:t>
      </w:r>
      <w:r w:rsidRPr="00145179">
        <w:rPr>
          <w:noProof/>
          <w:sz w:val="24"/>
          <w:szCs w:val="24"/>
        </w:rPr>
        <w:t xml:space="preserve">, </w:t>
      </w:r>
      <w:r w:rsidRPr="00EA6871">
        <w:rPr>
          <w:i/>
          <w:noProof/>
          <w:sz w:val="24"/>
          <w:szCs w:val="24"/>
        </w:rPr>
        <w:t>45</w:t>
      </w:r>
      <w:r>
        <w:rPr>
          <w:noProof/>
          <w:sz w:val="24"/>
          <w:szCs w:val="24"/>
        </w:rPr>
        <w:t xml:space="preserve"> (</w:t>
      </w:r>
      <w:r w:rsidRPr="00145179">
        <w:rPr>
          <w:noProof/>
          <w:sz w:val="24"/>
          <w:szCs w:val="24"/>
        </w:rPr>
        <w:t>1</w:t>
      </w:r>
      <w:r>
        <w:rPr>
          <w:noProof/>
          <w:sz w:val="24"/>
          <w:szCs w:val="24"/>
        </w:rPr>
        <w:t>)</w:t>
      </w:r>
      <w:r w:rsidRPr="00145179">
        <w:rPr>
          <w:noProof/>
          <w:sz w:val="24"/>
          <w:szCs w:val="24"/>
        </w:rPr>
        <w:t xml:space="preserve">, 30–42 </w:t>
      </w:r>
      <w:r>
        <w:rPr>
          <w:noProof/>
          <w:sz w:val="24"/>
          <w:szCs w:val="24"/>
        </w:rPr>
        <w:t>.</w:t>
      </w:r>
    </w:p>
    <w:p w14:paraId="1F993E1F" w14:textId="77777777" w:rsidR="00CC2B1F" w:rsidRPr="00650910" w:rsidRDefault="00CC2B1F" w:rsidP="00CC2B1F">
      <w:pPr>
        <w:widowControl w:val="0"/>
        <w:autoSpaceDE w:val="0"/>
        <w:autoSpaceDN w:val="0"/>
        <w:adjustRightInd w:val="0"/>
        <w:spacing w:after="240"/>
        <w:ind w:left="425" w:hanging="425"/>
        <w:jc w:val="both"/>
        <w:rPr>
          <w:sz w:val="24"/>
          <w:szCs w:val="24"/>
          <w:lang w:val="en-US"/>
        </w:rPr>
      </w:pPr>
      <w:r w:rsidRPr="00650910">
        <w:rPr>
          <w:caps/>
          <w:sz w:val="24"/>
          <w:szCs w:val="24"/>
        </w:rPr>
        <w:t>G</w:t>
      </w:r>
      <w:r w:rsidRPr="00650910">
        <w:rPr>
          <w:sz w:val="24"/>
          <w:szCs w:val="24"/>
        </w:rPr>
        <w:t>opalan</w:t>
      </w:r>
      <w:r w:rsidRPr="00650910">
        <w:rPr>
          <w:caps/>
          <w:sz w:val="24"/>
          <w:szCs w:val="24"/>
        </w:rPr>
        <w:t>, R., K</w:t>
      </w:r>
      <w:r w:rsidRPr="00650910">
        <w:rPr>
          <w:sz w:val="24"/>
          <w:szCs w:val="24"/>
        </w:rPr>
        <w:t>adan</w:t>
      </w:r>
      <w:r w:rsidRPr="00650910">
        <w:rPr>
          <w:caps/>
          <w:sz w:val="24"/>
          <w:szCs w:val="24"/>
        </w:rPr>
        <w:t>, O.,</w:t>
      </w:r>
      <w:r w:rsidRPr="00650910">
        <w:rPr>
          <w:sz w:val="24"/>
          <w:szCs w:val="24"/>
        </w:rPr>
        <w:t xml:space="preserve"> &amp; Pevzner, M. (2012). </w:t>
      </w:r>
      <w:r>
        <w:rPr>
          <w:sz w:val="24"/>
          <w:szCs w:val="24"/>
          <w:lang w:val="en-US"/>
        </w:rPr>
        <w:t>A</w:t>
      </w:r>
      <w:r w:rsidRPr="00EA6871">
        <w:rPr>
          <w:sz w:val="24"/>
          <w:szCs w:val="24"/>
          <w:lang w:val="en-US"/>
        </w:rPr>
        <w:t xml:space="preserve">sset liquidity and stock liquidity. </w:t>
      </w:r>
      <w:r w:rsidRPr="00650910">
        <w:rPr>
          <w:i/>
          <w:sz w:val="24"/>
          <w:szCs w:val="24"/>
          <w:lang w:val="en-US"/>
        </w:rPr>
        <w:t>Jornal Of Financial and Quantitative Analysis,</w:t>
      </w:r>
      <w:r w:rsidRPr="00650910">
        <w:rPr>
          <w:sz w:val="24"/>
          <w:szCs w:val="24"/>
          <w:lang w:val="en-US"/>
        </w:rPr>
        <w:t xml:space="preserve"> </w:t>
      </w:r>
      <w:r w:rsidRPr="00650910">
        <w:rPr>
          <w:i/>
          <w:sz w:val="24"/>
          <w:szCs w:val="24"/>
          <w:lang w:val="en-US"/>
        </w:rPr>
        <w:t>47</w:t>
      </w:r>
      <w:r w:rsidRPr="00650910">
        <w:rPr>
          <w:sz w:val="24"/>
          <w:szCs w:val="24"/>
          <w:lang w:val="en-US"/>
        </w:rPr>
        <w:t xml:space="preserve"> (2), 333-364.</w:t>
      </w:r>
    </w:p>
    <w:p w14:paraId="54F0E64E" w14:textId="77777777" w:rsidR="00CC2B1F" w:rsidRPr="00650910" w:rsidRDefault="00CC2B1F" w:rsidP="00CC2B1F">
      <w:pPr>
        <w:widowControl w:val="0"/>
        <w:autoSpaceDE w:val="0"/>
        <w:autoSpaceDN w:val="0"/>
        <w:adjustRightInd w:val="0"/>
        <w:spacing w:after="240"/>
        <w:ind w:left="425" w:hanging="425"/>
        <w:jc w:val="both"/>
        <w:rPr>
          <w:noProof/>
          <w:sz w:val="24"/>
          <w:szCs w:val="24"/>
        </w:rPr>
      </w:pPr>
      <w:r w:rsidRPr="004D6475">
        <w:rPr>
          <w:noProof/>
          <w:sz w:val="24"/>
          <w:szCs w:val="24"/>
          <w:lang w:val="en-US"/>
        </w:rPr>
        <w:t xml:space="preserve">Houaiss, A.; Villar, M. S. (2001). </w:t>
      </w:r>
      <w:r w:rsidRPr="004D6475">
        <w:rPr>
          <w:i/>
          <w:noProof/>
          <w:sz w:val="24"/>
          <w:szCs w:val="24"/>
        </w:rPr>
        <w:t>Dicionário Houaiss da língua portuguesa</w:t>
      </w:r>
      <w:r w:rsidRPr="00145179">
        <w:rPr>
          <w:noProof/>
          <w:sz w:val="24"/>
          <w:szCs w:val="24"/>
        </w:rPr>
        <w:t xml:space="preserve">. </w:t>
      </w:r>
      <w:r w:rsidRPr="00650910">
        <w:rPr>
          <w:noProof/>
          <w:sz w:val="24"/>
          <w:szCs w:val="24"/>
        </w:rPr>
        <w:t>Rio de Janeiro: Objetiva.</w:t>
      </w:r>
    </w:p>
    <w:p w14:paraId="38C01D45" w14:textId="77777777" w:rsidR="00CC2B1F" w:rsidRPr="00145179" w:rsidRDefault="00CC2B1F" w:rsidP="00CC2B1F">
      <w:pPr>
        <w:widowControl w:val="0"/>
        <w:autoSpaceDE w:val="0"/>
        <w:autoSpaceDN w:val="0"/>
        <w:adjustRightInd w:val="0"/>
        <w:spacing w:after="240"/>
        <w:ind w:left="425" w:hanging="425"/>
        <w:jc w:val="both"/>
        <w:rPr>
          <w:noProof/>
          <w:sz w:val="24"/>
          <w:szCs w:val="24"/>
          <w:lang w:val="en-US"/>
        </w:rPr>
      </w:pPr>
      <w:r w:rsidRPr="00650910">
        <w:rPr>
          <w:noProof/>
          <w:sz w:val="24"/>
          <w:szCs w:val="24"/>
        </w:rPr>
        <w:t xml:space="preserve">Jacoby, G., Fowler, D. J., &amp; Gottesman, A. A. (2000). </w:t>
      </w:r>
      <w:r>
        <w:rPr>
          <w:noProof/>
          <w:sz w:val="24"/>
          <w:szCs w:val="24"/>
          <w:lang w:val="en-US"/>
        </w:rPr>
        <w:t>T</w:t>
      </w:r>
      <w:r w:rsidRPr="00145179">
        <w:rPr>
          <w:noProof/>
          <w:sz w:val="24"/>
          <w:szCs w:val="24"/>
          <w:lang w:val="en-US"/>
        </w:rPr>
        <w:t xml:space="preserve">he capital asset pricing model and the liquidity effect: a theoretical approach. </w:t>
      </w:r>
      <w:r w:rsidRPr="00145179">
        <w:rPr>
          <w:bCs/>
          <w:i/>
          <w:noProof/>
          <w:sz w:val="24"/>
          <w:szCs w:val="24"/>
          <w:lang w:val="en-US"/>
        </w:rPr>
        <w:t>Journal of Financial Markets</w:t>
      </w:r>
      <w:r w:rsidRPr="00145179">
        <w:rPr>
          <w:noProof/>
          <w:sz w:val="24"/>
          <w:szCs w:val="24"/>
          <w:lang w:val="en-US"/>
        </w:rPr>
        <w:t xml:space="preserve">, </w:t>
      </w:r>
      <w:r w:rsidRPr="004D6475">
        <w:rPr>
          <w:i/>
          <w:noProof/>
          <w:sz w:val="24"/>
          <w:szCs w:val="24"/>
          <w:lang w:val="en-US"/>
        </w:rPr>
        <w:t>3</w:t>
      </w:r>
      <w:r w:rsidRPr="00145179">
        <w:rPr>
          <w:noProof/>
          <w:sz w:val="24"/>
          <w:szCs w:val="24"/>
          <w:lang w:val="en-US"/>
        </w:rPr>
        <w:t>,</w:t>
      </w:r>
      <w:r>
        <w:rPr>
          <w:noProof/>
          <w:sz w:val="24"/>
          <w:szCs w:val="24"/>
          <w:lang w:val="en-US"/>
        </w:rPr>
        <w:t xml:space="preserve"> 69–81</w:t>
      </w:r>
      <w:r w:rsidRPr="00145179">
        <w:rPr>
          <w:noProof/>
          <w:sz w:val="24"/>
          <w:szCs w:val="24"/>
          <w:lang w:val="en-US"/>
        </w:rPr>
        <w:t>.</w:t>
      </w:r>
    </w:p>
    <w:p w14:paraId="3D2FBF3A" w14:textId="77777777" w:rsidR="00CC2B1F" w:rsidRPr="00650910" w:rsidRDefault="00CC2B1F" w:rsidP="00CC2B1F">
      <w:pPr>
        <w:widowControl w:val="0"/>
        <w:autoSpaceDE w:val="0"/>
        <w:autoSpaceDN w:val="0"/>
        <w:adjustRightInd w:val="0"/>
        <w:spacing w:after="240"/>
        <w:ind w:left="425" w:hanging="425"/>
        <w:jc w:val="both"/>
        <w:rPr>
          <w:noProof/>
          <w:sz w:val="24"/>
          <w:szCs w:val="24"/>
        </w:rPr>
      </w:pPr>
      <w:r w:rsidRPr="00145179">
        <w:rPr>
          <w:noProof/>
          <w:sz w:val="24"/>
          <w:szCs w:val="24"/>
          <w:lang w:val="en-US"/>
        </w:rPr>
        <w:t>Jun, S. G., Marathe</w:t>
      </w:r>
      <w:r>
        <w:rPr>
          <w:noProof/>
          <w:sz w:val="24"/>
          <w:szCs w:val="24"/>
          <w:lang w:val="en-US"/>
        </w:rPr>
        <w:t>, A., &amp;</w:t>
      </w:r>
      <w:r w:rsidRPr="00145179">
        <w:rPr>
          <w:noProof/>
          <w:sz w:val="24"/>
          <w:szCs w:val="24"/>
          <w:lang w:val="en-US"/>
        </w:rPr>
        <w:t xml:space="preserve"> Shawky, H. A.</w:t>
      </w:r>
      <w:r>
        <w:rPr>
          <w:noProof/>
          <w:sz w:val="24"/>
          <w:szCs w:val="24"/>
          <w:lang w:val="en-US"/>
        </w:rPr>
        <w:t xml:space="preserve"> (2003).</w:t>
      </w:r>
      <w:r w:rsidRPr="00145179">
        <w:rPr>
          <w:noProof/>
          <w:sz w:val="24"/>
          <w:szCs w:val="24"/>
          <w:lang w:val="en-US"/>
        </w:rPr>
        <w:t xml:space="preserve"> Liquidity and stock returns in emerging markets. </w:t>
      </w:r>
      <w:r w:rsidRPr="00650910">
        <w:rPr>
          <w:i/>
          <w:noProof/>
          <w:sz w:val="24"/>
          <w:szCs w:val="24"/>
        </w:rPr>
        <w:t>Emerging Markets Review</w:t>
      </w:r>
      <w:r w:rsidRPr="00650910">
        <w:rPr>
          <w:noProof/>
          <w:sz w:val="24"/>
          <w:szCs w:val="24"/>
        </w:rPr>
        <w:t xml:space="preserve">, </w:t>
      </w:r>
      <w:r w:rsidRPr="00650910">
        <w:rPr>
          <w:i/>
          <w:noProof/>
          <w:sz w:val="24"/>
          <w:szCs w:val="24"/>
        </w:rPr>
        <w:t>4</w:t>
      </w:r>
      <w:r w:rsidRPr="00650910">
        <w:rPr>
          <w:noProof/>
          <w:sz w:val="24"/>
          <w:szCs w:val="24"/>
        </w:rPr>
        <w:t>, 1–24.</w:t>
      </w:r>
    </w:p>
    <w:p w14:paraId="6BC7E1C5" w14:textId="77777777" w:rsidR="00CC2B1F" w:rsidRPr="00145179" w:rsidRDefault="00CC2B1F" w:rsidP="00CC2B1F">
      <w:pPr>
        <w:widowControl w:val="0"/>
        <w:autoSpaceDE w:val="0"/>
        <w:autoSpaceDN w:val="0"/>
        <w:adjustRightInd w:val="0"/>
        <w:spacing w:after="240"/>
        <w:ind w:left="425" w:hanging="425"/>
        <w:jc w:val="both"/>
        <w:rPr>
          <w:noProof/>
          <w:sz w:val="24"/>
          <w:szCs w:val="24"/>
        </w:rPr>
      </w:pPr>
      <w:r w:rsidRPr="00EE336C">
        <w:rPr>
          <w:noProof/>
          <w:sz w:val="24"/>
          <w:szCs w:val="24"/>
        </w:rPr>
        <w:t>Kunkel</w:t>
      </w:r>
      <w:r>
        <w:rPr>
          <w:noProof/>
          <w:sz w:val="24"/>
          <w:szCs w:val="24"/>
        </w:rPr>
        <w:t>, F. I. R.,</w:t>
      </w:r>
      <w:r w:rsidRPr="00EE336C">
        <w:rPr>
          <w:noProof/>
          <w:sz w:val="24"/>
          <w:szCs w:val="24"/>
        </w:rPr>
        <w:t xml:space="preserve"> Ceretta</w:t>
      </w:r>
      <w:r>
        <w:rPr>
          <w:noProof/>
          <w:sz w:val="24"/>
          <w:szCs w:val="24"/>
        </w:rPr>
        <w:t>, P. S.,</w:t>
      </w:r>
      <w:r w:rsidRPr="00EE336C">
        <w:rPr>
          <w:noProof/>
          <w:sz w:val="24"/>
          <w:szCs w:val="24"/>
        </w:rPr>
        <w:t xml:space="preserve"> Vieira</w:t>
      </w:r>
      <w:r>
        <w:rPr>
          <w:noProof/>
          <w:sz w:val="24"/>
          <w:szCs w:val="24"/>
        </w:rPr>
        <w:t>, K. M.,</w:t>
      </w:r>
      <w:r w:rsidRPr="00EE336C">
        <w:rPr>
          <w:noProof/>
          <w:sz w:val="24"/>
          <w:szCs w:val="24"/>
        </w:rPr>
        <w:t xml:space="preserve"> Silveira</w:t>
      </w:r>
      <w:r>
        <w:rPr>
          <w:noProof/>
          <w:sz w:val="24"/>
          <w:szCs w:val="24"/>
        </w:rPr>
        <w:t>, V. G., &amp;</w:t>
      </w:r>
      <w:r w:rsidRPr="00EE336C">
        <w:rPr>
          <w:noProof/>
          <w:sz w:val="24"/>
          <w:szCs w:val="24"/>
        </w:rPr>
        <w:t xml:space="preserve"> Righi, M. B.</w:t>
      </w:r>
      <w:r>
        <w:rPr>
          <w:noProof/>
          <w:sz w:val="24"/>
          <w:szCs w:val="24"/>
        </w:rPr>
        <w:t xml:space="preserve"> (2014).</w:t>
      </w:r>
      <w:r w:rsidRPr="00EE336C">
        <w:rPr>
          <w:noProof/>
          <w:sz w:val="24"/>
          <w:szCs w:val="24"/>
        </w:rPr>
        <w:t xml:space="preserve"> Comportamento temporal da liquidez no mercado b</w:t>
      </w:r>
      <w:r w:rsidRPr="00145179">
        <w:rPr>
          <w:noProof/>
          <w:sz w:val="24"/>
          <w:szCs w:val="24"/>
        </w:rPr>
        <w:t xml:space="preserve">rasileiro: uma análise do período 1995-2012 através do modelo autoregressivo de mudanças markovianas. </w:t>
      </w:r>
      <w:r w:rsidRPr="00145179">
        <w:rPr>
          <w:i/>
          <w:noProof/>
          <w:sz w:val="24"/>
          <w:szCs w:val="24"/>
        </w:rPr>
        <w:t>Revista de Administração da UNIMEP</w:t>
      </w:r>
      <w:r w:rsidRPr="00145179">
        <w:rPr>
          <w:noProof/>
          <w:sz w:val="24"/>
          <w:szCs w:val="24"/>
        </w:rPr>
        <w:t xml:space="preserve">, </w:t>
      </w:r>
      <w:r w:rsidRPr="00EE336C">
        <w:rPr>
          <w:i/>
          <w:noProof/>
          <w:sz w:val="24"/>
          <w:szCs w:val="24"/>
        </w:rPr>
        <w:t>12</w:t>
      </w:r>
      <w:r>
        <w:rPr>
          <w:noProof/>
          <w:sz w:val="24"/>
          <w:szCs w:val="24"/>
        </w:rPr>
        <w:t xml:space="preserve"> (</w:t>
      </w:r>
      <w:r w:rsidRPr="00145179">
        <w:rPr>
          <w:noProof/>
          <w:sz w:val="24"/>
          <w:szCs w:val="24"/>
        </w:rPr>
        <w:t>2</w:t>
      </w:r>
      <w:r>
        <w:rPr>
          <w:noProof/>
          <w:sz w:val="24"/>
          <w:szCs w:val="24"/>
        </w:rPr>
        <w:t>)</w:t>
      </w:r>
      <w:r w:rsidRPr="00145179">
        <w:rPr>
          <w:noProof/>
          <w:sz w:val="24"/>
          <w:szCs w:val="24"/>
        </w:rPr>
        <w:t>, 21-41</w:t>
      </w:r>
      <w:r>
        <w:rPr>
          <w:noProof/>
          <w:sz w:val="24"/>
          <w:szCs w:val="24"/>
        </w:rPr>
        <w:t>.</w:t>
      </w:r>
    </w:p>
    <w:p w14:paraId="6E2D2A44" w14:textId="77777777" w:rsidR="00CC2B1F" w:rsidRPr="00695DBF" w:rsidRDefault="00CC2B1F" w:rsidP="00CC2B1F">
      <w:pPr>
        <w:widowControl w:val="0"/>
        <w:autoSpaceDE w:val="0"/>
        <w:autoSpaceDN w:val="0"/>
        <w:adjustRightInd w:val="0"/>
        <w:spacing w:after="240"/>
        <w:ind w:left="425" w:hanging="425"/>
        <w:jc w:val="both"/>
        <w:rPr>
          <w:noProof/>
          <w:sz w:val="24"/>
          <w:szCs w:val="24"/>
        </w:rPr>
      </w:pPr>
      <w:r w:rsidRPr="00650910">
        <w:rPr>
          <w:noProof/>
          <w:sz w:val="24"/>
          <w:szCs w:val="24"/>
        </w:rPr>
        <w:t xml:space="preserve">Liu, W. (2006). A liquidity-augmented capital asset pricing model. </w:t>
      </w:r>
      <w:r w:rsidRPr="00695DBF">
        <w:rPr>
          <w:bCs/>
          <w:i/>
          <w:noProof/>
          <w:sz w:val="24"/>
          <w:szCs w:val="24"/>
        </w:rPr>
        <w:t>Journal of Financial Economics</w:t>
      </w:r>
      <w:r w:rsidRPr="00695DBF">
        <w:rPr>
          <w:bCs/>
          <w:noProof/>
          <w:sz w:val="24"/>
          <w:szCs w:val="24"/>
        </w:rPr>
        <w:t>,</w:t>
      </w:r>
      <w:r w:rsidRPr="00695DBF">
        <w:rPr>
          <w:noProof/>
          <w:sz w:val="24"/>
          <w:szCs w:val="24"/>
        </w:rPr>
        <w:t xml:space="preserve"> </w:t>
      </w:r>
      <w:r w:rsidRPr="00695DBF">
        <w:rPr>
          <w:i/>
          <w:noProof/>
          <w:sz w:val="24"/>
          <w:szCs w:val="24"/>
        </w:rPr>
        <w:t>82</w:t>
      </w:r>
      <w:r w:rsidRPr="00695DBF">
        <w:rPr>
          <w:noProof/>
          <w:sz w:val="24"/>
          <w:szCs w:val="24"/>
        </w:rPr>
        <w:t xml:space="preserve"> (3), 631–671.</w:t>
      </w:r>
    </w:p>
    <w:p w14:paraId="55BB5B87" w14:textId="77777777" w:rsidR="00CC2B1F" w:rsidRPr="00145179" w:rsidRDefault="00CC2B1F" w:rsidP="00CC2B1F">
      <w:pPr>
        <w:widowControl w:val="0"/>
        <w:autoSpaceDE w:val="0"/>
        <w:autoSpaceDN w:val="0"/>
        <w:adjustRightInd w:val="0"/>
        <w:spacing w:after="240"/>
        <w:ind w:left="425" w:hanging="425"/>
        <w:jc w:val="both"/>
        <w:rPr>
          <w:noProof/>
          <w:sz w:val="24"/>
          <w:szCs w:val="24"/>
          <w:lang w:val="en-US"/>
        </w:rPr>
      </w:pPr>
      <w:r w:rsidRPr="00145179">
        <w:rPr>
          <w:noProof/>
          <w:sz w:val="24"/>
          <w:szCs w:val="24"/>
        </w:rPr>
        <w:t>Machado</w:t>
      </w:r>
      <w:r>
        <w:rPr>
          <w:noProof/>
          <w:sz w:val="24"/>
          <w:szCs w:val="24"/>
        </w:rPr>
        <w:t>, M. A. V., &amp;</w:t>
      </w:r>
      <w:r w:rsidRPr="00145179">
        <w:rPr>
          <w:noProof/>
          <w:sz w:val="24"/>
          <w:szCs w:val="24"/>
        </w:rPr>
        <w:t xml:space="preserve"> Medeiros, O. R. </w:t>
      </w:r>
      <w:r>
        <w:rPr>
          <w:noProof/>
          <w:sz w:val="24"/>
          <w:szCs w:val="24"/>
        </w:rPr>
        <w:t xml:space="preserve">(2011). </w:t>
      </w:r>
      <w:r w:rsidRPr="00145179">
        <w:rPr>
          <w:noProof/>
          <w:sz w:val="24"/>
          <w:szCs w:val="24"/>
        </w:rPr>
        <w:t xml:space="preserve">Modelos de precificação de ativos e o efeito liquidez: evidências empíricas no mercado acionário brasileiro. </w:t>
      </w:r>
      <w:r w:rsidRPr="00701FDB">
        <w:rPr>
          <w:i/>
          <w:noProof/>
          <w:sz w:val="24"/>
          <w:szCs w:val="24"/>
          <w:lang w:val="en-US"/>
        </w:rPr>
        <w:t>Revista Brasileira de Finanças</w:t>
      </w:r>
      <w:r w:rsidRPr="00145179">
        <w:rPr>
          <w:noProof/>
          <w:sz w:val="24"/>
          <w:szCs w:val="24"/>
          <w:lang w:val="en-US"/>
        </w:rPr>
        <w:t xml:space="preserve">, </w:t>
      </w:r>
      <w:r w:rsidRPr="000253FF">
        <w:rPr>
          <w:i/>
          <w:noProof/>
          <w:sz w:val="24"/>
          <w:szCs w:val="24"/>
          <w:lang w:val="en-US"/>
        </w:rPr>
        <w:t>9</w:t>
      </w:r>
      <w:r w:rsidRPr="00145179">
        <w:rPr>
          <w:noProof/>
          <w:sz w:val="24"/>
          <w:szCs w:val="24"/>
          <w:lang w:val="en-US"/>
        </w:rPr>
        <w:t xml:space="preserve"> </w:t>
      </w:r>
      <w:r>
        <w:rPr>
          <w:noProof/>
          <w:sz w:val="24"/>
          <w:szCs w:val="24"/>
          <w:lang w:val="en-US"/>
        </w:rPr>
        <w:t>(</w:t>
      </w:r>
      <w:r w:rsidRPr="00145179">
        <w:rPr>
          <w:noProof/>
          <w:sz w:val="24"/>
          <w:szCs w:val="24"/>
          <w:lang w:val="en-US"/>
        </w:rPr>
        <w:t>3</w:t>
      </w:r>
      <w:r>
        <w:rPr>
          <w:noProof/>
          <w:sz w:val="24"/>
          <w:szCs w:val="24"/>
          <w:lang w:val="en-US"/>
        </w:rPr>
        <w:t>)</w:t>
      </w:r>
      <w:r w:rsidRPr="00145179">
        <w:rPr>
          <w:noProof/>
          <w:sz w:val="24"/>
          <w:szCs w:val="24"/>
          <w:lang w:val="en-US"/>
        </w:rPr>
        <w:t xml:space="preserve">, </w:t>
      </w:r>
      <w:r>
        <w:rPr>
          <w:noProof/>
          <w:sz w:val="24"/>
          <w:szCs w:val="24"/>
          <w:lang w:val="en-US"/>
        </w:rPr>
        <w:t>383-412.</w:t>
      </w:r>
    </w:p>
    <w:p w14:paraId="0FB32862" w14:textId="77777777" w:rsidR="00CC2B1F" w:rsidRPr="00145179" w:rsidRDefault="00CC2B1F" w:rsidP="00CC2B1F">
      <w:pPr>
        <w:widowControl w:val="0"/>
        <w:autoSpaceDE w:val="0"/>
        <w:autoSpaceDN w:val="0"/>
        <w:adjustRightInd w:val="0"/>
        <w:spacing w:after="240"/>
        <w:ind w:left="425" w:hanging="425"/>
        <w:jc w:val="both"/>
        <w:rPr>
          <w:noProof/>
          <w:sz w:val="24"/>
          <w:szCs w:val="24"/>
          <w:lang w:val="en-US"/>
        </w:rPr>
      </w:pPr>
      <w:r w:rsidRPr="00145179">
        <w:rPr>
          <w:noProof/>
          <w:sz w:val="24"/>
          <w:szCs w:val="24"/>
          <w:lang w:val="en-US"/>
        </w:rPr>
        <w:t>Marshall</w:t>
      </w:r>
      <w:r>
        <w:rPr>
          <w:noProof/>
          <w:sz w:val="24"/>
          <w:szCs w:val="24"/>
          <w:lang w:val="en-US"/>
        </w:rPr>
        <w:t>, B. R., &amp;</w:t>
      </w:r>
      <w:r w:rsidRPr="00145179">
        <w:rPr>
          <w:noProof/>
          <w:sz w:val="24"/>
          <w:szCs w:val="24"/>
          <w:lang w:val="en-US"/>
        </w:rPr>
        <w:t xml:space="preserve"> Ypung, M. </w:t>
      </w:r>
      <w:r>
        <w:rPr>
          <w:noProof/>
          <w:sz w:val="24"/>
          <w:szCs w:val="24"/>
          <w:lang w:val="en-US"/>
        </w:rPr>
        <w:t xml:space="preserve">(2003). </w:t>
      </w:r>
      <w:r w:rsidRPr="00145179">
        <w:rPr>
          <w:noProof/>
          <w:sz w:val="24"/>
          <w:szCs w:val="24"/>
          <w:lang w:val="en-US"/>
        </w:rPr>
        <w:t xml:space="preserve">Liquidity and stock returns in pure order-driven markets: evidence from australian stock market. </w:t>
      </w:r>
      <w:r w:rsidRPr="00701FDB">
        <w:rPr>
          <w:i/>
          <w:noProof/>
          <w:sz w:val="24"/>
          <w:szCs w:val="24"/>
          <w:lang w:val="en-US"/>
        </w:rPr>
        <w:t>International Review of Financial Analysis</w:t>
      </w:r>
      <w:r w:rsidRPr="00145179">
        <w:rPr>
          <w:noProof/>
          <w:sz w:val="24"/>
          <w:szCs w:val="24"/>
          <w:lang w:val="en-US"/>
        </w:rPr>
        <w:t xml:space="preserve">, </w:t>
      </w:r>
      <w:r w:rsidRPr="00701FDB">
        <w:rPr>
          <w:i/>
          <w:noProof/>
          <w:sz w:val="24"/>
          <w:szCs w:val="24"/>
          <w:lang w:val="en-US"/>
        </w:rPr>
        <w:t>12</w:t>
      </w:r>
      <w:r w:rsidRPr="00145179">
        <w:rPr>
          <w:noProof/>
          <w:sz w:val="24"/>
          <w:szCs w:val="24"/>
          <w:lang w:val="en-US"/>
        </w:rPr>
        <w:t xml:space="preserve">, 173–188. </w:t>
      </w:r>
    </w:p>
    <w:p w14:paraId="6720DF03" w14:textId="77777777" w:rsidR="00CC2B1F" w:rsidRPr="00650910" w:rsidRDefault="00CC2B1F" w:rsidP="00CC2B1F">
      <w:pPr>
        <w:autoSpaceDE w:val="0"/>
        <w:autoSpaceDN w:val="0"/>
        <w:adjustRightInd w:val="0"/>
        <w:spacing w:after="240"/>
        <w:ind w:left="425" w:hanging="425"/>
        <w:jc w:val="both"/>
        <w:rPr>
          <w:noProof/>
          <w:sz w:val="24"/>
          <w:szCs w:val="24"/>
          <w:lang w:val="en-US"/>
        </w:rPr>
      </w:pPr>
      <w:r w:rsidRPr="00145179">
        <w:rPr>
          <w:sz w:val="24"/>
          <w:szCs w:val="24"/>
          <w:lang w:val="en-US"/>
        </w:rPr>
        <w:t>M.L. – BIS.</w:t>
      </w:r>
      <w:r>
        <w:rPr>
          <w:sz w:val="24"/>
          <w:szCs w:val="24"/>
          <w:lang w:val="en-US"/>
        </w:rPr>
        <w:t xml:space="preserve"> (1999).</w:t>
      </w:r>
      <w:r w:rsidRPr="00145179">
        <w:rPr>
          <w:sz w:val="24"/>
          <w:szCs w:val="24"/>
          <w:lang w:val="en-US"/>
        </w:rPr>
        <w:t xml:space="preserve"> Market Liquidity: </w:t>
      </w:r>
      <w:r w:rsidRPr="00701FDB">
        <w:rPr>
          <w:iCs/>
          <w:sz w:val="24"/>
          <w:szCs w:val="24"/>
          <w:lang w:val="en-US"/>
        </w:rPr>
        <w:t>research findings and selected policy implications</w:t>
      </w:r>
      <w:r w:rsidRPr="00145179">
        <w:rPr>
          <w:i/>
          <w:iCs/>
          <w:sz w:val="24"/>
          <w:szCs w:val="24"/>
          <w:lang w:val="en-US"/>
        </w:rPr>
        <w:t xml:space="preserve"> </w:t>
      </w:r>
      <w:r w:rsidRPr="00145179">
        <w:rPr>
          <w:sz w:val="24"/>
          <w:szCs w:val="24"/>
          <w:lang w:val="en-US"/>
        </w:rPr>
        <w:t>– report of a study group established by the</w:t>
      </w:r>
      <w:r>
        <w:rPr>
          <w:sz w:val="24"/>
          <w:szCs w:val="24"/>
          <w:lang w:val="en-US"/>
        </w:rPr>
        <w:t xml:space="preserve"> Committee on t</w:t>
      </w:r>
      <w:r w:rsidRPr="00145179">
        <w:rPr>
          <w:sz w:val="24"/>
          <w:szCs w:val="24"/>
          <w:lang w:val="en-US"/>
        </w:rPr>
        <w:t xml:space="preserve">he </w:t>
      </w:r>
      <w:r>
        <w:rPr>
          <w:sz w:val="24"/>
          <w:szCs w:val="24"/>
          <w:lang w:val="en-US"/>
        </w:rPr>
        <w:t>Global Financial System of the Central Banks of the group of ten countries B</w:t>
      </w:r>
      <w:r w:rsidRPr="00145179">
        <w:rPr>
          <w:sz w:val="24"/>
          <w:szCs w:val="24"/>
          <w:lang w:val="en-US"/>
        </w:rPr>
        <w:t xml:space="preserve">asle. </w:t>
      </w:r>
      <w:r w:rsidRPr="00650910">
        <w:rPr>
          <w:i/>
          <w:sz w:val="24"/>
          <w:szCs w:val="24"/>
          <w:lang w:val="en-US"/>
        </w:rPr>
        <w:t>Bank for International Settlements</w:t>
      </w:r>
      <w:r w:rsidRPr="00650910">
        <w:rPr>
          <w:sz w:val="24"/>
          <w:szCs w:val="24"/>
          <w:lang w:val="en-US"/>
        </w:rPr>
        <w:t>.</w:t>
      </w:r>
    </w:p>
    <w:p w14:paraId="731864C2" w14:textId="77777777" w:rsidR="00CC2B1F" w:rsidRPr="00145179" w:rsidRDefault="00CC2B1F" w:rsidP="00CC2B1F">
      <w:pPr>
        <w:widowControl w:val="0"/>
        <w:autoSpaceDE w:val="0"/>
        <w:autoSpaceDN w:val="0"/>
        <w:adjustRightInd w:val="0"/>
        <w:spacing w:after="240"/>
        <w:ind w:left="425" w:hanging="425"/>
        <w:jc w:val="both"/>
        <w:rPr>
          <w:noProof/>
          <w:sz w:val="24"/>
          <w:szCs w:val="24"/>
          <w:lang w:val="en-US"/>
        </w:rPr>
      </w:pPr>
      <w:r w:rsidRPr="002E3F22">
        <w:rPr>
          <w:noProof/>
          <w:sz w:val="24"/>
          <w:szCs w:val="24"/>
          <w:lang w:val="en-US"/>
        </w:rPr>
        <w:t xml:space="preserve">Nguyen, D., Prakash, S. M., &amp; Ghosh, D. K. (2007). </w:t>
      </w:r>
      <w:r w:rsidRPr="00145179">
        <w:rPr>
          <w:noProof/>
          <w:sz w:val="24"/>
          <w:szCs w:val="24"/>
          <w:lang w:val="en-US"/>
        </w:rPr>
        <w:t>Liquidity and asset pricing under three-moment</w:t>
      </w:r>
      <w:r>
        <w:rPr>
          <w:noProof/>
          <w:sz w:val="24"/>
          <w:szCs w:val="24"/>
          <w:lang w:val="en-US"/>
        </w:rPr>
        <w:t xml:space="preserve"> CAPM p</w:t>
      </w:r>
      <w:r w:rsidRPr="00145179">
        <w:rPr>
          <w:noProof/>
          <w:sz w:val="24"/>
          <w:szCs w:val="24"/>
          <w:lang w:val="en-US"/>
        </w:rPr>
        <w:t xml:space="preserve">aradigm. </w:t>
      </w:r>
      <w:r w:rsidRPr="00730437">
        <w:rPr>
          <w:i/>
          <w:noProof/>
          <w:sz w:val="24"/>
          <w:szCs w:val="24"/>
          <w:lang w:val="en-US"/>
        </w:rPr>
        <w:t>The Journal of Financial Research</w:t>
      </w:r>
      <w:r w:rsidRPr="00145179">
        <w:rPr>
          <w:noProof/>
          <w:sz w:val="24"/>
          <w:szCs w:val="24"/>
          <w:lang w:val="en-US"/>
        </w:rPr>
        <w:t xml:space="preserve">, </w:t>
      </w:r>
      <w:r w:rsidRPr="00730437">
        <w:rPr>
          <w:i/>
          <w:noProof/>
          <w:sz w:val="24"/>
          <w:szCs w:val="24"/>
          <w:lang w:val="en-US"/>
        </w:rPr>
        <w:t>30</w:t>
      </w:r>
      <w:r>
        <w:rPr>
          <w:noProof/>
          <w:sz w:val="24"/>
          <w:szCs w:val="24"/>
          <w:lang w:val="en-US"/>
        </w:rPr>
        <w:t xml:space="preserve"> (3), 379–398</w:t>
      </w:r>
      <w:r w:rsidRPr="00145179">
        <w:rPr>
          <w:noProof/>
          <w:sz w:val="24"/>
          <w:szCs w:val="24"/>
          <w:lang w:val="en-US"/>
        </w:rPr>
        <w:t>.</w:t>
      </w:r>
    </w:p>
    <w:p w14:paraId="09DE4B2F" w14:textId="77777777" w:rsidR="00CC2B1F" w:rsidRPr="00650910" w:rsidRDefault="00CC2B1F" w:rsidP="00CC2B1F">
      <w:pPr>
        <w:widowControl w:val="0"/>
        <w:autoSpaceDE w:val="0"/>
        <w:autoSpaceDN w:val="0"/>
        <w:adjustRightInd w:val="0"/>
        <w:spacing w:after="240"/>
        <w:ind w:left="425" w:hanging="425"/>
        <w:jc w:val="both"/>
        <w:rPr>
          <w:noProof/>
          <w:sz w:val="24"/>
          <w:szCs w:val="24"/>
          <w:lang w:val="en-US"/>
        </w:rPr>
      </w:pPr>
      <w:r w:rsidRPr="00145179">
        <w:rPr>
          <w:noProof/>
          <w:sz w:val="24"/>
          <w:szCs w:val="24"/>
          <w:lang w:val="en-US"/>
        </w:rPr>
        <w:t>Pastor</w:t>
      </w:r>
      <w:r>
        <w:rPr>
          <w:noProof/>
          <w:sz w:val="24"/>
          <w:szCs w:val="24"/>
          <w:lang w:val="en-US"/>
        </w:rPr>
        <w:t>, L.,</w:t>
      </w:r>
      <w:r w:rsidRPr="00145179">
        <w:rPr>
          <w:noProof/>
          <w:sz w:val="24"/>
          <w:szCs w:val="24"/>
          <w:lang w:val="en-US"/>
        </w:rPr>
        <w:t xml:space="preserve"> </w:t>
      </w:r>
      <w:r>
        <w:rPr>
          <w:noProof/>
          <w:sz w:val="24"/>
          <w:szCs w:val="24"/>
          <w:lang w:val="en-US"/>
        </w:rPr>
        <w:t xml:space="preserve">&amp; </w:t>
      </w:r>
      <w:r w:rsidRPr="00145179">
        <w:rPr>
          <w:noProof/>
          <w:sz w:val="24"/>
          <w:szCs w:val="24"/>
          <w:lang w:val="en-US"/>
        </w:rPr>
        <w:t xml:space="preserve">Stambaugh, R. F. </w:t>
      </w:r>
      <w:r>
        <w:rPr>
          <w:noProof/>
          <w:sz w:val="24"/>
          <w:szCs w:val="24"/>
          <w:lang w:val="en-US"/>
        </w:rPr>
        <w:t xml:space="preserve">(2001). </w:t>
      </w:r>
      <w:r w:rsidRPr="00145179">
        <w:rPr>
          <w:noProof/>
          <w:sz w:val="24"/>
          <w:szCs w:val="24"/>
          <w:lang w:val="en-US"/>
        </w:rPr>
        <w:t xml:space="preserve">Liquidity risk and expected stock returns. </w:t>
      </w:r>
      <w:r w:rsidRPr="00650910">
        <w:rPr>
          <w:bCs/>
          <w:i/>
          <w:noProof/>
          <w:sz w:val="24"/>
          <w:szCs w:val="24"/>
          <w:lang w:val="en-US"/>
        </w:rPr>
        <w:t>NBER Working Paper Series</w:t>
      </w:r>
      <w:r w:rsidRPr="00650910">
        <w:rPr>
          <w:bCs/>
          <w:noProof/>
          <w:sz w:val="24"/>
          <w:szCs w:val="24"/>
          <w:lang w:val="en-US"/>
        </w:rPr>
        <w:t xml:space="preserve">, </w:t>
      </w:r>
      <w:r w:rsidRPr="00650910">
        <w:rPr>
          <w:bCs/>
          <w:i/>
          <w:noProof/>
          <w:sz w:val="24"/>
          <w:szCs w:val="24"/>
          <w:lang w:val="en-US"/>
        </w:rPr>
        <w:t>111</w:t>
      </w:r>
      <w:r w:rsidRPr="00650910">
        <w:rPr>
          <w:bCs/>
          <w:noProof/>
          <w:sz w:val="24"/>
          <w:szCs w:val="24"/>
          <w:lang w:val="en-US"/>
        </w:rPr>
        <w:t xml:space="preserve"> (</w:t>
      </w:r>
      <w:r w:rsidRPr="00650910">
        <w:rPr>
          <w:noProof/>
          <w:sz w:val="24"/>
          <w:szCs w:val="24"/>
          <w:lang w:val="en-US"/>
        </w:rPr>
        <w:t xml:space="preserve">3), 642–685. </w:t>
      </w:r>
    </w:p>
    <w:p w14:paraId="2FF70259" w14:textId="77777777" w:rsidR="00CC2B1F" w:rsidRPr="00650910" w:rsidRDefault="00CC2B1F" w:rsidP="00CC2B1F">
      <w:pPr>
        <w:widowControl w:val="0"/>
        <w:autoSpaceDE w:val="0"/>
        <w:autoSpaceDN w:val="0"/>
        <w:adjustRightInd w:val="0"/>
        <w:spacing w:after="240"/>
        <w:ind w:left="425" w:hanging="425"/>
        <w:jc w:val="both"/>
        <w:rPr>
          <w:noProof/>
          <w:sz w:val="24"/>
          <w:szCs w:val="24"/>
        </w:rPr>
      </w:pPr>
      <w:r w:rsidRPr="00CC2B1F">
        <w:rPr>
          <w:noProof/>
          <w:sz w:val="24"/>
          <w:szCs w:val="24"/>
        </w:rPr>
        <w:t xml:space="preserve">Perobelli, F. F. C., Famá, R., &amp; Sacramento, L. C. (2016). </w:t>
      </w:r>
      <w:r w:rsidRPr="00145179">
        <w:rPr>
          <w:noProof/>
          <w:sz w:val="24"/>
          <w:szCs w:val="24"/>
        </w:rPr>
        <w:t xml:space="preserve">Relações entre liquidez e retorno nas dimensões contábil e de mercado no Brasil. </w:t>
      </w:r>
      <w:r w:rsidRPr="00650910">
        <w:rPr>
          <w:bCs/>
          <w:i/>
          <w:noProof/>
          <w:sz w:val="24"/>
          <w:szCs w:val="24"/>
        </w:rPr>
        <w:t>Revista Contabilidade &amp; Finanças</w:t>
      </w:r>
      <w:r w:rsidRPr="00650910">
        <w:rPr>
          <w:noProof/>
          <w:sz w:val="24"/>
          <w:szCs w:val="24"/>
        </w:rPr>
        <w:t xml:space="preserve">, </w:t>
      </w:r>
      <w:r w:rsidRPr="00650910">
        <w:rPr>
          <w:i/>
          <w:noProof/>
          <w:sz w:val="24"/>
          <w:szCs w:val="24"/>
        </w:rPr>
        <w:t>27</w:t>
      </w:r>
      <w:r w:rsidRPr="00650910">
        <w:rPr>
          <w:noProof/>
          <w:sz w:val="24"/>
          <w:szCs w:val="24"/>
        </w:rPr>
        <w:t xml:space="preserve"> (71), 259–272.</w:t>
      </w:r>
    </w:p>
    <w:p w14:paraId="3221D39E" w14:textId="77777777" w:rsidR="00CC2B1F" w:rsidRPr="00650910" w:rsidRDefault="00CC2B1F" w:rsidP="00CC2B1F">
      <w:pPr>
        <w:widowControl w:val="0"/>
        <w:autoSpaceDE w:val="0"/>
        <w:autoSpaceDN w:val="0"/>
        <w:adjustRightInd w:val="0"/>
        <w:spacing w:after="240"/>
        <w:ind w:left="425" w:hanging="425"/>
        <w:jc w:val="both"/>
        <w:rPr>
          <w:noProof/>
          <w:sz w:val="24"/>
          <w:szCs w:val="24"/>
        </w:rPr>
      </w:pPr>
      <w:r w:rsidRPr="00650910">
        <w:rPr>
          <w:noProof/>
          <w:sz w:val="24"/>
          <w:szCs w:val="24"/>
        </w:rPr>
        <w:lastRenderedPageBreak/>
        <w:t xml:space="preserve">Rösch, D. M., Subrahmanyan, A., &amp; Dijk, M. A. (2013). </w:t>
      </w:r>
      <w:r w:rsidRPr="00145179">
        <w:rPr>
          <w:noProof/>
          <w:sz w:val="24"/>
          <w:szCs w:val="24"/>
          <w:lang w:val="en-US"/>
        </w:rPr>
        <w:t>Is there systematic variation in market efficiency?</w:t>
      </w:r>
      <w:r>
        <w:rPr>
          <w:noProof/>
          <w:sz w:val="24"/>
          <w:szCs w:val="24"/>
          <w:lang w:val="en-US"/>
        </w:rPr>
        <w:t xml:space="preserve"> </w:t>
      </w:r>
      <w:r w:rsidRPr="00650910">
        <w:rPr>
          <w:noProof/>
          <w:sz w:val="24"/>
          <w:szCs w:val="24"/>
        </w:rPr>
        <w:t>Retirado de &lt;</w:t>
      </w:r>
      <w:r w:rsidRPr="00650910">
        <w:rPr>
          <w:sz w:val="24"/>
          <w:szCs w:val="24"/>
          <w:shd w:val="clear" w:color="auto" w:fill="FFFFFF"/>
        </w:rPr>
        <w:t>http://subra.x10host.com/ceff6.pdf&gt;</w:t>
      </w:r>
      <w:r w:rsidRPr="00650910">
        <w:rPr>
          <w:sz w:val="24"/>
          <w:szCs w:val="24"/>
        </w:rPr>
        <w:t>.</w:t>
      </w:r>
    </w:p>
    <w:p w14:paraId="56C03295" w14:textId="77777777" w:rsidR="00CC2B1F" w:rsidRPr="00650910" w:rsidRDefault="00CC2B1F" w:rsidP="00CC2B1F">
      <w:pPr>
        <w:widowControl w:val="0"/>
        <w:autoSpaceDE w:val="0"/>
        <w:autoSpaceDN w:val="0"/>
        <w:adjustRightInd w:val="0"/>
        <w:spacing w:after="240"/>
        <w:ind w:left="425" w:hanging="425"/>
        <w:jc w:val="both"/>
        <w:rPr>
          <w:noProof/>
          <w:sz w:val="24"/>
          <w:szCs w:val="24"/>
          <w:lang w:val="en-US"/>
        </w:rPr>
      </w:pPr>
      <w:r w:rsidRPr="00650910">
        <w:rPr>
          <w:noProof/>
          <w:sz w:val="24"/>
          <w:szCs w:val="24"/>
        </w:rPr>
        <w:t xml:space="preserve">Sharpe, W. F., Alexander, G.J., &amp; Bailey, J. V. (1998). </w:t>
      </w:r>
      <w:r w:rsidRPr="002F2BEC">
        <w:rPr>
          <w:i/>
          <w:noProof/>
          <w:sz w:val="24"/>
          <w:szCs w:val="24"/>
          <w:lang w:val="en-US"/>
        </w:rPr>
        <w:t>Investments</w:t>
      </w:r>
      <w:r w:rsidRPr="00145179">
        <w:rPr>
          <w:noProof/>
          <w:sz w:val="24"/>
          <w:szCs w:val="24"/>
          <w:lang w:val="en-US"/>
        </w:rPr>
        <w:t xml:space="preserve">. </w:t>
      </w:r>
      <w:r w:rsidRPr="00650910">
        <w:rPr>
          <w:noProof/>
          <w:sz w:val="24"/>
          <w:szCs w:val="24"/>
          <w:lang w:val="en-US"/>
        </w:rPr>
        <w:t>(6ª ed.). New Jersey, Prentice Hall.</w:t>
      </w:r>
    </w:p>
    <w:p w14:paraId="26616455" w14:textId="77777777" w:rsidR="00CC2B1F" w:rsidRPr="00145179" w:rsidRDefault="00CC2B1F" w:rsidP="00CC2B1F">
      <w:pPr>
        <w:widowControl w:val="0"/>
        <w:autoSpaceDE w:val="0"/>
        <w:autoSpaceDN w:val="0"/>
        <w:adjustRightInd w:val="0"/>
        <w:spacing w:after="240"/>
        <w:ind w:left="425" w:hanging="425"/>
        <w:jc w:val="both"/>
        <w:rPr>
          <w:noProof/>
          <w:sz w:val="24"/>
          <w:szCs w:val="24"/>
        </w:rPr>
      </w:pPr>
      <w:r w:rsidRPr="00145179">
        <w:rPr>
          <w:noProof/>
          <w:sz w:val="24"/>
          <w:szCs w:val="24"/>
        </w:rPr>
        <w:t>Vieira</w:t>
      </w:r>
      <w:r>
        <w:rPr>
          <w:noProof/>
          <w:sz w:val="24"/>
          <w:szCs w:val="24"/>
        </w:rPr>
        <w:t>, K. M.,</w:t>
      </w:r>
      <w:r w:rsidRPr="00145179">
        <w:rPr>
          <w:noProof/>
          <w:sz w:val="24"/>
          <w:szCs w:val="24"/>
        </w:rPr>
        <w:t xml:space="preserve"> </w:t>
      </w:r>
      <w:r>
        <w:rPr>
          <w:noProof/>
          <w:sz w:val="24"/>
          <w:szCs w:val="24"/>
        </w:rPr>
        <w:t xml:space="preserve">&amp; </w:t>
      </w:r>
      <w:r w:rsidRPr="00145179">
        <w:rPr>
          <w:noProof/>
          <w:sz w:val="24"/>
          <w:szCs w:val="24"/>
        </w:rPr>
        <w:t xml:space="preserve">Milach, F. T. </w:t>
      </w:r>
      <w:r>
        <w:rPr>
          <w:noProof/>
          <w:sz w:val="24"/>
          <w:szCs w:val="24"/>
        </w:rPr>
        <w:t xml:space="preserve"> (2008). </w:t>
      </w:r>
      <w:r w:rsidRPr="00145179">
        <w:rPr>
          <w:noProof/>
          <w:sz w:val="24"/>
          <w:szCs w:val="24"/>
        </w:rPr>
        <w:t xml:space="preserve">Liquidez/iliquidez no mercado brasileiro: comportamento no período 1995-2005 e suas relações com o retorno. </w:t>
      </w:r>
      <w:r w:rsidRPr="00355C06">
        <w:rPr>
          <w:i/>
          <w:noProof/>
          <w:sz w:val="24"/>
          <w:szCs w:val="24"/>
        </w:rPr>
        <w:t>Revista de Administração e Contabilidade da Unisinos – BASE</w:t>
      </w:r>
      <w:r w:rsidRPr="00145179">
        <w:rPr>
          <w:noProof/>
          <w:sz w:val="24"/>
          <w:szCs w:val="24"/>
        </w:rPr>
        <w:t xml:space="preserve">, </w:t>
      </w:r>
      <w:r w:rsidRPr="00355C06">
        <w:rPr>
          <w:i/>
          <w:noProof/>
          <w:sz w:val="24"/>
          <w:szCs w:val="24"/>
        </w:rPr>
        <w:t>5</w:t>
      </w:r>
      <w:r>
        <w:rPr>
          <w:noProof/>
          <w:sz w:val="24"/>
          <w:szCs w:val="24"/>
        </w:rPr>
        <w:t xml:space="preserve"> (1)</w:t>
      </w:r>
      <w:r w:rsidRPr="00145179">
        <w:rPr>
          <w:noProof/>
          <w:sz w:val="24"/>
          <w:szCs w:val="24"/>
        </w:rPr>
        <w:t>, 5–16</w:t>
      </w:r>
      <w:r>
        <w:rPr>
          <w:noProof/>
          <w:sz w:val="24"/>
          <w:szCs w:val="24"/>
        </w:rPr>
        <w:t>.</w:t>
      </w:r>
    </w:p>
    <w:p w14:paraId="0152E16E" w14:textId="77777777" w:rsidR="00CC2B1F" w:rsidRPr="00145179" w:rsidRDefault="00CC2B1F" w:rsidP="00CC2B1F">
      <w:pPr>
        <w:widowControl w:val="0"/>
        <w:autoSpaceDE w:val="0"/>
        <w:autoSpaceDN w:val="0"/>
        <w:adjustRightInd w:val="0"/>
        <w:spacing w:after="240"/>
        <w:ind w:left="425" w:hanging="425"/>
        <w:jc w:val="both"/>
        <w:rPr>
          <w:noProof/>
          <w:sz w:val="24"/>
          <w:szCs w:val="24"/>
        </w:rPr>
      </w:pPr>
      <w:r w:rsidRPr="00145179">
        <w:rPr>
          <w:noProof/>
          <w:sz w:val="24"/>
          <w:szCs w:val="24"/>
        </w:rPr>
        <w:t>Vieira</w:t>
      </w:r>
      <w:r>
        <w:rPr>
          <w:noProof/>
          <w:sz w:val="24"/>
          <w:szCs w:val="24"/>
        </w:rPr>
        <w:t>, K. M.,</w:t>
      </w:r>
      <w:r w:rsidRPr="00145179">
        <w:rPr>
          <w:noProof/>
          <w:sz w:val="24"/>
          <w:szCs w:val="24"/>
        </w:rPr>
        <w:t xml:space="preserve"> J</w:t>
      </w:r>
      <w:r>
        <w:rPr>
          <w:noProof/>
          <w:sz w:val="24"/>
          <w:szCs w:val="24"/>
        </w:rPr>
        <w:t>usten J</w:t>
      </w:r>
      <w:r w:rsidRPr="00145179">
        <w:rPr>
          <w:noProof/>
          <w:sz w:val="24"/>
          <w:szCs w:val="24"/>
        </w:rPr>
        <w:t>únior</w:t>
      </w:r>
      <w:r>
        <w:rPr>
          <w:noProof/>
          <w:sz w:val="24"/>
          <w:szCs w:val="24"/>
        </w:rPr>
        <w:t>, A. A., &amp;</w:t>
      </w:r>
      <w:r w:rsidRPr="00145179">
        <w:rPr>
          <w:noProof/>
          <w:sz w:val="24"/>
          <w:szCs w:val="24"/>
        </w:rPr>
        <w:t xml:space="preserve"> Righi, M. B. </w:t>
      </w:r>
      <w:r>
        <w:rPr>
          <w:noProof/>
          <w:sz w:val="24"/>
          <w:szCs w:val="24"/>
        </w:rPr>
        <w:t xml:space="preserve">(2015). </w:t>
      </w:r>
      <w:r w:rsidRPr="00145179">
        <w:rPr>
          <w:noProof/>
          <w:sz w:val="24"/>
          <w:szCs w:val="24"/>
        </w:rPr>
        <w:t xml:space="preserve">O papel da liquidez e suas múltiplas dimensões no retorno das ações: um estudo com dados em painel do mercado brasileiro. </w:t>
      </w:r>
      <w:r w:rsidRPr="00355C06">
        <w:rPr>
          <w:i/>
          <w:noProof/>
          <w:sz w:val="24"/>
          <w:szCs w:val="24"/>
        </w:rPr>
        <w:t>CONTEXTUS - Revista Contemporânea de Economia e Gestão</w:t>
      </w:r>
      <w:r w:rsidRPr="00145179">
        <w:rPr>
          <w:noProof/>
          <w:sz w:val="24"/>
          <w:szCs w:val="24"/>
        </w:rPr>
        <w:t xml:space="preserve">, </w:t>
      </w:r>
      <w:r w:rsidRPr="00355C06">
        <w:rPr>
          <w:i/>
          <w:noProof/>
          <w:sz w:val="24"/>
          <w:szCs w:val="24"/>
        </w:rPr>
        <w:t>13</w:t>
      </w:r>
      <w:r>
        <w:rPr>
          <w:noProof/>
          <w:sz w:val="24"/>
          <w:szCs w:val="24"/>
        </w:rPr>
        <w:t xml:space="preserve"> (</w:t>
      </w:r>
      <w:r w:rsidRPr="00145179">
        <w:rPr>
          <w:noProof/>
          <w:sz w:val="24"/>
          <w:szCs w:val="24"/>
        </w:rPr>
        <w:t>2</w:t>
      </w:r>
      <w:r>
        <w:rPr>
          <w:noProof/>
          <w:sz w:val="24"/>
          <w:szCs w:val="24"/>
        </w:rPr>
        <w:t>), 7-34.</w:t>
      </w:r>
    </w:p>
    <w:p w14:paraId="639EF68D" w14:textId="77777777" w:rsidR="00CC2B1F" w:rsidRPr="00145179" w:rsidRDefault="00CC2B1F" w:rsidP="00CC2B1F">
      <w:pPr>
        <w:widowControl w:val="0"/>
        <w:autoSpaceDE w:val="0"/>
        <w:autoSpaceDN w:val="0"/>
        <w:adjustRightInd w:val="0"/>
        <w:spacing w:after="240"/>
        <w:ind w:left="425" w:hanging="425"/>
        <w:jc w:val="both"/>
        <w:rPr>
          <w:sz w:val="24"/>
          <w:szCs w:val="24"/>
        </w:rPr>
      </w:pPr>
      <w:r w:rsidRPr="00145179">
        <w:rPr>
          <w:noProof/>
          <w:sz w:val="24"/>
          <w:szCs w:val="24"/>
        </w:rPr>
        <w:t xml:space="preserve">Villaça, M. J. O conceito de liquidez. </w:t>
      </w:r>
      <w:r>
        <w:rPr>
          <w:noProof/>
          <w:sz w:val="24"/>
          <w:szCs w:val="24"/>
        </w:rPr>
        <w:t xml:space="preserve">(1969). </w:t>
      </w:r>
      <w:r w:rsidRPr="00145179">
        <w:rPr>
          <w:bCs/>
          <w:i/>
          <w:noProof/>
          <w:sz w:val="24"/>
          <w:szCs w:val="24"/>
        </w:rPr>
        <w:t>Revista de Administração de Empresas - RAE,</w:t>
      </w:r>
      <w:r w:rsidRPr="00145179">
        <w:rPr>
          <w:noProof/>
          <w:sz w:val="24"/>
          <w:szCs w:val="24"/>
        </w:rPr>
        <w:t xml:space="preserve"> </w:t>
      </w:r>
      <w:r w:rsidRPr="00355C06">
        <w:rPr>
          <w:i/>
          <w:noProof/>
          <w:sz w:val="24"/>
          <w:szCs w:val="24"/>
        </w:rPr>
        <w:t>9</w:t>
      </w:r>
      <w:r>
        <w:rPr>
          <w:noProof/>
          <w:sz w:val="24"/>
          <w:szCs w:val="24"/>
        </w:rPr>
        <w:t xml:space="preserve"> (</w:t>
      </w:r>
      <w:r w:rsidRPr="00145179">
        <w:rPr>
          <w:noProof/>
          <w:sz w:val="24"/>
          <w:szCs w:val="24"/>
        </w:rPr>
        <w:t>1</w:t>
      </w:r>
      <w:r>
        <w:rPr>
          <w:noProof/>
          <w:sz w:val="24"/>
          <w:szCs w:val="24"/>
        </w:rPr>
        <w:t>), 33–53.</w:t>
      </w:r>
      <w:r w:rsidRPr="00145179">
        <w:rPr>
          <w:sz w:val="24"/>
          <w:szCs w:val="24"/>
        </w:rPr>
        <w:fldChar w:fldCharType="end"/>
      </w:r>
      <w:r w:rsidRPr="00145179">
        <w:rPr>
          <w:sz w:val="24"/>
          <w:szCs w:val="24"/>
        </w:rPr>
        <w:t xml:space="preserve"> </w:t>
      </w:r>
    </w:p>
    <w:p w14:paraId="35DB2B04" w14:textId="77777777" w:rsidR="00E6136F" w:rsidRDefault="00E6136F"/>
    <w:p w14:paraId="340E1717" w14:textId="77777777" w:rsidR="00E6136F" w:rsidRDefault="00E6136F"/>
    <w:p w14:paraId="1B9890A5" w14:textId="77777777" w:rsidR="00E6136F" w:rsidRDefault="00E6136F"/>
    <w:p w14:paraId="46F1C1C3" w14:textId="77777777" w:rsidR="00E6136F" w:rsidRDefault="00E6136F"/>
    <w:p w14:paraId="43A33C0B" w14:textId="77777777" w:rsidR="00E6136F" w:rsidRDefault="00E6136F"/>
    <w:p w14:paraId="6843428B" w14:textId="77777777" w:rsidR="00E6136F" w:rsidRDefault="00E6136F"/>
    <w:p w14:paraId="775CB273" w14:textId="77777777" w:rsidR="00E6136F" w:rsidRDefault="00E6136F"/>
    <w:p w14:paraId="3A36CB75" w14:textId="77777777" w:rsidR="00E6136F" w:rsidRDefault="00E6136F"/>
    <w:p w14:paraId="63280DB6" w14:textId="77777777" w:rsidR="00E6136F" w:rsidRDefault="00E6136F"/>
    <w:p w14:paraId="12A2E087" w14:textId="77777777" w:rsidR="00E6136F" w:rsidRDefault="00E6136F"/>
    <w:p w14:paraId="0D8C539E" w14:textId="77777777" w:rsidR="00E6136F" w:rsidRDefault="00E6136F"/>
    <w:p w14:paraId="5B708D31" w14:textId="77777777" w:rsidR="00E6136F" w:rsidRDefault="00E6136F"/>
    <w:p w14:paraId="07E584DE" w14:textId="77777777" w:rsidR="00E6136F" w:rsidRDefault="00E6136F"/>
    <w:p w14:paraId="0B26F9FD" w14:textId="77777777" w:rsidR="00E6136F" w:rsidRDefault="00E6136F"/>
    <w:sectPr w:rsidR="00E6136F" w:rsidSect="0036377D">
      <w:footerReference w:type="default" r:id="rId12"/>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99B00E" w14:textId="77777777" w:rsidR="00D3628A" w:rsidRDefault="00D3628A" w:rsidP="008A5824">
      <w:r>
        <w:separator/>
      </w:r>
    </w:p>
  </w:endnote>
  <w:endnote w:type="continuationSeparator" w:id="0">
    <w:p w14:paraId="03878265" w14:textId="77777777" w:rsidR="00D3628A" w:rsidRDefault="00D3628A"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iplexBold">
    <w:altName w:val="Calibri"/>
    <w:panose1 w:val="00000000000000000000"/>
    <w:charset w:val="00"/>
    <w:family w:val="swiss"/>
    <w:notTrueType/>
    <w:pitch w:val="default"/>
    <w:sig w:usb0="00000003" w:usb1="00000000" w:usb2="00000000" w:usb3="00000000" w:csb0="00000001" w:csb1="00000000"/>
  </w:font>
  <w:font w:name="CharterBT">
    <w:altName w:val="Cambria"/>
    <w:panose1 w:val="00000000000000000000"/>
    <w:charset w:val="00"/>
    <w:family w:val="roman"/>
    <w:notTrueType/>
    <w:pitch w:val="default"/>
  </w:font>
  <w:font w:name="CharterBT-Italic">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5FBCD" w14:textId="0F8C79F7" w:rsidR="00CC2B1F" w:rsidRPr="00A02650" w:rsidRDefault="00CC2B1F">
    <w:pPr>
      <w:pStyle w:val="Rodap"/>
      <w:jc w:val="right"/>
      <w:rPr>
        <w:rFonts w:ascii="Times New Roman" w:hAnsi="Times New Roman" w:cs="Times New Roman"/>
        <w:sz w:val="20"/>
        <w:szCs w:val="20"/>
      </w:rPr>
    </w:pPr>
  </w:p>
  <w:p w14:paraId="5B044DE6" w14:textId="77777777" w:rsidR="00CC2B1F" w:rsidRDefault="00CC2B1F">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9231208"/>
      <w:docPartObj>
        <w:docPartGallery w:val="Page Numbers (Bottom of Page)"/>
        <w:docPartUnique/>
      </w:docPartObj>
    </w:sdtPr>
    <w:sdtEndPr>
      <w:rPr>
        <w:rFonts w:ascii="Times New Roman" w:hAnsi="Times New Roman" w:cs="Times New Roman"/>
        <w:sz w:val="20"/>
        <w:szCs w:val="20"/>
      </w:rPr>
    </w:sdtEndPr>
    <w:sdtContent>
      <w:p w14:paraId="23C01CE2" w14:textId="69CA309D" w:rsidR="00CC2B1F" w:rsidRPr="00A02650" w:rsidRDefault="00CC2B1F">
        <w:pPr>
          <w:pStyle w:val="Rodap"/>
          <w:jc w:val="right"/>
          <w:rPr>
            <w:rFonts w:ascii="Times New Roman" w:hAnsi="Times New Roman" w:cs="Times New Roman"/>
            <w:sz w:val="20"/>
            <w:szCs w:val="20"/>
          </w:rPr>
        </w:pPr>
        <w:r w:rsidRPr="00A02650">
          <w:rPr>
            <w:rFonts w:ascii="Times New Roman" w:hAnsi="Times New Roman" w:cs="Times New Roman"/>
            <w:sz w:val="20"/>
            <w:szCs w:val="20"/>
          </w:rPr>
          <w:fldChar w:fldCharType="begin"/>
        </w:r>
        <w:r w:rsidRPr="00A02650">
          <w:rPr>
            <w:rFonts w:ascii="Times New Roman" w:hAnsi="Times New Roman" w:cs="Times New Roman"/>
            <w:sz w:val="20"/>
            <w:szCs w:val="20"/>
          </w:rPr>
          <w:instrText>PAGE   \* MERGEFORMAT</w:instrText>
        </w:r>
        <w:r w:rsidRPr="00A02650">
          <w:rPr>
            <w:rFonts w:ascii="Times New Roman" w:hAnsi="Times New Roman" w:cs="Times New Roman"/>
            <w:sz w:val="20"/>
            <w:szCs w:val="20"/>
          </w:rPr>
          <w:fldChar w:fldCharType="separate"/>
        </w:r>
        <w:r w:rsidR="00A813A0">
          <w:rPr>
            <w:rFonts w:ascii="Times New Roman" w:hAnsi="Times New Roman" w:cs="Times New Roman"/>
            <w:noProof/>
            <w:sz w:val="20"/>
            <w:szCs w:val="20"/>
          </w:rPr>
          <w:t>13</w:t>
        </w:r>
        <w:r w:rsidRPr="00A02650">
          <w:rPr>
            <w:rFonts w:ascii="Times New Roman" w:hAnsi="Times New Roman" w:cs="Times New Roman"/>
            <w:sz w:val="20"/>
            <w:szCs w:val="20"/>
          </w:rPr>
          <w:fldChar w:fldCharType="end"/>
        </w:r>
      </w:p>
    </w:sdtContent>
  </w:sdt>
  <w:p w14:paraId="1C20C4FF" w14:textId="77777777" w:rsidR="00CC2B1F" w:rsidRDefault="00CC2B1F">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3AAFC3" w14:textId="77777777" w:rsidR="00D3628A" w:rsidRDefault="00D3628A" w:rsidP="008A5824">
      <w:r>
        <w:separator/>
      </w:r>
    </w:p>
  </w:footnote>
  <w:footnote w:type="continuationSeparator" w:id="0">
    <w:p w14:paraId="7A2B8F5B" w14:textId="77777777" w:rsidR="00D3628A" w:rsidRDefault="00D3628A" w:rsidP="008A58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C0DF" w14:textId="072F5914" w:rsidR="00CC2B1F" w:rsidRPr="00B32719" w:rsidRDefault="00CC2B1F"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697A870">
          <wp:simplePos x="0" y="0"/>
          <wp:positionH relativeFrom="column">
            <wp:posOffset>5023485</wp:posOffset>
          </wp:positionH>
          <wp:positionV relativeFrom="paragraph">
            <wp:posOffset>-160020</wp:posOffset>
          </wp:positionV>
          <wp:extent cx="1249680" cy="949744"/>
          <wp:effectExtent l="38100" t="38100" r="45720" b="41275"/>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alphaModFix/>
                    <a:extLst>
                      <a:ext uri="{BEBA8EAE-BF5A-486C-A8C5-ECC9F3942E4B}">
                        <a14:imgProps xmlns:a14="http://schemas.microsoft.com/office/drawing/2010/main">
                          <a14:imgLayer r:embed="rId2">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253490" cy="952640"/>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3E7916A7">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CC2B1F" w:rsidRPr="00B32719" w:rsidRDefault="00CC2B1F"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CC2B1F" w:rsidRPr="00B32719" w:rsidRDefault="00CC2B1F"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47E00827" w:rsidR="00CC2B1F" w:rsidRPr="00B32719" w:rsidRDefault="00CC2B1F"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24415"/>
    <w:multiLevelType w:val="multilevel"/>
    <w:tmpl w:val="1EEA6CD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AF965D9"/>
    <w:multiLevelType w:val="multilevel"/>
    <w:tmpl w:val="0D9EE0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71900D7"/>
    <w:multiLevelType w:val="hybridMultilevel"/>
    <w:tmpl w:val="ED3A80F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16220D"/>
    <w:rsid w:val="00194BA9"/>
    <w:rsid w:val="001A4423"/>
    <w:rsid w:val="001C328B"/>
    <w:rsid w:val="001F6A6D"/>
    <w:rsid w:val="002251AB"/>
    <w:rsid w:val="002B0015"/>
    <w:rsid w:val="002B2B78"/>
    <w:rsid w:val="0036377D"/>
    <w:rsid w:val="00384F84"/>
    <w:rsid w:val="0038579D"/>
    <w:rsid w:val="003A188A"/>
    <w:rsid w:val="004020EB"/>
    <w:rsid w:val="00473887"/>
    <w:rsid w:val="00484ABD"/>
    <w:rsid w:val="00491708"/>
    <w:rsid w:val="005F3BF0"/>
    <w:rsid w:val="00631DCF"/>
    <w:rsid w:val="00633AD3"/>
    <w:rsid w:val="006420DC"/>
    <w:rsid w:val="006661D7"/>
    <w:rsid w:val="00686527"/>
    <w:rsid w:val="00704AAB"/>
    <w:rsid w:val="0072578D"/>
    <w:rsid w:val="0080096A"/>
    <w:rsid w:val="00860B20"/>
    <w:rsid w:val="008A5824"/>
    <w:rsid w:val="008D4F05"/>
    <w:rsid w:val="009833D5"/>
    <w:rsid w:val="009B7E5C"/>
    <w:rsid w:val="009E5F7C"/>
    <w:rsid w:val="00A02650"/>
    <w:rsid w:val="00A301F2"/>
    <w:rsid w:val="00A813A0"/>
    <w:rsid w:val="00B32719"/>
    <w:rsid w:val="00B41CAF"/>
    <w:rsid w:val="00BD0F13"/>
    <w:rsid w:val="00C22565"/>
    <w:rsid w:val="00C30374"/>
    <w:rsid w:val="00CA2367"/>
    <w:rsid w:val="00CA25AA"/>
    <w:rsid w:val="00CC2B1F"/>
    <w:rsid w:val="00CE227A"/>
    <w:rsid w:val="00CE5296"/>
    <w:rsid w:val="00D3628A"/>
    <w:rsid w:val="00E6136F"/>
    <w:rsid w:val="00FC4FE7"/>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15:docId w15:val="{FAB1201D-8F7B-4953-9D72-5965AB1D7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styleId="Hyperlink">
    <w:name w:val="Hyperlink"/>
    <w:basedOn w:val="Fontepargpadro"/>
    <w:uiPriority w:val="99"/>
    <w:unhideWhenUsed/>
    <w:rsid w:val="003A188A"/>
    <w:rPr>
      <w:color w:val="0563C1" w:themeColor="hyperlink"/>
      <w:u w:val="single"/>
    </w:rPr>
  </w:style>
  <w:style w:type="paragraph" w:customStyle="1" w:styleId="Default">
    <w:name w:val="Default"/>
    <w:rsid w:val="003A188A"/>
    <w:pPr>
      <w:autoSpaceDE w:val="0"/>
      <w:autoSpaceDN w:val="0"/>
      <w:adjustRightInd w:val="0"/>
    </w:pPr>
    <w:rPr>
      <w:rFonts w:ascii="TriplexBold" w:eastAsia="Times New Roman" w:hAnsi="TriplexBold" w:cs="TriplexBold"/>
      <w:color w:val="000000"/>
      <w:lang w:eastAsia="pt-BR"/>
    </w:rPr>
  </w:style>
  <w:style w:type="character" w:customStyle="1" w:styleId="fontstyle01">
    <w:name w:val="fontstyle01"/>
    <w:basedOn w:val="Fontepargpadro"/>
    <w:rsid w:val="00CC2B1F"/>
    <w:rPr>
      <w:rFonts w:ascii="CharterBT" w:hAnsi="CharterBT" w:hint="default"/>
      <w:b w:val="0"/>
      <w:bCs w:val="0"/>
      <w:i w:val="0"/>
      <w:iCs w:val="0"/>
      <w:color w:val="231F20"/>
      <w:sz w:val="22"/>
      <w:szCs w:val="22"/>
    </w:rPr>
  </w:style>
  <w:style w:type="character" w:customStyle="1" w:styleId="fontstyle21">
    <w:name w:val="fontstyle21"/>
    <w:basedOn w:val="Fontepargpadro"/>
    <w:rsid w:val="00CC2B1F"/>
    <w:rPr>
      <w:rFonts w:ascii="CharterBT-Italic" w:hAnsi="CharterBT-Italic" w:hint="default"/>
      <w:b w:val="0"/>
      <w:bCs w:val="0"/>
      <w:i/>
      <w:iCs/>
      <w:color w:val="231F20"/>
      <w:sz w:val="22"/>
      <w:szCs w:val="22"/>
    </w:rPr>
  </w:style>
  <w:style w:type="paragraph" w:styleId="Textodebalo">
    <w:name w:val="Balloon Text"/>
    <w:basedOn w:val="Normal"/>
    <w:link w:val="TextodebaloChar"/>
    <w:uiPriority w:val="99"/>
    <w:semiHidden/>
    <w:unhideWhenUsed/>
    <w:rsid w:val="00CC2B1F"/>
    <w:rPr>
      <w:rFonts w:ascii="Tahoma" w:hAnsi="Tahoma" w:cs="Tahoma"/>
      <w:sz w:val="16"/>
      <w:szCs w:val="16"/>
    </w:rPr>
  </w:style>
  <w:style w:type="character" w:customStyle="1" w:styleId="TextodebaloChar">
    <w:name w:val="Texto de balão Char"/>
    <w:basedOn w:val="Fontepargpadro"/>
    <w:link w:val="Textodebalo"/>
    <w:uiPriority w:val="99"/>
    <w:semiHidden/>
    <w:rsid w:val="00CC2B1F"/>
    <w:rPr>
      <w:rFonts w:ascii="Tahoma" w:eastAsia="Times New Roman" w:hAnsi="Tahoma" w:cs="Tahoma"/>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 w:id="17483343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fariam@gmail.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ga09carvalho@gmail.com"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tiff"/><Relationship Id="rId2" Type="http://schemas.microsoft.com/office/2007/relationships/hdphoto" Target="media/hdphoto1.wdp"/><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claud\Desktop\Mestrado\Tabelas%20-%20Artigo%20Liquidez.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13"/>
    </mc:Choice>
    <mc:Fallback>
      <c:style val="13"/>
    </mc:Fallback>
  </mc:AlternateContent>
  <c:chart>
    <c:autoTitleDeleted val="1"/>
    <c:view3D>
      <c:rotX val="15"/>
      <c:rotY val="20"/>
      <c:rAngAx val="0"/>
    </c:view3D>
    <c:floor>
      <c:thickness val="0"/>
    </c:floor>
    <c:sideWall>
      <c:thickness val="0"/>
    </c:sideWall>
    <c:backWall>
      <c:thickness val="0"/>
    </c:backWall>
    <c:plotArea>
      <c:layout>
        <c:manualLayout>
          <c:layoutTarget val="inner"/>
          <c:xMode val="edge"/>
          <c:yMode val="edge"/>
          <c:x val="3.7285607755406416E-2"/>
          <c:y val="3.1328320802005011E-2"/>
          <c:w val="0.96300015357122914"/>
          <c:h val="0.54276874965097444"/>
        </c:manualLayout>
      </c:layout>
      <c:bar3DChart>
        <c:barDir val="col"/>
        <c:grouping val="clustered"/>
        <c:varyColors val="0"/>
        <c:ser>
          <c:idx val="0"/>
          <c:order val="0"/>
          <c:invertIfNegative val="0"/>
          <c:dLbls>
            <c:dLbl>
              <c:idx val="0"/>
              <c:layout>
                <c:manualLayout>
                  <c:x val="1.1396011396011423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B2A-4B25-A6A3-D86A1E815BB6}"/>
                </c:ext>
              </c:extLst>
            </c:dLbl>
            <c:dLbl>
              <c:idx val="1"/>
              <c:layout>
                <c:manualLayout>
                  <c:x val="1.7094017094017148E-2"/>
                  <c:y val="-1.36239782016348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B2A-4B25-A6A3-D86A1E815BB6}"/>
                </c:ext>
              </c:extLst>
            </c:dLbl>
            <c:dLbl>
              <c:idx val="2"/>
              <c:layout>
                <c:manualLayout>
                  <c:x val="1.9943019943019943E-2"/>
                  <c:y val="-9.082652134423293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B2A-4B25-A6A3-D86A1E815BB6}"/>
                </c:ext>
              </c:extLst>
            </c:dLbl>
            <c:dLbl>
              <c:idx val="3"/>
              <c:layout>
                <c:manualLayout>
                  <c:x val="1.7094017094017096E-2"/>
                  <c:y val="-9.082652134423252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B2A-4B25-A6A3-D86A1E815BB6}"/>
                </c:ext>
              </c:extLst>
            </c:dLbl>
            <c:spPr>
              <a:noFill/>
              <a:ln>
                <a:noFill/>
              </a:ln>
              <a:effectLst/>
            </c:spPr>
            <c:txPr>
              <a:bodyPr/>
              <a:lstStyle/>
              <a:p>
                <a:pPr>
                  <a:defRPr b="1">
                    <a:latin typeface="Times New Roman" panose="02020603050405020304" pitchFamily="18" charset="0"/>
                    <a:cs typeface="Times New Roman" panose="02020603050405020304" pitchFamily="18" charset="0"/>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Títúlos!$D$2:$G$2</c:f>
              <c:strCache>
                <c:ptCount val="4"/>
                <c:pt idx="0">
                  <c:v>Doutor(a)</c:v>
                </c:pt>
                <c:pt idx="1">
                  <c:v>Doutorando(a)</c:v>
                </c:pt>
                <c:pt idx="2">
                  <c:v>Mestre</c:v>
                </c:pt>
                <c:pt idx="3">
                  <c:v>Mestrando(a)</c:v>
                </c:pt>
              </c:strCache>
            </c:strRef>
          </c:cat>
          <c:val>
            <c:numRef>
              <c:f>Títúlos!$D$3:$G$3</c:f>
              <c:numCache>
                <c:formatCode>General</c:formatCode>
                <c:ptCount val="4"/>
                <c:pt idx="0">
                  <c:v>35</c:v>
                </c:pt>
                <c:pt idx="1">
                  <c:v>5</c:v>
                </c:pt>
                <c:pt idx="2">
                  <c:v>11</c:v>
                </c:pt>
                <c:pt idx="3">
                  <c:v>4</c:v>
                </c:pt>
              </c:numCache>
            </c:numRef>
          </c:val>
          <c:extLst>
            <c:ext xmlns:c16="http://schemas.microsoft.com/office/drawing/2014/chart" uri="{C3380CC4-5D6E-409C-BE32-E72D297353CC}">
              <c16:uniqueId val="{00000004-BB2A-4B25-A6A3-D86A1E815BB6}"/>
            </c:ext>
          </c:extLst>
        </c:ser>
        <c:dLbls>
          <c:showLegendKey val="0"/>
          <c:showVal val="1"/>
          <c:showCatName val="0"/>
          <c:showSerName val="0"/>
          <c:showPercent val="0"/>
          <c:showBubbleSize val="0"/>
        </c:dLbls>
        <c:gapWidth val="150"/>
        <c:shape val="box"/>
        <c:axId val="213686272"/>
        <c:axId val="185469184"/>
        <c:axId val="0"/>
      </c:bar3DChart>
      <c:catAx>
        <c:axId val="213686272"/>
        <c:scaling>
          <c:orientation val="minMax"/>
        </c:scaling>
        <c:delete val="0"/>
        <c:axPos val="b"/>
        <c:numFmt formatCode="General" sourceLinked="0"/>
        <c:majorTickMark val="none"/>
        <c:minorTickMark val="none"/>
        <c:tickLblPos val="nextTo"/>
        <c:txPr>
          <a:bodyPr/>
          <a:lstStyle/>
          <a:p>
            <a:pPr>
              <a:defRPr b="1">
                <a:latin typeface="Times New Roman" panose="02020603050405020304" pitchFamily="18" charset="0"/>
                <a:cs typeface="Times New Roman" panose="02020603050405020304" pitchFamily="18" charset="0"/>
              </a:defRPr>
            </a:pPr>
            <a:endParaRPr lang="pt-BR"/>
          </a:p>
        </c:txPr>
        <c:crossAx val="185469184"/>
        <c:crosses val="autoZero"/>
        <c:auto val="1"/>
        <c:lblAlgn val="ctr"/>
        <c:lblOffset val="100"/>
        <c:noMultiLvlLbl val="0"/>
      </c:catAx>
      <c:valAx>
        <c:axId val="185469184"/>
        <c:scaling>
          <c:orientation val="minMax"/>
        </c:scaling>
        <c:delete val="1"/>
        <c:axPos val="l"/>
        <c:numFmt formatCode="General" sourceLinked="1"/>
        <c:majorTickMark val="none"/>
        <c:minorTickMark val="none"/>
        <c:tickLblPos val="nextTo"/>
        <c:crossAx val="213686272"/>
        <c:crosses val="autoZero"/>
        <c:crossBetween val="between"/>
      </c:valAx>
    </c:plotArea>
    <c:plotVisOnly val="1"/>
    <c:dispBlanksAs val="gap"/>
    <c:showDLblsOverMax val="0"/>
  </c:chart>
  <c:spPr>
    <a:ln>
      <a:solidFill>
        <a:schemeClr val="bg1"/>
      </a:solidFill>
    </a:ln>
  </c:sp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8122</Words>
  <Characters>43865</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 do Microsoft Office</dc:creator>
  <cp:lastModifiedBy>João Eduardo Ribeiro</cp:lastModifiedBy>
  <cp:revision>2</cp:revision>
  <dcterms:created xsi:type="dcterms:W3CDTF">2017-08-16T17:32:00Z</dcterms:created>
  <dcterms:modified xsi:type="dcterms:W3CDTF">2017-08-16T17:32:00Z</dcterms:modified>
</cp:coreProperties>
</file>