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Pr="00C550BB" w:rsidRDefault="0036377D" w:rsidP="00C550BB">
      <w:pPr>
        <w:jc w:val="both"/>
        <w:rPr>
          <w:b/>
          <w:sz w:val="24"/>
          <w:szCs w:val="24"/>
        </w:rPr>
      </w:pPr>
    </w:p>
    <w:p w14:paraId="6B71F372" w14:textId="4E8FAED4" w:rsidR="00C550BB" w:rsidRPr="00C550BB" w:rsidRDefault="00C550BB" w:rsidP="00C550BB">
      <w:pPr>
        <w:jc w:val="center"/>
        <w:rPr>
          <w:b/>
          <w:sz w:val="24"/>
          <w:szCs w:val="24"/>
        </w:rPr>
      </w:pPr>
      <w:r w:rsidRPr="00C550BB">
        <w:rPr>
          <w:b/>
          <w:sz w:val="24"/>
          <w:szCs w:val="24"/>
        </w:rPr>
        <w:t>O Efeito da Taxa Livre de Risco nos Riscos Sistêmico e Idiossincrático: Evidências para os Mercados Brasileiro e Dinamarquês</w:t>
      </w:r>
    </w:p>
    <w:p w14:paraId="7BDE6C02" w14:textId="77777777" w:rsidR="0036377D" w:rsidRDefault="0036377D" w:rsidP="00C550BB">
      <w:pPr>
        <w:jc w:val="both"/>
        <w:rPr>
          <w:b/>
          <w:color w:val="999999"/>
          <w:sz w:val="24"/>
          <w:szCs w:val="24"/>
        </w:rPr>
      </w:pPr>
    </w:p>
    <w:p w14:paraId="5DCBEB61" w14:textId="77777777" w:rsidR="005F3E88" w:rsidRPr="00334051" w:rsidRDefault="005F3E88" w:rsidP="005F3E88">
      <w:pPr>
        <w:jc w:val="right"/>
        <w:rPr>
          <w:b/>
          <w:sz w:val="24"/>
        </w:rPr>
      </w:pPr>
      <w:r w:rsidRPr="00334051">
        <w:rPr>
          <w:b/>
          <w:sz w:val="24"/>
        </w:rPr>
        <w:t>Alyne Cecilia Serpa Ganz</w:t>
      </w:r>
    </w:p>
    <w:p w14:paraId="7311CA18" w14:textId="77777777" w:rsidR="005F3E88" w:rsidRPr="00334051" w:rsidRDefault="005F3E88" w:rsidP="005F3E88">
      <w:pPr>
        <w:jc w:val="right"/>
        <w:rPr>
          <w:b/>
          <w:sz w:val="24"/>
        </w:rPr>
      </w:pPr>
      <w:r w:rsidRPr="00334051">
        <w:rPr>
          <w:b/>
          <w:sz w:val="24"/>
        </w:rPr>
        <w:t>Universidade Regional de Blumenau (FURB)</w:t>
      </w:r>
    </w:p>
    <w:p w14:paraId="0C82DD1A" w14:textId="77777777" w:rsidR="005F3E88" w:rsidRPr="00334051" w:rsidRDefault="005F3E88" w:rsidP="005F3E88">
      <w:pPr>
        <w:jc w:val="right"/>
        <w:rPr>
          <w:b/>
          <w:i/>
          <w:sz w:val="24"/>
        </w:rPr>
      </w:pPr>
      <w:r w:rsidRPr="00334051">
        <w:rPr>
          <w:b/>
          <w:i/>
          <w:sz w:val="24"/>
        </w:rPr>
        <w:t>alyneserpa@hotmail.com</w:t>
      </w:r>
    </w:p>
    <w:p w14:paraId="6FAB4051" w14:textId="77777777" w:rsidR="005F3E88" w:rsidRDefault="005F3E88" w:rsidP="005F3E88">
      <w:pPr>
        <w:jc w:val="right"/>
        <w:rPr>
          <w:b/>
          <w:sz w:val="24"/>
        </w:rPr>
      </w:pPr>
    </w:p>
    <w:p w14:paraId="2B3CCEBA" w14:textId="77777777" w:rsidR="005F3E88" w:rsidRPr="00334051" w:rsidRDefault="005F3E88" w:rsidP="005F3E88">
      <w:pPr>
        <w:jc w:val="right"/>
        <w:rPr>
          <w:b/>
          <w:sz w:val="24"/>
        </w:rPr>
      </w:pPr>
      <w:r w:rsidRPr="00334051">
        <w:rPr>
          <w:b/>
          <w:sz w:val="24"/>
        </w:rPr>
        <w:t>Moacir Manoel Rodrigues Junior</w:t>
      </w:r>
    </w:p>
    <w:p w14:paraId="56D37F86" w14:textId="77777777" w:rsidR="005F3E88" w:rsidRPr="00334051" w:rsidRDefault="005F3E88" w:rsidP="005F3E88">
      <w:pPr>
        <w:jc w:val="right"/>
        <w:rPr>
          <w:b/>
          <w:sz w:val="24"/>
        </w:rPr>
      </w:pPr>
      <w:r w:rsidRPr="00334051">
        <w:rPr>
          <w:b/>
          <w:sz w:val="24"/>
        </w:rPr>
        <w:t>Universidade Regional de Blumenau (FURB)</w:t>
      </w:r>
    </w:p>
    <w:p w14:paraId="0AD01C3D" w14:textId="77777777" w:rsidR="005F3E88" w:rsidRPr="00334051" w:rsidRDefault="005F3E88" w:rsidP="005F3E88">
      <w:pPr>
        <w:jc w:val="right"/>
        <w:rPr>
          <w:b/>
          <w:i/>
          <w:sz w:val="24"/>
        </w:rPr>
      </w:pPr>
      <w:r w:rsidRPr="00334051">
        <w:rPr>
          <w:b/>
          <w:sz w:val="24"/>
        </w:rPr>
        <w:t xml:space="preserve">           </w:t>
      </w:r>
      <w:r w:rsidRPr="00334051">
        <w:rPr>
          <w:b/>
          <w:i/>
          <w:sz w:val="24"/>
        </w:rPr>
        <w:t>moacir_ro@hotmail.com</w:t>
      </w:r>
    </w:p>
    <w:p w14:paraId="029244C0" w14:textId="77777777" w:rsidR="005F3E88" w:rsidRDefault="005F3E88" w:rsidP="00C550BB">
      <w:pPr>
        <w:jc w:val="both"/>
        <w:rPr>
          <w:b/>
          <w:color w:val="999999"/>
          <w:sz w:val="24"/>
          <w:szCs w:val="24"/>
        </w:rPr>
      </w:pPr>
    </w:p>
    <w:p w14:paraId="754411D7" w14:textId="0717FDA8" w:rsidR="0036377D" w:rsidRDefault="0036377D" w:rsidP="00C550BB">
      <w:pPr>
        <w:jc w:val="both"/>
        <w:rPr>
          <w:sz w:val="24"/>
          <w:szCs w:val="24"/>
        </w:rPr>
      </w:pPr>
      <w:r w:rsidRPr="00C550BB">
        <w:rPr>
          <w:b/>
          <w:sz w:val="24"/>
          <w:szCs w:val="24"/>
        </w:rPr>
        <w:t xml:space="preserve">Resumo: </w:t>
      </w:r>
      <w:r w:rsidR="00C550BB" w:rsidRPr="00C550BB">
        <w:rPr>
          <w:sz w:val="24"/>
          <w:szCs w:val="24"/>
        </w:rPr>
        <w:t xml:space="preserve">Após o surgimento do Capital </w:t>
      </w:r>
      <w:proofErr w:type="spellStart"/>
      <w:r w:rsidR="00C550BB" w:rsidRPr="00C550BB">
        <w:rPr>
          <w:sz w:val="24"/>
          <w:szCs w:val="24"/>
        </w:rPr>
        <w:t>Asset</w:t>
      </w:r>
      <w:proofErr w:type="spellEnd"/>
      <w:r w:rsidR="00C550BB" w:rsidRPr="00C550BB">
        <w:rPr>
          <w:sz w:val="24"/>
          <w:szCs w:val="24"/>
        </w:rPr>
        <w:t xml:space="preserve"> </w:t>
      </w:r>
      <w:proofErr w:type="spellStart"/>
      <w:r w:rsidR="00C550BB" w:rsidRPr="00C550BB">
        <w:rPr>
          <w:sz w:val="24"/>
          <w:szCs w:val="24"/>
        </w:rPr>
        <w:t>Pricing</w:t>
      </w:r>
      <w:proofErr w:type="spellEnd"/>
      <w:r w:rsidR="00C550BB" w:rsidRPr="00C550BB">
        <w:rPr>
          <w:sz w:val="24"/>
          <w:szCs w:val="24"/>
        </w:rPr>
        <w:t xml:space="preserve"> </w:t>
      </w:r>
      <w:proofErr w:type="spellStart"/>
      <w:r w:rsidR="00C550BB" w:rsidRPr="00C550BB">
        <w:rPr>
          <w:sz w:val="24"/>
          <w:szCs w:val="24"/>
        </w:rPr>
        <w:t>Model</w:t>
      </w:r>
      <w:proofErr w:type="spellEnd"/>
      <w:r w:rsidR="00C550BB" w:rsidRPr="00C550BB">
        <w:rPr>
          <w:sz w:val="24"/>
          <w:szCs w:val="24"/>
        </w:rPr>
        <w:t xml:space="preserve"> (CAPM) a investigação da relação entre</w:t>
      </w:r>
      <w:r w:rsidR="00D34448">
        <w:rPr>
          <w:sz w:val="24"/>
          <w:szCs w:val="24"/>
        </w:rPr>
        <w:t xml:space="preserve"> o</w:t>
      </w:r>
      <w:r w:rsidR="00C550BB" w:rsidRPr="00C550BB">
        <w:rPr>
          <w:sz w:val="24"/>
          <w:szCs w:val="24"/>
        </w:rPr>
        <w:t xml:space="preserve"> risco e retorno das ações foi amp</w:t>
      </w:r>
      <w:r w:rsidR="00D34448">
        <w:rPr>
          <w:sz w:val="24"/>
          <w:szCs w:val="24"/>
        </w:rPr>
        <w:t>lamente difundido, e com este</w:t>
      </w:r>
      <w:r w:rsidR="006F1E1F">
        <w:rPr>
          <w:sz w:val="24"/>
          <w:szCs w:val="24"/>
        </w:rPr>
        <w:t xml:space="preserve"> a explicação</w:t>
      </w:r>
      <w:r w:rsidR="00C550BB" w:rsidRPr="00C550BB">
        <w:rPr>
          <w:sz w:val="24"/>
          <w:szCs w:val="24"/>
        </w:rPr>
        <w:t xml:space="preserve"> dos riscos sistêmicos e idiossincráticos</w:t>
      </w:r>
      <w:r w:rsidR="00085D18">
        <w:rPr>
          <w:sz w:val="24"/>
          <w:szCs w:val="24"/>
        </w:rPr>
        <w:t xml:space="preserve">. Com o </w:t>
      </w:r>
      <w:r w:rsidR="00C550BB" w:rsidRPr="00C550BB">
        <w:rPr>
          <w:sz w:val="24"/>
          <w:szCs w:val="24"/>
        </w:rPr>
        <w:t xml:space="preserve">CAPM </w:t>
      </w:r>
      <w:r w:rsidR="00085D18">
        <w:rPr>
          <w:sz w:val="24"/>
          <w:szCs w:val="24"/>
        </w:rPr>
        <w:t xml:space="preserve">surgiu também </w:t>
      </w:r>
      <w:r w:rsidR="006F1E1F">
        <w:rPr>
          <w:sz w:val="24"/>
          <w:szCs w:val="24"/>
        </w:rPr>
        <w:t xml:space="preserve">a discussão </w:t>
      </w:r>
      <w:r w:rsidR="00C550BB" w:rsidRPr="00C550BB">
        <w:rPr>
          <w:sz w:val="24"/>
          <w:szCs w:val="24"/>
        </w:rPr>
        <w:t>e</w:t>
      </w:r>
      <w:r w:rsidR="006F1E1F">
        <w:rPr>
          <w:sz w:val="24"/>
          <w:szCs w:val="24"/>
        </w:rPr>
        <w:t>m torno da</w:t>
      </w:r>
      <w:r w:rsidR="00C550BB" w:rsidRPr="00C550BB">
        <w:rPr>
          <w:sz w:val="24"/>
          <w:szCs w:val="24"/>
        </w:rPr>
        <w:t xml:space="preserve"> taxa </w:t>
      </w:r>
      <w:r w:rsidR="006F1E1F">
        <w:rPr>
          <w:sz w:val="24"/>
          <w:szCs w:val="24"/>
        </w:rPr>
        <w:t>livre de risco</w:t>
      </w:r>
      <w:r w:rsidR="00C550BB" w:rsidRPr="00C550BB">
        <w:rPr>
          <w:sz w:val="24"/>
          <w:szCs w:val="24"/>
        </w:rPr>
        <w:t xml:space="preserve"> </w:t>
      </w:r>
      <w:r w:rsidR="00085D18">
        <w:rPr>
          <w:sz w:val="24"/>
          <w:szCs w:val="24"/>
        </w:rPr>
        <w:t xml:space="preserve">e </w:t>
      </w:r>
      <w:r w:rsidR="00C550BB" w:rsidRPr="00C550BB">
        <w:rPr>
          <w:sz w:val="24"/>
          <w:szCs w:val="24"/>
        </w:rPr>
        <w:t>críticas quant</w:t>
      </w:r>
      <w:r w:rsidR="006F1E1F">
        <w:rPr>
          <w:sz w:val="24"/>
          <w:szCs w:val="24"/>
        </w:rPr>
        <w:t>o a dificuldade em determinar</w:t>
      </w:r>
      <w:r w:rsidR="00C550BB" w:rsidRPr="00C550BB">
        <w:rPr>
          <w:sz w:val="24"/>
          <w:szCs w:val="24"/>
        </w:rPr>
        <w:t xml:space="preserve"> uma tax</w:t>
      </w:r>
      <w:r w:rsidR="006F1E1F">
        <w:rPr>
          <w:sz w:val="24"/>
          <w:szCs w:val="24"/>
        </w:rPr>
        <w:t xml:space="preserve">a </w:t>
      </w:r>
      <w:r w:rsidR="00085D18">
        <w:rPr>
          <w:sz w:val="24"/>
          <w:szCs w:val="24"/>
        </w:rPr>
        <w:t xml:space="preserve">que </w:t>
      </w:r>
      <w:r w:rsidR="006F1E1F">
        <w:rPr>
          <w:sz w:val="24"/>
          <w:szCs w:val="24"/>
        </w:rPr>
        <w:t>real</w:t>
      </w:r>
      <w:r w:rsidR="00085D18">
        <w:rPr>
          <w:sz w:val="24"/>
          <w:szCs w:val="24"/>
        </w:rPr>
        <w:t>mente</w:t>
      </w:r>
      <w:r w:rsidR="006F1E1F">
        <w:rPr>
          <w:sz w:val="24"/>
          <w:szCs w:val="24"/>
        </w:rPr>
        <w:t xml:space="preserve"> atenda </w:t>
      </w:r>
      <w:r w:rsidR="00D34448">
        <w:rPr>
          <w:sz w:val="24"/>
          <w:szCs w:val="24"/>
        </w:rPr>
        <w:t>a</w:t>
      </w:r>
      <w:r w:rsidR="006F1E1F">
        <w:rPr>
          <w:sz w:val="24"/>
          <w:szCs w:val="24"/>
        </w:rPr>
        <w:t xml:space="preserve">s definições </w:t>
      </w:r>
      <w:r w:rsidR="00D34448">
        <w:rPr>
          <w:sz w:val="24"/>
          <w:szCs w:val="24"/>
        </w:rPr>
        <w:t>teórica</w:t>
      </w:r>
      <w:r w:rsidR="006F1E1F">
        <w:rPr>
          <w:sz w:val="24"/>
          <w:szCs w:val="24"/>
        </w:rPr>
        <w:t>s</w:t>
      </w:r>
      <w:r w:rsidR="00C550BB" w:rsidRPr="00C550BB">
        <w:rPr>
          <w:sz w:val="24"/>
          <w:szCs w:val="24"/>
        </w:rPr>
        <w:t>. Assim o objetivo do presente estudo é verificar o efeito da taxa livre de risco sobre os riscos sistêmicos e idiossincráticos em países desenvolvidos e emergentes. A amostra da pesquisa compreende as cem maiores empresas do mercado brasileiro e</w:t>
      </w:r>
      <w:r w:rsidR="00D34448">
        <w:rPr>
          <w:sz w:val="24"/>
          <w:szCs w:val="24"/>
        </w:rPr>
        <w:t xml:space="preserve"> dinamarquês</w:t>
      </w:r>
      <w:r w:rsidR="00085D18" w:rsidRPr="00085D18">
        <w:rPr>
          <w:sz w:val="24"/>
          <w:szCs w:val="24"/>
        </w:rPr>
        <w:t xml:space="preserve"> </w:t>
      </w:r>
      <w:r w:rsidR="00085D18" w:rsidRPr="00C550BB">
        <w:rPr>
          <w:sz w:val="24"/>
          <w:szCs w:val="24"/>
        </w:rPr>
        <w:t>de acordo com o ativo total</w:t>
      </w:r>
      <w:r w:rsidR="00C550BB" w:rsidRPr="00C550BB">
        <w:rPr>
          <w:sz w:val="24"/>
          <w:szCs w:val="24"/>
        </w:rPr>
        <w:t xml:space="preserve">, entre o período de 2011 a 2015. Para atender a meta de pesquisa estimou-se os retornos dos ativos pelo modelo de três fatores de Fama e </w:t>
      </w:r>
      <w:proofErr w:type="spellStart"/>
      <w:r w:rsidR="00C550BB" w:rsidRPr="00C550BB">
        <w:rPr>
          <w:sz w:val="24"/>
          <w:szCs w:val="24"/>
        </w:rPr>
        <w:t>French</w:t>
      </w:r>
      <w:proofErr w:type="spellEnd"/>
      <w:r w:rsidR="00C550BB" w:rsidRPr="00C550BB">
        <w:rPr>
          <w:sz w:val="24"/>
          <w:szCs w:val="24"/>
        </w:rPr>
        <w:t xml:space="preserve"> (1993)</w:t>
      </w:r>
      <w:r w:rsidR="00085D18">
        <w:rPr>
          <w:sz w:val="24"/>
          <w:szCs w:val="24"/>
        </w:rPr>
        <w:t xml:space="preserve">, estes sendo utilizadas três diferentes </w:t>
      </w:r>
      <w:r w:rsidR="00C550BB" w:rsidRPr="00C550BB">
        <w:rPr>
          <w:sz w:val="24"/>
          <w:szCs w:val="24"/>
        </w:rPr>
        <w:t>taxa</w:t>
      </w:r>
      <w:r w:rsidR="00085D18">
        <w:rPr>
          <w:sz w:val="24"/>
          <w:szCs w:val="24"/>
        </w:rPr>
        <w:t>s</w:t>
      </w:r>
      <w:r w:rsidR="00C550BB" w:rsidRPr="00C550BB">
        <w:rPr>
          <w:sz w:val="24"/>
          <w:szCs w:val="24"/>
        </w:rPr>
        <w:t xml:space="preserve"> livre</w:t>
      </w:r>
      <w:r w:rsidR="00085D18">
        <w:rPr>
          <w:sz w:val="24"/>
          <w:szCs w:val="24"/>
        </w:rPr>
        <w:t>s</w:t>
      </w:r>
      <w:r w:rsidR="00C550BB" w:rsidRPr="00C550BB">
        <w:rPr>
          <w:sz w:val="24"/>
          <w:szCs w:val="24"/>
        </w:rPr>
        <w:t xml:space="preserve"> de risco</w:t>
      </w:r>
      <w:r w:rsidR="00085D18">
        <w:rPr>
          <w:sz w:val="24"/>
          <w:szCs w:val="24"/>
        </w:rPr>
        <w:t>, a brasileira, a dinamarquesa e a</w:t>
      </w:r>
      <w:r w:rsidR="00D34448">
        <w:rPr>
          <w:sz w:val="24"/>
          <w:szCs w:val="24"/>
        </w:rPr>
        <w:t xml:space="preserve"> americana</w:t>
      </w:r>
      <w:r w:rsidR="00C550BB" w:rsidRPr="00C550BB">
        <w:rPr>
          <w:sz w:val="24"/>
          <w:szCs w:val="24"/>
        </w:rPr>
        <w:t>. Os resultados encontrados evidencia</w:t>
      </w:r>
      <w:r w:rsidR="00085D18">
        <w:rPr>
          <w:sz w:val="24"/>
          <w:szCs w:val="24"/>
        </w:rPr>
        <w:t>ra</w:t>
      </w:r>
      <w:r w:rsidR="00C550BB" w:rsidRPr="00C550BB">
        <w:rPr>
          <w:sz w:val="24"/>
          <w:szCs w:val="24"/>
        </w:rPr>
        <w:t>m que as variações das taxas impactam de forma</w:t>
      </w:r>
      <w:r w:rsidR="00085D18">
        <w:rPr>
          <w:sz w:val="24"/>
          <w:szCs w:val="24"/>
        </w:rPr>
        <w:t xml:space="preserve"> mais intensa o risco sistêmico </w:t>
      </w:r>
      <w:r w:rsidR="00C550BB" w:rsidRPr="00C550BB">
        <w:rPr>
          <w:sz w:val="24"/>
          <w:szCs w:val="24"/>
        </w:rPr>
        <w:t>do que o risco idiossincrático</w:t>
      </w:r>
      <w:r w:rsidR="00896AD7">
        <w:rPr>
          <w:sz w:val="24"/>
          <w:szCs w:val="24"/>
        </w:rPr>
        <w:t>, tais achados indicam que as diferentes taxas livres de riscos possuem maior impacto em fatores macroeconômicos do que em fatores particulares da empresa, estando a empresa não sujeita a grandes variações das taxas livre de risco, além da influência exercida no mercado em geral</w:t>
      </w:r>
      <w:r w:rsidR="00085D18">
        <w:rPr>
          <w:sz w:val="24"/>
          <w:szCs w:val="24"/>
        </w:rPr>
        <w:t>.</w:t>
      </w:r>
      <w:r w:rsidR="00C550BB" w:rsidRPr="00C550BB">
        <w:rPr>
          <w:sz w:val="24"/>
          <w:szCs w:val="24"/>
        </w:rPr>
        <w:t xml:space="preserve"> A investigação realizada no presente estudo visa contribuir para os usuários da </w:t>
      </w:r>
      <w:r w:rsidR="00085D18">
        <w:rPr>
          <w:sz w:val="24"/>
          <w:szCs w:val="24"/>
        </w:rPr>
        <w:t>informação</w:t>
      </w:r>
      <w:r w:rsidR="00C550BB" w:rsidRPr="00C550BB">
        <w:rPr>
          <w:sz w:val="24"/>
          <w:szCs w:val="24"/>
        </w:rPr>
        <w:t xml:space="preserve"> financeira, ao identificar qual o impact</w:t>
      </w:r>
      <w:r w:rsidR="00085D18">
        <w:rPr>
          <w:sz w:val="24"/>
          <w:szCs w:val="24"/>
        </w:rPr>
        <w:t xml:space="preserve">o de diferentes taxas livre de risco </w:t>
      </w:r>
      <w:r w:rsidR="00C550BB" w:rsidRPr="00C550BB">
        <w:rPr>
          <w:sz w:val="24"/>
          <w:szCs w:val="24"/>
        </w:rPr>
        <w:t>nos riscos sistêmicos e idiossincráticos. Analisando o risco sistêmico, idiossincrát</w:t>
      </w:r>
      <w:r w:rsidR="00085D18">
        <w:rPr>
          <w:sz w:val="24"/>
          <w:szCs w:val="24"/>
        </w:rPr>
        <w:t>ico e o contexto pouco explorado</w:t>
      </w:r>
      <w:r w:rsidR="00C550BB" w:rsidRPr="00C550BB">
        <w:rPr>
          <w:sz w:val="24"/>
          <w:szCs w:val="24"/>
        </w:rPr>
        <w:t xml:space="preserve"> da taxa livre de </w:t>
      </w:r>
      <w:r w:rsidR="00085D18">
        <w:rPr>
          <w:sz w:val="24"/>
          <w:szCs w:val="24"/>
        </w:rPr>
        <w:t>risco</w:t>
      </w:r>
      <w:r w:rsidR="00C550BB" w:rsidRPr="00C550BB">
        <w:rPr>
          <w:sz w:val="24"/>
          <w:szCs w:val="24"/>
        </w:rPr>
        <w:t>, a pesquisa contribui assim, ao ampliar e consolidar o conhecimento literário de tais temáticas.</w:t>
      </w:r>
    </w:p>
    <w:p w14:paraId="5F93757E" w14:textId="77777777" w:rsidR="00085D18" w:rsidRDefault="00085D18" w:rsidP="00C550BB">
      <w:pPr>
        <w:jc w:val="both"/>
        <w:rPr>
          <w:sz w:val="24"/>
          <w:szCs w:val="24"/>
        </w:rPr>
      </w:pPr>
    </w:p>
    <w:p w14:paraId="11A1A19B" w14:textId="6139E77C" w:rsidR="0036377D" w:rsidRPr="00C550BB" w:rsidRDefault="0036377D" w:rsidP="00C550BB">
      <w:pPr>
        <w:jc w:val="both"/>
        <w:rPr>
          <w:sz w:val="24"/>
          <w:szCs w:val="24"/>
        </w:rPr>
      </w:pPr>
      <w:r w:rsidRPr="00C550BB">
        <w:rPr>
          <w:b/>
          <w:sz w:val="24"/>
          <w:szCs w:val="24"/>
        </w:rPr>
        <w:t xml:space="preserve">Palavras-chave: </w:t>
      </w:r>
      <w:r w:rsidR="00842232" w:rsidRPr="00C550BB">
        <w:rPr>
          <w:sz w:val="24"/>
          <w:szCs w:val="24"/>
        </w:rPr>
        <w:t>RISCO IDIOSSINCRÁTICO; RISCO SISTÊMICO; TAXA LIVRE DE JUROS; PAÍSES DESENVOLVIDOS; PAÍSES EMERGENTES.</w:t>
      </w:r>
    </w:p>
    <w:p w14:paraId="42811FFC" w14:textId="77777777" w:rsidR="0036377D" w:rsidRPr="00C550BB" w:rsidRDefault="0036377D" w:rsidP="00C550BB">
      <w:pPr>
        <w:jc w:val="both"/>
        <w:rPr>
          <w:sz w:val="24"/>
          <w:szCs w:val="24"/>
        </w:rPr>
      </w:pPr>
    </w:p>
    <w:p w14:paraId="6EB4D033" w14:textId="2AC835B6" w:rsidR="0036377D" w:rsidRPr="005910C0" w:rsidRDefault="0036377D" w:rsidP="00C550BB">
      <w:pPr>
        <w:jc w:val="both"/>
        <w:rPr>
          <w:sz w:val="24"/>
          <w:szCs w:val="24"/>
        </w:rPr>
      </w:pPr>
      <w:r w:rsidRPr="00C550BB">
        <w:rPr>
          <w:b/>
          <w:sz w:val="24"/>
          <w:szCs w:val="24"/>
        </w:rPr>
        <w:t xml:space="preserve">Linha Temática: </w:t>
      </w:r>
      <w:r w:rsidR="005910C0">
        <w:rPr>
          <w:sz w:val="24"/>
          <w:szCs w:val="24"/>
        </w:rPr>
        <w:t xml:space="preserve">Mercado de Capitais, Empirista. </w:t>
      </w:r>
    </w:p>
    <w:p w14:paraId="7376362B" w14:textId="77777777" w:rsidR="00C550BB" w:rsidRPr="00C550BB" w:rsidRDefault="00C550BB" w:rsidP="00C550BB">
      <w:pPr>
        <w:jc w:val="both"/>
        <w:rPr>
          <w:sz w:val="24"/>
          <w:szCs w:val="24"/>
        </w:rPr>
      </w:pPr>
    </w:p>
    <w:p w14:paraId="2EB3ECF5" w14:textId="72A86D97" w:rsidR="0036377D" w:rsidRPr="00C550BB" w:rsidRDefault="0036377D" w:rsidP="00C550BB">
      <w:pPr>
        <w:jc w:val="both"/>
        <w:rPr>
          <w:sz w:val="24"/>
          <w:szCs w:val="24"/>
        </w:rPr>
      </w:pPr>
    </w:p>
    <w:p w14:paraId="4D755F5F" w14:textId="77777777" w:rsidR="00E6136F" w:rsidRPr="00C550BB" w:rsidRDefault="00E6136F" w:rsidP="00C550BB">
      <w:pPr>
        <w:jc w:val="both"/>
        <w:rPr>
          <w:sz w:val="24"/>
          <w:szCs w:val="24"/>
        </w:rPr>
      </w:pPr>
    </w:p>
    <w:p w14:paraId="23E861A2" w14:textId="77777777" w:rsidR="004428A5" w:rsidRPr="00C550BB" w:rsidRDefault="004428A5" w:rsidP="00C550BB">
      <w:pPr>
        <w:jc w:val="both"/>
        <w:rPr>
          <w:sz w:val="24"/>
          <w:szCs w:val="24"/>
        </w:rPr>
      </w:pPr>
    </w:p>
    <w:p w14:paraId="24F6505B" w14:textId="77777777" w:rsidR="004428A5" w:rsidRPr="00C550BB" w:rsidRDefault="004428A5" w:rsidP="00C550BB">
      <w:pPr>
        <w:jc w:val="both"/>
        <w:rPr>
          <w:sz w:val="24"/>
          <w:szCs w:val="24"/>
        </w:rPr>
      </w:pPr>
    </w:p>
    <w:p w14:paraId="187577FF" w14:textId="77777777" w:rsidR="004428A5" w:rsidRPr="00C550BB" w:rsidRDefault="004428A5" w:rsidP="00C550BB">
      <w:pPr>
        <w:jc w:val="both"/>
        <w:rPr>
          <w:sz w:val="24"/>
          <w:szCs w:val="24"/>
        </w:rPr>
      </w:pPr>
    </w:p>
    <w:p w14:paraId="6D89294E" w14:textId="77777777" w:rsidR="004428A5" w:rsidRPr="00C550BB" w:rsidRDefault="004428A5" w:rsidP="00C550BB">
      <w:pPr>
        <w:jc w:val="both"/>
        <w:rPr>
          <w:sz w:val="24"/>
          <w:szCs w:val="24"/>
        </w:rPr>
      </w:pPr>
    </w:p>
    <w:p w14:paraId="420293F7" w14:textId="77777777" w:rsidR="004428A5" w:rsidRPr="00C550BB" w:rsidRDefault="004428A5" w:rsidP="00C550BB">
      <w:pPr>
        <w:jc w:val="both"/>
        <w:rPr>
          <w:sz w:val="24"/>
          <w:szCs w:val="24"/>
        </w:rPr>
      </w:pPr>
    </w:p>
    <w:p w14:paraId="77F343AB" w14:textId="77777777" w:rsidR="004428A5" w:rsidRDefault="004428A5" w:rsidP="00C550BB">
      <w:pPr>
        <w:jc w:val="both"/>
        <w:rPr>
          <w:sz w:val="24"/>
          <w:szCs w:val="24"/>
        </w:rPr>
      </w:pPr>
    </w:p>
    <w:p w14:paraId="36C45B30" w14:textId="77777777" w:rsidR="002E306D" w:rsidRDefault="002E306D" w:rsidP="00C550BB">
      <w:pPr>
        <w:jc w:val="both"/>
        <w:rPr>
          <w:sz w:val="24"/>
          <w:szCs w:val="24"/>
        </w:rPr>
      </w:pPr>
    </w:p>
    <w:p w14:paraId="25EB111A" w14:textId="77777777" w:rsidR="002E306D" w:rsidRDefault="002E306D" w:rsidP="00C550BB">
      <w:pPr>
        <w:jc w:val="both"/>
        <w:rPr>
          <w:sz w:val="24"/>
          <w:szCs w:val="24"/>
        </w:rPr>
      </w:pPr>
    </w:p>
    <w:p w14:paraId="45FBC758" w14:textId="77777777" w:rsidR="002E306D" w:rsidRDefault="002E306D" w:rsidP="00C550BB">
      <w:pPr>
        <w:jc w:val="both"/>
        <w:rPr>
          <w:sz w:val="24"/>
          <w:szCs w:val="24"/>
        </w:rPr>
      </w:pPr>
    </w:p>
    <w:p w14:paraId="671B5DF2" w14:textId="77777777" w:rsidR="002E306D" w:rsidRDefault="002E306D" w:rsidP="00C550BB">
      <w:pPr>
        <w:jc w:val="both"/>
        <w:rPr>
          <w:sz w:val="24"/>
          <w:szCs w:val="24"/>
        </w:rPr>
      </w:pPr>
    </w:p>
    <w:p w14:paraId="7DBA08E8" w14:textId="77777777" w:rsidR="00C550BB" w:rsidRPr="00C550BB" w:rsidRDefault="00C550BB" w:rsidP="00C550BB">
      <w:pPr>
        <w:pStyle w:val="Ttulo1"/>
        <w:jc w:val="both"/>
        <w:rPr>
          <w:rFonts w:cs="Times New Roman"/>
          <w:szCs w:val="24"/>
        </w:rPr>
      </w:pPr>
      <w:bookmarkStart w:id="0" w:name="_GoBack"/>
      <w:bookmarkEnd w:id="0"/>
      <w:r w:rsidRPr="00C550BB">
        <w:rPr>
          <w:rFonts w:cs="Times New Roman"/>
          <w:szCs w:val="24"/>
        </w:rPr>
        <w:lastRenderedPageBreak/>
        <w:t xml:space="preserve">INTRODUÇÃO </w:t>
      </w:r>
    </w:p>
    <w:p w14:paraId="1A029D5D" w14:textId="1F3D6EDF" w:rsidR="00C550BB" w:rsidRPr="00C550BB" w:rsidRDefault="00C550BB" w:rsidP="00C550BB">
      <w:pPr>
        <w:ind w:firstLine="709"/>
        <w:jc w:val="both"/>
        <w:rPr>
          <w:sz w:val="24"/>
          <w:szCs w:val="24"/>
        </w:rPr>
      </w:pPr>
      <w:r w:rsidRPr="00C550BB">
        <w:rPr>
          <w:sz w:val="24"/>
          <w:szCs w:val="24"/>
        </w:rPr>
        <w:t xml:space="preserve">A precificação de ativos no mercado de capitais, devido à sua importância nas decisões de investimentos, é </w:t>
      </w:r>
      <w:r w:rsidR="00277DBA">
        <w:rPr>
          <w:sz w:val="24"/>
          <w:szCs w:val="24"/>
        </w:rPr>
        <w:t xml:space="preserve">estudada </w:t>
      </w:r>
      <w:r w:rsidRPr="00C550BB">
        <w:rPr>
          <w:sz w:val="24"/>
          <w:szCs w:val="24"/>
        </w:rPr>
        <w:t xml:space="preserve">laboriosamente na literatura por acadêmicos e profissionais da área. O modelo pioneiro nos estudos sobre a mensuração dos retornos dos ativos é o modelo </w:t>
      </w:r>
      <w:r w:rsidRPr="00C550BB">
        <w:rPr>
          <w:i/>
          <w:sz w:val="24"/>
          <w:szCs w:val="24"/>
        </w:rPr>
        <w:t xml:space="preserve">Capital </w:t>
      </w:r>
      <w:proofErr w:type="spellStart"/>
      <w:r w:rsidRPr="00C550BB">
        <w:rPr>
          <w:i/>
          <w:sz w:val="24"/>
          <w:szCs w:val="24"/>
        </w:rPr>
        <w:t>Asset</w:t>
      </w:r>
      <w:proofErr w:type="spellEnd"/>
      <w:r w:rsidRPr="00C550BB">
        <w:rPr>
          <w:i/>
          <w:sz w:val="24"/>
          <w:szCs w:val="24"/>
        </w:rPr>
        <w:t xml:space="preserve"> </w:t>
      </w:r>
      <w:proofErr w:type="spellStart"/>
      <w:r w:rsidRPr="00C550BB">
        <w:rPr>
          <w:i/>
          <w:sz w:val="24"/>
          <w:szCs w:val="24"/>
        </w:rPr>
        <w:t>Pricing</w:t>
      </w:r>
      <w:proofErr w:type="spellEnd"/>
      <w:r w:rsidRPr="00C550BB">
        <w:rPr>
          <w:i/>
          <w:sz w:val="24"/>
          <w:szCs w:val="24"/>
        </w:rPr>
        <w:t xml:space="preserve"> </w:t>
      </w:r>
      <w:proofErr w:type="spellStart"/>
      <w:r w:rsidRPr="00C550BB">
        <w:rPr>
          <w:i/>
          <w:sz w:val="24"/>
          <w:szCs w:val="24"/>
        </w:rPr>
        <w:t>Model</w:t>
      </w:r>
      <w:proofErr w:type="spellEnd"/>
      <w:r w:rsidRPr="00C550BB">
        <w:rPr>
          <w:sz w:val="24"/>
          <w:szCs w:val="24"/>
        </w:rPr>
        <w:t xml:space="preserve"> (CAPM) </w:t>
      </w:r>
      <w:r w:rsidR="00277DBA">
        <w:rPr>
          <w:sz w:val="24"/>
          <w:szCs w:val="24"/>
        </w:rPr>
        <w:t>desenvolvido por Sharpe (1964),</w:t>
      </w:r>
      <w:r w:rsidRPr="00C550BB">
        <w:rPr>
          <w:sz w:val="24"/>
          <w:szCs w:val="24"/>
        </w:rPr>
        <w:t xml:space="preserve"> Lintner (1965)</w:t>
      </w:r>
      <w:r w:rsidR="00277DBA">
        <w:rPr>
          <w:sz w:val="24"/>
          <w:szCs w:val="24"/>
        </w:rPr>
        <w:t xml:space="preserve"> e </w:t>
      </w:r>
      <w:proofErr w:type="spellStart"/>
      <w:r w:rsidR="00277DBA">
        <w:rPr>
          <w:sz w:val="24"/>
          <w:szCs w:val="24"/>
        </w:rPr>
        <w:t>Mossin</w:t>
      </w:r>
      <w:proofErr w:type="spellEnd"/>
      <w:r w:rsidR="00277DBA">
        <w:rPr>
          <w:sz w:val="24"/>
          <w:szCs w:val="24"/>
        </w:rPr>
        <w:t xml:space="preserve"> (1966)</w:t>
      </w:r>
      <w:r w:rsidRPr="00C550BB">
        <w:rPr>
          <w:sz w:val="24"/>
          <w:szCs w:val="24"/>
        </w:rPr>
        <w:t xml:space="preserve"> os quais simplificaram o modelo da diversificação de portfólios proposto por Markowitz (1952), substituindo as variâncias do modelo por índices conhecidos (retorno do mercado e taxa livre de risco). O modelo basicamente relaciona o </w:t>
      </w:r>
      <w:r w:rsidR="00277DBA">
        <w:rPr>
          <w:sz w:val="24"/>
          <w:szCs w:val="24"/>
        </w:rPr>
        <w:t>retorno esperado das ações à um</w:t>
      </w:r>
      <w:r w:rsidRPr="00C550BB">
        <w:rPr>
          <w:sz w:val="24"/>
          <w:szCs w:val="24"/>
        </w:rPr>
        <w:t xml:space="preserve"> componente de retorno do mercado, </w:t>
      </w:r>
      <w:r w:rsidR="00277DBA">
        <w:rPr>
          <w:sz w:val="24"/>
          <w:szCs w:val="24"/>
        </w:rPr>
        <w:t xml:space="preserve">o coeficiente de relação do retorno da ação com </w:t>
      </w:r>
      <w:r w:rsidR="006F1E1F">
        <w:rPr>
          <w:sz w:val="24"/>
          <w:szCs w:val="24"/>
        </w:rPr>
        <w:t xml:space="preserve">este componente é chamado </w:t>
      </w:r>
      <w:r w:rsidRPr="00C550BB">
        <w:rPr>
          <w:sz w:val="24"/>
          <w:szCs w:val="24"/>
        </w:rPr>
        <w:t xml:space="preserve">de risco sistêmico, </w:t>
      </w:r>
      <w:r w:rsidR="006F1E1F">
        <w:rPr>
          <w:sz w:val="24"/>
          <w:szCs w:val="24"/>
        </w:rPr>
        <w:t xml:space="preserve">o desvio padrão do erro aleatório do modelo é denominado de risco idiossincrático, sendo </w:t>
      </w:r>
      <w:r w:rsidRPr="00C550BB">
        <w:rPr>
          <w:sz w:val="24"/>
          <w:szCs w:val="24"/>
        </w:rPr>
        <w:t xml:space="preserve">consequentemente </w:t>
      </w:r>
      <w:r w:rsidR="006F1E1F">
        <w:rPr>
          <w:sz w:val="24"/>
          <w:szCs w:val="24"/>
        </w:rPr>
        <w:t xml:space="preserve">relacionado </w:t>
      </w:r>
      <w:r w:rsidR="00896AD7">
        <w:rPr>
          <w:sz w:val="24"/>
          <w:szCs w:val="24"/>
        </w:rPr>
        <w:t>a</w:t>
      </w:r>
      <w:r w:rsidR="006F1E1F">
        <w:rPr>
          <w:sz w:val="24"/>
          <w:szCs w:val="24"/>
        </w:rPr>
        <w:t xml:space="preserve"> particularidades do </w:t>
      </w:r>
      <w:r w:rsidRPr="00C550BB">
        <w:rPr>
          <w:sz w:val="24"/>
          <w:szCs w:val="24"/>
        </w:rPr>
        <w:t>ativo em questão</w:t>
      </w:r>
      <w:r w:rsidR="00277DBA">
        <w:rPr>
          <w:sz w:val="24"/>
          <w:szCs w:val="24"/>
        </w:rPr>
        <w:t>.</w:t>
      </w:r>
    </w:p>
    <w:p w14:paraId="715BC582" w14:textId="27372F25" w:rsidR="00C550BB" w:rsidRPr="00C550BB" w:rsidRDefault="00C550BB" w:rsidP="00C550BB">
      <w:pPr>
        <w:ind w:firstLine="709"/>
        <w:jc w:val="both"/>
        <w:rPr>
          <w:sz w:val="24"/>
          <w:szCs w:val="24"/>
        </w:rPr>
      </w:pPr>
      <w:r w:rsidRPr="00C550BB">
        <w:rPr>
          <w:sz w:val="24"/>
          <w:szCs w:val="24"/>
        </w:rPr>
        <w:t xml:space="preserve">O teste empírico do modelo supracitado resultou em diversas críticas (Fama &amp; </w:t>
      </w:r>
      <w:proofErr w:type="spellStart"/>
      <w:r w:rsidRPr="00C550BB">
        <w:rPr>
          <w:sz w:val="24"/>
          <w:szCs w:val="24"/>
        </w:rPr>
        <w:t>French</w:t>
      </w:r>
      <w:proofErr w:type="spellEnd"/>
      <w:r w:rsidRPr="00C550BB">
        <w:rPr>
          <w:sz w:val="24"/>
          <w:szCs w:val="24"/>
        </w:rPr>
        <w:t>, 1992; Black, 1993), quanto a sua validação e quanto a</w:t>
      </w:r>
      <w:r w:rsidR="006F1E1F">
        <w:rPr>
          <w:sz w:val="24"/>
          <w:szCs w:val="24"/>
        </w:rPr>
        <w:t>o poder de</w:t>
      </w:r>
      <w:r w:rsidRPr="00C550BB">
        <w:rPr>
          <w:sz w:val="24"/>
          <w:szCs w:val="24"/>
        </w:rPr>
        <w:t xml:space="preserve"> explicação deste para o retorno das ações. Neste contexto surgiram diversos modelos que introduziram variáveis complementares ao modelo no intuito de melhorar sua estimação, dentre esses tem-se o ICAPM (Merton, 1973), o modelo de 3-Fatores (Fama &amp; </w:t>
      </w:r>
      <w:proofErr w:type="spellStart"/>
      <w:r w:rsidRPr="00C550BB">
        <w:rPr>
          <w:sz w:val="24"/>
          <w:szCs w:val="24"/>
        </w:rPr>
        <w:t>French</w:t>
      </w:r>
      <w:proofErr w:type="spellEnd"/>
      <w:r w:rsidRPr="00C550BB">
        <w:rPr>
          <w:sz w:val="24"/>
          <w:szCs w:val="24"/>
        </w:rPr>
        <w:t xml:space="preserve">, 1993), o D-CAPM (Estrada, 2002) e mais recentemente o modelo de 5-Fatores (Fama &amp; </w:t>
      </w:r>
      <w:proofErr w:type="spellStart"/>
      <w:r w:rsidRPr="00C550BB">
        <w:rPr>
          <w:sz w:val="24"/>
          <w:szCs w:val="24"/>
        </w:rPr>
        <w:t>French</w:t>
      </w:r>
      <w:proofErr w:type="spellEnd"/>
      <w:r w:rsidRPr="00C550BB">
        <w:rPr>
          <w:sz w:val="24"/>
          <w:szCs w:val="24"/>
        </w:rPr>
        <w:t xml:space="preserve">, 2015). </w:t>
      </w:r>
    </w:p>
    <w:p w14:paraId="68B50C6D" w14:textId="5401ACFA" w:rsidR="00C550BB" w:rsidRPr="00C550BB" w:rsidRDefault="00C550BB" w:rsidP="00C550BB">
      <w:pPr>
        <w:ind w:firstLine="709"/>
        <w:jc w:val="both"/>
        <w:rPr>
          <w:sz w:val="24"/>
          <w:szCs w:val="24"/>
        </w:rPr>
      </w:pPr>
      <w:r w:rsidRPr="00C550BB">
        <w:rPr>
          <w:sz w:val="24"/>
          <w:szCs w:val="24"/>
        </w:rPr>
        <w:t>Porém a ideia fundamental dos modelos de precificação de ativos é a mesma, a relação do</w:t>
      </w:r>
      <w:r w:rsidR="00896AD7">
        <w:rPr>
          <w:sz w:val="24"/>
          <w:szCs w:val="24"/>
        </w:rPr>
        <w:t xml:space="preserve"> retorno das ações com o risco sistêmico e </w:t>
      </w:r>
      <w:r w:rsidRPr="00C550BB">
        <w:rPr>
          <w:sz w:val="24"/>
          <w:szCs w:val="24"/>
        </w:rPr>
        <w:t>risco idiossincrático</w:t>
      </w:r>
      <w:r w:rsidR="00896AD7">
        <w:rPr>
          <w:sz w:val="24"/>
          <w:szCs w:val="24"/>
        </w:rPr>
        <w:t xml:space="preserve">. O risco sistêmico ou </w:t>
      </w:r>
      <w:r w:rsidRPr="00C550BB">
        <w:rPr>
          <w:sz w:val="24"/>
          <w:szCs w:val="24"/>
        </w:rPr>
        <w:t xml:space="preserve">de mercado, conforme </w:t>
      </w:r>
      <w:proofErr w:type="spellStart"/>
      <w:r w:rsidRPr="00C550BB">
        <w:rPr>
          <w:sz w:val="24"/>
          <w:szCs w:val="24"/>
        </w:rPr>
        <w:t>Ameer</w:t>
      </w:r>
      <w:proofErr w:type="spellEnd"/>
      <w:r w:rsidRPr="00C550BB">
        <w:rPr>
          <w:sz w:val="24"/>
          <w:szCs w:val="24"/>
        </w:rPr>
        <w:t xml:space="preserve"> (2009) e </w:t>
      </w:r>
      <w:proofErr w:type="spellStart"/>
      <w:r w:rsidRPr="00C550BB">
        <w:rPr>
          <w:sz w:val="24"/>
          <w:szCs w:val="24"/>
        </w:rPr>
        <w:t>Othman</w:t>
      </w:r>
      <w:proofErr w:type="spellEnd"/>
      <w:r w:rsidRPr="00C550BB">
        <w:rPr>
          <w:sz w:val="24"/>
          <w:szCs w:val="24"/>
        </w:rPr>
        <w:t xml:space="preserve"> e </w:t>
      </w:r>
      <w:proofErr w:type="spellStart"/>
      <w:r w:rsidRPr="00C550BB">
        <w:rPr>
          <w:sz w:val="24"/>
          <w:szCs w:val="24"/>
        </w:rPr>
        <w:t>Ameer</w:t>
      </w:r>
      <w:proofErr w:type="spellEnd"/>
      <w:r w:rsidRPr="00C550BB">
        <w:rPr>
          <w:sz w:val="24"/>
          <w:szCs w:val="24"/>
        </w:rPr>
        <w:t xml:space="preserve"> (2009) é o risco de perda derivante das modificações nas taxas </w:t>
      </w:r>
      <w:r w:rsidR="00896AD7">
        <w:rPr>
          <w:sz w:val="24"/>
          <w:szCs w:val="24"/>
        </w:rPr>
        <w:t xml:space="preserve">e preços </w:t>
      </w:r>
      <w:r w:rsidRPr="00C550BB">
        <w:rPr>
          <w:sz w:val="24"/>
          <w:szCs w:val="24"/>
        </w:rPr>
        <w:t>de mercado, como juros, câmbio e mercado econômico. Este risco na precificação dos ativos é o que concerne a parte do retorno que está sendo explicada pelo mercado como um todo, e a qual o investidor estará sujeito unicamente se mantiver uma carteira diversificada a ponto de anular o risco</w:t>
      </w:r>
      <w:r w:rsidR="00896AD7">
        <w:rPr>
          <w:sz w:val="24"/>
          <w:szCs w:val="24"/>
        </w:rPr>
        <w:t xml:space="preserve"> idiossincrático</w:t>
      </w:r>
      <w:r w:rsidR="00166A13">
        <w:rPr>
          <w:sz w:val="24"/>
          <w:szCs w:val="24"/>
        </w:rPr>
        <w:t>. O risco sistêmico é importante em diversas decisões de investimento, bem como indicador do quanto cada ativo depende do mercado para o seu retorno, logo, saber o quanto a taxa livre de risco impacta neste risco proporciona uma melhor estimação deste risco sistêmico e desta forma uma tomada de decisão mais confiável, uma vez que o investidor e os profissionais do mercado terão uma estimativa com maior acurácia.</w:t>
      </w:r>
    </w:p>
    <w:p w14:paraId="04AAA9B6" w14:textId="581CC335" w:rsidR="00C550BB" w:rsidRPr="00C550BB" w:rsidRDefault="00896AD7" w:rsidP="00C550BB">
      <w:pPr>
        <w:ind w:firstLine="709"/>
        <w:jc w:val="both"/>
        <w:rPr>
          <w:sz w:val="24"/>
          <w:szCs w:val="24"/>
        </w:rPr>
      </w:pPr>
      <w:r>
        <w:rPr>
          <w:sz w:val="24"/>
          <w:szCs w:val="24"/>
        </w:rPr>
        <w:t xml:space="preserve">O </w:t>
      </w:r>
      <w:r w:rsidR="00C550BB" w:rsidRPr="00C550BB">
        <w:rPr>
          <w:sz w:val="24"/>
          <w:szCs w:val="24"/>
        </w:rPr>
        <w:t xml:space="preserve">risco idiossincrático, </w:t>
      </w:r>
      <w:r>
        <w:rPr>
          <w:sz w:val="24"/>
          <w:szCs w:val="24"/>
        </w:rPr>
        <w:t xml:space="preserve">que é conhecido também como o risco especifico da empresa, </w:t>
      </w:r>
      <w:r w:rsidR="00C550BB" w:rsidRPr="00C550BB">
        <w:rPr>
          <w:sz w:val="24"/>
          <w:szCs w:val="24"/>
        </w:rPr>
        <w:t xml:space="preserve">é a parcela de risco inerente àquela ação em especifico (Mendonça et al., 2012). De acordo com a teoria moderna de finanças a ação de diversificar os portfólios por parte dos investidores advém da preocupação com a redução do risco idiossincrático. Ainda conforme </w:t>
      </w:r>
      <w:r>
        <w:rPr>
          <w:sz w:val="24"/>
          <w:szCs w:val="24"/>
        </w:rPr>
        <w:t xml:space="preserve">o </w:t>
      </w:r>
      <w:r w:rsidR="00C550BB" w:rsidRPr="00C550BB">
        <w:rPr>
          <w:sz w:val="24"/>
          <w:szCs w:val="24"/>
        </w:rPr>
        <w:t xml:space="preserve">CAPM os investidores deveriam ter as carteiras equilibradas para suprimir todo e qualquer risco idiossincrático, porém como isso pouco ocorre entre os diversos investidores, algum risco idiossincrático está precificado em suas ações (Fu, 2009). </w:t>
      </w:r>
      <w:r w:rsidR="00557CE8">
        <w:rPr>
          <w:sz w:val="24"/>
          <w:szCs w:val="24"/>
        </w:rPr>
        <w:t>A curiosidade em se investigar o risco idiossincrático decorre do fato de se conhecer o quanto do retorno das empresas está associado às suas estratégias de vantagem de custo e diferenciação de produtos, o quanto o empenho das empresas por melhor desempenho, competitividade e gestão é incorporado no retorno de suas ações. Com o saber do quanto a taxa livre de risco impacta na estimação deste risco especifico, ter-se-á também maior confiabilidade na tomada de decisão dos investimentos.</w:t>
      </w:r>
    </w:p>
    <w:p w14:paraId="223D651D" w14:textId="4D24D814" w:rsidR="00C550BB" w:rsidRPr="00C550BB" w:rsidRDefault="00896AD7" w:rsidP="00C550BB">
      <w:pPr>
        <w:ind w:firstLine="709"/>
        <w:jc w:val="both"/>
        <w:rPr>
          <w:sz w:val="24"/>
          <w:szCs w:val="24"/>
        </w:rPr>
      </w:pPr>
      <w:r>
        <w:rPr>
          <w:sz w:val="24"/>
          <w:szCs w:val="24"/>
        </w:rPr>
        <w:t xml:space="preserve">Por trás de toda a lógica </w:t>
      </w:r>
      <w:r w:rsidR="00C550BB" w:rsidRPr="00C550BB">
        <w:rPr>
          <w:sz w:val="24"/>
          <w:szCs w:val="24"/>
        </w:rPr>
        <w:t>do CAPM encontra-se uma componente fundamental no modelo contextualizado que é a taxa livre de risco. Esta serve como base para estimação do prêmio pelo risco incumbido a cada ação. Os modelos de estimação de retornos pressupõem a existência de um ativo livre de risco, o qual teria sua resposta ao investimento exatamente igual ao acordado (</w:t>
      </w:r>
      <w:proofErr w:type="spellStart"/>
      <w:r w:rsidR="00C550BB" w:rsidRPr="00C550BB">
        <w:rPr>
          <w:sz w:val="24"/>
          <w:szCs w:val="24"/>
        </w:rPr>
        <w:t>Damodaran</w:t>
      </w:r>
      <w:proofErr w:type="spellEnd"/>
      <w:r w:rsidR="00C550BB" w:rsidRPr="00C550BB">
        <w:rPr>
          <w:sz w:val="24"/>
          <w:szCs w:val="24"/>
        </w:rPr>
        <w:t>, 1999). E para estimação do retorno dos demais investimentos, aos quais está incumbido algum nível risco, é adicionado à essa taxa livre de risco um prêmio pelo risco.</w:t>
      </w:r>
    </w:p>
    <w:p w14:paraId="285CD3A4" w14:textId="14991B27" w:rsidR="00C550BB" w:rsidRPr="00C550BB" w:rsidRDefault="00C550BB" w:rsidP="00C550BB">
      <w:pPr>
        <w:ind w:firstLine="709"/>
        <w:jc w:val="both"/>
        <w:rPr>
          <w:sz w:val="24"/>
          <w:szCs w:val="24"/>
        </w:rPr>
      </w:pPr>
      <w:r w:rsidRPr="00C550BB">
        <w:rPr>
          <w:sz w:val="24"/>
          <w:szCs w:val="24"/>
        </w:rPr>
        <w:lastRenderedPageBreak/>
        <w:t xml:space="preserve">A taxa livre de risco de acordo com Sharpe (1964) é o preço do tempo, ou taxa pura de juros, descrita pelo autor de forma matemática como a intersecção da linha demonstrativa do mercado com o eixo horizontal. Para </w:t>
      </w:r>
      <w:proofErr w:type="spellStart"/>
      <w:r w:rsidRPr="00C550BB">
        <w:rPr>
          <w:sz w:val="24"/>
          <w:szCs w:val="24"/>
        </w:rPr>
        <w:t>Copeland</w:t>
      </w:r>
      <w:proofErr w:type="spellEnd"/>
      <w:r w:rsidRPr="00C550BB">
        <w:rPr>
          <w:sz w:val="24"/>
          <w:szCs w:val="24"/>
        </w:rPr>
        <w:t xml:space="preserve">, </w:t>
      </w:r>
      <w:proofErr w:type="spellStart"/>
      <w:r w:rsidRPr="00C550BB">
        <w:rPr>
          <w:sz w:val="24"/>
          <w:szCs w:val="24"/>
        </w:rPr>
        <w:t>Koller</w:t>
      </w:r>
      <w:proofErr w:type="spellEnd"/>
      <w:r w:rsidRPr="00C550BB">
        <w:rPr>
          <w:sz w:val="24"/>
          <w:szCs w:val="24"/>
        </w:rPr>
        <w:t xml:space="preserve"> e </w:t>
      </w:r>
      <w:proofErr w:type="spellStart"/>
      <w:r w:rsidRPr="00C550BB">
        <w:rPr>
          <w:sz w:val="24"/>
          <w:szCs w:val="24"/>
        </w:rPr>
        <w:t>Murrin</w:t>
      </w:r>
      <w:proofErr w:type="spellEnd"/>
      <w:r w:rsidRPr="00C550BB">
        <w:rPr>
          <w:sz w:val="24"/>
          <w:szCs w:val="24"/>
        </w:rPr>
        <w:t xml:space="preserve"> (1995), de forma teórica, a melho</w:t>
      </w:r>
      <w:r w:rsidR="00C05AE2">
        <w:rPr>
          <w:sz w:val="24"/>
          <w:szCs w:val="24"/>
        </w:rPr>
        <w:t>r aproximação da taxa livre de risco</w:t>
      </w:r>
      <w:r w:rsidRPr="00C550BB">
        <w:rPr>
          <w:sz w:val="24"/>
          <w:szCs w:val="24"/>
        </w:rPr>
        <w:t xml:space="preserve"> é o retorno de uma carteira com beta igual zero, no qual os retorn</w:t>
      </w:r>
      <w:r w:rsidR="00C05AE2">
        <w:rPr>
          <w:sz w:val="24"/>
          <w:szCs w:val="24"/>
        </w:rPr>
        <w:t>os são total</w:t>
      </w:r>
      <w:r w:rsidRPr="00C550BB">
        <w:rPr>
          <w:sz w:val="24"/>
          <w:szCs w:val="24"/>
        </w:rPr>
        <w:t xml:space="preserve">mente não correlacionados com outros ativos do mercado, e sua covariância com </w:t>
      </w:r>
      <w:r w:rsidR="00C05AE2">
        <w:rPr>
          <w:sz w:val="24"/>
          <w:szCs w:val="24"/>
        </w:rPr>
        <w:t>os demais ativos</w:t>
      </w:r>
      <w:r w:rsidRPr="00C550BB">
        <w:rPr>
          <w:sz w:val="24"/>
          <w:szCs w:val="24"/>
        </w:rPr>
        <w:t xml:space="preserve"> seja zero. A taxa livre de risco pressupõe, segundo </w:t>
      </w:r>
      <w:proofErr w:type="spellStart"/>
      <w:r w:rsidRPr="00C550BB">
        <w:rPr>
          <w:sz w:val="24"/>
          <w:szCs w:val="24"/>
        </w:rPr>
        <w:t>Damodaran</w:t>
      </w:r>
      <w:proofErr w:type="spellEnd"/>
      <w:r w:rsidRPr="00C550BB">
        <w:rPr>
          <w:sz w:val="24"/>
          <w:szCs w:val="24"/>
        </w:rPr>
        <w:t xml:space="preserve"> (1999), a não existência de risco de inadimplênci</w:t>
      </w:r>
      <w:r w:rsidR="00C05AE2">
        <w:rPr>
          <w:sz w:val="24"/>
          <w:szCs w:val="24"/>
        </w:rPr>
        <w:t>a, assim os únicos títulos passí</w:t>
      </w:r>
      <w:r w:rsidRPr="00C550BB">
        <w:rPr>
          <w:sz w:val="24"/>
          <w:szCs w:val="24"/>
        </w:rPr>
        <w:t xml:space="preserve">veis de aceitação para tal pressuposto seriam </w:t>
      </w:r>
      <w:r w:rsidR="00C05AE2">
        <w:rPr>
          <w:sz w:val="24"/>
          <w:szCs w:val="24"/>
        </w:rPr>
        <w:t>os títulos</w:t>
      </w:r>
      <w:r w:rsidRPr="00C550BB">
        <w:rPr>
          <w:sz w:val="24"/>
          <w:szCs w:val="24"/>
        </w:rPr>
        <w:t xml:space="preserve"> do governo, haja vista que são os emissores das moedas nacionais. </w:t>
      </w:r>
    </w:p>
    <w:p w14:paraId="5A0BDFFD" w14:textId="2459D405" w:rsidR="00687BBA" w:rsidRDefault="00C05AE2" w:rsidP="00C550BB">
      <w:pPr>
        <w:ind w:firstLine="709"/>
        <w:jc w:val="both"/>
        <w:rPr>
          <w:sz w:val="24"/>
          <w:szCs w:val="24"/>
        </w:rPr>
      </w:pPr>
      <w:r>
        <w:rPr>
          <w:sz w:val="24"/>
          <w:szCs w:val="24"/>
        </w:rPr>
        <w:t xml:space="preserve">Este contexto, onde não ocorre o risco de inadimplência </w:t>
      </w:r>
      <w:r w:rsidR="00C550BB" w:rsidRPr="00C550BB">
        <w:rPr>
          <w:sz w:val="24"/>
          <w:szCs w:val="24"/>
        </w:rPr>
        <w:t xml:space="preserve">só é </w:t>
      </w:r>
      <w:r>
        <w:rPr>
          <w:sz w:val="24"/>
          <w:szCs w:val="24"/>
        </w:rPr>
        <w:t>valido em</w:t>
      </w:r>
      <w:r w:rsidR="00C550BB" w:rsidRPr="00C550BB">
        <w:rPr>
          <w:sz w:val="24"/>
          <w:szCs w:val="24"/>
        </w:rPr>
        <w:t xml:space="preserve"> países desenvolvidos. Países com economias emergentes </w:t>
      </w:r>
      <w:r>
        <w:rPr>
          <w:sz w:val="24"/>
          <w:szCs w:val="24"/>
        </w:rPr>
        <w:t xml:space="preserve">possuem como </w:t>
      </w:r>
      <w:r w:rsidR="00C550BB" w:rsidRPr="00C550BB">
        <w:rPr>
          <w:sz w:val="24"/>
          <w:szCs w:val="24"/>
        </w:rPr>
        <w:t xml:space="preserve">característica inflação </w:t>
      </w:r>
      <w:r>
        <w:rPr>
          <w:sz w:val="24"/>
          <w:szCs w:val="24"/>
        </w:rPr>
        <w:t xml:space="preserve">alta e </w:t>
      </w:r>
      <w:r w:rsidR="00C550BB" w:rsidRPr="00C550BB">
        <w:rPr>
          <w:sz w:val="24"/>
          <w:szCs w:val="24"/>
        </w:rPr>
        <w:t xml:space="preserve">desequilibrada, o </w:t>
      </w:r>
      <w:r>
        <w:rPr>
          <w:sz w:val="24"/>
          <w:szCs w:val="24"/>
        </w:rPr>
        <w:t>que faz com que</w:t>
      </w:r>
      <w:r w:rsidR="00C550BB" w:rsidRPr="00C550BB">
        <w:rPr>
          <w:sz w:val="24"/>
          <w:szCs w:val="24"/>
        </w:rPr>
        <w:t xml:space="preserve"> até mesmo os títulos do próprio governo </w:t>
      </w:r>
      <w:r>
        <w:rPr>
          <w:sz w:val="24"/>
          <w:szCs w:val="24"/>
        </w:rPr>
        <w:t xml:space="preserve">possuam </w:t>
      </w:r>
      <w:r w:rsidR="00C550BB" w:rsidRPr="00C550BB">
        <w:rPr>
          <w:sz w:val="24"/>
          <w:szCs w:val="24"/>
        </w:rPr>
        <w:t xml:space="preserve">algum risco. </w:t>
      </w:r>
      <w:r w:rsidR="00687BBA">
        <w:rPr>
          <w:sz w:val="24"/>
          <w:szCs w:val="24"/>
        </w:rPr>
        <w:t>Deste modo</w:t>
      </w:r>
      <w:r w:rsidR="00C550BB" w:rsidRPr="00C550BB">
        <w:rPr>
          <w:sz w:val="24"/>
          <w:szCs w:val="24"/>
        </w:rPr>
        <w:t xml:space="preserve">, as taxas livres de risco são </w:t>
      </w:r>
      <w:r w:rsidR="00687BBA">
        <w:rPr>
          <w:sz w:val="24"/>
          <w:szCs w:val="24"/>
        </w:rPr>
        <w:t>d</w:t>
      </w:r>
      <w:r w:rsidR="00C550BB" w:rsidRPr="00C550BB">
        <w:rPr>
          <w:sz w:val="24"/>
          <w:szCs w:val="24"/>
        </w:rPr>
        <w:t xml:space="preserve">iversas e contestáveis em alguns contextos, como em países desenvolvidos e emergentes. </w:t>
      </w:r>
      <w:r w:rsidR="00F107D0">
        <w:rPr>
          <w:sz w:val="24"/>
          <w:szCs w:val="24"/>
        </w:rPr>
        <w:t xml:space="preserve">Em países emergente, a discussão ocorre por conta </w:t>
      </w:r>
      <w:r w:rsidR="00687BBA">
        <w:rPr>
          <w:sz w:val="24"/>
          <w:szCs w:val="24"/>
        </w:rPr>
        <w:t xml:space="preserve">do risco </w:t>
      </w:r>
      <w:r w:rsidR="00F107D0">
        <w:rPr>
          <w:sz w:val="24"/>
          <w:szCs w:val="24"/>
        </w:rPr>
        <w:t xml:space="preserve">de inadimplência incumbido </w:t>
      </w:r>
      <w:r w:rsidR="00687BBA">
        <w:rPr>
          <w:sz w:val="24"/>
          <w:szCs w:val="24"/>
        </w:rPr>
        <w:t>até ao</w:t>
      </w:r>
      <w:r w:rsidR="00F107D0">
        <w:rPr>
          <w:sz w:val="24"/>
          <w:szCs w:val="24"/>
        </w:rPr>
        <w:t>s</w:t>
      </w:r>
      <w:r w:rsidR="00687BBA">
        <w:rPr>
          <w:sz w:val="24"/>
          <w:szCs w:val="24"/>
        </w:rPr>
        <w:t xml:space="preserve"> títulos do governo, o Brasil por exemplo não possui uma taxa que corresponda </w:t>
      </w:r>
      <w:r w:rsidR="00F107D0">
        <w:rPr>
          <w:sz w:val="24"/>
          <w:szCs w:val="24"/>
        </w:rPr>
        <w:t xml:space="preserve">exatamente </w:t>
      </w:r>
      <w:r w:rsidR="00687BBA">
        <w:rPr>
          <w:sz w:val="24"/>
          <w:szCs w:val="24"/>
        </w:rPr>
        <w:t xml:space="preserve">à taxa livre de risco conforme os pressupostos, o que faz o uso da mesma ser divergente para autores e profissionais, que usam por vezes a taxa SELIC, por vezes o retorno do CDI, entre demais estimações que visam atender ao propósito da taxa livre de risco. </w:t>
      </w:r>
    </w:p>
    <w:p w14:paraId="0C3006B5" w14:textId="2CEDD03A" w:rsidR="00C550BB" w:rsidRPr="00C550BB" w:rsidRDefault="00687BBA" w:rsidP="00687BBA">
      <w:pPr>
        <w:ind w:firstLine="709"/>
        <w:jc w:val="both"/>
        <w:rPr>
          <w:sz w:val="24"/>
          <w:szCs w:val="24"/>
        </w:rPr>
      </w:pPr>
      <w:r>
        <w:rPr>
          <w:sz w:val="24"/>
          <w:szCs w:val="24"/>
        </w:rPr>
        <w:t xml:space="preserve">Em países desenvolvidos a discussão é díspar, a taxa americana é tida como a taxa livre de risco padrão afirmada e testada por </w:t>
      </w:r>
      <w:proofErr w:type="spellStart"/>
      <w:r>
        <w:rPr>
          <w:sz w:val="24"/>
          <w:szCs w:val="24"/>
        </w:rPr>
        <w:t>Damodaram</w:t>
      </w:r>
      <w:proofErr w:type="spellEnd"/>
      <w:r>
        <w:rPr>
          <w:sz w:val="24"/>
          <w:szCs w:val="24"/>
        </w:rPr>
        <w:t xml:space="preserve"> (1999), porém existem países como Dinamarca, Suíça, Suécia e de forma mais contemporânea o Japão, que utilizam a taxa livre de risco do país negativa, o que acarreta em </w:t>
      </w:r>
      <w:r w:rsidR="00C550BB" w:rsidRPr="00C550BB">
        <w:rPr>
          <w:sz w:val="24"/>
          <w:szCs w:val="24"/>
        </w:rPr>
        <w:t>desvalorização do dinheiro aplica</w:t>
      </w:r>
      <w:r>
        <w:rPr>
          <w:sz w:val="24"/>
          <w:szCs w:val="24"/>
        </w:rPr>
        <w:t>do</w:t>
      </w:r>
      <w:r w:rsidR="00C550BB" w:rsidRPr="00C550BB">
        <w:rPr>
          <w:sz w:val="24"/>
          <w:szCs w:val="24"/>
        </w:rPr>
        <w:t xml:space="preserve"> à taxa nacional de</w:t>
      </w:r>
      <w:r>
        <w:rPr>
          <w:sz w:val="24"/>
          <w:szCs w:val="24"/>
        </w:rPr>
        <w:t>stes países</w:t>
      </w:r>
      <w:r w:rsidR="00C550BB" w:rsidRPr="00C550BB">
        <w:rPr>
          <w:sz w:val="24"/>
          <w:szCs w:val="24"/>
        </w:rPr>
        <w:t>.</w:t>
      </w:r>
      <w:r>
        <w:rPr>
          <w:sz w:val="24"/>
          <w:szCs w:val="24"/>
        </w:rPr>
        <w:t xml:space="preserve"> Nesta</w:t>
      </w:r>
      <w:r w:rsidR="00C550BB" w:rsidRPr="00C550BB">
        <w:rPr>
          <w:sz w:val="24"/>
          <w:szCs w:val="24"/>
        </w:rPr>
        <w:t xml:space="preserve"> situação e com a desvalorização do dinheiro quando guardado à longo prazo no banco nacional há o estimulo </w:t>
      </w:r>
      <w:r>
        <w:rPr>
          <w:sz w:val="24"/>
          <w:szCs w:val="24"/>
        </w:rPr>
        <w:t>a</w:t>
      </w:r>
      <w:r w:rsidR="00C550BB" w:rsidRPr="00C550BB">
        <w:rPr>
          <w:sz w:val="24"/>
          <w:szCs w:val="24"/>
        </w:rPr>
        <w:t xml:space="preserve">o investimento </w:t>
      </w:r>
      <w:r>
        <w:rPr>
          <w:sz w:val="24"/>
          <w:szCs w:val="24"/>
        </w:rPr>
        <w:t xml:space="preserve">e </w:t>
      </w:r>
      <w:r w:rsidR="00C550BB" w:rsidRPr="00C550BB">
        <w:rPr>
          <w:sz w:val="24"/>
          <w:szCs w:val="24"/>
        </w:rPr>
        <w:t>ao consumo, pois é contraindicado ‘guardar’ o dinheiro</w:t>
      </w:r>
      <w:r>
        <w:rPr>
          <w:sz w:val="24"/>
          <w:szCs w:val="24"/>
        </w:rPr>
        <w:t xml:space="preserve"> a juros do governo</w:t>
      </w:r>
      <w:r w:rsidR="00C550BB" w:rsidRPr="00C550BB">
        <w:rPr>
          <w:sz w:val="24"/>
          <w:szCs w:val="24"/>
        </w:rPr>
        <w:t xml:space="preserve">. </w:t>
      </w:r>
      <w:r w:rsidR="00F107D0">
        <w:rPr>
          <w:sz w:val="24"/>
          <w:szCs w:val="24"/>
        </w:rPr>
        <w:t>Nestes casos o</w:t>
      </w:r>
      <w:r w:rsidR="00C550BB" w:rsidRPr="00C550BB">
        <w:rPr>
          <w:sz w:val="24"/>
          <w:szCs w:val="24"/>
        </w:rPr>
        <w:t xml:space="preserve"> sistema bancário tende a emprestar uma maior </w:t>
      </w:r>
      <w:r w:rsidR="00F107D0">
        <w:rPr>
          <w:sz w:val="24"/>
          <w:szCs w:val="24"/>
        </w:rPr>
        <w:t xml:space="preserve">quantidade de </w:t>
      </w:r>
      <w:r w:rsidR="00C550BB" w:rsidRPr="00C550BB">
        <w:rPr>
          <w:sz w:val="24"/>
          <w:szCs w:val="24"/>
        </w:rPr>
        <w:t>dinheiro, p</w:t>
      </w:r>
      <w:r w:rsidR="00F107D0">
        <w:rPr>
          <w:sz w:val="24"/>
          <w:szCs w:val="24"/>
        </w:rPr>
        <w:t xml:space="preserve">ara não possuir </w:t>
      </w:r>
      <w:r w:rsidR="00C550BB" w:rsidRPr="00C550BB">
        <w:rPr>
          <w:sz w:val="24"/>
          <w:szCs w:val="24"/>
        </w:rPr>
        <w:t xml:space="preserve">o investimento direto </w:t>
      </w:r>
      <w:r w:rsidR="00F107D0">
        <w:rPr>
          <w:sz w:val="24"/>
          <w:szCs w:val="24"/>
        </w:rPr>
        <w:t xml:space="preserve">em títulos nacional </w:t>
      </w:r>
      <w:r w:rsidR="00C550BB" w:rsidRPr="00C550BB">
        <w:rPr>
          <w:sz w:val="24"/>
          <w:szCs w:val="24"/>
        </w:rPr>
        <w:t xml:space="preserve">e o custo </w:t>
      </w:r>
      <w:r w:rsidR="00F107D0">
        <w:rPr>
          <w:sz w:val="24"/>
          <w:szCs w:val="24"/>
        </w:rPr>
        <w:t>gerado pelo mesmo</w:t>
      </w:r>
      <w:r w:rsidR="00C550BB" w:rsidRPr="00C550BB">
        <w:rPr>
          <w:sz w:val="24"/>
          <w:szCs w:val="24"/>
        </w:rPr>
        <w:t xml:space="preserve">. </w:t>
      </w:r>
    </w:p>
    <w:p w14:paraId="297E1636" w14:textId="148256DE" w:rsidR="00C550BB" w:rsidRPr="00C550BB" w:rsidRDefault="00C550BB" w:rsidP="00C550BB">
      <w:pPr>
        <w:ind w:firstLine="709"/>
        <w:jc w:val="both"/>
        <w:rPr>
          <w:sz w:val="24"/>
          <w:szCs w:val="24"/>
        </w:rPr>
      </w:pPr>
      <w:r w:rsidRPr="00C550BB">
        <w:rPr>
          <w:sz w:val="24"/>
          <w:szCs w:val="24"/>
        </w:rPr>
        <w:t>Diante de tal contexto surge a seguinte questão que norteou o presente trabalho: Qual o efeito das diferentes taxas livre</w:t>
      </w:r>
      <w:r w:rsidR="00F107D0">
        <w:rPr>
          <w:sz w:val="24"/>
          <w:szCs w:val="24"/>
        </w:rPr>
        <w:t>s</w:t>
      </w:r>
      <w:r w:rsidRPr="00C550BB">
        <w:rPr>
          <w:sz w:val="24"/>
          <w:szCs w:val="24"/>
        </w:rPr>
        <w:t xml:space="preserve"> de risco sobre os riscos sistêmicos e idiossincráticos? E linearmente a esse tem se o objetivo da pesquisa de verificar o efeito das diferentes taxas livre</w:t>
      </w:r>
      <w:r w:rsidR="00F107D0">
        <w:rPr>
          <w:sz w:val="24"/>
          <w:szCs w:val="24"/>
        </w:rPr>
        <w:t>s</w:t>
      </w:r>
      <w:r w:rsidRPr="00C550BB">
        <w:rPr>
          <w:sz w:val="24"/>
          <w:szCs w:val="24"/>
        </w:rPr>
        <w:t xml:space="preserve"> de risco sobre os riscos sistêmicos e idiossincráticos em países desenvolvidos e emergentes. </w:t>
      </w:r>
    </w:p>
    <w:p w14:paraId="6526E1E4" w14:textId="06B8C59A" w:rsidR="00C550BB" w:rsidRPr="00C550BB" w:rsidRDefault="00C550BB" w:rsidP="00C550BB">
      <w:pPr>
        <w:ind w:firstLine="709"/>
        <w:jc w:val="both"/>
        <w:rPr>
          <w:sz w:val="24"/>
          <w:szCs w:val="24"/>
        </w:rPr>
      </w:pPr>
      <w:r w:rsidRPr="00C550BB">
        <w:rPr>
          <w:sz w:val="24"/>
          <w:szCs w:val="24"/>
        </w:rPr>
        <w:t>O estudo é impulsionad</w:t>
      </w:r>
      <w:r w:rsidR="00F107D0">
        <w:rPr>
          <w:sz w:val="24"/>
          <w:szCs w:val="24"/>
        </w:rPr>
        <w:t>o pela importância, segundo Bali</w:t>
      </w:r>
      <w:r w:rsidR="00F107D0">
        <w:rPr>
          <w:color w:val="000000" w:themeColor="text1"/>
          <w:sz w:val="24"/>
          <w:szCs w:val="24"/>
          <w:shd w:val="clear" w:color="auto" w:fill="FFFFFF"/>
        </w:rPr>
        <w:t>,</w:t>
      </w:r>
      <w:r w:rsidR="00F107D0" w:rsidRPr="00603E9D">
        <w:rPr>
          <w:color w:val="000000" w:themeColor="text1"/>
          <w:sz w:val="24"/>
          <w:szCs w:val="24"/>
          <w:shd w:val="clear" w:color="auto" w:fill="FFFFFF"/>
        </w:rPr>
        <w:t xml:space="preserve"> </w:t>
      </w:r>
      <w:proofErr w:type="spellStart"/>
      <w:r w:rsidR="00F107D0" w:rsidRPr="00603E9D">
        <w:rPr>
          <w:color w:val="000000" w:themeColor="text1"/>
          <w:sz w:val="24"/>
          <w:szCs w:val="24"/>
          <w:shd w:val="clear" w:color="auto" w:fill="FFFFFF"/>
        </w:rPr>
        <w:t>Cakici</w:t>
      </w:r>
      <w:proofErr w:type="spellEnd"/>
      <w:r w:rsidR="00F107D0">
        <w:rPr>
          <w:color w:val="000000" w:themeColor="text1"/>
          <w:sz w:val="24"/>
          <w:szCs w:val="24"/>
          <w:shd w:val="clear" w:color="auto" w:fill="FFFFFF"/>
        </w:rPr>
        <w:t xml:space="preserve"> </w:t>
      </w:r>
      <w:r w:rsidR="00F107D0" w:rsidRPr="00603E9D">
        <w:rPr>
          <w:color w:val="000000" w:themeColor="text1"/>
          <w:sz w:val="24"/>
          <w:szCs w:val="24"/>
          <w:shd w:val="clear" w:color="auto" w:fill="FFFFFF"/>
        </w:rPr>
        <w:t>&amp;</w:t>
      </w:r>
      <w:r w:rsidR="00F107D0">
        <w:rPr>
          <w:color w:val="000000" w:themeColor="text1"/>
          <w:sz w:val="24"/>
          <w:szCs w:val="24"/>
          <w:shd w:val="clear" w:color="auto" w:fill="FFFFFF"/>
        </w:rPr>
        <w:t xml:space="preserve"> Levy</w:t>
      </w:r>
      <w:r w:rsidRPr="00C550BB">
        <w:rPr>
          <w:sz w:val="24"/>
          <w:szCs w:val="24"/>
        </w:rPr>
        <w:t xml:space="preserve"> (2008)</w:t>
      </w:r>
      <w:r w:rsidR="00F107D0">
        <w:rPr>
          <w:sz w:val="24"/>
          <w:szCs w:val="24"/>
        </w:rPr>
        <w:t>,</w:t>
      </w:r>
      <w:r w:rsidRPr="00C550BB">
        <w:rPr>
          <w:sz w:val="24"/>
          <w:szCs w:val="24"/>
        </w:rPr>
        <w:t xml:space="preserve"> do risco idiossincrático nas decisões de investimentos, sendo relevante a investigação dos determinantes deste, bem como seu comportamento devido a diferentes contextos. O risco sistêmico por representar a negociação de todas ações pertencentes a bolsa de valor</w:t>
      </w:r>
      <w:r w:rsidR="00F107D0">
        <w:rPr>
          <w:sz w:val="24"/>
          <w:szCs w:val="24"/>
        </w:rPr>
        <w:t>es nacional</w:t>
      </w:r>
      <w:r w:rsidRPr="00C550BB">
        <w:rPr>
          <w:sz w:val="24"/>
          <w:szCs w:val="24"/>
        </w:rPr>
        <w:t xml:space="preserve"> e representar o desempenho médio das cotações dos ativos de maior negociabilidade e representatividade do mercado de ações (</w:t>
      </w:r>
      <w:proofErr w:type="spellStart"/>
      <w:r w:rsidRPr="00C550BB">
        <w:rPr>
          <w:sz w:val="24"/>
          <w:szCs w:val="24"/>
        </w:rPr>
        <w:t>BM&amp;FBovespa</w:t>
      </w:r>
      <w:proofErr w:type="spellEnd"/>
      <w:r w:rsidRPr="00C550BB">
        <w:rPr>
          <w:sz w:val="24"/>
          <w:szCs w:val="24"/>
        </w:rPr>
        <w:t>, 2016), tem seu estudo com alto nível de importância.</w:t>
      </w:r>
    </w:p>
    <w:p w14:paraId="1FB4E496" w14:textId="6C96FCFE" w:rsidR="00C550BB" w:rsidRPr="00C550BB" w:rsidRDefault="00C550BB" w:rsidP="00C550BB">
      <w:pPr>
        <w:ind w:firstLine="709"/>
        <w:jc w:val="both"/>
        <w:rPr>
          <w:sz w:val="24"/>
          <w:szCs w:val="24"/>
        </w:rPr>
      </w:pPr>
      <w:r w:rsidRPr="00C550BB">
        <w:rPr>
          <w:sz w:val="24"/>
          <w:szCs w:val="24"/>
        </w:rPr>
        <w:t xml:space="preserve">Ainda de acordo com </w:t>
      </w:r>
      <w:proofErr w:type="spellStart"/>
      <w:r w:rsidRPr="00C550BB">
        <w:rPr>
          <w:sz w:val="24"/>
          <w:szCs w:val="24"/>
        </w:rPr>
        <w:t>Luzina</w:t>
      </w:r>
      <w:proofErr w:type="spellEnd"/>
      <w:r w:rsidRPr="00C550BB">
        <w:rPr>
          <w:sz w:val="24"/>
          <w:szCs w:val="24"/>
        </w:rPr>
        <w:t xml:space="preserve"> e </w:t>
      </w:r>
      <w:proofErr w:type="spellStart"/>
      <w:r w:rsidRPr="00C550BB">
        <w:rPr>
          <w:sz w:val="24"/>
          <w:szCs w:val="24"/>
        </w:rPr>
        <w:t>Rogova</w:t>
      </w:r>
      <w:proofErr w:type="spellEnd"/>
      <w:r w:rsidRPr="00C550BB">
        <w:rPr>
          <w:sz w:val="24"/>
          <w:szCs w:val="24"/>
        </w:rPr>
        <w:t xml:space="preserve"> (2015) os mercados emergentes tem se tornando de grande importância no centro da atividade econômica mundial. Nestes mercados, com crescente interesse econômico, propaga-se tal curiosidade e investigação ao risco idiossincrático por conta das características dos retornos quanto a sua volatilidade (Bekaert &amp; Harvey, 1995; Abou-</w:t>
      </w:r>
      <w:proofErr w:type="spellStart"/>
      <w:r w:rsidRPr="00C550BB">
        <w:rPr>
          <w:sz w:val="24"/>
          <w:szCs w:val="24"/>
        </w:rPr>
        <w:t>Zaid</w:t>
      </w:r>
      <w:proofErr w:type="spellEnd"/>
      <w:r w:rsidRPr="00C550BB">
        <w:rPr>
          <w:sz w:val="24"/>
          <w:szCs w:val="24"/>
        </w:rPr>
        <w:t>, 2011) uma vez que Li</w:t>
      </w:r>
      <w:r w:rsidR="00F107D0">
        <w:rPr>
          <w:sz w:val="24"/>
          <w:szCs w:val="24"/>
        </w:rPr>
        <w:t>,</w:t>
      </w:r>
      <w:r w:rsidRPr="00C550BB">
        <w:rPr>
          <w:sz w:val="24"/>
          <w:szCs w:val="24"/>
        </w:rPr>
        <w:t xml:space="preserve"> </w:t>
      </w:r>
      <w:r w:rsidR="00F107D0" w:rsidRPr="00603E9D">
        <w:rPr>
          <w:color w:val="000000" w:themeColor="text1"/>
          <w:sz w:val="24"/>
          <w:szCs w:val="24"/>
          <w:lang w:val="en-US"/>
        </w:rPr>
        <w:t>Morck,</w:t>
      </w:r>
      <w:r w:rsidR="00F107D0">
        <w:rPr>
          <w:color w:val="000000" w:themeColor="text1"/>
          <w:sz w:val="24"/>
          <w:szCs w:val="24"/>
          <w:lang w:val="en-US"/>
        </w:rPr>
        <w:t xml:space="preserve"> Yang &amp; Yeung</w:t>
      </w:r>
      <w:r w:rsidR="00F107D0" w:rsidRPr="00603E9D">
        <w:rPr>
          <w:color w:val="000000" w:themeColor="text1"/>
          <w:sz w:val="24"/>
          <w:szCs w:val="24"/>
          <w:lang w:val="en-US"/>
        </w:rPr>
        <w:t xml:space="preserve"> </w:t>
      </w:r>
      <w:r w:rsidRPr="00C550BB">
        <w:rPr>
          <w:sz w:val="24"/>
          <w:szCs w:val="24"/>
        </w:rPr>
        <w:t>(2004) encontram um aumento significativo</w:t>
      </w:r>
      <w:r w:rsidR="00F107D0">
        <w:rPr>
          <w:sz w:val="24"/>
          <w:szCs w:val="24"/>
        </w:rPr>
        <w:t xml:space="preserve"> do risco idiossincrático em mercados emergentes</w:t>
      </w:r>
      <w:r w:rsidRPr="00C550BB">
        <w:rPr>
          <w:sz w:val="24"/>
          <w:szCs w:val="24"/>
        </w:rPr>
        <w:t xml:space="preserve">. </w:t>
      </w:r>
      <w:r w:rsidR="00F107D0">
        <w:rPr>
          <w:sz w:val="24"/>
          <w:szCs w:val="24"/>
        </w:rPr>
        <w:t xml:space="preserve">Corroborando </w:t>
      </w:r>
      <w:r w:rsidR="00AD62C2">
        <w:rPr>
          <w:sz w:val="24"/>
          <w:szCs w:val="24"/>
        </w:rPr>
        <w:t>a</w:t>
      </w:r>
      <w:r w:rsidR="00F107D0">
        <w:rPr>
          <w:sz w:val="24"/>
          <w:szCs w:val="24"/>
        </w:rPr>
        <w:t xml:space="preserve"> esses </w:t>
      </w:r>
      <w:proofErr w:type="spellStart"/>
      <w:r w:rsidRPr="00C550BB">
        <w:rPr>
          <w:sz w:val="24"/>
          <w:szCs w:val="24"/>
        </w:rPr>
        <w:t>Damodaran</w:t>
      </w:r>
      <w:proofErr w:type="spellEnd"/>
      <w:r w:rsidRPr="00C550BB">
        <w:rPr>
          <w:sz w:val="24"/>
          <w:szCs w:val="24"/>
        </w:rPr>
        <w:t xml:space="preserve"> (2009) </w:t>
      </w:r>
      <w:r w:rsidR="00F107D0">
        <w:rPr>
          <w:sz w:val="24"/>
          <w:szCs w:val="24"/>
        </w:rPr>
        <w:t xml:space="preserve">afirma </w:t>
      </w:r>
      <w:r w:rsidRPr="00C550BB">
        <w:rPr>
          <w:sz w:val="24"/>
          <w:szCs w:val="24"/>
        </w:rPr>
        <w:t xml:space="preserve">uma inclinação à valorização das empresas de países emergentes, uma vez que estes se tornam jogadores de maior dimensão no mercado global e são fortes candidatos </w:t>
      </w:r>
      <w:r w:rsidR="00F107D0" w:rsidRPr="00C550BB">
        <w:rPr>
          <w:sz w:val="24"/>
          <w:szCs w:val="24"/>
        </w:rPr>
        <w:t>às</w:t>
      </w:r>
      <w:r w:rsidRPr="00C550BB">
        <w:rPr>
          <w:sz w:val="24"/>
          <w:szCs w:val="24"/>
        </w:rPr>
        <w:t xml:space="preserve"> carteiras de investimento. </w:t>
      </w:r>
    </w:p>
    <w:p w14:paraId="79B21286" w14:textId="40C03BAC" w:rsidR="00C550BB" w:rsidRDefault="00C550BB" w:rsidP="00C550BB">
      <w:pPr>
        <w:ind w:firstLine="709"/>
        <w:jc w:val="both"/>
        <w:rPr>
          <w:sz w:val="24"/>
          <w:szCs w:val="24"/>
        </w:rPr>
      </w:pPr>
      <w:r w:rsidRPr="00C550BB">
        <w:rPr>
          <w:sz w:val="24"/>
          <w:szCs w:val="24"/>
        </w:rPr>
        <w:t xml:space="preserve">Ainda segundo </w:t>
      </w:r>
      <w:proofErr w:type="spellStart"/>
      <w:r w:rsidRPr="00C550BB">
        <w:rPr>
          <w:sz w:val="24"/>
          <w:szCs w:val="24"/>
        </w:rPr>
        <w:t>Damodaran</w:t>
      </w:r>
      <w:proofErr w:type="spellEnd"/>
      <w:r w:rsidRPr="00C550BB">
        <w:rPr>
          <w:sz w:val="24"/>
          <w:szCs w:val="24"/>
        </w:rPr>
        <w:t xml:space="preserve"> (2009), esse crescimento substancial das economias emergentes vem acompanhada, de algum risco macroeconômico. Logo os riscos, tanto à nível </w:t>
      </w:r>
      <w:r w:rsidRPr="00C550BB">
        <w:rPr>
          <w:sz w:val="24"/>
          <w:szCs w:val="24"/>
        </w:rPr>
        <w:lastRenderedPageBreak/>
        <w:t xml:space="preserve">de mercado quanto especifico, que </w:t>
      </w:r>
      <w:r w:rsidR="00D70472">
        <w:rPr>
          <w:sz w:val="24"/>
          <w:szCs w:val="24"/>
        </w:rPr>
        <w:t>possuem</w:t>
      </w:r>
      <w:r w:rsidRPr="00C550BB">
        <w:rPr>
          <w:sz w:val="24"/>
          <w:szCs w:val="24"/>
        </w:rPr>
        <w:t xml:space="preserve"> grande importância para </w:t>
      </w:r>
      <w:r w:rsidR="00D70472">
        <w:rPr>
          <w:sz w:val="24"/>
          <w:szCs w:val="24"/>
        </w:rPr>
        <w:t>as decisões de investimento no mercado de capitais</w:t>
      </w:r>
      <w:r w:rsidRPr="00C550BB">
        <w:rPr>
          <w:sz w:val="24"/>
          <w:szCs w:val="24"/>
        </w:rPr>
        <w:t xml:space="preserve">, perfazem de maiores estudos. Já estudos em países desenvolvidos são relevantes visto que estes servem de parâmetro para os países com </w:t>
      </w:r>
      <w:r w:rsidR="00D70472">
        <w:rPr>
          <w:sz w:val="24"/>
          <w:szCs w:val="24"/>
        </w:rPr>
        <w:t xml:space="preserve">economias </w:t>
      </w:r>
      <w:r w:rsidRPr="00C550BB">
        <w:rPr>
          <w:sz w:val="24"/>
          <w:szCs w:val="24"/>
        </w:rPr>
        <w:t xml:space="preserve">turbulentas. </w:t>
      </w:r>
      <w:r w:rsidR="00D70472">
        <w:rPr>
          <w:sz w:val="24"/>
          <w:szCs w:val="24"/>
        </w:rPr>
        <w:t>A</w:t>
      </w:r>
      <w:r w:rsidRPr="00C550BB">
        <w:rPr>
          <w:sz w:val="24"/>
          <w:szCs w:val="24"/>
        </w:rPr>
        <w:t xml:space="preserve"> taxa livre de risco</w:t>
      </w:r>
      <w:r w:rsidR="00D70472">
        <w:rPr>
          <w:sz w:val="24"/>
          <w:szCs w:val="24"/>
        </w:rPr>
        <w:t xml:space="preserve"> possui</w:t>
      </w:r>
      <w:r w:rsidRPr="00C550BB">
        <w:rPr>
          <w:sz w:val="24"/>
          <w:szCs w:val="24"/>
        </w:rPr>
        <w:t xml:space="preserve"> seu estudo sobre os efeitos dos riscos </w:t>
      </w:r>
      <w:r w:rsidR="00AD62C2">
        <w:rPr>
          <w:sz w:val="24"/>
          <w:szCs w:val="24"/>
        </w:rPr>
        <w:t xml:space="preserve">sistêmico e idiossincrático relevante </w:t>
      </w:r>
      <w:r w:rsidR="00D70472">
        <w:rPr>
          <w:sz w:val="24"/>
          <w:szCs w:val="24"/>
        </w:rPr>
        <w:t>pois</w:t>
      </w:r>
      <w:r w:rsidR="00AD62C2">
        <w:rPr>
          <w:sz w:val="24"/>
          <w:szCs w:val="24"/>
        </w:rPr>
        <w:t>,</w:t>
      </w:r>
      <w:r w:rsidR="00D70472">
        <w:rPr>
          <w:sz w:val="24"/>
          <w:szCs w:val="24"/>
        </w:rPr>
        <w:t xml:space="preserve"> o </w:t>
      </w:r>
      <w:r w:rsidRPr="00C550BB">
        <w:rPr>
          <w:sz w:val="24"/>
          <w:szCs w:val="24"/>
        </w:rPr>
        <w:t xml:space="preserve">único país que </w:t>
      </w:r>
      <w:r w:rsidR="00D70472">
        <w:rPr>
          <w:sz w:val="24"/>
          <w:szCs w:val="24"/>
        </w:rPr>
        <w:t xml:space="preserve">é tido para ter uma taxa realmente livre de risco é os </w:t>
      </w:r>
      <w:r w:rsidRPr="00C550BB">
        <w:rPr>
          <w:sz w:val="24"/>
          <w:szCs w:val="24"/>
        </w:rPr>
        <w:t>Estados Unidos</w:t>
      </w:r>
      <w:r w:rsidR="00D70472">
        <w:rPr>
          <w:sz w:val="24"/>
          <w:szCs w:val="24"/>
        </w:rPr>
        <w:t>, logo os efeitos das demais taxas naci</w:t>
      </w:r>
      <w:r w:rsidR="00F23238">
        <w:rPr>
          <w:sz w:val="24"/>
          <w:szCs w:val="24"/>
        </w:rPr>
        <w:t>onais</w:t>
      </w:r>
      <w:r w:rsidR="00D70472">
        <w:rPr>
          <w:sz w:val="24"/>
          <w:szCs w:val="24"/>
        </w:rPr>
        <w:t xml:space="preserve"> que não atendem </w:t>
      </w:r>
      <w:r w:rsidR="00AD62C2">
        <w:rPr>
          <w:sz w:val="24"/>
          <w:szCs w:val="24"/>
        </w:rPr>
        <w:t>a</w:t>
      </w:r>
      <w:r w:rsidR="00D70472">
        <w:rPr>
          <w:sz w:val="24"/>
          <w:szCs w:val="24"/>
        </w:rPr>
        <w:t xml:space="preserve"> todos os pressupostos de uma taxa livre de risco são </w:t>
      </w:r>
      <w:r w:rsidR="003177BC">
        <w:rPr>
          <w:sz w:val="24"/>
          <w:szCs w:val="24"/>
        </w:rPr>
        <w:t>tidas</w:t>
      </w:r>
      <w:r w:rsidR="00D70472">
        <w:rPr>
          <w:sz w:val="24"/>
          <w:szCs w:val="24"/>
        </w:rPr>
        <w:t xml:space="preserve"> para impactar a estimação </w:t>
      </w:r>
      <w:r w:rsidR="003177BC">
        <w:rPr>
          <w:sz w:val="24"/>
          <w:szCs w:val="24"/>
        </w:rPr>
        <w:t>dos riscos</w:t>
      </w:r>
      <w:r w:rsidR="00D70472">
        <w:rPr>
          <w:sz w:val="24"/>
          <w:szCs w:val="24"/>
        </w:rPr>
        <w:t xml:space="preserve"> sistêmicos e idiossincráticos de forma diferente (</w:t>
      </w:r>
      <w:proofErr w:type="spellStart"/>
      <w:r w:rsidR="00D70472">
        <w:rPr>
          <w:sz w:val="24"/>
          <w:szCs w:val="24"/>
        </w:rPr>
        <w:t>Damodaran</w:t>
      </w:r>
      <w:proofErr w:type="spellEnd"/>
      <w:r w:rsidR="00D70472">
        <w:rPr>
          <w:sz w:val="24"/>
          <w:szCs w:val="24"/>
        </w:rPr>
        <w:t xml:space="preserve">, </w:t>
      </w:r>
      <w:r w:rsidR="00D70472" w:rsidRPr="00C550BB">
        <w:rPr>
          <w:sz w:val="24"/>
          <w:szCs w:val="24"/>
        </w:rPr>
        <w:t>1999)</w:t>
      </w:r>
      <w:r w:rsidRPr="00C550BB">
        <w:rPr>
          <w:sz w:val="24"/>
          <w:szCs w:val="24"/>
        </w:rPr>
        <w:t xml:space="preserve">. </w:t>
      </w:r>
    </w:p>
    <w:p w14:paraId="50DD9A81" w14:textId="521B8AF4" w:rsidR="00C550BB" w:rsidRPr="00C550BB" w:rsidRDefault="00557CE8" w:rsidP="00C550BB">
      <w:pPr>
        <w:ind w:firstLine="709"/>
        <w:jc w:val="both"/>
        <w:rPr>
          <w:sz w:val="24"/>
          <w:szCs w:val="24"/>
        </w:rPr>
      </w:pPr>
      <w:r>
        <w:rPr>
          <w:sz w:val="24"/>
          <w:szCs w:val="24"/>
        </w:rPr>
        <w:t xml:space="preserve">Ressalta-se ainda que o saber do impacto das diferentes taxas nos riscos sistêmicos e idiossincráticos possibilita uma maior igualdade e confiança nas negociações entre os mercados, uma vez que os resultados indicarão o quanto uma taxa se diferencia da outra, e o quanto as transações que utilizam essa taxa podem estar sendo impactadas pela mesma. </w:t>
      </w:r>
      <w:r w:rsidR="00C550BB" w:rsidRPr="00C550BB">
        <w:rPr>
          <w:sz w:val="24"/>
          <w:szCs w:val="24"/>
        </w:rPr>
        <w:t xml:space="preserve">O estudo visa contribuir </w:t>
      </w:r>
      <w:r>
        <w:rPr>
          <w:sz w:val="24"/>
          <w:szCs w:val="24"/>
        </w:rPr>
        <w:t xml:space="preserve">ainda </w:t>
      </w:r>
      <w:r w:rsidR="00C550BB" w:rsidRPr="00C550BB">
        <w:rPr>
          <w:sz w:val="24"/>
          <w:szCs w:val="24"/>
        </w:rPr>
        <w:t xml:space="preserve">no sentido da análise de quais dos diferentes </w:t>
      </w:r>
      <w:r w:rsidR="00F23238">
        <w:rPr>
          <w:sz w:val="24"/>
          <w:szCs w:val="24"/>
        </w:rPr>
        <w:t xml:space="preserve">valores da taxa livre de risco </w:t>
      </w:r>
      <w:r w:rsidR="00C550BB" w:rsidRPr="00C550BB">
        <w:rPr>
          <w:sz w:val="24"/>
          <w:szCs w:val="24"/>
        </w:rPr>
        <w:t>influencia</w:t>
      </w:r>
      <w:r w:rsidR="00F23238">
        <w:rPr>
          <w:sz w:val="24"/>
          <w:szCs w:val="24"/>
        </w:rPr>
        <w:t>m</w:t>
      </w:r>
      <w:r w:rsidR="00C550BB" w:rsidRPr="00C550BB">
        <w:rPr>
          <w:sz w:val="24"/>
          <w:szCs w:val="24"/>
        </w:rPr>
        <w:t xml:space="preserve"> diferentes mudanças na mensuração dos riscos </w:t>
      </w:r>
      <w:r w:rsidR="00F23238">
        <w:rPr>
          <w:sz w:val="24"/>
          <w:szCs w:val="24"/>
        </w:rPr>
        <w:t>presentes no retorno</w:t>
      </w:r>
      <w:r w:rsidR="00C550BB" w:rsidRPr="00C550BB">
        <w:rPr>
          <w:sz w:val="24"/>
          <w:szCs w:val="24"/>
        </w:rPr>
        <w:t xml:space="preserve"> das ações. Além deste o estudo contribui ao avaliar a taxa</w:t>
      </w:r>
      <w:r w:rsidR="00F23238">
        <w:rPr>
          <w:sz w:val="24"/>
          <w:szCs w:val="24"/>
        </w:rPr>
        <w:t xml:space="preserve"> livre risco</w:t>
      </w:r>
      <w:r w:rsidR="00C550BB" w:rsidRPr="00C550BB">
        <w:rPr>
          <w:sz w:val="24"/>
          <w:szCs w:val="24"/>
        </w:rPr>
        <w:t xml:space="preserve"> americana como padrão para estimação do retorno de outros países, e analisa o efeito</w:t>
      </w:r>
      <w:r w:rsidR="00F23238">
        <w:rPr>
          <w:sz w:val="24"/>
          <w:szCs w:val="24"/>
        </w:rPr>
        <w:t xml:space="preserve"> das diferentes taxas livres de risco</w:t>
      </w:r>
      <w:r w:rsidR="00C550BB" w:rsidRPr="00C550BB">
        <w:rPr>
          <w:sz w:val="24"/>
          <w:szCs w:val="24"/>
        </w:rPr>
        <w:t xml:space="preserve"> para cada economia</w:t>
      </w:r>
      <w:r w:rsidR="00F23238">
        <w:rPr>
          <w:sz w:val="24"/>
          <w:szCs w:val="24"/>
        </w:rPr>
        <w:t xml:space="preserve"> da amostra</w:t>
      </w:r>
      <w:r w:rsidR="00C550BB" w:rsidRPr="00C550BB">
        <w:rPr>
          <w:sz w:val="24"/>
          <w:szCs w:val="24"/>
        </w:rPr>
        <w:t xml:space="preserve">, visando verificar a atratividade das ações em cada </w:t>
      </w:r>
      <w:r w:rsidR="00F23238">
        <w:rPr>
          <w:sz w:val="24"/>
          <w:szCs w:val="24"/>
        </w:rPr>
        <w:t>uma dessas</w:t>
      </w:r>
      <w:r w:rsidR="00C550BB" w:rsidRPr="00C550BB">
        <w:rPr>
          <w:sz w:val="24"/>
          <w:szCs w:val="24"/>
        </w:rPr>
        <w:t xml:space="preserve">. </w:t>
      </w:r>
    </w:p>
    <w:p w14:paraId="3B93089B" w14:textId="5CBF4656" w:rsidR="00C550BB" w:rsidRPr="00C550BB" w:rsidRDefault="00C550BB" w:rsidP="00C550BB">
      <w:pPr>
        <w:pStyle w:val="Ttulo1"/>
        <w:jc w:val="both"/>
        <w:rPr>
          <w:rFonts w:cs="Times New Roman"/>
          <w:szCs w:val="24"/>
        </w:rPr>
      </w:pPr>
      <w:r w:rsidRPr="00C550BB">
        <w:rPr>
          <w:rFonts w:cs="Times New Roman"/>
          <w:szCs w:val="24"/>
        </w:rPr>
        <w:t xml:space="preserve">REVISÃO DA LITERATURA </w:t>
      </w:r>
    </w:p>
    <w:p w14:paraId="12BDFA21" w14:textId="48AB9440" w:rsidR="00C550BB" w:rsidRPr="00C550BB" w:rsidRDefault="00C550BB" w:rsidP="00C550BB">
      <w:pPr>
        <w:ind w:firstLine="709"/>
        <w:jc w:val="both"/>
        <w:rPr>
          <w:sz w:val="24"/>
          <w:szCs w:val="24"/>
        </w:rPr>
      </w:pPr>
      <w:r w:rsidRPr="00C550BB">
        <w:rPr>
          <w:sz w:val="24"/>
          <w:szCs w:val="24"/>
        </w:rPr>
        <w:t xml:space="preserve">A revisão de literatura abordará os principais temas de estudos, primeiramente fazendo referência quanto à taxa livre de risco, e comentando sobre suas definições e mensurações, principalmente com as ideias de </w:t>
      </w:r>
      <w:proofErr w:type="spellStart"/>
      <w:r w:rsidRPr="00C550BB">
        <w:rPr>
          <w:sz w:val="24"/>
          <w:szCs w:val="24"/>
        </w:rPr>
        <w:t>Damodaran</w:t>
      </w:r>
      <w:proofErr w:type="spellEnd"/>
      <w:r w:rsidRPr="00C550BB">
        <w:rPr>
          <w:sz w:val="24"/>
          <w:szCs w:val="24"/>
        </w:rPr>
        <w:t>, que é um dos poucos autores que investigou</w:t>
      </w:r>
      <w:r w:rsidR="007438B4">
        <w:rPr>
          <w:sz w:val="24"/>
          <w:szCs w:val="24"/>
        </w:rPr>
        <w:t xml:space="preserve"> a</w:t>
      </w:r>
      <w:r w:rsidRPr="00C550BB">
        <w:rPr>
          <w:sz w:val="24"/>
          <w:szCs w:val="24"/>
        </w:rPr>
        <w:t xml:space="preserve"> temática. Após é abordado uma contextualização do que é o risco, e de quanto este está relacionado ao mercado (sistêmico) e ao ativo (idiossincrático), dentro do contexto financeiro.</w:t>
      </w:r>
    </w:p>
    <w:p w14:paraId="1D3172F9" w14:textId="77777777" w:rsidR="00C550BB" w:rsidRPr="00C550BB" w:rsidRDefault="00C550BB" w:rsidP="00C550BB">
      <w:pPr>
        <w:pStyle w:val="Ttulo2"/>
        <w:jc w:val="both"/>
        <w:rPr>
          <w:rFonts w:ascii="Times New Roman" w:hAnsi="Times New Roman" w:cs="Times New Roman"/>
          <w:szCs w:val="24"/>
        </w:rPr>
      </w:pPr>
      <w:r w:rsidRPr="00C550BB">
        <w:rPr>
          <w:rFonts w:ascii="Times New Roman" w:hAnsi="Times New Roman" w:cs="Times New Roman"/>
          <w:szCs w:val="24"/>
        </w:rPr>
        <w:t xml:space="preserve">Taxa Livre de Risco </w:t>
      </w:r>
    </w:p>
    <w:p w14:paraId="0D1469AA" w14:textId="539B4E60" w:rsidR="00C550BB" w:rsidRPr="00C550BB" w:rsidRDefault="00C550BB" w:rsidP="00947137">
      <w:pPr>
        <w:ind w:firstLine="709"/>
        <w:jc w:val="both"/>
        <w:rPr>
          <w:sz w:val="24"/>
          <w:szCs w:val="24"/>
        </w:rPr>
      </w:pPr>
      <w:r w:rsidRPr="007F59B1">
        <w:rPr>
          <w:sz w:val="24"/>
          <w:szCs w:val="24"/>
          <w:shd w:val="clear" w:color="auto" w:fill="FFFFFF"/>
        </w:rPr>
        <w:t xml:space="preserve">Os modelos </w:t>
      </w:r>
      <w:r w:rsidR="00B77AEE" w:rsidRPr="007F59B1">
        <w:rPr>
          <w:sz w:val="24"/>
          <w:szCs w:val="24"/>
          <w:shd w:val="clear" w:color="auto" w:fill="FFFFFF"/>
        </w:rPr>
        <w:t>de precificação de ativos financeiros assumem a existência da</w:t>
      </w:r>
      <w:r w:rsidRPr="007F59B1">
        <w:rPr>
          <w:sz w:val="24"/>
          <w:szCs w:val="24"/>
          <w:shd w:val="clear" w:color="auto" w:fill="FFFFFF"/>
        </w:rPr>
        <w:t xml:space="preserve"> taxa livre de risco, </w:t>
      </w:r>
      <w:r w:rsidR="00B77AEE" w:rsidRPr="007F59B1">
        <w:rPr>
          <w:sz w:val="24"/>
          <w:szCs w:val="24"/>
          <w:shd w:val="clear" w:color="auto" w:fill="FFFFFF"/>
        </w:rPr>
        <w:t>que teve o começo de sua discussão por Fisher (1954),</w:t>
      </w:r>
      <w:r w:rsidR="007F59B1" w:rsidRPr="007F59B1">
        <w:rPr>
          <w:sz w:val="24"/>
          <w:szCs w:val="24"/>
          <w:shd w:val="clear" w:color="auto" w:fill="FFFFFF"/>
        </w:rPr>
        <w:t xml:space="preserve"> </w:t>
      </w:r>
      <w:r w:rsidR="00B77AEE" w:rsidRPr="007F59B1">
        <w:rPr>
          <w:sz w:val="24"/>
          <w:szCs w:val="24"/>
          <w:shd w:val="clear" w:color="auto" w:fill="FFFFFF"/>
        </w:rPr>
        <w:t xml:space="preserve">que caracteriza um ativo de </w:t>
      </w:r>
      <w:r w:rsidR="007F59B1" w:rsidRPr="007F59B1">
        <w:rPr>
          <w:sz w:val="24"/>
          <w:szCs w:val="24"/>
          <w:shd w:val="clear" w:color="auto" w:fill="FFFFFF"/>
        </w:rPr>
        <w:t>retorno esperado conhecido. A</w:t>
      </w:r>
      <w:r w:rsidRPr="007F59B1">
        <w:rPr>
          <w:sz w:val="24"/>
          <w:szCs w:val="24"/>
          <w:shd w:val="clear" w:color="auto" w:fill="FFFFFF"/>
        </w:rPr>
        <w:t xml:space="preserve"> mensuração dos retornos para ativos que possuem algum grau de risco, </w:t>
      </w:r>
      <w:r w:rsidR="007F59B1" w:rsidRPr="007F59B1">
        <w:rPr>
          <w:sz w:val="24"/>
          <w:szCs w:val="24"/>
          <w:shd w:val="clear" w:color="auto" w:fill="FFFFFF"/>
        </w:rPr>
        <w:t xml:space="preserve">é realizado a partir do acréscimo de um prêmio pelo risco </w:t>
      </w:r>
      <w:r w:rsidRPr="007F59B1">
        <w:rPr>
          <w:sz w:val="24"/>
          <w:szCs w:val="24"/>
          <w:shd w:val="clear" w:color="auto" w:fill="FFFFFF"/>
        </w:rPr>
        <w:t xml:space="preserve">à </w:t>
      </w:r>
      <w:r w:rsidR="007F59B1" w:rsidRPr="007F59B1">
        <w:rPr>
          <w:sz w:val="24"/>
          <w:szCs w:val="24"/>
          <w:shd w:val="clear" w:color="auto" w:fill="FFFFFF"/>
        </w:rPr>
        <w:t xml:space="preserve">esta taxa </w:t>
      </w:r>
      <w:r w:rsidR="00947137">
        <w:rPr>
          <w:sz w:val="24"/>
          <w:szCs w:val="24"/>
        </w:rPr>
        <w:t>(</w:t>
      </w:r>
      <w:proofErr w:type="spellStart"/>
      <w:r w:rsidR="00947137">
        <w:rPr>
          <w:sz w:val="24"/>
          <w:szCs w:val="24"/>
        </w:rPr>
        <w:t>Damodaran</w:t>
      </w:r>
      <w:proofErr w:type="spellEnd"/>
      <w:r w:rsidR="00947137">
        <w:rPr>
          <w:sz w:val="24"/>
          <w:szCs w:val="24"/>
        </w:rPr>
        <w:t xml:space="preserve">, 2008). A aplicação dos modelos de precificação de ativos financeiros só é possível com a </w:t>
      </w:r>
      <w:r w:rsidRPr="007F59B1">
        <w:rPr>
          <w:sz w:val="24"/>
          <w:szCs w:val="24"/>
        </w:rPr>
        <w:t xml:space="preserve">existência </w:t>
      </w:r>
      <w:r w:rsidR="00947137">
        <w:rPr>
          <w:sz w:val="24"/>
          <w:szCs w:val="24"/>
        </w:rPr>
        <w:t>d</w:t>
      </w:r>
      <w:r w:rsidRPr="007F59B1">
        <w:rPr>
          <w:sz w:val="24"/>
          <w:szCs w:val="24"/>
        </w:rPr>
        <w:t>a taxa</w:t>
      </w:r>
      <w:r w:rsidR="00947137">
        <w:rPr>
          <w:sz w:val="24"/>
          <w:szCs w:val="24"/>
        </w:rPr>
        <w:t xml:space="preserve"> livre de risco na economia</w:t>
      </w:r>
      <w:r w:rsidRPr="007F59B1">
        <w:rPr>
          <w:sz w:val="24"/>
          <w:szCs w:val="24"/>
        </w:rPr>
        <w:t xml:space="preserve">, </w:t>
      </w:r>
      <w:r w:rsidR="00947137">
        <w:rPr>
          <w:sz w:val="24"/>
          <w:szCs w:val="24"/>
        </w:rPr>
        <w:t xml:space="preserve">uma vez que a mesma </w:t>
      </w:r>
      <w:r w:rsidRPr="007F59B1">
        <w:rPr>
          <w:sz w:val="24"/>
          <w:szCs w:val="24"/>
        </w:rPr>
        <w:t xml:space="preserve">é preceito base para </w:t>
      </w:r>
      <w:r w:rsidR="00947137">
        <w:rPr>
          <w:sz w:val="24"/>
          <w:szCs w:val="24"/>
        </w:rPr>
        <w:t>as estimações do retorno da ação</w:t>
      </w:r>
      <w:r w:rsidRPr="007F59B1">
        <w:rPr>
          <w:sz w:val="24"/>
          <w:szCs w:val="24"/>
        </w:rPr>
        <w:t xml:space="preserve">, sendo </w:t>
      </w:r>
      <w:r w:rsidR="00947137">
        <w:rPr>
          <w:sz w:val="24"/>
          <w:szCs w:val="24"/>
        </w:rPr>
        <w:t xml:space="preserve">que esta taxa em especifico deve ser de fácil </w:t>
      </w:r>
      <w:r w:rsidRPr="007F59B1">
        <w:rPr>
          <w:sz w:val="24"/>
          <w:szCs w:val="24"/>
        </w:rPr>
        <w:t>observação</w:t>
      </w:r>
      <w:r w:rsidR="00947137">
        <w:rPr>
          <w:sz w:val="24"/>
          <w:szCs w:val="24"/>
        </w:rPr>
        <w:t xml:space="preserve"> e possuir os pressupostos teóricos necessários </w:t>
      </w:r>
      <w:r w:rsidRPr="007F59B1">
        <w:rPr>
          <w:sz w:val="24"/>
          <w:szCs w:val="24"/>
        </w:rPr>
        <w:t>(</w:t>
      </w:r>
      <w:r w:rsidR="00947137">
        <w:rPr>
          <w:sz w:val="24"/>
          <w:szCs w:val="24"/>
        </w:rPr>
        <w:t xml:space="preserve">Fama, Barros &amp; Silveira, 2001). Para Marques (2010) </w:t>
      </w:r>
      <w:r w:rsidRPr="007F59B1">
        <w:rPr>
          <w:sz w:val="24"/>
          <w:szCs w:val="24"/>
        </w:rPr>
        <w:t xml:space="preserve">a taxa livre de risco dentro dos modelos representa a taxa de investimento normal que se dispõe a qualquer investidor. </w:t>
      </w:r>
    </w:p>
    <w:p w14:paraId="632662DE" w14:textId="66EE10B4" w:rsidR="00C550BB" w:rsidRPr="00C550BB" w:rsidRDefault="00C550BB" w:rsidP="00C550BB">
      <w:pPr>
        <w:ind w:firstLine="709"/>
        <w:jc w:val="both"/>
        <w:rPr>
          <w:sz w:val="24"/>
          <w:szCs w:val="24"/>
        </w:rPr>
      </w:pPr>
      <w:r w:rsidRPr="00C550BB">
        <w:rPr>
          <w:sz w:val="24"/>
          <w:szCs w:val="24"/>
        </w:rPr>
        <w:t>De forma geral a taxa livre de risco é a taxa sobre os ativos e empréstimos que é isenta de risco (Fisher, 1954). Para Assaf Neto et al. (2008) esta taxa deve corresponder à certeza de cumprimento à obrigação de remuneração, por parte do comitente, do agente e de encargos financeiros, de acordo com os vencimentos p</w:t>
      </w:r>
      <w:r w:rsidR="00947137">
        <w:rPr>
          <w:sz w:val="24"/>
          <w:szCs w:val="24"/>
        </w:rPr>
        <w:t>ré-estabelecidos. A</w:t>
      </w:r>
      <w:r w:rsidRPr="00C550BB">
        <w:rPr>
          <w:sz w:val="24"/>
          <w:szCs w:val="24"/>
        </w:rPr>
        <w:t xml:space="preserve"> taxa </w:t>
      </w:r>
      <w:r w:rsidR="00947137">
        <w:rPr>
          <w:sz w:val="24"/>
          <w:szCs w:val="24"/>
        </w:rPr>
        <w:t xml:space="preserve">livre de risco </w:t>
      </w:r>
      <w:r w:rsidRPr="00C550BB">
        <w:rPr>
          <w:sz w:val="24"/>
          <w:szCs w:val="24"/>
        </w:rPr>
        <w:t>é igual e sem risco de incumprimento para todos os usuários, sendo emprestada indistintamente por todos</w:t>
      </w:r>
      <w:r w:rsidR="00947137" w:rsidRPr="00947137">
        <w:rPr>
          <w:sz w:val="24"/>
          <w:szCs w:val="24"/>
        </w:rPr>
        <w:t xml:space="preserve"> </w:t>
      </w:r>
      <w:r w:rsidR="00947137">
        <w:rPr>
          <w:sz w:val="24"/>
          <w:szCs w:val="24"/>
        </w:rPr>
        <w:t>(</w:t>
      </w:r>
      <w:r w:rsidR="00947137" w:rsidRPr="00C550BB">
        <w:rPr>
          <w:sz w:val="24"/>
          <w:szCs w:val="24"/>
        </w:rPr>
        <w:t>Fama et al.</w:t>
      </w:r>
      <w:r w:rsidR="00947137">
        <w:rPr>
          <w:sz w:val="24"/>
          <w:szCs w:val="24"/>
        </w:rPr>
        <w:t>,</w:t>
      </w:r>
      <w:r w:rsidR="00947137" w:rsidRPr="00C550BB">
        <w:rPr>
          <w:sz w:val="24"/>
          <w:szCs w:val="24"/>
        </w:rPr>
        <w:t xml:space="preserve"> 2002)</w:t>
      </w:r>
      <w:r w:rsidRPr="00C550BB">
        <w:rPr>
          <w:sz w:val="24"/>
          <w:szCs w:val="24"/>
        </w:rPr>
        <w:t xml:space="preserve">. Sharpe (1964) à define como sendo o preço do tempo. Para </w:t>
      </w:r>
      <w:proofErr w:type="spellStart"/>
      <w:r w:rsidRPr="00C550BB">
        <w:rPr>
          <w:sz w:val="24"/>
          <w:szCs w:val="24"/>
        </w:rPr>
        <w:t>Copeland</w:t>
      </w:r>
      <w:proofErr w:type="spellEnd"/>
      <w:r w:rsidRPr="00C550BB">
        <w:rPr>
          <w:sz w:val="24"/>
          <w:szCs w:val="24"/>
        </w:rPr>
        <w:t xml:space="preserve"> et al. (1995) é o retorno de uma carteira com beta igual à zero, que não tem relação com o mercado, não está ligada a esse. </w:t>
      </w:r>
    </w:p>
    <w:p w14:paraId="52ABBCC2" w14:textId="4B2AF937" w:rsidR="00C550BB" w:rsidRPr="00C550BB" w:rsidRDefault="00C550BB" w:rsidP="00C550BB">
      <w:pPr>
        <w:ind w:firstLine="709"/>
        <w:jc w:val="both"/>
        <w:rPr>
          <w:sz w:val="24"/>
          <w:szCs w:val="24"/>
          <w:shd w:val="clear" w:color="auto" w:fill="FFFFFF"/>
        </w:rPr>
      </w:pPr>
      <w:r w:rsidRPr="00C550BB">
        <w:rPr>
          <w:sz w:val="24"/>
          <w:szCs w:val="24"/>
        </w:rPr>
        <w:t xml:space="preserve">Para </w:t>
      </w:r>
      <w:proofErr w:type="spellStart"/>
      <w:r w:rsidRPr="00C550BB">
        <w:rPr>
          <w:sz w:val="24"/>
          <w:szCs w:val="24"/>
        </w:rPr>
        <w:t>Damod</w:t>
      </w:r>
      <w:r w:rsidR="00947137">
        <w:rPr>
          <w:sz w:val="24"/>
          <w:szCs w:val="24"/>
        </w:rPr>
        <w:t>aran</w:t>
      </w:r>
      <w:proofErr w:type="spellEnd"/>
      <w:r w:rsidR="00947137">
        <w:rPr>
          <w:sz w:val="24"/>
          <w:szCs w:val="24"/>
        </w:rPr>
        <w:t xml:space="preserve"> (1999) e Sharpe, Alexander,</w:t>
      </w:r>
      <w:r w:rsidRPr="00C550BB">
        <w:rPr>
          <w:sz w:val="24"/>
          <w:szCs w:val="24"/>
        </w:rPr>
        <w:t xml:space="preserve"> </w:t>
      </w:r>
      <w:proofErr w:type="spellStart"/>
      <w:r w:rsidRPr="00C550BB">
        <w:rPr>
          <w:sz w:val="24"/>
          <w:szCs w:val="24"/>
        </w:rPr>
        <w:t>Bailey</w:t>
      </w:r>
      <w:proofErr w:type="spellEnd"/>
      <w:r w:rsidRPr="00C550BB">
        <w:rPr>
          <w:sz w:val="24"/>
          <w:szCs w:val="24"/>
        </w:rPr>
        <w:t xml:space="preserve"> (1999), a taxa li</w:t>
      </w:r>
      <w:r w:rsidR="00947137">
        <w:rPr>
          <w:sz w:val="24"/>
          <w:szCs w:val="24"/>
        </w:rPr>
        <w:t>vre de risco exige retorno fixo e</w:t>
      </w:r>
      <w:r w:rsidRPr="00C550BB">
        <w:rPr>
          <w:sz w:val="24"/>
          <w:szCs w:val="24"/>
        </w:rPr>
        <w:t xml:space="preserve"> ausência de risco de inadimplência, tal ponto induz à títulos do governo, por pertencer à entidade emissora da moeda nacional. </w:t>
      </w:r>
      <w:r w:rsidRPr="00C550BB">
        <w:rPr>
          <w:sz w:val="24"/>
          <w:szCs w:val="24"/>
          <w:shd w:val="clear" w:color="auto" w:fill="FFFFFF"/>
        </w:rPr>
        <w:t xml:space="preserve">Para </w:t>
      </w:r>
      <w:proofErr w:type="spellStart"/>
      <w:r w:rsidRPr="00C550BB">
        <w:rPr>
          <w:sz w:val="24"/>
          <w:szCs w:val="24"/>
          <w:shd w:val="clear" w:color="auto" w:fill="FFFFFF"/>
        </w:rPr>
        <w:t>Damodaran</w:t>
      </w:r>
      <w:proofErr w:type="spellEnd"/>
      <w:r w:rsidRPr="00C550BB">
        <w:rPr>
          <w:sz w:val="24"/>
          <w:szCs w:val="24"/>
          <w:shd w:val="clear" w:color="auto" w:fill="FFFFFF"/>
        </w:rPr>
        <w:t xml:space="preserve"> (1999; 2008)</w:t>
      </w:r>
      <w:r w:rsidR="0007205D">
        <w:rPr>
          <w:sz w:val="24"/>
          <w:szCs w:val="24"/>
          <w:shd w:val="clear" w:color="auto" w:fill="FFFFFF"/>
        </w:rPr>
        <w:t>, de modo ligeiramente diferente,</w:t>
      </w:r>
      <w:r w:rsidRPr="00C550BB">
        <w:rPr>
          <w:sz w:val="24"/>
          <w:szCs w:val="24"/>
          <w:shd w:val="clear" w:color="auto" w:fill="FFFFFF"/>
        </w:rPr>
        <w:t xml:space="preserve"> um ativo é livre de risco se atender a duas condições básicas: (i) não haver risco de inadimplência, o que exclui títulos pertencentes às empresas privadas, pois até grandes organizações possuem um risco de incumprimento, deixando o </w:t>
      </w:r>
      <w:proofErr w:type="spellStart"/>
      <w:r w:rsidRPr="00C550BB">
        <w:rPr>
          <w:sz w:val="24"/>
          <w:szCs w:val="24"/>
          <w:shd w:val="clear" w:color="auto" w:fill="FFFFFF"/>
        </w:rPr>
        <w:t>incumbimento</w:t>
      </w:r>
      <w:proofErr w:type="spellEnd"/>
      <w:r w:rsidRPr="00C550BB">
        <w:rPr>
          <w:sz w:val="24"/>
          <w:szCs w:val="24"/>
          <w:shd w:val="clear" w:color="auto" w:fill="FFFFFF"/>
        </w:rPr>
        <w:t xml:space="preserve"> desta </w:t>
      </w:r>
      <w:r w:rsidRPr="00C550BB">
        <w:rPr>
          <w:sz w:val="24"/>
          <w:szCs w:val="24"/>
          <w:shd w:val="clear" w:color="auto" w:fill="FFFFFF"/>
        </w:rPr>
        <w:lastRenderedPageBreak/>
        <w:t>taxa para títulos do governo, que controlam a emissão da moeda; e (</w:t>
      </w:r>
      <w:proofErr w:type="spellStart"/>
      <w:r w:rsidRPr="00C550BB">
        <w:rPr>
          <w:sz w:val="24"/>
          <w:szCs w:val="24"/>
          <w:shd w:val="clear" w:color="auto" w:fill="FFFFFF"/>
        </w:rPr>
        <w:t>ii</w:t>
      </w:r>
      <w:proofErr w:type="spellEnd"/>
      <w:r w:rsidRPr="00C550BB">
        <w:rPr>
          <w:sz w:val="24"/>
          <w:szCs w:val="24"/>
          <w:shd w:val="clear" w:color="auto" w:fill="FFFFFF"/>
        </w:rPr>
        <w:t>) o ativo não pode haver risco de reinvestimento.</w:t>
      </w:r>
    </w:p>
    <w:p w14:paraId="21753DB6" w14:textId="77777777" w:rsidR="00C550BB" w:rsidRPr="00C550BB" w:rsidRDefault="00C550BB" w:rsidP="00C550BB">
      <w:pPr>
        <w:ind w:firstLine="709"/>
        <w:jc w:val="both"/>
        <w:rPr>
          <w:sz w:val="24"/>
          <w:szCs w:val="24"/>
        </w:rPr>
      </w:pPr>
      <w:r w:rsidRPr="00C550BB">
        <w:rPr>
          <w:sz w:val="24"/>
          <w:szCs w:val="24"/>
          <w:shd w:val="clear" w:color="auto" w:fill="FFFFFF"/>
        </w:rPr>
        <w:t xml:space="preserve">Para Marques (2010) a taxa livre de risco permite aos investidores a comparação entre os retornos adicionais de diferentes investimentos, ou ainda somente o investimento pelo retorno disponível no mercado. </w:t>
      </w:r>
      <w:r w:rsidRPr="00C550BB">
        <w:rPr>
          <w:sz w:val="24"/>
          <w:szCs w:val="24"/>
        </w:rPr>
        <w:t>A taxa livre de risco, por ser um título do governo nacional, diferente para cada país, traz a preocupação da sua padronização, na qual se tem a distinção desta taxa para as particularidades nacionais e econômicas.</w:t>
      </w:r>
    </w:p>
    <w:p w14:paraId="29CD43CA" w14:textId="105ACA18" w:rsidR="00C550BB" w:rsidRPr="00C550BB" w:rsidRDefault="00C550BB" w:rsidP="00C550BB">
      <w:pPr>
        <w:ind w:firstLine="709"/>
        <w:jc w:val="both"/>
        <w:rPr>
          <w:sz w:val="24"/>
          <w:szCs w:val="24"/>
        </w:rPr>
      </w:pPr>
      <w:r w:rsidRPr="00C550BB">
        <w:rPr>
          <w:sz w:val="24"/>
          <w:szCs w:val="24"/>
        </w:rPr>
        <w:t>Essas diferenças</w:t>
      </w:r>
      <w:r w:rsidR="002A28FA">
        <w:rPr>
          <w:sz w:val="24"/>
          <w:szCs w:val="24"/>
        </w:rPr>
        <w:t xml:space="preserve"> entre as taxas livres de risco</w:t>
      </w:r>
      <w:r w:rsidRPr="00C550BB">
        <w:rPr>
          <w:sz w:val="24"/>
          <w:szCs w:val="24"/>
        </w:rPr>
        <w:t xml:space="preserve"> derivam entre outras razões da influência da inflação, </w:t>
      </w:r>
      <w:r w:rsidR="002A28FA">
        <w:rPr>
          <w:sz w:val="24"/>
          <w:szCs w:val="24"/>
        </w:rPr>
        <w:t xml:space="preserve">baixa e </w:t>
      </w:r>
      <w:r w:rsidRPr="00C550BB">
        <w:rPr>
          <w:sz w:val="24"/>
          <w:szCs w:val="24"/>
        </w:rPr>
        <w:t xml:space="preserve">equilibrada ou alta e instável, que tem suas </w:t>
      </w:r>
      <w:r w:rsidR="00E0170B">
        <w:rPr>
          <w:sz w:val="24"/>
          <w:szCs w:val="24"/>
        </w:rPr>
        <w:t xml:space="preserve">variações </w:t>
      </w:r>
      <w:r w:rsidRPr="00C550BB">
        <w:rPr>
          <w:sz w:val="24"/>
          <w:szCs w:val="24"/>
        </w:rPr>
        <w:t>mensuradas à valores reais (</w:t>
      </w:r>
      <w:proofErr w:type="spellStart"/>
      <w:r w:rsidRPr="00C550BB">
        <w:rPr>
          <w:sz w:val="24"/>
          <w:szCs w:val="24"/>
        </w:rPr>
        <w:t>Damodaran</w:t>
      </w:r>
      <w:proofErr w:type="spellEnd"/>
      <w:r w:rsidRPr="00C550BB">
        <w:rPr>
          <w:sz w:val="24"/>
          <w:szCs w:val="24"/>
        </w:rPr>
        <w:t xml:space="preserve">, 1999). O autor cita os Estados Unidos da América como o único país que tem uma taxa realmente livre de risco, pois possui expectativas de inflação </w:t>
      </w:r>
      <w:r w:rsidR="00E0170B">
        <w:rPr>
          <w:sz w:val="24"/>
          <w:szCs w:val="24"/>
        </w:rPr>
        <w:t xml:space="preserve">baixa e </w:t>
      </w:r>
      <w:r w:rsidRPr="00C550BB">
        <w:rPr>
          <w:sz w:val="24"/>
          <w:szCs w:val="24"/>
        </w:rPr>
        <w:t>estável</w:t>
      </w:r>
      <w:r w:rsidR="00E0170B">
        <w:rPr>
          <w:sz w:val="24"/>
          <w:szCs w:val="24"/>
        </w:rPr>
        <w:t>, porém as pesquisas e aplicações dos modelos de precificação de ativos não ocorrem só em contexto americano e sim em diversos contextos e países</w:t>
      </w:r>
      <w:r w:rsidRPr="00C550BB">
        <w:rPr>
          <w:sz w:val="24"/>
          <w:szCs w:val="24"/>
        </w:rPr>
        <w:t xml:space="preserve">. </w:t>
      </w:r>
      <w:r w:rsidR="00E0170B">
        <w:rPr>
          <w:sz w:val="24"/>
          <w:szCs w:val="24"/>
        </w:rPr>
        <w:t>Dentre estes contextos tem-se</w:t>
      </w:r>
      <w:r w:rsidRPr="00C550BB">
        <w:rPr>
          <w:sz w:val="24"/>
          <w:szCs w:val="24"/>
        </w:rPr>
        <w:t xml:space="preserve"> os mercados que não possuem essa </w:t>
      </w:r>
      <w:r w:rsidR="00E0170B">
        <w:rPr>
          <w:sz w:val="24"/>
          <w:szCs w:val="24"/>
        </w:rPr>
        <w:t xml:space="preserve">taxa livre de risco </w:t>
      </w:r>
      <w:r w:rsidRPr="00C550BB">
        <w:rPr>
          <w:sz w:val="24"/>
          <w:szCs w:val="24"/>
        </w:rPr>
        <w:t xml:space="preserve">padrão indexados à inflação, </w:t>
      </w:r>
      <w:r w:rsidR="00E0170B">
        <w:rPr>
          <w:sz w:val="24"/>
          <w:szCs w:val="24"/>
        </w:rPr>
        <w:t xml:space="preserve">logo estes mercados </w:t>
      </w:r>
      <w:r w:rsidRPr="00C550BB">
        <w:rPr>
          <w:sz w:val="24"/>
          <w:szCs w:val="24"/>
        </w:rPr>
        <w:t>deve</w:t>
      </w:r>
      <w:r w:rsidR="00E0170B">
        <w:rPr>
          <w:sz w:val="24"/>
          <w:szCs w:val="24"/>
        </w:rPr>
        <w:t>m</w:t>
      </w:r>
      <w:r w:rsidRPr="00C550BB">
        <w:rPr>
          <w:sz w:val="24"/>
          <w:szCs w:val="24"/>
        </w:rPr>
        <w:t xml:space="preserve"> reconhecer uma representativa desta por meio de dois argumentos: utilização da taxa americana, </w:t>
      </w:r>
      <w:r w:rsidR="00E0170B">
        <w:rPr>
          <w:sz w:val="24"/>
          <w:szCs w:val="24"/>
        </w:rPr>
        <w:t xml:space="preserve">visto que segundo o autor </w:t>
      </w:r>
      <w:r w:rsidRPr="00C550BB">
        <w:rPr>
          <w:sz w:val="24"/>
          <w:szCs w:val="24"/>
        </w:rPr>
        <w:t xml:space="preserve">essa taxa </w:t>
      </w:r>
      <w:r w:rsidR="00E0170B">
        <w:rPr>
          <w:sz w:val="24"/>
          <w:szCs w:val="24"/>
        </w:rPr>
        <w:t xml:space="preserve">como realmente padrão deve ser </w:t>
      </w:r>
      <w:r w:rsidRPr="00C550BB">
        <w:rPr>
          <w:sz w:val="24"/>
          <w:szCs w:val="24"/>
        </w:rPr>
        <w:t>aceitável para todos os títulos negociados</w:t>
      </w:r>
      <w:r w:rsidR="00E0170B">
        <w:rPr>
          <w:sz w:val="24"/>
          <w:szCs w:val="24"/>
        </w:rPr>
        <w:t xml:space="preserve"> independente do mercado</w:t>
      </w:r>
      <w:r w:rsidRPr="00C550BB">
        <w:rPr>
          <w:sz w:val="24"/>
          <w:szCs w:val="24"/>
        </w:rPr>
        <w:t>, ou assumir uma taxa igual a taxa de crescimento nacional real esperada (</w:t>
      </w:r>
      <w:proofErr w:type="spellStart"/>
      <w:r w:rsidRPr="00C550BB">
        <w:rPr>
          <w:sz w:val="24"/>
          <w:szCs w:val="24"/>
        </w:rPr>
        <w:t>Damodaran</w:t>
      </w:r>
      <w:proofErr w:type="spellEnd"/>
      <w:r w:rsidRPr="00C550BB">
        <w:rPr>
          <w:sz w:val="24"/>
          <w:szCs w:val="24"/>
        </w:rPr>
        <w:t>, 1999).</w:t>
      </w:r>
    </w:p>
    <w:p w14:paraId="35B02BC8" w14:textId="0D066927" w:rsidR="00C550BB" w:rsidRPr="00C550BB" w:rsidRDefault="00C550BB" w:rsidP="00E0170B">
      <w:pPr>
        <w:ind w:firstLine="709"/>
        <w:jc w:val="both"/>
      </w:pPr>
      <w:r w:rsidRPr="00C550BB">
        <w:rPr>
          <w:sz w:val="24"/>
          <w:szCs w:val="24"/>
        </w:rPr>
        <w:t xml:space="preserve">Para Fisher (1954) a estimação mais correta para a taxa livre de risco seria de títulos sem risco, com vencimentos fixo e intrasferíveis antes do vencimento. Para o autor, desta forma, sem a </w:t>
      </w:r>
      <w:r w:rsidRPr="00E0170B">
        <w:rPr>
          <w:sz w:val="24"/>
          <w:szCs w:val="24"/>
        </w:rPr>
        <w:t>possível troca do título por dinheiro, a remuneração por esperar pode ser feita de forma adequada.</w:t>
      </w:r>
      <w:r w:rsidR="00E0170B" w:rsidRPr="00E0170B">
        <w:rPr>
          <w:sz w:val="24"/>
          <w:szCs w:val="24"/>
        </w:rPr>
        <w:t xml:space="preserve"> </w:t>
      </w:r>
      <w:r w:rsidRPr="00E0170B">
        <w:rPr>
          <w:sz w:val="24"/>
          <w:szCs w:val="24"/>
        </w:rPr>
        <w:t>Como contextualizado, a complexidade implícita da aproximação desta taxa para diferentes países,</w:t>
      </w:r>
      <w:r w:rsidR="00E0170B">
        <w:rPr>
          <w:sz w:val="24"/>
          <w:szCs w:val="24"/>
        </w:rPr>
        <w:t xml:space="preserve"> é</w:t>
      </w:r>
      <w:r w:rsidRPr="00E0170B">
        <w:rPr>
          <w:sz w:val="24"/>
          <w:szCs w:val="24"/>
        </w:rPr>
        <w:t xml:space="preserve"> destaca</w:t>
      </w:r>
      <w:r w:rsidR="00E0170B">
        <w:rPr>
          <w:sz w:val="24"/>
          <w:szCs w:val="24"/>
        </w:rPr>
        <w:t xml:space="preserve">da para algumas situações de </w:t>
      </w:r>
      <w:r w:rsidRPr="00E0170B">
        <w:rPr>
          <w:sz w:val="24"/>
          <w:szCs w:val="24"/>
        </w:rPr>
        <w:t xml:space="preserve">economias emergentes e desenvolvidas. Para </w:t>
      </w:r>
      <w:proofErr w:type="spellStart"/>
      <w:r w:rsidRPr="00E0170B">
        <w:rPr>
          <w:sz w:val="24"/>
          <w:szCs w:val="24"/>
        </w:rPr>
        <w:t>Damodaran</w:t>
      </w:r>
      <w:proofErr w:type="spellEnd"/>
      <w:r w:rsidRPr="00E0170B">
        <w:rPr>
          <w:sz w:val="24"/>
          <w:szCs w:val="24"/>
        </w:rPr>
        <w:t xml:space="preserve"> (1999) os mercados desenvolvidos, nos quais os governos são tidos como entidade de livre padrão, não tem implicações complexas, já que asseguram o empréstimo na moeda local, e assim podem ter a taxa de títulos do governo como estimação da taxa livre de risco.</w:t>
      </w:r>
      <w:r w:rsidRPr="00E0170B">
        <w:rPr>
          <w:sz w:val="18"/>
        </w:rPr>
        <w:t xml:space="preserve"> </w:t>
      </w:r>
    </w:p>
    <w:p w14:paraId="428C7265" w14:textId="7855761A" w:rsidR="00C550BB" w:rsidRPr="00C550BB" w:rsidRDefault="00C550BB" w:rsidP="00C550BB">
      <w:pPr>
        <w:pStyle w:val="Textodocorpo20"/>
        <w:widowControl/>
        <w:shd w:val="clear" w:color="auto" w:fill="auto"/>
        <w:suppressAutoHyphens/>
        <w:spacing w:line="240" w:lineRule="auto"/>
        <w:ind w:firstLine="709"/>
      </w:pPr>
      <w:r w:rsidRPr="00C550BB">
        <w:t>Já os mercados emergentes, que não suportam a hipótese anterior, por não serem de total confiança quanto ao pagamento certo dos retornos, mesmo em empréstimos locais, tem grande dificuldade na estimação de suas taxas livre de juros, que nunc</w:t>
      </w:r>
      <w:r w:rsidR="00E0170B">
        <w:t xml:space="preserve">a é realmente fiel à definição </w:t>
      </w:r>
      <w:r w:rsidRPr="00C550BB">
        <w:t>(</w:t>
      </w:r>
      <w:proofErr w:type="spellStart"/>
      <w:r w:rsidRPr="00C550BB">
        <w:t>Damodaran</w:t>
      </w:r>
      <w:proofErr w:type="spellEnd"/>
      <w:r w:rsidRPr="00C550BB">
        <w:t>, 2008). Empresas que operam em mercados emergentes, por si só já tem conhecimento da exposição ao maior risco econômico, devido à instabilidade política e características econômicas, porém o prêmio pelo risco de investir é também maior nestes mercados (</w:t>
      </w:r>
      <w:proofErr w:type="spellStart"/>
      <w:r w:rsidRPr="00C550BB">
        <w:t>Roggi</w:t>
      </w:r>
      <w:proofErr w:type="spellEnd"/>
      <w:r w:rsidRPr="00C550BB">
        <w:t xml:space="preserve">, </w:t>
      </w:r>
      <w:proofErr w:type="spellStart"/>
      <w:r w:rsidRPr="00C550BB">
        <w:t>Damodaran</w:t>
      </w:r>
      <w:proofErr w:type="spellEnd"/>
      <w:r w:rsidRPr="00C550BB">
        <w:t xml:space="preserve"> &amp; </w:t>
      </w:r>
      <w:proofErr w:type="spellStart"/>
      <w:r w:rsidRPr="00C550BB">
        <w:t>Garvey</w:t>
      </w:r>
      <w:proofErr w:type="spellEnd"/>
      <w:r w:rsidRPr="00C550BB">
        <w:t xml:space="preserve">, 2012). </w:t>
      </w:r>
    </w:p>
    <w:p w14:paraId="210D6542" w14:textId="3C4E9254" w:rsidR="00C550BB" w:rsidRPr="00C550BB" w:rsidRDefault="00C550BB" w:rsidP="00C550BB">
      <w:pPr>
        <w:pStyle w:val="Textodocorpo20"/>
        <w:widowControl/>
        <w:shd w:val="clear" w:color="auto" w:fill="auto"/>
        <w:suppressAutoHyphens/>
        <w:spacing w:line="240" w:lineRule="auto"/>
        <w:ind w:firstLine="709"/>
      </w:pPr>
      <w:r w:rsidRPr="00C550BB">
        <w:t xml:space="preserve">Ainda para </w:t>
      </w:r>
      <w:proofErr w:type="spellStart"/>
      <w:r w:rsidRPr="00C550BB">
        <w:t>Roggi</w:t>
      </w:r>
      <w:proofErr w:type="spellEnd"/>
      <w:r w:rsidRPr="00C550BB">
        <w:t xml:space="preserve">, </w:t>
      </w:r>
      <w:proofErr w:type="spellStart"/>
      <w:r w:rsidRPr="00C550BB">
        <w:t>Giannozzi</w:t>
      </w:r>
      <w:proofErr w:type="spellEnd"/>
      <w:r w:rsidRPr="00C550BB">
        <w:t xml:space="preserve"> e </w:t>
      </w:r>
      <w:proofErr w:type="spellStart"/>
      <w:r w:rsidRPr="00C550BB">
        <w:t>Baglioni</w:t>
      </w:r>
      <w:proofErr w:type="spellEnd"/>
      <w:r w:rsidRPr="00C550BB">
        <w:t xml:space="preserve"> (2016) uma das características de mercados emergentes é a exposição a uma </w:t>
      </w:r>
      <w:r w:rsidR="008705F9">
        <w:t>quantidade notável</w:t>
      </w:r>
      <w:r w:rsidRPr="00C550BB">
        <w:t xml:space="preserve"> de riscos, </w:t>
      </w:r>
      <w:r w:rsidR="008705F9">
        <w:t xml:space="preserve">o qual </w:t>
      </w:r>
      <w:r w:rsidRPr="00C550BB">
        <w:t xml:space="preserve">não </w:t>
      </w:r>
      <w:r w:rsidR="008705F9">
        <w:t xml:space="preserve">é corriqueiro </w:t>
      </w:r>
      <w:r w:rsidRPr="00C550BB">
        <w:t>aos mercados maduros. Outra implicação à essas economias é a volatilidade da moeda, relacionada ao poder de compra de moedas de países desenvolvidos, ao seu próprio poder de compra, taxas de câmbio e inflação. Algumas economias fixam o valor de cambio, porém este só gera ilusão, pois na próxima reavaliação o valor mudará (</w:t>
      </w:r>
      <w:proofErr w:type="spellStart"/>
      <w:r w:rsidRPr="00C550BB">
        <w:t>Damodaran</w:t>
      </w:r>
      <w:proofErr w:type="spellEnd"/>
      <w:r w:rsidRPr="00C550BB">
        <w:t>, 2009). Dado esses, resume-se a dificuldade de mensuração da discutida taxa para países emergentes. Por fim, tanto a literatura, quanto os acadêmicos e profissionais da área, utilizam como estimação da taxa livre de juros as taxas de segurança do governo, porém sem profunda reflexão do que consiste ao todo a taxa livre de juros (</w:t>
      </w:r>
      <w:proofErr w:type="spellStart"/>
      <w:r w:rsidRPr="00C550BB">
        <w:t>Damodaran</w:t>
      </w:r>
      <w:proofErr w:type="spellEnd"/>
      <w:r w:rsidRPr="00C550BB">
        <w:t xml:space="preserve">, 2008). </w:t>
      </w:r>
    </w:p>
    <w:p w14:paraId="19F26347" w14:textId="616E97EE" w:rsidR="00C550BB" w:rsidRPr="00C550BB" w:rsidRDefault="008705F9" w:rsidP="00C550BB">
      <w:pPr>
        <w:ind w:firstLine="709"/>
        <w:jc w:val="both"/>
        <w:rPr>
          <w:sz w:val="24"/>
          <w:szCs w:val="24"/>
        </w:rPr>
      </w:pPr>
      <w:r>
        <w:rPr>
          <w:sz w:val="24"/>
          <w:szCs w:val="24"/>
        </w:rPr>
        <w:t>As taxas nacionais dos países</w:t>
      </w:r>
      <w:r w:rsidR="00C550BB" w:rsidRPr="00C550BB">
        <w:rPr>
          <w:sz w:val="24"/>
          <w:szCs w:val="24"/>
        </w:rPr>
        <w:t xml:space="preserve"> são em suma positivas, divergindo entre altas e baixas,</w:t>
      </w:r>
      <w:r>
        <w:rPr>
          <w:sz w:val="24"/>
          <w:szCs w:val="24"/>
        </w:rPr>
        <w:t xml:space="preserve"> porém</w:t>
      </w:r>
      <w:r w:rsidR="00C550BB" w:rsidRPr="00C550BB">
        <w:rPr>
          <w:sz w:val="24"/>
          <w:szCs w:val="24"/>
        </w:rPr>
        <w:t xml:space="preserve"> há economias que para impulsionar o mercado chegam a ter taxas nacionais zeradas, </w:t>
      </w:r>
      <w:r>
        <w:rPr>
          <w:sz w:val="24"/>
          <w:szCs w:val="24"/>
        </w:rPr>
        <w:t>mesmo que está estratégia não seja habitual</w:t>
      </w:r>
      <w:r w:rsidR="00C550BB" w:rsidRPr="00C550BB">
        <w:rPr>
          <w:sz w:val="24"/>
          <w:szCs w:val="24"/>
        </w:rPr>
        <w:t xml:space="preserve">. </w:t>
      </w:r>
      <w:r>
        <w:rPr>
          <w:sz w:val="24"/>
          <w:szCs w:val="24"/>
        </w:rPr>
        <w:t xml:space="preserve">Ainda menos usual do que uma taxa de investimento nacional igual a zero, são as estratégias de alguns países que adotam </w:t>
      </w:r>
      <w:r w:rsidR="00C550BB" w:rsidRPr="00C550BB">
        <w:rPr>
          <w:sz w:val="24"/>
          <w:szCs w:val="24"/>
        </w:rPr>
        <w:t xml:space="preserve">a taxa de juros nacional negativa. Países como a Suécia, Suíça, Dinamarca e mais contemporaneamente </w:t>
      </w:r>
      <w:r w:rsidR="00C550BB" w:rsidRPr="00C550BB">
        <w:rPr>
          <w:sz w:val="24"/>
          <w:szCs w:val="24"/>
        </w:rPr>
        <w:lastRenderedPageBreak/>
        <w:t xml:space="preserve">o Japão, visam com a taxa negativa a preferência por investir e consumir ao invés de poupar, com meta final de alavancar o mercado. </w:t>
      </w:r>
    </w:p>
    <w:p w14:paraId="64D76E75" w14:textId="5D450A1E" w:rsidR="00C550BB" w:rsidRPr="00C550BB" w:rsidRDefault="00C550BB" w:rsidP="00C550BB">
      <w:pPr>
        <w:ind w:firstLine="709"/>
        <w:jc w:val="both"/>
        <w:rPr>
          <w:sz w:val="24"/>
          <w:szCs w:val="24"/>
        </w:rPr>
      </w:pPr>
      <w:r w:rsidRPr="00C550BB">
        <w:rPr>
          <w:sz w:val="24"/>
          <w:szCs w:val="24"/>
        </w:rPr>
        <w:t xml:space="preserve">A taxa negativa tem impacto na atividade econômica </w:t>
      </w:r>
      <w:r w:rsidR="008705F9">
        <w:rPr>
          <w:sz w:val="24"/>
          <w:szCs w:val="24"/>
        </w:rPr>
        <w:t>desvalorizando</w:t>
      </w:r>
      <w:r w:rsidRPr="00C550BB">
        <w:rPr>
          <w:sz w:val="24"/>
          <w:szCs w:val="24"/>
        </w:rPr>
        <w:t xml:space="preserve"> o dinheiro que está </w:t>
      </w:r>
      <w:r w:rsidR="008705F9">
        <w:rPr>
          <w:sz w:val="24"/>
          <w:szCs w:val="24"/>
        </w:rPr>
        <w:t>aplicado</w:t>
      </w:r>
      <w:r w:rsidRPr="00C550BB">
        <w:rPr>
          <w:sz w:val="24"/>
          <w:szCs w:val="24"/>
        </w:rPr>
        <w:t xml:space="preserve"> à taxa de juros negativa, </w:t>
      </w:r>
      <w:r w:rsidR="008705F9">
        <w:rPr>
          <w:sz w:val="24"/>
          <w:szCs w:val="24"/>
        </w:rPr>
        <w:t>tendendo</w:t>
      </w:r>
      <w:r w:rsidRPr="00C550BB">
        <w:rPr>
          <w:sz w:val="24"/>
          <w:szCs w:val="24"/>
        </w:rPr>
        <w:t xml:space="preserve"> a estimular os indivíduos </w:t>
      </w:r>
      <w:r w:rsidR="008705F9">
        <w:rPr>
          <w:sz w:val="24"/>
          <w:szCs w:val="24"/>
        </w:rPr>
        <w:t xml:space="preserve">a investir no </w:t>
      </w:r>
      <w:r w:rsidRPr="00C550BB">
        <w:rPr>
          <w:sz w:val="24"/>
          <w:szCs w:val="24"/>
        </w:rPr>
        <w:t>longo prazo em outros meios</w:t>
      </w:r>
      <w:r w:rsidR="008705F9">
        <w:rPr>
          <w:sz w:val="24"/>
          <w:szCs w:val="24"/>
        </w:rPr>
        <w:t xml:space="preserve"> que não seja a poupança e o investimento em títulos nacionais, bem como</w:t>
      </w:r>
      <w:r w:rsidRPr="00C550BB">
        <w:rPr>
          <w:sz w:val="24"/>
          <w:szCs w:val="24"/>
        </w:rPr>
        <w:t xml:space="preserve"> consumir </w:t>
      </w:r>
      <w:r w:rsidR="00A960F5">
        <w:rPr>
          <w:sz w:val="24"/>
          <w:szCs w:val="24"/>
        </w:rPr>
        <w:t xml:space="preserve">em curto prazo </w:t>
      </w:r>
      <w:r w:rsidRPr="00C550BB">
        <w:rPr>
          <w:sz w:val="24"/>
          <w:szCs w:val="24"/>
        </w:rPr>
        <w:t>o</w:t>
      </w:r>
      <w:r w:rsidR="00A960F5">
        <w:rPr>
          <w:sz w:val="24"/>
          <w:szCs w:val="24"/>
        </w:rPr>
        <w:t xml:space="preserve"> que seria pensado e projetado para </w:t>
      </w:r>
      <w:r w:rsidRPr="00C550BB">
        <w:rPr>
          <w:sz w:val="24"/>
          <w:szCs w:val="24"/>
        </w:rPr>
        <w:t xml:space="preserve">o longo </w:t>
      </w:r>
      <w:r w:rsidR="00A960F5">
        <w:rPr>
          <w:sz w:val="24"/>
          <w:szCs w:val="24"/>
        </w:rPr>
        <w:t xml:space="preserve">prazo. </w:t>
      </w:r>
      <w:r w:rsidRPr="00C550BB">
        <w:rPr>
          <w:sz w:val="24"/>
          <w:szCs w:val="24"/>
        </w:rPr>
        <w:t>A taxa de juros nacional sendo negativa tem como meta somente benfeitorias à nível nacional, mesmo que para a população/sociedade</w:t>
      </w:r>
      <w:r w:rsidR="00A960F5">
        <w:rPr>
          <w:sz w:val="24"/>
          <w:szCs w:val="24"/>
        </w:rPr>
        <w:t xml:space="preserve"> este objetivo não esteja tão claro e compreendido, principalmente em se tratando d</w:t>
      </w:r>
      <w:r w:rsidRPr="00C550BB">
        <w:rPr>
          <w:sz w:val="24"/>
          <w:szCs w:val="24"/>
        </w:rPr>
        <w:t xml:space="preserve">as finanças pessoais. Diante do contexto exposto o presente artigo pretende analisar o efeito dessas diferentes taxas, tidas como livre de risco, para os referidos países de estudo e ver a causalidade de tais </w:t>
      </w:r>
      <w:r w:rsidR="00A960F5">
        <w:rPr>
          <w:sz w:val="24"/>
          <w:szCs w:val="24"/>
        </w:rPr>
        <w:t xml:space="preserve">taxas </w:t>
      </w:r>
      <w:r w:rsidRPr="00C550BB">
        <w:rPr>
          <w:sz w:val="24"/>
          <w:szCs w:val="24"/>
        </w:rPr>
        <w:t xml:space="preserve">nos mercados de capitais. </w:t>
      </w:r>
    </w:p>
    <w:p w14:paraId="37B56681" w14:textId="77777777" w:rsidR="00C550BB" w:rsidRPr="00C550BB" w:rsidRDefault="00C550BB" w:rsidP="00C550BB">
      <w:pPr>
        <w:pStyle w:val="Ttulo2"/>
        <w:jc w:val="both"/>
        <w:rPr>
          <w:rFonts w:ascii="Times New Roman" w:hAnsi="Times New Roman" w:cs="Times New Roman"/>
          <w:szCs w:val="24"/>
        </w:rPr>
      </w:pPr>
      <w:r w:rsidRPr="00C550BB">
        <w:rPr>
          <w:rFonts w:ascii="Times New Roman" w:hAnsi="Times New Roman" w:cs="Times New Roman"/>
          <w:szCs w:val="24"/>
        </w:rPr>
        <w:t>Risco Sistêmico e Idiossincrático</w:t>
      </w:r>
    </w:p>
    <w:p w14:paraId="452A4133" w14:textId="4BB9BA33" w:rsidR="00C550BB" w:rsidRPr="00C550BB" w:rsidRDefault="00C550BB" w:rsidP="00C550BB">
      <w:pPr>
        <w:ind w:firstLine="709"/>
        <w:jc w:val="both"/>
        <w:rPr>
          <w:sz w:val="24"/>
          <w:szCs w:val="24"/>
        </w:rPr>
      </w:pPr>
      <w:r w:rsidRPr="00C550BB">
        <w:rPr>
          <w:sz w:val="24"/>
          <w:szCs w:val="24"/>
        </w:rPr>
        <w:t xml:space="preserve">Na área de finanças, a ideia de risco é ligada a probabilidade de </w:t>
      </w:r>
      <w:r w:rsidR="00A960F5">
        <w:rPr>
          <w:sz w:val="24"/>
          <w:szCs w:val="24"/>
        </w:rPr>
        <w:t>não receber o retorno esperado</w:t>
      </w:r>
      <w:r w:rsidRPr="00C550BB">
        <w:rPr>
          <w:sz w:val="24"/>
          <w:szCs w:val="24"/>
        </w:rPr>
        <w:t xml:space="preserve"> de determinado ativo à qual um investimento esteja relacionado (</w:t>
      </w:r>
      <w:proofErr w:type="spellStart"/>
      <w:r w:rsidRPr="00C550BB">
        <w:rPr>
          <w:sz w:val="24"/>
          <w:szCs w:val="24"/>
        </w:rPr>
        <w:t>Capelletto</w:t>
      </w:r>
      <w:proofErr w:type="spellEnd"/>
      <w:r w:rsidRPr="00C550BB">
        <w:rPr>
          <w:sz w:val="24"/>
          <w:szCs w:val="24"/>
        </w:rPr>
        <w:t xml:space="preserve"> &amp; </w:t>
      </w:r>
      <w:proofErr w:type="spellStart"/>
      <w:r w:rsidRPr="00C550BB">
        <w:rPr>
          <w:sz w:val="24"/>
          <w:szCs w:val="24"/>
        </w:rPr>
        <w:t>Corrar</w:t>
      </w:r>
      <w:proofErr w:type="spellEnd"/>
      <w:r w:rsidRPr="00C550BB">
        <w:rPr>
          <w:sz w:val="24"/>
          <w:szCs w:val="24"/>
        </w:rPr>
        <w:t>, 2008). O risco pode ainda ser interpretado como a variância do retorno sobre os investimentos. Essa variação é causada primordialmente por dois fatores: um pertinente às particularidades da operação ou organização, como garantias e capacidades, denominado risco idiossincrático; e outro, não-gerenciável, pertinente ao sistema ou mercado, denominado como sistêmico (Martins &amp; Assaf Neto, 1986).</w:t>
      </w:r>
    </w:p>
    <w:p w14:paraId="01140F4F" w14:textId="124449C2" w:rsidR="00C550BB" w:rsidRPr="00C550BB" w:rsidRDefault="00C550BB" w:rsidP="00C550BB">
      <w:pPr>
        <w:ind w:firstLine="709"/>
        <w:jc w:val="both"/>
        <w:rPr>
          <w:sz w:val="24"/>
          <w:szCs w:val="24"/>
        </w:rPr>
      </w:pPr>
      <w:r w:rsidRPr="00C550BB">
        <w:rPr>
          <w:sz w:val="24"/>
          <w:szCs w:val="24"/>
        </w:rPr>
        <w:t>Markowitz (1952) com seu trabalho sobre a diversificação de portfólios suscitou uma linha de pensamento que objetivou a mensuração do risco dos ativos, iniciando com o retorno esperado e a variação deste. Como sequência do trabalho de Markowitz (1952), dado sua dificuldade de aplicação para ati</w:t>
      </w:r>
      <w:r w:rsidR="00A960F5">
        <w:rPr>
          <w:sz w:val="24"/>
          <w:szCs w:val="24"/>
        </w:rPr>
        <w:t xml:space="preserve">vos individuais, </w:t>
      </w:r>
      <w:proofErr w:type="spellStart"/>
      <w:r w:rsidR="00A960F5">
        <w:rPr>
          <w:sz w:val="24"/>
          <w:szCs w:val="24"/>
        </w:rPr>
        <w:t>Sharper</w:t>
      </w:r>
      <w:proofErr w:type="spellEnd"/>
      <w:r w:rsidR="00A960F5">
        <w:rPr>
          <w:sz w:val="24"/>
          <w:szCs w:val="24"/>
        </w:rPr>
        <w:t xml:space="preserve"> (1964), </w:t>
      </w:r>
      <w:r w:rsidRPr="00C550BB">
        <w:rPr>
          <w:sz w:val="24"/>
          <w:szCs w:val="24"/>
        </w:rPr>
        <w:t>Lintner (1965)</w:t>
      </w:r>
      <w:r w:rsidR="00A960F5">
        <w:rPr>
          <w:sz w:val="24"/>
          <w:szCs w:val="24"/>
        </w:rPr>
        <w:t xml:space="preserve"> e </w:t>
      </w:r>
      <w:proofErr w:type="spellStart"/>
      <w:r w:rsidR="00A960F5">
        <w:rPr>
          <w:sz w:val="24"/>
          <w:szCs w:val="24"/>
        </w:rPr>
        <w:t>Mossin</w:t>
      </w:r>
      <w:proofErr w:type="spellEnd"/>
      <w:r w:rsidR="00A960F5">
        <w:rPr>
          <w:sz w:val="24"/>
          <w:szCs w:val="24"/>
        </w:rPr>
        <w:t xml:space="preserve"> (1966) </w:t>
      </w:r>
      <w:r w:rsidRPr="00C550BB">
        <w:rPr>
          <w:sz w:val="24"/>
          <w:szCs w:val="24"/>
        </w:rPr>
        <w:t xml:space="preserve">desenvolveram o CAPM </w:t>
      </w:r>
      <w:r w:rsidRPr="00C550BB">
        <w:rPr>
          <w:i/>
          <w:sz w:val="24"/>
          <w:szCs w:val="24"/>
        </w:rPr>
        <w:t xml:space="preserve">(Capital </w:t>
      </w:r>
      <w:proofErr w:type="spellStart"/>
      <w:r w:rsidRPr="00C550BB">
        <w:rPr>
          <w:i/>
          <w:sz w:val="24"/>
          <w:szCs w:val="24"/>
        </w:rPr>
        <w:t>Asset</w:t>
      </w:r>
      <w:proofErr w:type="spellEnd"/>
      <w:r w:rsidRPr="00C550BB">
        <w:rPr>
          <w:i/>
          <w:sz w:val="24"/>
          <w:szCs w:val="24"/>
        </w:rPr>
        <w:t xml:space="preserve"> </w:t>
      </w:r>
      <w:proofErr w:type="spellStart"/>
      <w:r w:rsidRPr="00C550BB">
        <w:rPr>
          <w:i/>
          <w:sz w:val="24"/>
          <w:szCs w:val="24"/>
        </w:rPr>
        <w:t>Pricing</w:t>
      </w:r>
      <w:proofErr w:type="spellEnd"/>
      <w:r w:rsidRPr="00C550BB">
        <w:rPr>
          <w:i/>
          <w:sz w:val="24"/>
          <w:szCs w:val="24"/>
        </w:rPr>
        <w:t xml:space="preserve"> </w:t>
      </w:r>
      <w:proofErr w:type="spellStart"/>
      <w:r w:rsidRPr="00C550BB">
        <w:rPr>
          <w:i/>
          <w:sz w:val="24"/>
          <w:szCs w:val="24"/>
        </w:rPr>
        <w:t>Model</w:t>
      </w:r>
      <w:proofErr w:type="spellEnd"/>
      <w:r w:rsidRPr="00C550BB">
        <w:rPr>
          <w:i/>
          <w:sz w:val="24"/>
          <w:szCs w:val="24"/>
        </w:rPr>
        <w:t>)</w:t>
      </w:r>
      <w:r w:rsidRPr="00C550BB">
        <w:rPr>
          <w:sz w:val="24"/>
          <w:szCs w:val="24"/>
        </w:rPr>
        <w:t xml:space="preserve"> que faz a relação do retorno da ação (variação) com a taxa livre de risco, o risco de mercado e o risco idiossincrático (Costa, </w:t>
      </w:r>
      <w:proofErr w:type="spellStart"/>
      <w:r w:rsidRPr="00C550BB">
        <w:rPr>
          <w:sz w:val="24"/>
          <w:szCs w:val="24"/>
        </w:rPr>
        <w:t>Mazzeu</w:t>
      </w:r>
      <w:proofErr w:type="spellEnd"/>
      <w:r w:rsidRPr="00C550BB">
        <w:rPr>
          <w:sz w:val="24"/>
          <w:szCs w:val="24"/>
        </w:rPr>
        <w:t xml:space="preserve"> &amp; Costa Jr, 2016), conforme equação 1.</w:t>
      </w:r>
    </w:p>
    <w:p w14:paraId="799BEBA3" w14:textId="77777777" w:rsidR="00C550BB" w:rsidRDefault="00C550BB" w:rsidP="00C550BB">
      <w:pPr>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9"/>
        <w:gridCol w:w="496"/>
      </w:tblGrid>
      <w:tr w:rsidR="00A960F5" w14:paraId="76B47999" w14:textId="77777777" w:rsidTr="00A960F5">
        <w:tc>
          <w:tcPr>
            <w:tcW w:w="8642" w:type="dxa"/>
          </w:tcPr>
          <w:p w14:paraId="20596E33" w14:textId="35F89D21" w:rsidR="00A960F5" w:rsidRDefault="00166A13" w:rsidP="002F20DA">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e>
                </m:d>
                <m:r>
                  <w:rPr>
                    <w:rFonts w:ascii="Cambria Math" w:hAnsi="Cambria Math"/>
                    <w:sz w:val="24"/>
                    <w:szCs w:val="24"/>
                  </w:rPr>
                  <m:t>+ε</m:t>
                </m:r>
              </m:oMath>
            </m:oMathPara>
          </w:p>
        </w:tc>
        <w:tc>
          <w:tcPr>
            <w:tcW w:w="413" w:type="dxa"/>
          </w:tcPr>
          <w:p w14:paraId="21E559D8" w14:textId="55651053" w:rsidR="00A960F5" w:rsidRDefault="00A960F5" w:rsidP="00C550BB">
            <w:pPr>
              <w:jc w:val="both"/>
              <w:rPr>
                <w:sz w:val="24"/>
                <w:szCs w:val="24"/>
              </w:rPr>
            </w:pPr>
            <w:r>
              <w:rPr>
                <w:sz w:val="24"/>
                <w:szCs w:val="24"/>
              </w:rPr>
              <w:t>(1)</w:t>
            </w:r>
          </w:p>
        </w:tc>
      </w:tr>
    </w:tbl>
    <w:p w14:paraId="60CE46D4" w14:textId="77777777" w:rsidR="00A960F5" w:rsidRPr="00C550BB" w:rsidRDefault="00A960F5" w:rsidP="00C550BB">
      <w:pPr>
        <w:jc w:val="both"/>
        <w:rPr>
          <w:sz w:val="24"/>
          <w:szCs w:val="24"/>
        </w:rPr>
      </w:pPr>
    </w:p>
    <w:p w14:paraId="5A14B230" w14:textId="3BB465CC" w:rsidR="00C550BB" w:rsidRPr="00C550BB" w:rsidRDefault="002F20DA" w:rsidP="00C550BB">
      <w:pPr>
        <w:ind w:firstLine="709"/>
        <w:jc w:val="both"/>
        <w:rPr>
          <w:sz w:val="24"/>
          <w:szCs w:val="24"/>
        </w:rPr>
      </w:pPr>
      <w:r>
        <w:rPr>
          <w:sz w:val="24"/>
          <w:szCs w:val="24"/>
        </w:rPr>
        <w:t xml:space="preserve">Na qual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oMath>
      <w:r w:rsidR="00C550BB" w:rsidRPr="00C550BB">
        <w:rPr>
          <w:rFonts w:eastAsiaTheme="minorEastAsia"/>
          <w:sz w:val="24"/>
          <w:szCs w:val="24"/>
        </w:rPr>
        <w:t xml:space="preserve"> </w:t>
      </w:r>
      <w:r>
        <w:rPr>
          <w:rFonts w:eastAsiaTheme="minorEastAsia"/>
          <w:sz w:val="24"/>
          <w:szCs w:val="24"/>
        </w:rPr>
        <w:t>é o</w:t>
      </w:r>
      <w:r w:rsidR="00C550BB" w:rsidRPr="00C550BB">
        <w:rPr>
          <w:rFonts w:eastAsiaTheme="minorEastAsia"/>
          <w:sz w:val="24"/>
          <w:szCs w:val="24"/>
        </w:rPr>
        <w:t xml:space="preserve"> retorno da ação, </w:t>
      </w:r>
      <w:r>
        <w:rPr>
          <w:rFonts w:eastAsiaTheme="minorEastAsia"/>
          <w:sz w:val="24"/>
          <w:szCs w:val="24"/>
        </w:rPr>
        <w:t>valor real</w:t>
      </w:r>
      <w:r w:rsidR="00C550BB" w:rsidRPr="00C550BB">
        <w:rPr>
          <w:rFonts w:eastAsiaTheme="minorEastAsia"/>
          <w:sz w:val="24"/>
          <w:szCs w:val="24"/>
        </w:rPr>
        <w:t xml:space="preserve"> do retorno da ação </w:t>
      </w:r>
      <w:r>
        <w:rPr>
          <w:rFonts w:eastAsiaTheme="minorEastAsia"/>
          <w:sz w:val="24"/>
          <w:szCs w:val="24"/>
        </w:rPr>
        <w:t>do</w:t>
      </w:r>
      <w:r w:rsidR="00C550BB" w:rsidRPr="00C550BB">
        <w:rPr>
          <w:rFonts w:eastAsiaTheme="minorEastAsia"/>
          <w:sz w:val="24"/>
          <w:szCs w:val="24"/>
        </w:rPr>
        <w:t xml:space="preserve"> ativo </w:t>
      </w:r>
      <w:r>
        <w:rPr>
          <w:rFonts w:eastAsiaTheme="minorEastAsia"/>
          <w:sz w:val="24"/>
          <w:szCs w:val="24"/>
        </w:rPr>
        <w:t xml:space="preserve">j </w:t>
      </w:r>
      <w:r w:rsidR="00C550BB" w:rsidRPr="00C550BB">
        <w:rPr>
          <w:rFonts w:eastAsiaTheme="minorEastAsia"/>
          <w:sz w:val="24"/>
          <w:szCs w:val="24"/>
        </w:rPr>
        <w:t>e</w:t>
      </w:r>
      <w:r>
        <w:rPr>
          <w:rFonts w:eastAsiaTheme="minorEastAsia"/>
          <w:sz w:val="24"/>
          <w:szCs w:val="24"/>
        </w:rPr>
        <w:t>m um determinado</w:t>
      </w:r>
      <w:r w:rsidR="00C550BB" w:rsidRPr="00C550BB">
        <w:rPr>
          <w:rFonts w:eastAsiaTheme="minorEastAsia"/>
          <w:sz w:val="24"/>
          <w:szCs w:val="24"/>
        </w:rPr>
        <w:t xml:space="preserve"> período. A taxa livre de risco é indicada no modelo por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w:r w:rsidR="00C550BB" w:rsidRPr="00C550BB">
        <w:rPr>
          <w:rFonts w:eastAsiaTheme="minorEastAsia"/>
          <w:sz w:val="24"/>
          <w:szCs w:val="24"/>
        </w:rPr>
        <w:t xml:space="preserve"> que será o valor do índice ao qual será adicionado o prêmio pelo risco, e que juntas resultam no valor do retorno da ação. O coeficiente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oMath>
      <w:r w:rsidR="00C550BB" w:rsidRPr="00C550BB">
        <w:rPr>
          <w:rFonts w:eastAsiaTheme="minorEastAsia"/>
          <w:sz w:val="24"/>
          <w:szCs w:val="24"/>
        </w:rPr>
        <w:t xml:space="preserve"> é individual para cada empresa e representa a sensibi</w:t>
      </w:r>
      <w:proofErr w:type="spellStart"/>
      <w:r w:rsidR="00C550BB" w:rsidRPr="00C550BB">
        <w:rPr>
          <w:rFonts w:eastAsiaTheme="minorEastAsia"/>
          <w:sz w:val="24"/>
          <w:szCs w:val="24"/>
        </w:rPr>
        <w:t>lidade</w:t>
      </w:r>
      <w:proofErr w:type="spellEnd"/>
      <w:r w:rsidR="00C550BB" w:rsidRPr="00C550BB">
        <w:rPr>
          <w:rFonts w:eastAsiaTheme="minorEastAsia"/>
          <w:sz w:val="24"/>
          <w:szCs w:val="24"/>
        </w:rPr>
        <w:t xml:space="preserve"> de cada</w:t>
      </w:r>
      <w:r>
        <w:rPr>
          <w:rFonts w:eastAsiaTheme="minorEastAsia"/>
          <w:sz w:val="24"/>
          <w:szCs w:val="24"/>
        </w:rPr>
        <w:t xml:space="preserve"> qual para o retorno do mercado, que compreende o</w:t>
      </w:r>
      <w:r w:rsidR="00C550BB" w:rsidRPr="00C550BB">
        <w:rPr>
          <w:rFonts w:eastAsiaTheme="minorEastAsia"/>
          <w:sz w:val="24"/>
          <w:szCs w:val="24"/>
        </w:rPr>
        <w:t xml:space="preserve"> risco sistêmico</w:t>
      </w:r>
      <w:r>
        <w:rPr>
          <w:rFonts w:eastAsiaTheme="minorEastAsia"/>
          <w:sz w:val="24"/>
          <w:szCs w:val="24"/>
        </w:rPr>
        <w:t>,</w:t>
      </w:r>
      <w:r w:rsidR="00C550BB" w:rsidRPr="00C550BB">
        <w:rPr>
          <w:rFonts w:eastAsiaTheme="minorEastAsia"/>
          <w:sz w:val="24"/>
          <w:szCs w:val="24"/>
        </w:rPr>
        <w:t xml:space="preserve"> 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oMath>
      <w:r w:rsidR="00C550BB" w:rsidRPr="00C550BB">
        <w:rPr>
          <w:rFonts w:eastAsiaTheme="minorEastAsia"/>
          <w:sz w:val="24"/>
          <w:szCs w:val="24"/>
        </w:rPr>
        <w:t xml:space="preserve"> </w:t>
      </w:r>
      <w:r w:rsidR="00C550BB" w:rsidRPr="00C550BB">
        <w:rPr>
          <w:sz w:val="24"/>
          <w:szCs w:val="24"/>
        </w:rPr>
        <w:t xml:space="preserve">é </w:t>
      </w:r>
      <w:r>
        <w:rPr>
          <w:sz w:val="24"/>
          <w:szCs w:val="24"/>
        </w:rPr>
        <w:t>o retorno de mercado</w:t>
      </w:r>
      <w:r w:rsidR="00C550BB" w:rsidRPr="00C550BB">
        <w:rPr>
          <w:sz w:val="24"/>
          <w:szCs w:val="24"/>
        </w:rPr>
        <w:t>, resultante de modificações em índices econômicos, como diferentes riscos e taxas (</w:t>
      </w:r>
      <w:proofErr w:type="spellStart"/>
      <w:r w:rsidR="00C550BB" w:rsidRPr="00C550BB">
        <w:rPr>
          <w:sz w:val="24"/>
          <w:szCs w:val="24"/>
        </w:rPr>
        <w:t>Capelletto</w:t>
      </w:r>
      <w:proofErr w:type="spellEnd"/>
      <w:r w:rsidR="00C550BB" w:rsidRPr="00C550BB">
        <w:rPr>
          <w:sz w:val="24"/>
          <w:szCs w:val="24"/>
        </w:rPr>
        <w:t>, 2006)</w:t>
      </w:r>
      <w:r>
        <w:rPr>
          <w:sz w:val="24"/>
          <w:szCs w:val="24"/>
        </w:rPr>
        <w:t xml:space="preserve"> e </w:t>
      </w:r>
      <m:oMath>
        <m:r>
          <w:rPr>
            <w:rFonts w:ascii="Cambria Math" w:hAnsi="Cambria Math"/>
            <w:sz w:val="24"/>
            <w:szCs w:val="24"/>
          </w:rPr>
          <m:t>ε</m:t>
        </m:r>
      </m:oMath>
      <w:r>
        <w:rPr>
          <w:sz w:val="24"/>
          <w:szCs w:val="24"/>
        </w:rPr>
        <w:t xml:space="preserve"> erro aleatório do modelo, o desvio-padr</w:t>
      </w:r>
      <w:proofErr w:type="spellStart"/>
      <w:r>
        <w:rPr>
          <w:sz w:val="24"/>
          <w:szCs w:val="24"/>
        </w:rPr>
        <w:t>ão</w:t>
      </w:r>
      <w:proofErr w:type="spellEnd"/>
      <w:r>
        <w:rPr>
          <w:sz w:val="24"/>
          <w:szCs w:val="24"/>
        </w:rPr>
        <w:t xml:space="preserve"> deste erro origina o risco idiossincrático da empresa no período</w:t>
      </w:r>
      <w:r w:rsidR="00C550BB" w:rsidRPr="00C550BB">
        <w:rPr>
          <w:sz w:val="24"/>
          <w:szCs w:val="24"/>
        </w:rPr>
        <w:t xml:space="preserve">. </w:t>
      </w:r>
    </w:p>
    <w:p w14:paraId="6704D232" w14:textId="05845351" w:rsidR="00C550BB" w:rsidRPr="00C550BB" w:rsidRDefault="00C550BB" w:rsidP="00C550BB">
      <w:pPr>
        <w:ind w:firstLine="709"/>
        <w:jc w:val="both"/>
        <w:rPr>
          <w:sz w:val="24"/>
          <w:szCs w:val="24"/>
        </w:rPr>
      </w:pPr>
      <w:r w:rsidRPr="00C550BB">
        <w:rPr>
          <w:sz w:val="24"/>
          <w:szCs w:val="24"/>
        </w:rPr>
        <w:t xml:space="preserve">Ross, </w:t>
      </w:r>
      <w:proofErr w:type="spellStart"/>
      <w:r w:rsidRPr="00C550BB">
        <w:rPr>
          <w:sz w:val="24"/>
          <w:szCs w:val="24"/>
        </w:rPr>
        <w:t>Westerfield</w:t>
      </w:r>
      <w:proofErr w:type="spellEnd"/>
      <w:r w:rsidRPr="00C550BB">
        <w:rPr>
          <w:sz w:val="24"/>
          <w:szCs w:val="24"/>
        </w:rPr>
        <w:t xml:space="preserve"> e </w:t>
      </w:r>
      <w:proofErr w:type="spellStart"/>
      <w:r w:rsidRPr="00C550BB">
        <w:rPr>
          <w:sz w:val="24"/>
          <w:szCs w:val="24"/>
        </w:rPr>
        <w:t>Jaffe</w:t>
      </w:r>
      <w:proofErr w:type="spellEnd"/>
      <w:r w:rsidRPr="00C550BB">
        <w:rPr>
          <w:sz w:val="24"/>
          <w:szCs w:val="24"/>
        </w:rPr>
        <w:t xml:space="preserve"> (1995) ainda definem </w:t>
      </w:r>
      <w:r w:rsidR="002F20DA">
        <w:rPr>
          <w:sz w:val="24"/>
          <w:szCs w:val="24"/>
        </w:rPr>
        <w:t xml:space="preserve">o risco sistêmico </w:t>
      </w:r>
      <w:r w:rsidRPr="00C550BB">
        <w:rPr>
          <w:sz w:val="24"/>
          <w:szCs w:val="24"/>
        </w:rPr>
        <w:t xml:space="preserve">como um risco que afeta uma quantidade relevante de ativos, sendo em grande ou pequena proporção. Assim compreende-se que o risco de mercado é o risco a qual a grande maioria das empresas está sujeita, que não é diversificável para cada empresa, e que depende de fatores macroeconômicos ou ainda eventos particulares ao mercado econômico-financeiro. </w:t>
      </w:r>
    </w:p>
    <w:p w14:paraId="3F00C48C" w14:textId="407D0B17" w:rsidR="00C550BB" w:rsidRPr="00C550BB" w:rsidRDefault="00C550BB" w:rsidP="00C550BB">
      <w:pPr>
        <w:ind w:firstLine="709"/>
        <w:jc w:val="both"/>
        <w:rPr>
          <w:sz w:val="24"/>
          <w:szCs w:val="24"/>
        </w:rPr>
      </w:pPr>
      <w:r w:rsidRPr="00C550BB">
        <w:rPr>
          <w:sz w:val="24"/>
          <w:szCs w:val="24"/>
        </w:rPr>
        <w:t xml:space="preserve">Já o risco idiossincrático é definido como a variação do resíduo não padronizado originado pela regressão da equação 1. É caracterizado como aquele que afeta especificamente um ativo ou um grupo pequeno de ativos (Ross et al., 1995), inerente as particularidades de casa ativo e de cada empresa, sendo diversificável por ser possível de anulação em carteiras totalmente diversificadas (Monte et al., 2010). Tal risco reflete informações especificas da organização que é volátil por origem (Alexandre, Lima &amp; Canuto, 2008; Fu, 2009). Diferentemente do risco de mercado o risco idiossincrático é afetado por eventos característicos </w:t>
      </w:r>
      <w:r w:rsidRPr="00C550BB">
        <w:rPr>
          <w:sz w:val="24"/>
          <w:szCs w:val="24"/>
        </w:rPr>
        <w:lastRenderedPageBreak/>
        <w:t xml:space="preserve">da própria organização, como a gestão, a mídia e demais fatores particulares desta. Para Vidal-García, Vidal e </w:t>
      </w:r>
      <w:proofErr w:type="spellStart"/>
      <w:r w:rsidRPr="00C550BB">
        <w:rPr>
          <w:sz w:val="24"/>
          <w:szCs w:val="24"/>
        </w:rPr>
        <w:t>Nguyen</w:t>
      </w:r>
      <w:proofErr w:type="spellEnd"/>
      <w:r w:rsidRPr="00C550BB">
        <w:rPr>
          <w:sz w:val="24"/>
          <w:szCs w:val="24"/>
        </w:rPr>
        <w:t xml:space="preserve"> (2012) o risco idiossincrático e uma das anomalias mais importantes do mercado de ações.</w:t>
      </w:r>
    </w:p>
    <w:p w14:paraId="1B80F66B" w14:textId="5BD8BE65" w:rsidR="00C550BB" w:rsidRPr="00C550BB" w:rsidRDefault="00C550BB" w:rsidP="00C550BB">
      <w:pPr>
        <w:ind w:firstLine="709"/>
        <w:jc w:val="both"/>
        <w:rPr>
          <w:sz w:val="24"/>
          <w:szCs w:val="24"/>
        </w:rPr>
      </w:pPr>
      <w:r w:rsidRPr="00C550BB">
        <w:rPr>
          <w:sz w:val="24"/>
          <w:szCs w:val="24"/>
        </w:rPr>
        <w:t xml:space="preserve">Diversos estudos encontrados na literatura investigam os riscos em diferentes contextos. </w:t>
      </w:r>
      <w:proofErr w:type="spellStart"/>
      <w:r w:rsidRPr="00C550BB">
        <w:rPr>
          <w:sz w:val="24"/>
          <w:szCs w:val="24"/>
        </w:rPr>
        <w:t>Rachwalski</w:t>
      </w:r>
      <w:proofErr w:type="spellEnd"/>
      <w:r w:rsidRPr="00C550BB">
        <w:rPr>
          <w:sz w:val="24"/>
          <w:szCs w:val="24"/>
        </w:rPr>
        <w:t xml:space="preserve"> (2016) investigou a relação entre o risco idiossincrático e o retorno das ações, encontrando que há uma relação negativa entre as inovações com esse risco </w:t>
      </w:r>
      <w:r w:rsidR="002F20DA">
        <w:rPr>
          <w:sz w:val="24"/>
          <w:szCs w:val="24"/>
        </w:rPr>
        <w:t xml:space="preserve">especifico </w:t>
      </w:r>
      <w:r w:rsidRPr="00C550BB">
        <w:rPr>
          <w:sz w:val="24"/>
          <w:szCs w:val="24"/>
        </w:rPr>
        <w:t>e</w:t>
      </w:r>
      <w:r w:rsidR="002F20DA">
        <w:rPr>
          <w:sz w:val="24"/>
          <w:szCs w:val="24"/>
        </w:rPr>
        <w:t xml:space="preserve"> </w:t>
      </w:r>
      <w:r w:rsidRPr="00C550BB">
        <w:rPr>
          <w:sz w:val="24"/>
          <w:szCs w:val="24"/>
        </w:rPr>
        <w:t xml:space="preserve">retornos subsequentes e que há uma relação positiva entre a persistência deste risco com o retorno subsequente. </w:t>
      </w:r>
      <w:proofErr w:type="spellStart"/>
      <w:r w:rsidRPr="00C550BB">
        <w:rPr>
          <w:sz w:val="24"/>
          <w:szCs w:val="24"/>
        </w:rPr>
        <w:t>Angelidis</w:t>
      </w:r>
      <w:proofErr w:type="spellEnd"/>
      <w:r w:rsidRPr="00C550BB">
        <w:rPr>
          <w:sz w:val="24"/>
          <w:szCs w:val="24"/>
        </w:rPr>
        <w:t xml:space="preserve"> (2010) encontrou relação entre este mesmo risco e o retorno de países emergentes, demonstrando que este só se faz significante se em conjunto com o risco sistêmico. </w:t>
      </w:r>
    </w:p>
    <w:p w14:paraId="3D7A2C41" w14:textId="41F19091" w:rsidR="00C550BB" w:rsidRPr="00C550BB" w:rsidRDefault="00C550BB" w:rsidP="00C550BB">
      <w:pPr>
        <w:ind w:firstLine="709"/>
        <w:jc w:val="both"/>
        <w:rPr>
          <w:sz w:val="24"/>
          <w:szCs w:val="24"/>
        </w:rPr>
      </w:pPr>
      <w:r w:rsidRPr="00C550BB">
        <w:rPr>
          <w:sz w:val="24"/>
          <w:szCs w:val="24"/>
        </w:rPr>
        <w:t xml:space="preserve">O risco sistêmico foi investigado por </w:t>
      </w:r>
      <w:proofErr w:type="spellStart"/>
      <w:r w:rsidRPr="00C550BB">
        <w:rPr>
          <w:sz w:val="24"/>
          <w:szCs w:val="24"/>
        </w:rPr>
        <w:t>Eiling</w:t>
      </w:r>
      <w:proofErr w:type="spellEnd"/>
      <w:r w:rsidRPr="00C550BB">
        <w:rPr>
          <w:sz w:val="24"/>
          <w:szCs w:val="24"/>
        </w:rPr>
        <w:t xml:space="preserve"> (2013), o qual encontra que este risco relacionado com o capital humano afeta o retorno transversal dos retornos esperados. </w:t>
      </w:r>
      <w:proofErr w:type="spellStart"/>
      <w:r w:rsidRPr="00C550BB">
        <w:rPr>
          <w:sz w:val="24"/>
          <w:szCs w:val="24"/>
        </w:rPr>
        <w:t>Vello</w:t>
      </w:r>
      <w:proofErr w:type="spellEnd"/>
      <w:r w:rsidRPr="00C550BB">
        <w:rPr>
          <w:sz w:val="24"/>
          <w:szCs w:val="24"/>
        </w:rPr>
        <w:t xml:space="preserve"> e Martines (2014) con</w:t>
      </w:r>
      <w:r w:rsidR="002F20DA">
        <w:rPr>
          <w:sz w:val="24"/>
          <w:szCs w:val="24"/>
        </w:rPr>
        <w:t xml:space="preserve">cluíram também sobre o risco sistêmico </w:t>
      </w:r>
      <w:r w:rsidRPr="00C550BB">
        <w:rPr>
          <w:sz w:val="24"/>
          <w:szCs w:val="24"/>
        </w:rPr>
        <w:t>que a eficiência das atividades de planejamento tributário promove</w:t>
      </w:r>
      <w:r w:rsidR="002F20DA">
        <w:rPr>
          <w:sz w:val="24"/>
          <w:szCs w:val="24"/>
        </w:rPr>
        <w:t xml:space="preserve"> a</w:t>
      </w:r>
      <w:r w:rsidRPr="00C550BB">
        <w:rPr>
          <w:sz w:val="24"/>
          <w:szCs w:val="24"/>
        </w:rPr>
        <w:t xml:space="preserve"> redução do risco em relação ao mercado. Ainda a maioria das pesquisas envolvendo a relação entre risco e retorno traz de alguma forma a incumbência do risco de mercado.</w:t>
      </w:r>
    </w:p>
    <w:p w14:paraId="13009B19" w14:textId="7B6A3FC5" w:rsidR="00C550BB" w:rsidRPr="00C550BB" w:rsidRDefault="00C550BB" w:rsidP="00C550BB">
      <w:pPr>
        <w:ind w:firstLine="709"/>
        <w:jc w:val="both"/>
        <w:rPr>
          <w:sz w:val="24"/>
          <w:szCs w:val="24"/>
        </w:rPr>
      </w:pPr>
      <w:r w:rsidRPr="00C550BB">
        <w:rPr>
          <w:sz w:val="24"/>
          <w:szCs w:val="24"/>
        </w:rPr>
        <w:t xml:space="preserve">A volatilidade das ações, com intuito de analise tanto do risco de mercado quanto o risco idiossincrático é amplamente investigada na literatura sobre o mercado de capitais, quanto </w:t>
      </w:r>
      <w:r w:rsidR="003177BC" w:rsidRPr="00C550BB">
        <w:rPr>
          <w:sz w:val="24"/>
          <w:szCs w:val="24"/>
        </w:rPr>
        <w:t>a</w:t>
      </w:r>
      <w:r w:rsidRPr="00C550BB">
        <w:rPr>
          <w:sz w:val="24"/>
          <w:szCs w:val="24"/>
        </w:rPr>
        <w:t xml:space="preserve"> esses tem-se investigações no mercado de ações dos EUA (Campbell et al., 2001; </w:t>
      </w:r>
      <w:proofErr w:type="spellStart"/>
      <w:r w:rsidRPr="00C550BB">
        <w:rPr>
          <w:sz w:val="24"/>
          <w:szCs w:val="24"/>
        </w:rPr>
        <w:t>Xu</w:t>
      </w:r>
      <w:proofErr w:type="spellEnd"/>
      <w:r w:rsidRPr="00C550BB">
        <w:rPr>
          <w:sz w:val="24"/>
          <w:szCs w:val="24"/>
        </w:rPr>
        <w:t xml:space="preserve"> &amp; </w:t>
      </w:r>
      <w:proofErr w:type="spellStart"/>
      <w:r w:rsidRPr="00C550BB">
        <w:rPr>
          <w:sz w:val="24"/>
          <w:szCs w:val="24"/>
        </w:rPr>
        <w:t>Malkiel</w:t>
      </w:r>
      <w:proofErr w:type="spellEnd"/>
      <w:r w:rsidRPr="00C550BB">
        <w:rPr>
          <w:sz w:val="24"/>
          <w:szCs w:val="24"/>
        </w:rPr>
        <w:t xml:space="preserve">, 2003; Boyer, </w:t>
      </w:r>
      <w:proofErr w:type="spellStart"/>
      <w:r w:rsidRPr="00C550BB">
        <w:rPr>
          <w:sz w:val="24"/>
          <w:szCs w:val="24"/>
        </w:rPr>
        <w:t>Mitton</w:t>
      </w:r>
      <w:proofErr w:type="spellEnd"/>
      <w:r w:rsidRPr="00C550BB">
        <w:rPr>
          <w:sz w:val="24"/>
          <w:szCs w:val="24"/>
        </w:rPr>
        <w:t xml:space="preserve"> &amp; </w:t>
      </w:r>
      <w:proofErr w:type="spellStart"/>
      <w:r w:rsidRPr="00C550BB">
        <w:rPr>
          <w:sz w:val="24"/>
          <w:szCs w:val="24"/>
        </w:rPr>
        <w:t>Vorkink</w:t>
      </w:r>
      <w:proofErr w:type="spellEnd"/>
      <w:r w:rsidRPr="00C550BB">
        <w:rPr>
          <w:sz w:val="24"/>
          <w:szCs w:val="24"/>
        </w:rPr>
        <w:t>, 2010; Brandt et al., 2010) e em mercados de ações de países desenvolvidos e emergentes (</w:t>
      </w:r>
      <w:proofErr w:type="spellStart"/>
      <w:r w:rsidRPr="00C550BB">
        <w:rPr>
          <w:sz w:val="24"/>
          <w:szCs w:val="24"/>
        </w:rPr>
        <w:t>Morck</w:t>
      </w:r>
      <w:proofErr w:type="spellEnd"/>
      <w:r w:rsidRPr="00C550BB">
        <w:rPr>
          <w:sz w:val="24"/>
          <w:szCs w:val="24"/>
        </w:rPr>
        <w:t xml:space="preserve">, </w:t>
      </w:r>
      <w:proofErr w:type="spellStart"/>
      <w:r w:rsidRPr="00C550BB">
        <w:rPr>
          <w:sz w:val="24"/>
          <w:szCs w:val="24"/>
        </w:rPr>
        <w:t>Yu</w:t>
      </w:r>
      <w:proofErr w:type="spellEnd"/>
      <w:r w:rsidRPr="00C550BB">
        <w:rPr>
          <w:sz w:val="24"/>
          <w:szCs w:val="24"/>
        </w:rPr>
        <w:t xml:space="preserve"> &amp; Yeung, 2000; Li et al., 2004; </w:t>
      </w:r>
      <w:proofErr w:type="spellStart"/>
      <w:r w:rsidRPr="00C550BB">
        <w:rPr>
          <w:sz w:val="24"/>
          <w:szCs w:val="24"/>
        </w:rPr>
        <w:t>Kearney</w:t>
      </w:r>
      <w:proofErr w:type="spellEnd"/>
      <w:r w:rsidRPr="00C550BB">
        <w:rPr>
          <w:sz w:val="24"/>
          <w:szCs w:val="24"/>
        </w:rPr>
        <w:t xml:space="preserve"> &amp; </w:t>
      </w:r>
      <w:proofErr w:type="spellStart"/>
      <w:r w:rsidRPr="00C550BB">
        <w:rPr>
          <w:sz w:val="24"/>
          <w:szCs w:val="24"/>
        </w:rPr>
        <w:t>Potì</w:t>
      </w:r>
      <w:proofErr w:type="spellEnd"/>
      <w:r w:rsidRPr="00C550BB">
        <w:rPr>
          <w:sz w:val="24"/>
          <w:szCs w:val="24"/>
        </w:rPr>
        <w:t>, 2008).</w:t>
      </w:r>
    </w:p>
    <w:p w14:paraId="7166B18C" w14:textId="7CA4D593" w:rsidR="00C550BB" w:rsidRPr="00C550BB" w:rsidRDefault="00C550BB" w:rsidP="00C550BB">
      <w:pPr>
        <w:pStyle w:val="Ttulo1"/>
        <w:jc w:val="both"/>
        <w:rPr>
          <w:rFonts w:cs="Times New Roman"/>
          <w:szCs w:val="24"/>
        </w:rPr>
      </w:pPr>
      <w:r w:rsidRPr="00C550BB">
        <w:rPr>
          <w:rFonts w:cs="Times New Roman"/>
          <w:szCs w:val="24"/>
        </w:rPr>
        <w:t xml:space="preserve">METODOLOGIA </w:t>
      </w:r>
    </w:p>
    <w:p w14:paraId="0BB62C0B" w14:textId="77777777" w:rsidR="00C550BB" w:rsidRPr="00C550BB" w:rsidRDefault="00C550BB" w:rsidP="00C550BB">
      <w:pPr>
        <w:ind w:firstLine="709"/>
        <w:jc w:val="both"/>
        <w:rPr>
          <w:sz w:val="24"/>
          <w:szCs w:val="24"/>
        </w:rPr>
      </w:pPr>
      <w:r w:rsidRPr="00C550BB">
        <w:rPr>
          <w:sz w:val="24"/>
          <w:szCs w:val="24"/>
        </w:rPr>
        <w:t>Para atender ao objetivo de pesquisa de verificar o efeito da taxa livre de risco sobre os riscos sistêmicos e idiossincráticos em países desenvolvidos e emergentes, o estudo classifica-se quanto aos objetivos como descritivo, quanto aos procedimentos como documental e quanto ao tratamento dos dados como quantitativo.</w:t>
      </w:r>
    </w:p>
    <w:p w14:paraId="66C44FED" w14:textId="103329BE" w:rsidR="00C550BB" w:rsidRDefault="00C550BB" w:rsidP="00C550BB">
      <w:pPr>
        <w:ind w:firstLine="709"/>
        <w:jc w:val="both"/>
        <w:rPr>
          <w:sz w:val="24"/>
          <w:szCs w:val="24"/>
        </w:rPr>
      </w:pPr>
      <w:r w:rsidRPr="00C550BB">
        <w:rPr>
          <w:sz w:val="24"/>
          <w:szCs w:val="24"/>
        </w:rPr>
        <w:t xml:space="preserve">A amostra da pesquisa considera as 100 maiores ações de acordo com o ativo total do ano de 2015 do Brasil e da Dinamarca de acordo com a base de dados da Thomson® entre o período de julho de 2012 a dezembro de 2015. Esta amostra perfaz: </w:t>
      </w:r>
      <w:r w:rsidR="00933246">
        <w:rPr>
          <w:sz w:val="24"/>
          <w:szCs w:val="24"/>
        </w:rPr>
        <w:t xml:space="preserve">o Brasil, </w:t>
      </w:r>
      <w:r w:rsidRPr="00C550BB">
        <w:rPr>
          <w:sz w:val="24"/>
          <w:szCs w:val="24"/>
        </w:rPr>
        <w:t>como economia emergente,</w:t>
      </w:r>
      <w:r w:rsidR="00933246">
        <w:rPr>
          <w:sz w:val="24"/>
          <w:szCs w:val="24"/>
        </w:rPr>
        <w:t xml:space="preserve"> pelo mesmo estar </w:t>
      </w:r>
      <w:r w:rsidRPr="00C550BB">
        <w:rPr>
          <w:sz w:val="24"/>
          <w:szCs w:val="24"/>
        </w:rPr>
        <w:t>entre os países emergentes que possuem maior relevância junto ao mercado mundial (</w:t>
      </w:r>
      <w:proofErr w:type="spellStart"/>
      <w:r w:rsidRPr="00C550BB">
        <w:rPr>
          <w:sz w:val="24"/>
          <w:szCs w:val="24"/>
        </w:rPr>
        <w:t>Luzina</w:t>
      </w:r>
      <w:proofErr w:type="spellEnd"/>
      <w:r w:rsidRPr="00C550BB">
        <w:rPr>
          <w:sz w:val="24"/>
          <w:szCs w:val="24"/>
        </w:rPr>
        <w:t xml:space="preserve"> &amp; </w:t>
      </w:r>
      <w:proofErr w:type="spellStart"/>
      <w:r w:rsidRPr="00C550BB">
        <w:rPr>
          <w:sz w:val="24"/>
          <w:szCs w:val="24"/>
        </w:rPr>
        <w:t>Rogova</w:t>
      </w:r>
      <w:proofErr w:type="spellEnd"/>
      <w:r w:rsidRPr="00C550BB">
        <w:rPr>
          <w:sz w:val="24"/>
          <w:szCs w:val="24"/>
        </w:rPr>
        <w:t xml:space="preserve">, 2015); </w:t>
      </w:r>
      <w:r w:rsidR="00933246">
        <w:rPr>
          <w:sz w:val="24"/>
          <w:szCs w:val="24"/>
        </w:rPr>
        <w:t>a Dinamarca, como economia desenvolvida, pelo mesmo ser o</w:t>
      </w:r>
      <w:r w:rsidR="00933246" w:rsidRPr="00C550BB">
        <w:rPr>
          <w:sz w:val="24"/>
          <w:szCs w:val="24"/>
        </w:rPr>
        <w:t xml:space="preserve"> país que </w:t>
      </w:r>
      <w:r w:rsidR="00933246">
        <w:rPr>
          <w:sz w:val="24"/>
          <w:szCs w:val="24"/>
        </w:rPr>
        <w:t xml:space="preserve">utiliza </w:t>
      </w:r>
      <w:r w:rsidR="00933246" w:rsidRPr="00C550BB">
        <w:rPr>
          <w:sz w:val="24"/>
          <w:szCs w:val="24"/>
        </w:rPr>
        <w:t>a taxa de juros nacional negativa</w:t>
      </w:r>
      <w:r w:rsidR="00933246" w:rsidRPr="00933246">
        <w:rPr>
          <w:sz w:val="24"/>
          <w:szCs w:val="24"/>
        </w:rPr>
        <w:t xml:space="preserve"> </w:t>
      </w:r>
      <w:r w:rsidR="00933246" w:rsidRPr="00C550BB">
        <w:rPr>
          <w:sz w:val="24"/>
          <w:szCs w:val="24"/>
        </w:rPr>
        <w:t xml:space="preserve">a maior tempo. </w:t>
      </w:r>
      <w:r w:rsidR="00933246">
        <w:rPr>
          <w:sz w:val="24"/>
          <w:szCs w:val="24"/>
        </w:rPr>
        <w:t xml:space="preserve">Faz-se a estimação do modelo de 3-fatores de Fama e </w:t>
      </w:r>
      <w:proofErr w:type="spellStart"/>
      <w:r w:rsidR="00933246">
        <w:rPr>
          <w:sz w:val="24"/>
          <w:szCs w:val="24"/>
        </w:rPr>
        <w:t>French</w:t>
      </w:r>
      <w:proofErr w:type="spellEnd"/>
      <w:r w:rsidR="00933246">
        <w:rPr>
          <w:sz w:val="24"/>
          <w:szCs w:val="24"/>
        </w:rPr>
        <w:t xml:space="preserve"> (1993) para os dois países da amostra com a utilização da taxa americana, </w:t>
      </w:r>
      <w:r w:rsidRPr="00C550BB">
        <w:rPr>
          <w:sz w:val="24"/>
          <w:szCs w:val="24"/>
        </w:rPr>
        <w:t>por ser tida padrão em termos de definição da taxa l</w:t>
      </w:r>
      <w:r w:rsidR="00933246">
        <w:rPr>
          <w:sz w:val="24"/>
          <w:szCs w:val="24"/>
        </w:rPr>
        <w:t>ivre de juros (</w:t>
      </w:r>
      <w:proofErr w:type="spellStart"/>
      <w:r w:rsidR="00933246">
        <w:rPr>
          <w:sz w:val="24"/>
          <w:szCs w:val="24"/>
        </w:rPr>
        <w:t>Damodaran</w:t>
      </w:r>
      <w:proofErr w:type="spellEnd"/>
      <w:r w:rsidR="00933246">
        <w:rPr>
          <w:sz w:val="24"/>
          <w:szCs w:val="24"/>
        </w:rPr>
        <w:t xml:space="preserve">, 2008). Além da taxa livre de risco americana as empresas da amostra serão estimadas com utilização das taxas tidas como livre de risco para o Brasil e a Dinamarca. </w:t>
      </w:r>
    </w:p>
    <w:p w14:paraId="15D521D6" w14:textId="77777777" w:rsidR="00933246" w:rsidRDefault="00933246" w:rsidP="00C550BB">
      <w:pPr>
        <w:ind w:firstLine="709"/>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9"/>
        <w:gridCol w:w="496"/>
      </w:tblGrid>
      <w:tr w:rsidR="00933246" w14:paraId="0B2EDD0D" w14:textId="77777777" w:rsidTr="00933246">
        <w:tc>
          <w:tcPr>
            <w:tcW w:w="8642" w:type="dxa"/>
          </w:tcPr>
          <w:p w14:paraId="152CE07E" w14:textId="6186E865" w:rsidR="00933246" w:rsidRDefault="00166A13" w:rsidP="00C550BB">
            <w:pPr>
              <w:jc w:val="both"/>
              <w:rPr>
                <w:sz w:val="24"/>
                <w:szCs w:val="24"/>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Bt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fBt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fBt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75AD0F3F" w14:textId="0CE66659" w:rsidR="00933246" w:rsidRDefault="00933246" w:rsidP="00C550BB">
            <w:pPr>
              <w:jc w:val="both"/>
              <w:rPr>
                <w:sz w:val="24"/>
                <w:szCs w:val="24"/>
              </w:rPr>
            </w:pPr>
            <w:r>
              <w:rPr>
                <w:sz w:val="24"/>
                <w:szCs w:val="24"/>
              </w:rPr>
              <w:t>(2)</w:t>
            </w:r>
          </w:p>
        </w:tc>
      </w:tr>
      <w:tr w:rsidR="00933246" w14:paraId="3D8B822F" w14:textId="77777777" w:rsidTr="00933246">
        <w:tc>
          <w:tcPr>
            <w:tcW w:w="8642" w:type="dxa"/>
          </w:tcPr>
          <w:p w14:paraId="4D244451" w14:textId="61664F70" w:rsidR="00933246" w:rsidRDefault="00166A13" w:rsidP="00933246">
            <w:pPr>
              <w:jc w:val="both"/>
              <w:rPr>
                <w:sz w:val="24"/>
                <w:szCs w:val="24"/>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Bt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fDt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fDt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035DB8E9" w14:textId="7DF12F08" w:rsidR="00933246" w:rsidRDefault="00933246" w:rsidP="00C550BB">
            <w:pPr>
              <w:jc w:val="both"/>
              <w:rPr>
                <w:sz w:val="24"/>
                <w:szCs w:val="24"/>
              </w:rPr>
            </w:pPr>
            <w:r>
              <w:rPr>
                <w:sz w:val="24"/>
                <w:szCs w:val="24"/>
              </w:rPr>
              <w:t>(3)</w:t>
            </w:r>
          </w:p>
        </w:tc>
      </w:tr>
      <w:tr w:rsidR="00933246" w14:paraId="729927A3" w14:textId="77777777" w:rsidTr="00933246">
        <w:tc>
          <w:tcPr>
            <w:tcW w:w="8642" w:type="dxa"/>
          </w:tcPr>
          <w:p w14:paraId="60BA32D9" w14:textId="2D025CA5" w:rsidR="00933246" w:rsidRDefault="00166A13" w:rsidP="00C550BB">
            <w:pPr>
              <w:jc w:val="both"/>
              <w:rPr>
                <w:sz w:val="24"/>
                <w:szCs w:val="24"/>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Bt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fAt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At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623DA96A" w14:textId="28A649C8" w:rsidR="00933246" w:rsidRDefault="00933246" w:rsidP="00C550BB">
            <w:pPr>
              <w:jc w:val="both"/>
              <w:rPr>
                <w:sz w:val="24"/>
                <w:szCs w:val="24"/>
              </w:rPr>
            </w:pPr>
            <w:r>
              <w:rPr>
                <w:sz w:val="24"/>
                <w:szCs w:val="24"/>
              </w:rPr>
              <w:t>(4)</w:t>
            </w:r>
          </w:p>
        </w:tc>
      </w:tr>
      <w:tr w:rsidR="00933246" w14:paraId="4CB6A981" w14:textId="77777777" w:rsidTr="00933246">
        <w:tc>
          <w:tcPr>
            <w:tcW w:w="8642" w:type="dxa"/>
          </w:tcPr>
          <w:p w14:paraId="20C8736D" w14:textId="4EA9016E" w:rsidR="00933246" w:rsidRDefault="00166A13" w:rsidP="00933246">
            <w:pPr>
              <w:jc w:val="both"/>
              <w:rPr>
                <w:iCs/>
                <w:color w:val="000000" w:themeColor="text1"/>
                <w:sz w:val="22"/>
                <w:szCs w:val="22"/>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Dt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fDt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fDt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4500D9F7" w14:textId="0E694B83" w:rsidR="00933246" w:rsidRDefault="00933246" w:rsidP="00C550BB">
            <w:pPr>
              <w:jc w:val="both"/>
              <w:rPr>
                <w:sz w:val="24"/>
                <w:szCs w:val="24"/>
              </w:rPr>
            </w:pPr>
            <w:r>
              <w:rPr>
                <w:sz w:val="24"/>
                <w:szCs w:val="24"/>
              </w:rPr>
              <w:t>(5)</w:t>
            </w:r>
          </w:p>
        </w:tc>
      </w:tr>
      <w:tr w:rsidR="00933246" w14:paraId="4688DE7D" w14:textId="77777777" w:rsidTr="00933246">
        <w:tc>
          <w:tcPr>
            <w:tcW w:w="8642" w:type="dxa"/>
          </w:tcPr>
          <w:p w14:paraId="0884DFEC" w14:textId="44A8AA7C" w:rsidR="00933246" w:rsidRDefault="00166A13" w:rsidP="00C550BB">
            <w:pPr>
              <w:jc w:val="both"/>
              <w:rPr>
                <w:iCs/>
                <w:color w:val="000000" w:themeColor="text1"/>
                <w:sz w:val="22"/>
                <w:szCs w:val="22"/>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Dt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fBt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fBt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6C8F0A3E" w14:textId="7882897F" w:rsidR="00933246" w:rsidRDefault="00933246" w:rsidP="00C550BB">
            <w:pPr>
              <w:jc w:val="both"/>
              <w:rPr>
                <w:sz w:val="24"/>
                <w:szCs w:val="24"/>
              </w:rPr>
            </w:pPr>
            <w:r>
              <w:rPr>
                <w:sz w:val="24"/>
                <w:szCs w:val="24"/>
              </w:rPr>
              <w:t>(6)</w:t>
            </w:r>
          </w:p>
        </w:tc>
      </w:tr>
      <w:tr w:rsidR="00933246" w14:paraId="231EE459" w14:textId="77777777" w:rsidTr="00933246">
        <w:tc>
          <w:tcPr>
            <w:tcW w:w="8642" w:type="dxa"/>
          </w:tcPr>
          <w:p w14:paraId="00BC0E9A" w14:textId="15A12281" w:rsidR="00933246" w:rsidRDefault="00166A13" w:rsidP="00C550BB">
            <w:pPr>
              <w:jc w:val="both"/>
              <w:rPr>
                <w:iCs/>
                <w:color w:val="000000" w:themeColor="text1"/>
                <w:sz w:val="22"/>
                <w:szCs w:val="22"/>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Dt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fAt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fAt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4988E0A5" w14:textId="42E1D415" w:rsidR="00933246" w:rsidRDefault="00933246" w:rsidP="00C550BB">
            <w:pPr>
              <w:jc w:val="both"/>
              <w:rPr>
                <w:sz w:val="24"/>
                <w:szCs w:val="24"/>
              </w:rPr>
            </w:pPr>
            <w:r>
              <w:rPr>
                <w:sz w:val="24"/>
                <w:szCs w:val="24"/>
              </w:rPr>
              <w:t>(7)</w:t>
            </w:r>
          </w:p>
        </w:tc>
      </w:tr>
    </w:tbl>
    <w:p w14:paraId="2C7FD0FB" w14:textId="77777777" w:rsidR="00933246" w:rsidRPr="00C550BB" w:rsidRDefault="00933246" w:rsidP="00C550BB">
      <w:pPr>
        <w:ind w:firstLine="709"/>
        <w:jc w:val="both"/>
        <w:rPr>
          <w:sz w:val="24"/>
          <w:szCs w:val="24"/>
        </w:rPr>
      </w:pPr>
    </w:p>
    <w:p w14:paraId="143B1E34" w14:textId="1D8BEA75" w:rsidR="00C550BB" w:rsidRPr="00C550BB" w:rsidRDefault="00933246" w:rsidP="00C550BB">
      <w:pPr>
        <w:ind w:firstLine="709"/>
        <w:jc w:val="both"/>
        <w:rPr>
          <w:sz w:val="24"/>
          <w:szCs w:val="24"/>
        </w:rPr>
      </w:pPr>
      <w:r>
        <w:rPr>
          <w:sz w:val="24"/>
          <w:szCs w:val="24"/>
        </w:rPr>
        <w:t xml:space="preserve">As estimações do modelo de 3-Fatrores de Fama e </w:t>
      </w:r>
      <w:proofErr w:type="spellStart"/>
      <w:r>
        <w:rPr>
          <w:sz w:val="24"/>
          <w:szCs w:val="24"/>
        </w:rPr>
        <w:t>French</w:t>
      </w:r>
      <w:proofErr w:type="spellEnd"/>
      <w:r>
        <w:rPr>
          <w:sz w:val="24"/>
          <w:szCs w:val="24"/>
        </w:rPr>
        <w:t xml:space="preserve"> (1993) pretendidas estão expressas na equação de 2 </w:t>
      </w:r>
      <w:r w:rsidR="003177BC">
        <w:rPr>
          <w:sz w:val="24"/>
          <w:szCs w:val="24"/>
        </w:rPr>
        <w:t>a</w:t>
      </w:r>
      <w:r>
        <w:rPr>
          <w:sz w:val="24"/>
          <w:szCs w:val="24"/>
        </w:rPr>
        <w:t xml:space="preserve"> 7, nas quais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Bt</m:t>
            </m:r>
          </m:sub>
        </m:sSub>
      </m:oMath>
      <w:r>
        <w:rPr>
          <w:iCs/>
          <w:color w:val="000000" w:themeColor="text1"/>
          <w:sz w:val="22"/>
          <w:szCs w:val="22"/>
        </w:rPr>
        <w:t xml:space="preserve"> é referente aos modelos à serem realizados para as empresas brasileiras,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Dt</m:t>
            </m:r>
          </m:sub>
        </m:sSub>
      </m:oMath>
      <w:r>
        <w:rPr>
          <w:iCs/>
          <w:color w:val="000000" w:themeColor="text1"/>
          <w:sz w:val="22"/>
          <w:szCs w:val="22"/>
        </w:rPr>
        <w:t xml:space="preserve"> representa as empresas Dinamarquesas,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fBt</m:t>
            </m:r>
          </m:sub>
        </m:sSub>
      </m:oMath>
      <w:r>
        <w:rPr>
          <w:iCs/>
          <w:color w:val="000000" w:themeColor="text1"/>
          <w:sz w:val="22"/>
          <w:szCs w:val="22"/>
        </w:rPr>
        <w:t xml:space="preserve"> é a taxa livre de risco brasileira,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fDt</m:t>
            </m:r>
          </m:sub>
        </m:sSub>
      </m:oMath>
      <w:r>
        <w:rPr>
          <w:iCs/>
          <w:color w:val="000000" w:themeColor="text1"/>
          <w:sz w:val="22"/>
          <w:szCs w:val="22"/>
        </w:rPr>
        <w:t xml:space="preserve">  é a taxa livre de risco dinamarquesa 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At</m:t>
            </m:r>
          </m:sub>
        </m:sSub>
      </m:oMath>
      <w:r>
        <w:rPr>
          <w:iCs/>
          <w:color w:val="000000" w:themeColor="text1"/>
          <w:sz w:val="22"/>
          <w:szCs w:val="22"/>
        </w:rPr>
        <w:t xml:space="preserve"> é a taxa livre de risco americana. </w:t>
      </w:r>
      <w:r>
        <w:rPr>
          <w:sz w:val="24"/>
          <w:szCs w:val="24"/>
        </w:rPr>
        <w:t xml:space="preserve"> </w:t>
      </w:r>
      <w:r w:rsidR="00C550BB" w:rsidRPr="00C550BB">
        <w:rPr>
          <w:sz w:val="24"/>
          <w:szCs w:val="24"/>
        </w:rPr>
        <w:t xml:space="preserve">A escolha dos países </w:t>
      </w:r>
      <w:r w:rsidR="00C550BB" w:rsidRPr="00C550BB">
        <w:rPr>
          <w:sz w:val="24"/>
          <w:szCs w:val="24"/>
        </w:rPr>
        <w:lastRenderedPageBreak/>
        <w:t>se caracteriza como intencional e não-probabilística, feita no intuito de comparação triangular dos resultados. A Figura 1 apresenta a triangulação pretendida.</w:t>
      </w:r>
    </w:p>
    <w:p w14:paraId="3B0261F8" w14:textId="77777777" w:rsidR="00C550BB" w:rsidRPr="00C550BB" w:rsidRDefault="00C550BB" w:rsidP="00C550BB">
      <w:pPr>
        <w:jc w:val="both"/>
        <w:rPr>
          <w:sz w:val="24"/>
          <w:szCs w:val="24"/>
        </w:rPr>
      </w:pPr>
    </w:p>
    <w:p w14:paraId="65753FF5" w14:textId="77777777" w:rsidR="00C550BB" w:rsidRPr="00C550BB" w:rsidRDefault="00C550BB" w:rsidP="00C550BB">
      <w:pPr>
        <w:jc w:val="center"/>
        <w:rPr>
          <w:b/>
          <w:sz w:val="24"/>
          <w:szCs w:val="24"/>
        </w:rPr>
      </w:pPr>
      <w:r w:rsidRPr="00C550BB">
        <w:rPr>
          <w:b/>
          <w:sz w:val="24"/>
          <w:szCs w:val="24"/>
        </w:rPr>
        <w:t>Figura 1 – Amostra da pesquisa</w:t>
      </w:r>
    </w:p>
    <w:p w14:paraId="5E23842D" w14:textId="77777777" w:rsidR="00C550BB" w:rsidRPr="00C550BB" w:rsidRDefault="00C550BB" w:rsidP="00C550BB">
      <w:pPr>
        <w:jc w:val="center"/>
        <w:rPr>
          <w:sz w:val="24"/>
          <w:szCs w:val="24"/>
        </w:rPr>
      </w:pPr>
      <w:r w:rsidRPr="00C550BB">
        <w:rPr>
          <w:noProof/>
          <w:sz w:val="24"/>
          <w:szCs w:val="24"/>
        </w:rPr>
        <w:drawing>
          <wp:inline distT="0" distB="0" distL="0" distR="0" wp14:anchorId="27734B3A" wp14:editId="0D19ABB7">
            <wp:extent cx="2733675" cy="176172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0827" cy="1779222"/>
                    </a:xfrm>
                    <a:prstGeom prst="rect">
                      <a:avLst/>
                    </a:prstGeom>
                    <a:noFill/>
                  </pic:spPr>
                </pic:pic>
              </a:graphicData>
            </a:graphic>
          </wp:inline>
        </w:drawing>
      </w:r>
    </w:p>
    <w:p w14:paraId="13929AF3" w14:textId="77777777" w:rsidR="00C550BB" w:rsidRPr="00C550BB" w:rsidRDefault="00C550BB" w:rsidP="00C550BB">
      <w:pPr>
        <w:jc w:val="center"/>
        <w:rPr>
          <w:szCs w:val="24"/>
        </w:rPr>
      </w:pPr>
      <w:r w:rsidRPr="00C550BB">
        <w:rPr>
          <w:szCs w:val="24"/>
        </w:rPr>
        <w:t>Fonte: Elaborado pelos autores.</w:t>
      </w:r>
    </w:p>
    <w:p w14:paraId="7A4F25A1" w14:textId="77777777" w:rsidR="00C550BB" w:rsidRPr="00C550BB" w:rsidRDefault="00C550BB" w:rsidP="00C550BB">
      <w:pPr>
        <w:jc w:val="both"/>
        <w:rPr>
          <w:sz w:val="24"/>
          <w:szCs w:val="24"/>
        </w:rPr>
      </w:pPr>
    </w:p>
    <w:p w14:paraId="49638B06" w14:textId="110E3FCF" w:rsidR="00C550BB" w:rsidRPr="00C550BB" w:rsidRDefault="00C550BB" w:rsidP="00C550BB">
      <w:pPr>
        <w:ind w:firstLine="709"/>
        <w:jc w:val="both"/>
        <w:rPr>
          <w:sz w:val="24"/>
          <w:szCs w:val="24"/>
        </w:rPr>
      </w:pPr>
      <w:r w:rsidRPr="00C550BB">
        <w:rPr>
          <w:sz w:val="24"/>
          <w:szCs w:val="24"/>
        </w:rPr>
        <w:t xml:space="preserve">Como apresentado na figura 1, as empresas Brasileiras e Dinamarquesas compreendem a amostra de pesquisa, e ao cálculo do CAPM de 3-Fatores que será realizado para tais empresas serão testadas as taxas livre de juros dos três países em evidenciação, Brasil, Dinamarca e EUA. Por serem diferentes entre si, as três taxas serão utilizadas para cada empresa da amostra. A amostra de pesquisa tem excluído de seu conjunto as empresas que não possuíam os dados necessários entre o período de estudo, </w:t>
      </w:r>
      <w:r w:rsidR="00190A07">
        <w:rPr>
          <w:sz w:val="24"/>
          <w:szCs w:val="24"/>
        </w:rPr>
        <w:t xml:space="preserve">foi utilizado o retorno </w:t>
      </w:r>
      <w:r w:rsidRPr="00C550BB">
        <w:rPr>
          <w:sz w:val="24"/>
          <w:szCs w:val="24"/>
        </w:rPr>
        <w:t>mensal para o todo o período estudado.</w:t>
      </w:r>
    </w:p>
    <w:p w14:paraId="0AD930A3" w14:textId="2DF40E61" w:rsidR="00C550BB" w:rsidRDefault="00C550BB" w:rsidP="00C550BB">
      <w:pPr>
        <w:ind w:firstLine="709"/>
        <w:jc w:val="both"/>
        <w:rPr>
          <w:sz w:val="24"/>
          <w:szCs w:val="24"/>
        </w:rPr>
      </w:pPr>
      <w:r w:rsidRPr="00C550BB">
        <w:rPr>
          <w:sz w:val="24"/>
          <w:szCs w:val="24"/>
        </w:rPr>
        <w:t xml:space="preserve">Para análise dos dados utilizou-se o modelo de 3-Fatores de Fama e </w:t>
      </w:r>
      <w:proofErr w:type="spellStart"/>
      <w:r w:rsidRPr="00C550BB">
        <w:rPr>
          <w:sz w:val="24"/>
          <w:szCs w:val="24"/>
        </w:rPr>
        <w:t>French</w:t>
      </w:r>
      <w:proofErr w:type="spellEnd"/>
      <w:r w:rsidRPr="00C550BB">
        <w:rPr>
          <w:sz w:val="24"/>
          <w:szCs w:val="24"/>
        </w:rPr>
        <w:t xml:space="preserve"> (1993) que emprega para a explicação do retorno dos ativos o prêmio pelo risco (diferença entre o retorno da carteira de mercado e da taxa livre de risco), o retorno de uma carteira </w:t>
      </w:r>
      <w:proofErr w:type="spellStart"/>
      <w:r w:rsidRPr="00C550BB">
        <w:rPr>
          <w:i/>
          <w:sz w:val="24"/>
          <w:szCs w:val="24"/>
        </w:rPr>
        <w:t>small</w:t>
      </w:r>
      <w:proofErr w:type="spellEnd"/>
      <w:r w:rsidRPr="00C550BB">
        <w:rPr>
          <w:i/>
          <w:sz w:val="24"/>
          <w:szCs w:val="24"/>
        </w:rPr>
        <w:t xml:space="preserve"> </w:t>
      </w:r>
      <w:proofErr w:type="spellStart"/>
      <w:r w:rsidRPr="00C550BB">
        <w:rPr>
          <w:i/>
          <w:sz w:val="24"/>
          <w:szCs w:val="24"/>
        </w:rPr>
        <w:t>minus</w:t>
      </w:r>
      <w:proofErr w:type="spellEnd"/>
      <w:r w:rsidRPr="00C550BB">
        <w:rPr>
          <w:i/>
          <w:sz w:val="24"/>
          <w:szCs w:val="24"/>
        </w:rPr>
        <w:t xml:space="preserve"> big</w:t>
      </w:r>
      <w:r w:rsidRPr="00C550BB">
        <w:rPr>
          <w:sz w:val="24"/>
          <w:szCs w:val="24"/>
        </w:rPr>
        <w:t xml:space="preserve"> </w:t>
      </w:r>
      <w:r w:rsidRPr="00C550BB">
        <w:rPr>
          <w:i/>
          <w:sz w:val="24"/>
          <w:szCs w:val="24"/>
        </w:rPr>
        <w:t>(SMB)</w:t>
      </w:r>
      <w:r w:rsidRPr="00C550BB">
        <w:rPr>
          <w:sz w:val="24"/>
          <w:szCs w:val="24"/>
        </w:rPr>
        <w:t xml:space="preserve"> </w:t>
      </w:r>
      <w:r w:rsidR="00190A07">
        <w:rPr>
          <w:sz w:val="24"/>
          <w:szCs w:val="24"/>
        </w:rPr>
        <w:t xml:space="preserve">que pondera o tamanho das empresas </w:t>
      </w:r>
      <w:r w:rsidRPr="00C550BB">
        <w:rPr>
          <w:sz w:val="24"/>
          <w:szCs w:val="24"/>
        </w:rPr>
        <w:t xml:space="preserve">e o retorno de uma carteira </w:t>
      </w:r>
      <w:r w:rsidRPr="00C550BB">
        <w:rPr>
          <w:i/>
          <w:sz w:val="24"/>
          <w:szCs w:val="24"/>
        </w:rPr>
        <w:t xml:space="preserve">high </w:t>
      </w:r>
      <w:proofErr w:type="spellStart"/>
      <w:r w:rsidRPr="00C550BB">
        <w:rPr>
          <w:i/>
          <w:sz w:val="24"/>
          <w:szCs w:val="24"/>
        </w:rPr>
        <w:t>minus</w:t>
      </w:r>
      <w:proofErr w:type="spellEnd"/>
      <w:r w:rsidRPr="00C550BB">
        <w:rPr>
          <w:i/>
          <w:sz w:val="24"/>
          <w:szCs w:val="24"/>
        </w:rPr>
        <w:t xml:space="preserve"> </w:t>
      </w:r>
      <w:proofErr w:type="spellStart"/>
      <w:r w:rsidRPr="00C550BB">
        <w:rPr>
          <w:i/>
          <w:sz w:val="24"/>
          <w:szCs w:val="24"/>
        </w:rPr>
        <w:t>low</w:t>
      </w:r>
      <w:proofErr w:type="spellEnd"/>
      <w:r w:rsidRPr="00C550BB">
        <w:rPr>
          <w:i/>
          <w:sz w:val="24"/>
          <w:szCs w:val="24"/>
        </w:rPr>
        <w:t xml:space="preserve"> (HML)</w:t>
      </w:r>
      <w:r w:rsidR="00190A07">
        <w:rPr>
          <w:sz w:val="24"/>
          <w:szCs w:val="24"/>
        </w:rPr>
        <w:t xml:space="preserve"> que pondera o </w:t>
      </w:r>
      <w:r w:rsidR="00190A07">
        <w:rPr>
          <w:i/>
          <w:sz w:val="24"/>
          <w:szCs w:val="24"/>
        </w:rPr>
        <w:t>book-</w:t>
      </w:r>
      <w:proofErr w:type="spellStart"/>
      <w:r w:rsidR="00190A07">
        <w:rPr>
          <w:i/>
          <w:sz w:val="24"/>
          <w:szCs w:val="24"/>
        </w:rPr>
        <w:t>to</w:t>
      </w:r>
      <w:proofErr w:type="spellEnd"/>
      <w:r w:rsidR="00190A07">
        <w:rPr>
          <w:i/>
          <w:sz w:val="24"/>
          <w:szCs w:val="24"/>
        </w:rPr>
        <w:t>-</w:t>
      </w:r>
      <w:proofErr w:type="spellStart"/>
      <w:r w:rsidR="00190A07">
        <w:rPr>
          <w:i/>
          <w:sz w:val="24"/>
          <w:szCs w:val="24"/>
        </w:rPr>
        <w:t>market</w:t>
      </w:r>
      <w:proofErr w:type="spellEnd"/>
      <w:r w:rsidRPr="00C550BB">
        <w:rPr>
          <w:sz w:val="24"/>
          <w:szCs w:val="24"/>
        </w:rPr>
        <w:t xml:space="preserve">. O modelo de Fama e </w:t>
      </w:r>
      <w:proofErr w:type="spellStart"/>
      <w:r w:rsidRPr="00C550BB">
        <w:rPr>
          <w:sz w:val="24"/>
          <w:szCs w:val="24"/>
        </w:rPr>
        <w:t>French</w:t>
      </w:r>
      <w:proofErr w:type="spellEnd"/>
      <w:r w:rsidRPr="00C550BB">
        <w:rPr>
          <w:sz w:val="24"/>
          <w:szCs w:val="24"/>
        </w:rPr>
        <w:t xml:space="preserve"> (1993) é expresso pela equação </w:t>
      </w:r>
      <w:r w:rsidR="00190A07">
        <w:rPr>
          <w:sz w:val="24"/>
          <w:szCs w:val="24"/>
        </w:rPr>
        <w:t>8</w:t>
      </w:r>
      <w:r w:rsidRPr="00C550BB">
        <w:rPr>
          <w:sz w:val="24"/>
          <w:szCs w:val="24"/>
        </w:rPr>
        <w:t>:</w:t>
      </w:r>
    </w:p>
    <w:p w14:paraId="2661611B" w14:textId="77777777" w:rsidR="00190A07" w:rsidRDefault="00190A07" w:rsidP="00C550BB">
      <w:pPr>
        <w:ind w:firstLine="709"/>
        <w:jc w:val="both"/>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9"/>
        <w:gridCol w:w="496"/>
      </w:tblGrid>
      <w:tr w:rsidR="00190A07" w14:paraId="1EE18ACA" w14:textId="77777777" w:rsidTr="00190A07">
        <w:tc>
          <w:tcPr>
            <w:tcW w:w="8642" w:type="dxa"/>
          </w:tcPr>
          <w:p w14:paraId="3D980514" w14:textId="37903E1F" w:rsidR="00190A07" w:rsidRDefault="00166A13" w:rsidP="00190A07">
            <w:pPr>
              <w:jc w:val="center"/>
              <w:rPr>
                <w:sz w:val="24"/>
                <w:szCs w:val="24"/>
              </w:rPr>
            </w:pPr>
            <m:oMathPara>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it</m:t>
                    </m:r>
                  </m:sub>
                </m:sSub>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a</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it</m:t>
                    </m:r>
                  </m:sub>
                </m:sSub>
                <m:d>
                  <m:dPr>
                    <m:ctrlPr>
                      <w:rPr>
                        <w:rFonts w:ascii="Cambria Math" w:hAnsi="Cambria Math" w:cstheme="minorBidi"/>
                        <w:i/>
                        <w:iCs/>
                        <w:color w:val="000000" w:themeColor="text1"/>
                        <w:sz w:val="22"/>
                        <w:szCs w:val="22"/>
                      </w:rPr>
                    </m:ctrlPr>
                  </m:dPr>
                  <m:e>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mt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R</m:t>
                        </m:r>
                      </m:e>
                      <m:sub>
                        <m:r>
                          <w:rPr>
                            <w:rFonts w:ascii="Cambria Math" w:hAnsi="Cambria Math" w:cstheme="minorBidi"/>
                            <w:color w:val="000000" w:themeColor="text1"/>
                            <w:sz w:val="22"/>
                            <w:szCs w:val="22"/>
                          </w:rPr>
                          <m:t>ft</m:t>
                        </m:r>
                      </m:sub>
                    </m:sSub>
                  </m:e>
                </m:d>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s</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SM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B</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h</m:t>
                    </m:r>
                  </m:e>
                  <m:sub>
                    <m:r>
                      <w:rPr>
                        <w:rFonts w:ascii="Cambria Math" w:hAnsi="Cambria Math" w:cstheme="minorBidi"/>
                        <w:color w:val="000000" w:themeColor="text1"/>
                        <w:sz w:val="22"/>
                        <w:szCs w:val="22"/>
                      </w:rPr>
                      <m:t>it</m:t>
                    </m:r>
                  </m:sub>
                </m:sSub>
                <m:r>
                  <w:rPr>
                    <w:rFonts w:ascii="Cambria Math" w:hAnsi="Cambria Math" w:cstheme="minorBidi"/>
                    <w:color w:val="000000" w:themeColor="text1"/>
                    <w:sz w:val="22"/>
                    <w:szCs w:val="22"/>
                  </w:rPr>
                  <m:t>HM</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t</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ε</m:t>
                    </m:r>
                  </m:e>
                  <m:sub>
                    <m:r>
                      <w:rPr>
                        <w:rFonts w:ascii="Cambria Math" w:hAnsi="Cambria Math" w:cstheme="minorBidi"/>
                        <w:color w:val="000000" w:themeColor="text1"/>
                        <w:sz w:val="22"/>
                        <w:szCs w:val="22"/>
                      </w:rPr>
                      <m:t>it</m:t>
                    </m:r>
                  </m:sub>
                </m:sSub>
              </m:oMath>
            </m:oMathPara>
          </w:p>
        </w:tc>
        <w:tc>
          <w:tcPr>
            <w:tcW w:w="413" w:type="dxa"/>
          </w:tcPr>
          <w:p w14:paraId="0C07B619" w14:textId="25BA0A2D" w:rsidR="00190A07" w:rsidRDefault="00190A07" w:rsidP="00C550BB">
            <w:pPr>
              <w:jc w:val="both"/>
              <w:rPr>
                <w:sz w:val="24"/>
                <w:szCs w:val="24"/>
              </w:rPr>
            </w:pPr>
            <w:r>
              <w:rPr>
                <w:sz w:val="24"/>
                <w:szCs w:val="24"/>
              </w:rPr>
              <w:t>(8)</w:t>
            </w:r>
          </w:p>
        </w:tc>
      </w:tr>
    </w:tbl>
    <w:p w14:paraId="00D7062E" w14:textId="65B7AE2C" w:rsidR="00190A07" w:rsidRPr="00C550BB" w:rsidRDefault="00190A07" w:rsidP="00C550BB">
      <w:pPr>
        <w:ind w:firstLine="709"/>
        <w:jc w:val="both"/>
        <w:rPr>
          <w:sz w:val="24"/>
          <w:szCs w:val="24"/>
        </w:rPr>
      </w:pPr>
      <w:r>
        <w:rPr>
          <w:sz w:val="24"/>
          <w:szCs w:val="24"/>
        </w:rPr>
        <w:t xml:space="preserve"> </w:t>
      </w:r>
    </w:p>
    <w:p w14:paraId="468A3DEF" w14:textId="69BCA312" w:rsidR="00C550BB" w:rsidRPr="00C550BB" w:rsidRDefault="00C550BB" w:rsidP="00C550BB">
      <w:pPr>
        <w:ind w:firstLine="709"/>
        <w:jc w:val="both"/>
        <w:rPr>
          <w:sz w:val="24"/>
          <w:szCs w:val="24"/>
        </w:rPr>
      </w:pPr>
      <w:r w:rsidRPr="00C550BB">
        <w:rPr>
          <w:sz w:val="24"/>
          <w:szCs w:val="24"/>
        </w:rPr>
        <w:t xml:space="preserve">No qual </w:t>
      </w:r>
      <w:r w:rsidRPr="00C550BB">
        <w:rPr>
          <w:i/>
          <w:sz w:val="24"/>
          <w:szCs w:val="24"/>
        </w:rPr>
        <w:t>i</w:t>
      </w:r>
      <w:r w:rsidRPr="00C550BB">
        <w:rPr>
          <w:sz w:val="24"/>
          <w:szCs w:val="24"/>
        </w:rPr>
        <w:t xml:space="preserve"> indica a empresa e </w:t>
      </w:r>
      <w:r w:rsidRPr="00C550BB">
        <w:rPr>
          <w:i/>
          <w:sz w:val="24"/>
          <w:szCs w:val="24"/>
        </w:rPr>
        <w:t>t</w:t>
      </w:r>
      <w:r w:rsidRPr="00C550BB">
        <w:rPr>
          <w:sz w:val="24"/>
          <w:szCs w:val="24"/>
        </w:rPr>
        <w:t xml:space="preserve"> indica o ano, </w:t>
      </w:r>
      <m:oMath>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it</m:t>
            </m:r>
          </m:sub>
        </m:sSub>
      </m:oMath>
      <w:r w:rsidRPr="00C550BB">
        <w:rPr>
          <w:rFonts w:eastAsiaTheme="minorEastAsia"/>
          <w:iCs/>
          <w:color w:val="000000" w:themeColor="text1"/>
          <w:sz w:val="24"/>
          <w:szCs w:val="24"/>
        </w:rPr>
        <w:t xml:space="preserve"> é o retorno estimado da ação em cada mês, </w:t>
      </w:r>
      <m:oMath>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f</m:t>
            </m:r>
          </m:sub>
        </m:sSub>
      </m:oMath>
      <w:r w:rsidRPr="00C550BB">
        <w:rPr>
          <w:rFonts w:eastAsiaTheme="minorEastAsia"/>
          <w:iCs/>
          <w:color w:val="000000" w:themeColor="text1"/>
          <w:sz w:val="24"/>
          <w:szCs w:val="24"/>
        </w:rPr>
        <w:t xml:space="preserve"> é a taxa livre de risco, </w:t>
      </w:r>
      <m:oMath>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m</m:t>
            </m:r>
          </m:sub>
        </m:sSub>
      </m:oMath>
      <w:r w:rsidRPr="00C550BB">
        <w:rPr>
          <w:rFonts w:eastAsiaTheme="minorEastAsia"/>
          <w:iCs/>
          <w:color w:val="000000" w:themeColor="text1"/>
          <w:sz w:val="24"/>
          <w:szCs w:val="24"/>
        </w:rPr>
        <w:t xml:space="preserve"> é a taxa de retorno do mercado, </w:t>
      </w:r>
      <m:oMath>
        <m:r>
          <w:rPr>
            <w:rFonts w:ascii="Cambria Math" w:hAnsi="Cambria Math"/>
            <w:color w:val="000000" w:themeColor="text1"/>
            <w:sz w:val="24"/>
            <w:szCs w:val="24"/>
          </w:rPr>
          <m:t>SM</m:t>
        </m:r>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t</m:t>
            </m:r>
          </m:sub>
        </m:sSub>
        <m:r>
          <w:rPr>
            <w:rFonts w:ascii="Cambria Math" w:hAnsi="Cambria Math"/>
            <w:color w:val="000000" w:themeColor="text1"/>
            <w:sz w:val="24"/>
            <w:szCs w:val="24"/>
          </w:rPr>
          <m:t xml:space="preserve"> e HM</m:t>
        </m:r>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t</m:t>
            </m:r>
          </m:sub>
        </m:sSub>
      </m:oMath>
      <w:r w:rsidRPr="00C550BB">
        <w:rPr>
          <w:rFonts w:eastAsiaTheme="minorEastAsia"/>
          <w:iCs/>
          <w:color w:val="000000" w:themeColor="text1"/>
          <w:sz w:val="24"/>
          <w:szCs w:val="24"/>
        </w:rPr>
        <w:t xml:space="preserve"> representam os retornos mensais das carteiras </w:t>
      </w:r>
      <w:r w:rsidRPr="00C550BB">
        <w:rPr>
          <w:rFonts w:eastAsiaTheme="minorEastAsia"/>
          <w:i/>
          <w:iCs/>
          <w:color w:val="000000" w:themeColor="text1"/>
          <w:sz w:val="24"/>
          <w:szCs w:val="24"/>
        </w:rPr>
        <w:t xml:space="preserve">SMB </w:t>
      </w:r>
      <w:r w:rsidRPr="00C550BB">
        <w:rPr>
          <w:rFonts w:eastAsiaTheme="minorEastAsia"/>
          <w:iCs/>
          <w:color w:val="000000" w:themeColor="text1"/>
          <w:sz w:val="24"/>
          <w:szCs w:val="24"/>
        </w:rPr>
        <w:t xml:space="preserve">e </w:t>
      </w:r>
      <w:r w:rsidRPr="00C550BB">
        <w:rPr>
          <w:rFonts w:eastAsiaTheme="minorEastAsia"/>
          <w:i/>
          <w:iCs/>
          <w:color w:val="000000" w:themeColor="text1"/>
          <w:sz w:val="24"/>
          <w:szCs w:val="24"/>
        </w:rPr>
        <w:t>HML</w:t>
      </w:r>
      <w:r w:rsidRPr="00C550BB">
        <w:rPr>
          <w:rFonts w:eastAsiaTheme="minorEastAsia"/>
          <w:iCs/>
          <w:color w:val="000000" w:themeColor="text1"/>
          <w:sz w:val="24"/>
          <w:szCs w:val="24"/>
        </w:rPr>
        <w:t xml:space="preserve">, 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it</m:t>
            </m:r>
          </m:sub>
        </m:sSub>
      </m:oMath>
      <w:r w:rsidRPr="00C550BB">
        <w:rPr>
          <w:rFonts w:eastAsiaTheme="minorEastAsia"/>
          <w:color w:val="000000" w:themeColor="text1"/>
          <w:sz w:val="24"/>
          <w:szCs w:val="24"/>
        </w:rPr>
        <w:t xml:space="preserve">, </w:t>
      </w:r>
      <m:oMath>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it</m:t>
            </m:r>
          </m:sub>
        </m:sSub>
      </m:oMath>
      <w:r w:rsidRPr="00C550BB">
        <w:rPr>
          <w:rFonts w:eastAsiaTheme="minorEastAsia"/>
          <w:iCs/>
          <w:color w:val="000000" w:themeColor="text1"/>
          <w:sz w:val="24"/>
          <w:szCs w:val="24"/>
        </w:rPr>
        <w:t xml:space="preserve"> e </w:t>
      </w:r>
      <m:oMath>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it</m:t>
            </m:r>
          </m:sub>
        </m:sSub>
      </m:oMath>
      <w:r w:rsidRPr="00C550BB">
        <w:rPr>
          <w:rFonts w:eastAsiaTheme="minorEastAsia"/>
          <w:iCs/>
          <w:color w:val="000000" w:themeColor="text1"/>
          <w:sz w:val="24"/>
          <w:szCs w:val="24"/>
        </w:rPr>
        <w:t xml:space="preserve"> são os coeficientes relativos a cada fator. Como </w:t>
      </w:r>
      <w:r w:rsidRPr="00C550BB">
        <w:rPr>
          <w:rFonts w:eastAsiaTheme="minorEastAsia"/>
          <w:i/>
          <w:iCs/>
          <w:color w:val="000000" w:themeColor="text1"/>
          <w:sz w:val="24"/>
          <w:szCs w:val="24"/>
        </w:rPr>
        <w:t>proxy</w:t>
      </w:r>
      <w:r w:rsidRPr="00C550BB">
        <w:rPr>
          <w:rFonts w:eastAsiaTheme="minorEastAsia"/>
          <w:iCs/>
          <w:color w:val="000000" w:themeColor="text1"/>
          <w:sz w:val="24"/>
          <w:szCs w:val="24"/>
        </w:rPr>
        <w:t xml:space="preserve"> da taxa livre de risco para o Brasil foi utilizada a taxa do Banco Central do Brasil (SELIC) e para a Dinamarca foi utilizada a taxa do </w:t>
      </w:r>
      <w:proofErr w:type="spellStart"/>
      <w:r w:rsidRPr="00C550BB">
        <w:rPr>
          <w:rFonts w:eastAsiaTheme="minorEastAsia"/>
          <w:i/>
          <w:iCs/>
          <w:color w:val="000000" w:themeColor="text1"/>
          <w:sz w:val="24"/>
          <w:szCs w:val="24"/>
        </w:rPr>
        <w:t>National</w:t>
      </w:r>
      <w:proofErr w:type="spellEnd"/>
      <w:r w:rsidRPr="00C550BB">
        <w:rPr>
          <w:rFonts w:eastAsiaTheme="minorEastAsia"/>
          <w:i/>
          <w:iCs/>
          <w:color w:val="000000" w:themeColor="text1"/>
          <w:sz w:val="24"/>
          <w:szCs w:val="24"/>
        </w:rPr>
        <w:t xml:space="preserve"> </w:t>
      </w:r>
      <w:proofErr w:type="spellStart"/>
      <w:r w:rsidRPr="00C550BB">
        <w:rPr>
          <w:rFonts w:eastAsiaTheme="minorEastAsia"/>
          <w:i/>
          <w:iCs/>
          <w:color w:val="000000" w:themeColor="text1"/>
          <w:sz w:val="24"/>
          <w:szCs w:val="24"/>
        </w:rPr>
        <w:t>banken</w:t>
      </w:r>
      <w:proofErr w:type="spellEnd"/>
      <w:r w:rsidRPr="00C550BB">
        <w:rPr>
          <w:rFonts w:eastAsiaTheme="minorEastAsia"/>
          <w:b/>
          <w:i/>
          <w:iCs/>
          <w:color w:val="000000" w:themeColor="text1"/>
          <w:sz w:val="24"/>
          <w:szCs w:val="24"/>
        </w:rPr>
        <w:t xml:space="preserve"> </w:t>
      </w:r>
      <w:r w:rsidRPr="00C550BB">
        <w:rPr>
          <w:rFonts w:eastAsiaTheme="minorEastAsia"/>
          <w:iCs/>
          <w:color w:val="000000" w:themeColor="text1"/>
          <w:sz w:val="24"/>
          <w:szCs w:val="24"/>
        </w:rPr>
        <w:t>e como taxa livre de risco padrão para a análise pretendida foi utilizado a taxa do tesouro americano (</w:t>
      </w:r>
      <w:proofErr w:type="spellStart"/>
      <w:r w:rsidRPr="00C550BB">
        <w:rPr>
          <w:i/>
          <w:sz w:val="24"/>
          <w:szCs w:val="24"/>
        </w:rPr>
        <w:t>Treasury</w:t>
      </w:r>
      <w:proofErr w:type="spellEnd"/>
      <w:r w:rsidRPr="00C550BB">
        <w:rPr>
          <w:i/>
          <w:sz w:val="24"/>
          <w:szCs w:val="24"/>
        </w:rPr>
        <w:t xml:space="preserve"> </w:t>
      </w:r>
      <w:proofErr w:type="spellStart"/>
      <w:r w:rsidRPr="00C550BB">
        <w:rPr>
          <w:i/>
          <w:sz w:val="24"/>
          <w:szCs w:val="24"/>
        </w:rPr>
        <w:t>Bonds</w:t>
      </w:r>
      <w:proofErr w:type="spellEnd"/>
      <w:r w:rsidRPr="00C550BB">
        <w:rPr>
          <w:i/>
          <w:sz w:val="24"/>
          <w:szCs w:val="24"/>
        </w:rPr>
        <w:t xml:space="preserve">, </w:t>
      </w:r>
      <w:r w:rsidRPr="00C550BB">
        <w:rPr>
          <w:rFonts w:eastAsiaTheme="minorEastAsia"/>
          <w:i/>
          <w:iCs/>
          <w:color w:val="000000" w:themeColor="text1"/>
          <w:sz w:val="24"/>
          <w:szCs w:val="24"/>
        </w:rPr>
        <w:t>T-Bond</w:t>
      </w:r>
      <w:r w:rsidRPr="00C550BB">
        <w:rPr>
          <w:rFonts w:eastAsiaTheme="minorEastAsia"/>
          <w:iCs/>
          <w:color w:val="000000" w:themeColor="text1"/>
          <w:sz w:val="24"/>
          <w:szCs w:val="24"/>
        </w:rPr>
        <w:t>)</w:t>
      </w:r>
      <w:r w:rsidRPr="00C550BB">
        <w:rPr>
          <w:rFonts w:eastAsiaTheme="minorEastAsia"/>
          <w:i/>
          <w:iCs/>
          <w:color w:val="000000" w:themeColor="text1"/>
          <w:sz w:val="24"/>
          <w:szCs w:val="24"/>
        </w:rPr>
        <w:t>.</w:t>
      </w:r>
      <w:r w:rsidRPr="00C550BB">
        <w:rPr>
          <w:sz w:val="24"/>
          <w:szCs w:val="24"/>
        </w:rPr>
        <w:t xml:space="preserve"> </w:t>
      </w:r>
    </w:p>
    <w:p w14:paraId="4076CAAC" w14:textId="77777777" w:rsidR="00C550BB" w:rsidRPr="00C550BB" w:rsidRDefault="00C550BB" w:rsidP="00C550BB">
      <w:pPr>
        <w:ind w:firstLine="709"/>
        <w:jc w:val="both"/>
        <w:rPr>
          <w:rFonts w:eastAsiaTheme="minorEastAsia"/>
          <w:iCs/>
          <w:color w:val="000000" w:themeColor="text1"/>
          <w:sz w:val="24"/>
          <w:szCs w:val="24"/>
        </w:rPr>
      </w:pPr>
      <w:r w:rsidRPr="00C550BB">
        <w:rPr>
          <w:sz w:val="24"/>
          <w:szCs w:val="24"/>
        </w:rPr>
        <w:t xml:space="preserve">Como </w:t>
      </w:r>
      <w:r w:rsidRPr="00C550BB">
        <w:rPr>
          <w:i/>
          <w:sz w:val="24"/>
          <w:szCs w:val="24"/>
        </w:rPr>
        <w:t>proxy</w:t>
      </w:r>
      <w:r w:rsidRPr="00C550BB">
        <w:rPr>
          <w:sz w:val="24"/>
          <w:szCs w:val="24"/>
        </w:rPr>
        <w:t xml:space="preserve"> para a carteira de mercado brasileira utilizou-se o índice do Ibovespa (Castro-Junior &amp; </w:t>
      </w:r>
      <w:proofErr w:type="spellStart"/>
      <w:r w:rsidRPr="00C550BB">
        <w:rPr>
          <w:sz w:val="24"/>
          <w:szCs w:val="24"/>
        </w:rPr>
        <w:t>Yoshinaga</w:t>
      </w:r>
      <w:proofErr w:type="spellEnd"/>
      <w:r w:rsidRPr="00C550BB">
        <w:rPr>
          <w:sz w:val="24"/>
          <w:szCs w:val="24"/>
        </w:rPr>
        <w:t xml:space="preserve">, 2012) e para o mercado da Dinamarca a taxa do principal índice do país OMX Copenhagen 20 (OMXC20). Para composição das carteiras </w:t>
      </w:r>
      <w:r w:rsidRPr="00C550BB">
        <w:rPr>
          <w:rFonts w:eastAsiaTheme="minorEastAsia"/>
          <w:i/>
          <w:iCs/>
          <w:color w:val="000000" w:themeColor="text1"/>
          <w:sz w:val="24"/>
          <w:szCs w:val="24"/>
        </w:rPr>
        <w:t xml:space="preserve">SMB, </w:t>
      </w:r>
      <w:r w:rsidRPr="00C550BB">
        <w:rPr>
          <w:sz w:val="24"/>
          <w:szCs w:val="24"/>
        </w:rPr>
        <w:t>calculada como a média dos retornos de carteiras de ações de pequenas empresas menos a média dos retornos de carteiras de ações de empresas grandes, e</w:t>
      </w:r>
      <w:r w:rsidRPr="00C550BB">
        <w:rPr>
          <w:rFonts w:eastAsiaTheme="minorEastAsia"/>
          <w:iCs/>
          <w:color w:val="000000" w:themeColor="text1"/>
          <w:sz w:val="24"/>
          <w:szCs w:val="24"/>
        </w:rPr>
        <w:t xml:space="preserve"> </w:t>
      </w:r>
      <w:r w:rsidRPr="00C550BB">
        <w:rPr>
          <w:rFonts w:eastAsiaTheme="minorEastAsia"/>
          <w:i/>
          <w:iCs/>
          <w:color w:val="000000" w:themeColor="text1"/>
          <w:sz w:val="24"/>
          <w:szCs w:val="24"/>
        </w:rPr>
        <w:t xml:space="preserve">HML, </w:t>
      </w:r>
      <w:r w:rsidRPr="00C550BB">
        <w:rPr>
          <w:sz w:val="24"/>
          <w:szCs w:val="24"/>
        </w:rPr>
        <w:t xml:space="preserve">calculada como a diferença de retornos de carteiras formadas por empresas com altos e baixos índices </w:t>
      </w:r>
      <w:r w:rsidRPr="00C550BB">
        <w:rPr>
          <w:i/>
          <w:sz w:val="24"/>
          <w:szCs w:val="24"/>
        </w:rPr>
        <w:t>book-</w:t>
      </w:r>
      <w:proofErr w:type="spellStart"/>
      <w:r w:rsidRPr="00C550BB">
        <w:rPr>
          <w:i/>
          <w:sz w:val="24"/>
          <w:szCs w:val="24"/>
        </w:rPr>
        <w:t>to</w:t>
      </w:r>
      <w:proofErr w:type="spellEnd"/>
      <w:r w:rsidRPr="00C550BB">
        <w:rPr>
          <w:i/>
          <w:sz w:val="24"/>
          <w:szCs w:val="24"/>
        </w:rPr>
        <w:t>-</w:t>
      </w:r>
      <w:proofErr w:type="spellStart"/>
      <w:r w:rsidRPr="00C550BB">
        <w:rPr>
          <w:i/>
          <w:sz w:val="24"/>
          <w:szCs w:val="24"/>
        </w:rPr>
        <w:t>market</w:t>
      </w:r>
      <w:proofErr w:type="spellEnd"/>
      <w:r w:rsidRPr="00C550BB">
        <w:rPr>
          <w:sz w:val="24"/>
          <w:szCs w:val="24"/>
        </w:rPr>
        <w:t>,</w:t>
      </w:r>
      <w:r w:rsidRPr="00C550BB">
        <w:rPr>
          <w:rFonts w:eastAsiaTheme="minorEastAsia"/>
          <w:iCs/>
          <w:color w:val="000000" w:themeColor="text1"/>
          <w:sz w:val="24"/>
          <w:szCs w:val="24"/>
        </w:rPr>
        <w:t xml:space="preserve"> foi utilizada a metodologia sub explicada.</w:t>
      </w:r>
    </w:p>
    <w:p w14:paraId="284A01F3" w14:textId="5E9FD3B8" w:rsidR="00C550BB" w:rsidRPr="00C550BB" w:rsidRDefault="00C550BB" w:rsidP="00C550BB">
      <w:pPr>
        <w:ind w:firstLine="709"/>
        <w:jc w:val="both"/>
        <w:rPr>
          <w:rFonts w:eastAsiaTheme="minorEastAsia"/>
          <w:iCs/>
          <w:color w:val="000000" w:themeColor="text1"/>
          <w:sz w:val="24"/>
          <w:szCs w:val="24"/>
        </w:rPr>
      </w:pPr>
      <w:r w:rsidRPr="00C550BB">
        <w:rPr>
          <w:rFonts w:eastAsiaTheme="minorEastAsia"/>
          <w:iCs/>
          <w:color w:val="000000" w:themeColor="text1"/>
          <w:sz w:val="24"/>
          <w:szCs w:val="24"/>
        </w:rPr>
        <w:t xml:space="preserve"> Para formação de tais fatores SMB e HML, seguiu-se a metodologia proposta por Rogers e </w:t>
      </w:r>
      <w:proofErr w:type="spellStart"/>
      <w:r w:rsidRPr="00C550BB">
        <w:rPr>
          <w:rFonts w:eastAsiaTheme="minorEastAsia"/>
          <w:iCs/>
          <w:color w:val="000000" w:themeColor="text1"/>
          <w:sz w:val="24"/>
          <w:szCs w:val="24"/>
        </w:rPr>
        <w:t>Securato</w:t>
      </w:r>
      <w:proofErr w:type="spellEnd"/>
      <w:r w:rsidRPr="00C550BB">
        <w:rPr>
          <w:rFonts w:eastAsiaTheme="minorEastAsia"/>
          <w:iCs/>
          <w:color w:val="000000" w:themeColor="text1"/>
          <w:sz w:val="24"/>
          <w:szCs w:val="24"/>
        </w:rPr>
        <w:t xml:space="preserve"> (2009), a qual </w:t>
      </w:r>
      <w:r w:rsidR="00190A07">
        <w:rPr>
          <w:rFonts w:eastAsiaTheme="minorEastAsia"/>
          <w:iCs/>
          <w:color w:val="000000" w:themeColor="text1"/>
          <w:sz w:val="24"/>
          <w:szCs w:val="24"/>
        </w:rPr>
        <w:t xml:space="preserve">possui </w:t>
      </w:r>
      <w:r w:rsidRPr="00C550BB">
        <w:rPr>
          <w:rFonts w:eastAsiaTheme="minorEastAsia"/>
          <w:iCs/>
          <w:color w:val="000000" w:themeColor="text1"/>
          <w:sz w:val="24"/>
          <w:szCs w:val="24"/>
        </w:rPr>
        <w:t xml:space="preserve">adaptações da proposta original de Fama e </w:t>
      </w:r>
      <w:proofErr w:type="spellStart"/>
      <w:r w:rsidRPr="00C550BB">
        <w:rPr>
          <w:rFonts w:eastAsiaTheme="minorEastAsia"/>
          <w:iCs/>
          <w:color w:val="000000" w:themeColor="text1"/>
          <w:sz w:val="24"/>
          <w:szCs w:val="24"/>
        </w:rPr>
        <w:t>French</w:t>
      </w:r>
      <w:proofErr w:type="spellEnd"/>
      <w:r w:rsidRPr="00C550BB">
        <w:rPr>
          <w:rFonts w:eastAsiaTheme="minorEastAsia"/>
          <w:iCs/>
          <w:color w:val="000000" w:themeColor="text1"/>
          <w:sz w:val="24"/>
          <w:szCs w:val="24"/>
        </w:rPr>
        <w:t xml:space="preserve"> (1993) para o mercado brasileiro. Para tal tem-se duas abordagens principais: (i) primeiramente foram ordenadas anualmente de forma crescente as empresas de acordo com o valor de mercado, após as empresas foram separadas em duas carteiras </w:t>
      </w:r>
      <w:proofErr w:type="spellStart"/>
      <w:r w:rsidRPr="00C550BB">
        <w:rPr>
          <w:rFonts w:eastAsiaTheme="minorEastAsia"/>
          <w:i/>
          <w:iCs/>
          <w:color w:val="000000" w:themeColor="text1"/>
          <w:sz w:val="24"/>
          <w:szCs w:val="24"/>
        </w:rPr>
        <w:t>small</w:t>
      </w:r>
      <w:proofErr w:type="spellEnd"/>
      <w:r w:rsidRPr="00C550BB">
        <w:rPr>
          <w:rFonts w:eastAsiaTheme="minorEastAsia"/>
          <w:i/>
          <w:iCs/>
          <w:color w:val="000000" w:themeColor="text1"/>
          <w:sz w:val="24"/>
          <w:szCs w:val="24"/>
        </w:rPr>
        <w:t xml:space="preserve"> </w:t>
      </w:r>
      <w:r w:rsidRPr="00C550BB">
        <w:rPr>
          <w:rFonts w:eastAsiaTheme="minorEastAsia"/>
          <w:iCs/>
          <w:color w:val="000000" w:themeColor="text1"/>
          <w:sz w:val="24"/>
          <w:szCs w:val="24"/>
        </w:rPr>
        <w:t xml:space="preserve">e </w:t>
      </w:r>
      <w:r w:rsidRPr="00C550BB">
        <w:rPr>
          <w:rFonts w:eastAsiaTheme="minorEastAsia"/>
          <w:i/>
          <w:iCs/>
          <w:color w:val="000000" w:themeColor="text1"/>
          <w:sz w:val="24"/>
          <w:szCs w:val="24"/>
        </w:rPr>
        <w:t>big</w:t>
      </w:r>
      <w:r w:rsidRPr="00C550BB">
        <w:rPr>
          <w:rFonts w:eastAsiaTheme="minorEastAsia"/>
          <w:iCs/>
          <w:color w:val="000000" w:themeColor="text1"/>
          <w:sz w:val="24"/>
          <w:szCs w:val="24"/>
        </w:rPr>
        <w:t xml:space="preserve">, tendo o ponto de </w:t>
      </w:r>
      <w:r w:rsidRPr="00C550BB">
        <w:rPr>
          <w:rFonts w:eastAsiaTheme="minorEastAsia"/>
          <w:iCs/>
          <w:color w:val="000000" w:themeColor="text1"/>
          <w:sz w:val="24"/>
          <w:szCs w:val="24"/>
        </w:rPr>
        <w:lastRenderedPageBreak/>
        <w:t>corte como o valor da mediana do valor de mercado; (</w:t>
      </w:r>
      <w:proofErr w:type="spellStart"/>
      <w:r w:rsidRPr="00C550BB">
        <w:rPr>
          <w:rFonts w:eastAsiaTheme="minorEastAsia"/>
          <w:iCs/>
          <w:color w:val="000000" w:themeColor="text1"/>
          <w:sz w:val="24"/>
          <w:szCs w:val="24"/>
        </w:rPr>
        <w:t>ii</w:t>
      </w:r>
      <w:proofErr w:type="spellEnd"/>
      <w:r w:rsidRPr="00C550BB">
        <w:rPr>
          <w:rFonts w:eastAsiaTheme="minorEastAsia"/>
          <w:iCs/>
          <w:color w:val="000000" w:themeColor="text1"/>
          <w:sz w:val="24"/>
          <w:szCs w:val="24"/>
        </w:rPr>
        <w:t>) as duas carteiras (</w:t>
      </w:r>
      <w:proofErr w:type="spellStart"/>
      <w:r w:rsidRPr="00C550BB">
        <w:rPr>
          <w:rFonts w:eastAsiaTheme="minorEastAsia"/>
          <w:i/>
          <w:iCs/>
          <w:color w:val="000000" w:themeColor="text1"/>
          <w:sz w:val="24"/>
          <w:szCs w:val="24"/>
        </w:rPr>
        <w:t>small</w:t>
      </w:r>
      <w:proofErr w:type="spellEnd"/>
      <w:r w:rsidRPr="00C550BB">
        <w:rPr>
          <w:rFonts w:eastAsiaTheme="minorEastAsia"/>
          <w:i/>
          <w:iCs/>
          <w:color w:val="000000" w:themeColor="text1"/>
          <w:sz w:val="24"/>
          <w:szCs w:val="24"/>
        </w:rPr>
        <w:t xml:space="preserve"> </w:t>
      </w:r>
      <w:r w:rsidRPr="00C550BB">
        <w:rPr>
          <w:rFonts w:eastAsiaTheme="minorEastAsia"/>
          <w:iCs/>
          <w:color w:val="000000" w:themeColor="text1"/>
          <w:sz w:val="24"/>
          <w:szCs w:val="24"/>
        </w:rPr>
        <w:t xml:space="preserve">e </w:t>
      </w:r>
      <w:r w:rsidRPr="00C550BB">
        <w:rPr>
          <w:rFonts w:eastAsiaTheme="minorEastAsia"/>
          <w:i/>
          <w:iCs/>
          <w:color w:val="000000" w:themeColor="text1"/>
          <w:sz w:val="24"/>
          <w:szCs w:val="24"/>
        </w:rPr>
        <w:t>big</w:t>
      </w:r>
      <w:r w:rsidRPr="00C550BB">
        <w:rPr>
          <w:rFonts w:eastAsiaTheme="minorEastAsia"/>
          <w:iCs/>
          <w:color w:val="000000" w:themeColor="text1"/>
          <w:sz w:val="24"/>
          <w:szCs w:val="24"/>
        </w:rPr>
        <w:t xml:space="preserve">) então foram ordenadas de acordo com o índice </w:t>
      </w:r>
      <w:r w:rsidRPr="00C550BB">
        <w:rPr>
          <w:rFonts w:eastAsiaTheme="minorEastAsia"/>
          <w:i/>
          <w:iCs/>
          <w:color w:val="000000" w:themeColor="text1"/>
          <w:sz w:val="24"/>
          <w:szCs w:val="24"/>
        </w:rPr>
        <w:t>book-</w:t>
      </w:r>
      <w:proofErr w:type="spellStart"/>
      <w:r w:rsidRPr="00C550BB">
        <w:rPr>
          <w:rFonts w:eastAsiaTheme="minorEastAsia"/>
          <w:i/>
          <w:iCs/>
          <w:color w:val="000000" w:themeColor="text1"/>
          <w:sz w:val="24"/>
          <w:szCs w:val="24"/>
        </w:rPr>
        <w:t>to</w:t>
      </w:r>
      <w:proofErr w:type="spellEnd"/>
      <w:r w:rsidRPr="00C550BB">
        <w:rPr>
          <w:rFonts w:eastAsiaTheme="minorEastAsia"/>
          <w:i/>
          <w:iCs/>
          <w:color w:val="000000" w:themeColor="text1"/>
          <w:sz w:val="24"/>
          <w:szCs w:val="24"/>
        </w:rPr>
        <w:t>-</w:t>
      </w:r>
      <w:proofErr w:type="spellStart"/>
      <w:r w:rsidRPr="00C550BB">
        <w:rPr>
          <w:rFonts w:eastAsiaTheme="minorEastAsia"/>
          <w:i/>
          <w:iCs/>
          <w:color w:val="000000" w:themeColor="text1"/>
          <w:sz w:val="24"/>
          <w:szCs w:val="24"/>
        </w:rPr>
        <w:t>market</w:t>
      </w:r>
      <w:proofErr w:type="spellEnd"/>
      <w:r w:rsidRPr="00C550BB">
        <w:rPr>
          <w:rFonts w:eastAsiaTheme="minorEastAsia"/>
          <w:iCs/>
          <w:color w:val="000000" w:themeColor="text1"/>
          <w:sz w:val="24"/>
          <w:szCs w:val="24"/>
        </w:rPr>
        <w:t xml:space="preserve"> de forma crescente, e após subdividido em outras 3 carteiras, de acordo com o 30º e 70º percentil. </w:t>
      </w:r>
      <w:r w:rsidR="00190A07">
        <w:rPr>
          <w:rFonts w:eastAsiaTheme="minorEastAsia"/>
          <w:iCs/>
          <w:color w:val="000000" w:themeColor="text1"/>
          <w:sz w:val="24"/>
          <w:szCs w:val="24"/>
        </w:rPr>
        <w:t xml:space="preserve">A tabela </w:t>
      </w:r>
      <w:r w:rsidRPr="00C550BB">
        <w:rPr>
          <w:rFonts w:eastAsiaTheme="minorEastAsia"/>
          <w:iCs/>
          <w:color w:val="000000" w:themeColor="text1"/>
          <w:sz w:val="24"/>
          <w:szCs w:val="24"/>
        </w:rPr>
        <w:t>1 explana de forma sucinta a d</w:t>
      </w:r>
      <w:r w:rsidR="00190A07">
        <w:rPr>
          <w:rFonts w:eastAsiaTheme="minorEastAsia"/>
          <w:iCs/>
          <w:color w:val="000000" w:themeColor="text1"/>
          <w:sz w:val="24"/>
          <w:szCs w:val="24"/>
        </w:rPr>
        <w:t>ivisão das carteiras, ressalta-se</w:t>
      </w:r>
      <w:r w:rsidRPr="00C550BB">
        <w:rPr>
          <w:rFonts w:eastAsiaTheme="minorEastAsia"/>
          <w:iCs/>
          <w:color w:val="000000" w:themeColor="text1"/>
          <w:sz w:val="24"/>
          <w:szCs w:val="24"/>
        </w:rPr>
        <w:t xml:space="preserve"> que os fatores foram estimados de acordo com todas as empresas em negociação do mercado e não somente </w:t>
      </w:r>
      <w:r w:rsidR="00190A07">
        <w:rPr>
          <w:rFonts w:eastAsiaTheme="minorEastAsia"/>
          <w:iCs/>
          <w:color w:val="000000" w:themeColor="text1"/>
          <w:sz w:val="24"/>
          <w:szCs w:val="24"/>
        </w:rPr>
        <w:t xml:space="preserve">com </w:t>
      </w:r>
      <w:r w:rsidRPr="00C550BB">
        <w:rPr>
          <w:rFonts w:eastAsiaTheme="minorEastAsia"/>
          <w:iCs/>
          <w:color w:val="000000" w:themeColor="text1"/>
          <w:sz w:val="24"/>
          <w:szCs w:val="24"/>
        </w:rPr>
        <w:t xml:space="preserve">a amostra </w:t>
      </w:r>
      <w:r w:rsidR="00190A07">
        <w:rPr>
          <w:rFonts w:eastAsiaTheme="minorEastAsia"/>
          <w:iCs/>
          <w:color w:val="000000" w:themeColor="text1"/>
          <w:sz w:val="24"/>
          <w:szCs w:val="24"/>
        </w:rPr>
        <w:t>de</w:t>
      </w:r>
      <w:r w:rsidRPr="00C550BB">
        <w:rPr>
          <w:rFonts w:eastAsiaTheme="minorEastAsia"/>
          <w:iCs/>
          <w:color w:val="000000" w:themeColor="text1"/>
          <w:sz w:val="24"/>
          <w:szCs w:val="24"/>
        </w:rPr>
        <w:t xml:space="preserve"> pesquisa.</w:t>
      </w:r>
    </w:p>
    <w:p w14:paraId="3A399C79" w14:textId="77777777" w:rsidR="00C550BB" w:rsidRPr="00C550BB" w:rsidRDefault="00C550BB" w:rsidP="00C550BB">
      <w:pPr>
        <w:jc w:val="both"/>
        <w:rPr>
          <w:rFonts w:eastAsiaTheme="minorEastAsia"/>
          <w:iCs/>
          <w:color w:val="000000" w:themeColor="text1"/>
          <w:sz w:val="24"/>
          <w:szCs w:val="24"/>
        </w:rPr>
      </w:pPr>
    </w:p>
    <w:p w14:paraId="2F5B8E35" w14:textId="55420932" w:rsidR="00C550BB" w:rsidRPr="00C550BB" w:rsidRDefault="00C550BB" w:rsidP="00C550BB">
      <w:pPr>
        <w:jc w:val="both"/>
        <w:rPr>
          <w:rFonts w:eastAsiaTheme="minorEastAsia"/>
          <w:b/>
          <w:iCs/>
          <w:color w:val="000000" w:themeColor="text1"/>
          <w:sz w:val="24"/>
          <w:szCs w:val="24"/>
        </w:rPr>
      </w:pPr>
      <w:r w:rsidRPr="00C550BB">
        <w:rPr>
          <w:rFonts w:eastAsiaTheme="minorEastAsia"/>
          <w:b/>
          <w:iCs/>
          <w:color w:val="000000" w:themeColor="text1"/>
          <w:sz w:val="24"/>
          <w:szCs w:val="24"/>
        </w:rPr>
        <w:t xml:space="preserve">Tabela 1 - Esquema de formação das carteiras para construção dos fatores SMB e HML </w:t>
      </w:r>
    </w:p>
    <w:tbl>
      <w:tblPr>
        <w:tblStyle w:val="Tabelacomgrade"/>
        <w:tblW w:w="5000" w:type="pct"/>
        <w:tblLook w:val="04A0" w:firstRow="1" w:lastRow="0" w:firstColumn="1" w:lastColumn="0" w:noHBand="0" w:noVBand="1"/>
      </w:tblPr>
      <w:tblGrid>
        <w:gridCol w:w="2263"/>
        <w:gridCol w:w="2264"/>
        <w:gridCol w:w="2264"/>
        <w:gridCol w:w="2264"/>
      </w:tblGrid>
      <w:tr w:rsidR="00C550BB" w:rsidRPr="00C550BB" w14:paraId="1896C5A3" w14:textId="77777777" w:rsidTr="00C550BB">
        <w:tc>
          <w:tcPr>
            <w:tcW w:w="1250" w:type="pct"/>
            <w:vAlign w:val="center"/>
          </w:tcPr>
          <w:p w14:paraId="666B649D" w14:textId="77777777" w:rsidR="00C550BB" w:rsidRPr="00C550BB" w:rsidRDefault="00C550BB" w:rsidP="00C550BB">
            <w:pPr>
              <w:jc w:val="both"/>
              <w:rPr>
                <w:sz w:val="24"/>
                <w:szCs w:val="24"/>
              </w:rPr>
            </w:pPr>
            <w:r w:rsidRPr="00C550BB">
              <w:rPr>
                <w:sz w:val="24"/>
                <w:szCs w:val="24"/>
              </w:rPr>
              <w:t>Valor de mercado</w:t>
            </w:r>
          </w:p>
        </w:tc>
        <w:tc>
          <w:tcPr>
            <w:tcW w:w="1250" w:type="pct"/>
            <w:vAlign w:val="center"/>
          </w:tcPr>
          <w:p w14:paraId="40FFC150" w14:textId="77777777" w:rsidR="00C550BB" w:rsidRPr="00C550BB" w:rsidRDefault="00C550BB" w:rsidP="00C550BB">
            <w:pPr>
              <w:jc w:val="both"/>
              <w:rPr>
                <w:i/>
                <w:sz w:val="24"/>
                <w:szCs w:val="24"/>
              </w:rPr>
            </w:pPr>
            <w:proofErr w:type="spellStart"/>
            <w:r w:rsidRPr="00C550BB">
              <w:rPr>
                <w:i/>
                <w:sz w:val="24"/>
                <w:szCs w:val="24"/>
              </w:rPr>
              <w:t>Small</w:t>
            </w:r>
            <w:proofErr w:type="spellEnd"/>
          </w:p>
        </w:tc>
        <w:tc>
          <w:tcPr>
            <w:tcW w:w="1250" w:type="pct"/>
            <w:vAlign w:val="center"/>
          </w:tcPr>
          <w:p w14:paraId="2EA7F195" w14:textId="77777777" w:rsidR="00C550BB" w:rsidRPr="00C550BB" w:rsidRDefault="00C550BB" w:rsidP="00C550BB">
            <w:pPr>
              <w:jc w:val="both"/>
              <w:rPr>
                <w:sz w:val="24"/>
                <w:szCs w:val="24"/>
              </w:rPr>
            </w:pPr>
            <w:r w:rsidRPr="00C550BB">
              <w:rPr>
                <w:i/>
                <w:sz w:val="24"/>
                <w:szCs w:val="24"/>
              </w:rPr>
              <w:t>Big</w:t>
            </w:r>
          </w:p>
        </w:tc>
        <w:tc>
          <w:tcPr>
            <w:tcW w:w="1250" w:type="pct"/>
            <w:vAlign w:val="center"/>
          </w:tcPr>
          <w:p w14:paraId="7BEB9A98" w14:textId="77777777" w:rsidR="00C550BB" w:rsidRPr="00C550BB" w:rsidRDefault="00C550BB" w:rsidP="00C550BB">
            <w:pPr>
              <w:jc w:val="both"/>
              <w:rPr>
                <w:sz w:val="24"/>
                <w:szCs w:val="24"/>
              </w:rPr>
            </w:pPr>
            <w:r w:rsidRPr="00C550BB">
              <w:rPr>
                <w:sz w:val="24"/>
                <w:szCs w:val="24"/>
              </w:rPr>
              <w:t>Valor de Mercado</w:t>
            </w:r>
          </w:p>
        </w:tc>
      </w:tr>
      <w:tr w:rsidR="00C550BB" w:rsidRPr="00C550BB" w14:paraId="47640A68" w14:textId="77777777" w:rsidTr="00C550BB">
        <w:tc>
          <w:tcPr>
            <w:tcW w:w="1250" w:type="pct"/>
            <w:vMerge w:val="restart"/>
            <w:vAlign w:val="center"/>
          </w:tcPr>
          <w:p w14:paraId="6B28C0F9" w14:textId="77777777" w:rsidR="00C550BB" w:rsidRPr="00C550BB" w:rsidRDefault="00C550BB" w:rsidP="00C550BB">
            <w:pPr>
              <w:jc w:val="both"/>
              <w:rPr>
                <w:sz w:val="24"/>
                <w:szCs w:val="24"/>
              </w:rPr>
            </w:pPr>
            <w:r w:rsidRPr="00C550BB">
              <w:rPr>
                <w:rFonts w:eastAsiaTheme="minorEastAsia"/>
                <w:i/>
                <w:iCs/>
                <w:color w:val="000000" w:themeColor="text1"/>
                <w:sz w:val="24"/>
                <w:szCs w:val="24"/>
              </w:rPr>
              <w:t>Book-</w:t>
            </w:r>
            <w:proofErr w:type="spellStart"/>
            <w:r w:rsidRPr="00C550BB">
              <w:rPr>
                <w:rFonts w:eastAsiaTheme="minorEastAsia"/>
                <w:i/>
                <w:iCs/>
                <w:color w:val="000000" w:themeColor="text1"/>
                <w:sz w:val="24"/>
                <w:szCs w:val="24"/>
              </w:rPr>
              <w:t>to</w:t>
            </w:r>
            <w:proofErr w:type="spellEnd"/>
            <w:r w:rsidRPr="00C550BB">
              <w:rPr>
                <w:rFonts w:eastAsiaTheme="minorEastAsia"/>
                <w:i/>
                <w:iCs/>
                <w:color w:val="000000" w:themeColor="text1"/>
                <w:sz w:val="24"/>
                <w:szCs w:val="24"/>
              </w:rPr>
              <w:t>-</w:t>
            </w:r>
            <w:proofErr w:type="spellStart"/>
            <w:r w:rsidRPr="00C550BB">
              <w:rPr>
                <w:rFonts w:eastAsiaTheme="minorEastAsia"/>
                <w:i/>
                <w:iCs/>
                <w:color w:val="000000" w:themeColor="text1"/>
                <w:sz w:val="24"/>
                <w:szCs w:val="24"/>
              </w:rPr>
              <w:t>market</w:t>
            </w:r>
            <w:proofErr w:type="spellEnd"/>
          </w:p>
        </w:tc>
        <w:tc>
          <w:tcPr>
            <w:tcW w:w="1250" w:type="pct"/>
            <w:vAlign w:val="center"/>
          </w:tcPr>
          <w:p w14:paraId="15800A98" w14:textId="77777777" w:rsidR="00C550BB" w:rsidRPr="00C550BB" w:rsidRDefault="00C550BB" w:rsidP="00C550BB">
            <w:pPr>
              <w:jc w:val="both"/>
              <w:rPr>
                <w:sz w:val="24"/>
                <w:szCs w:val="24"/>
              </w:rPr>
            </w:pPr>
            <w:r w:rsidRPr="00C550BB">
              <w:rPr>
                <w:sz w:val="24"/>
                <w:szCs w:val="24"/>
              </w:rPr>
              <w:t xml:space="preserve">70º   </w:t>
            </w:r>
            <w:proofErr w:type="spellStart"/>
            <w:r w:rsidRPr="00C550BB">
              <w:rPr>
                <w:i/>
                <w:sz w:val="24"/>
                <w:szCs w:val="24"/>
              </w:rPr>
              <w:t>Value</w:t>
            </w:r>
            <w:proofErr w:type="spellEnd"/>
          </w:p>
        </w:tc>
        <w:tc>
          <w:tcPr>
            <w:tcW w:w="1250" w:type="pct"/>
            <w:vAlign w:val="center"/>
          </w:tcPr>
          <w:p w14:paraId="6C231FB0" w14:textId="77777777" w:rsidR="00C550BB" w:rsidRPr="00C550BB" w:rsidRDefault="00C550BB" w:rsidP="00C550BB">
            <w:pPr>
              <w:jc w:val="both"/>
              <w:rPr>
                <w:sz w:val="24"/>
                <w:szCs w:val="24"/>
              </w:rPr>
            </w:pPr>
            <w:r w:rsidRPr="00C550BB">
              <w:rPr>
                <w:sz w:val="24"/>
                <w:szCs w:val="24"/>
              </w:rPr>
              <w:t xml:space="preserve">70º  </w:t>
            </w:r>
            <w:proofErr w:type="spellStart"/>
            <w:r w:rsidRPr="00C550BB">
              <w:rPr>
                <w:i/>
                <w:sz w:val="24"/>
                <w:szCs w:val="24"/>
              </w:rPr>
              <w:t>Value</w:t>
            </w:r>
            <w:proofErr w:type="spellEnd"/>
          </w:p>
        </w:tc>
        <w:tc>
          <w:tcPr>
            <w:tcW w:w="1250" w:type="pct"/>
            <w:vMerge w:val="restart"/>
            <w:vAlign w:val="center"/>
          </w:tcPr>
          <w:p w14:paraId="1A83A52A" w14:textId="77777777" w:rsidR="00C550BB" w:rsidRPr="00C550BB" w:rsidRDefault="00C550BB" w:rsidP="00C550BB">
            <w:pPr>
              <w:jc w:val="both"/>
              <w:rPr>
                <w:sz w:val="24"/>
                <w:szCs w:val="24"/>
              </w:rPr>
            </w:pPr>
            <w:r w:rsidRPr="00C550BB">
              <w:rPr>
                <w:rFonts w:eastAsiaTheme="minorEastAsia"/>
                <w:i/>
                <w:iCs/>
                <w:color w:val="000000" w:themeColor="text1"/>
                <w:sz w:val="24"/>
                <w:szCs w:val="24"/>
              </w:rPr>
              <w:t>Book-</w:t>
            </w:r>
            <w:proofErr w:type="spellStart"/>
            <w:r w:rsidRPr="00C550BB">
              <w:rPr>
                <w:rFonts w:eastAsiaTheme="minorEastAsia"/>
                <w:i/>
                <w:iCs/>
                <w:color w:val="000000" w:themeColor="text1"/>
                <w:sz w:val="24"/>
                <w:szCs w:val="24"/>
              </w:rPr>
              <w:t>to</w:t>
            </w:r>
            <w:proofErr w:type="spellEnd"/>
            <w:r w:rsidRPr="00C550BB">
              <w:rPr>
                <w:rFonts w:eastAsiaTheme="minorEastAsia"/>
                <w:i/>
                <w:iCs/>
                <w:color w:val="000000" w:themeColor="text1"/>
                <w:sz w:val="24"/>
                <w:szCs w:val="24"/>
              </w:rPr>
              <w:t>-</w:t>
            </w:r>
            <w:proofErr w:type="spellStart"/>
            <w:r w:rsidRPr="00C550BB">
              <w:rPr>
                <w:rFonts w:eastAsiaTheme="minorEastAsia"/>
                <w:i/>
                <w:iCs/>
                <w:color w:val="000000" w:themeColor="text1"/>
                <w:sz w:val="24"/>
                <w:szCs w:val="24"/>
              </w:rPr>
              <w:t>market</w:t>
            </w:r>
            <w:proofErr w:type="spellEnd"/>
          </w:p>
        </w:tc>
      </w:tr>
      <w:tr w:rsidR="00C550BB" w:rsidRPr="00C550BB" w14:paraId="34EC00BF" w14:textId="77777777" w:rsidTr="00C550BB">
        <w:tc>
          <w:tcPr>
            <w:tcW w:w="1250" w:type="pct"/>
            <w:vMerge/>
          </w:tcPr>
          <w:p w14:paraId="63F022ED" w14:textId="77777777" w:rsidR="00C550BB" w:rsidRPr="00C550BB" w:rsidRDefault="00C550BB" w:rsidP="00C550BB">
            <w:pPr>
              <w:jc w:val="both"/>
              <w:rPr>
                <w:sz w:val="24"/>
                <w:szCs w:val="24"/>
              </w:rPr>
            </w:pPr>
          </w:p>
        </w:tc>
        <w:tc>
          <w:tcPr>
            <w:tcW w:w="1250" w:type="pct"/>
            <w:vAlign w:val="center"/>
          </w:tcPr>
          <w:p w14:paraId="0E78D490" w14:textId="77777777" w:rsidR="00C550BB" w:rsidRPr="00C550BB" w:rsidRDefault="00C550BB" w:rsidP="00C550BB">
            <w:pPr>
              <w:jc w:val="both"/>
              <w:rPr>
                <w:i/>
                <w:sz w:val="24"/>
                <w:szCs w:val="24"/>
              </w:rPr>
            </w:pPr>
            <w:r w:rsidRPr="00C550BB">
              <w:rPr>
                <w:i/>
                <w:sz w:val="24"/>
                <w:szCs w:val="24"/>
              </w:rPr>
              <w:t xml:space="preserve">       Neutral</w:t>
            </w:r>
          </w:p>
        </w:tc>
        <w:tc>
          <w:tcPr>
            <w:tcW w:w="1250" w:type="pct"/>
            <w:vAlign w:val="center"/>
          </w:tcPr>
          <w:p w14:paraId="4C7F5275" w14:textId="77777777" w:rsidR="00C550BB" w:rsidRPr="00C550BB" w:rsidRDefault="00C550BB" w:rsidP="00C550BB">
            <w:pPr>
              <w:jc w:val="both"/>
              <w:rPr>
                <w:i/>
                <w:sz w:val="24"/>
                <w:szCs w:val="24"/>
              </w:rPr>
            </w:pPr>
            <w:r w:rsidRPr="00C550BB">
              <w:rPr>
                <w:i/>
                <w:sz w:val="24"/>
                <w:szCs w:val="24"/>
              </w:rPr>
              <w:t xml:space="preserve">       Neutral</w:t>
            </w:r>
          </w:p>
        </w:tc>
        <w:tc>
          <w:tcPr>
            <w:tcW w:w="1250" w:type="pct"/>
            <w:vMerge/>
          </w:tcPr>
          <w:p w14:paraId="4B8B2A8B" w14:textId="77777777" w:rsidR="00C550BB" w:rsidRPr="00C550BB" w:rsidRDefault="00C550BB" w:rsidP="00C550BB">
            <w:pPr>
              <w:jc w:val="both"/>
              <w:rPr>
                <w:sz w:val="24"/>
                <w:szCs w:val="24"/>
              </w:rPr>
            </w:pPr>
          </w:p>
        </w:tc>
      </w:tr>
      <w:tr w:rsidR="00C550BB" w:rsidRPr="00C550BB" w14:paraId="4037D922" w14:textId="77777777" w:rsidTr="00C550BB">
        <w:tc>
          <w:tcPr>
            <w:tcW w:w="1250" w:type="pct"/>
            <w:vMerge/>
          </w:tcPr>
          <w:p w14:paraId="5CE56897" w14:textId="77777777" w:rsidR="00C550BB" w:rsidRPr="00C550BB" w:rsidRDefault="00C550BB" w:rsidP="00C550BB">
            <w:pPr>
              <w:jc w:val="both"/>
              <w:rPr>
                <w:sz w:val="24"/>
                <w:szCs w:val="24"/>
              </w:rPr>
            </w:pPr>
          </w:p>
        </w:tc>
        <w:tc>
          <w:tcPr>
            <w:tcW w:w="1250" w:type="pct"/>
            <w:vAlign w:val="center"/>
          </w:tcPr>
          <w:p w14:paraId="67EA5473" w14:textId="77777777" w:rsidR="00C550BB" w:rsidRPr="00C550BB" w:rsidRDefault="00C550BB" w:rsidP="00C550BB">
            <w:pPr>
              <w:jc w:val="both"/>
              <w:rPr>
                <w:sz w:val="24"/>
                <w:szCs w:val="24"/>
              </w:rPr>
            </w:pPr>
            <w:r w:rsidRPr="00C550BB">
              <w:rPr>
                <w:sz w:val="24"/>
                <w:szCs w:val="24"/>
              </w:rPr>
              <w:t xml:space="preserve">30º </w:t>
            </w:r>
            <w:proofErr w:type="spellStart"/>
            <w:r w:rsidRPr="00C550BB">
              <w:rPr>
                <w:i/>
                <w:sz w:val="24"/>
                <w:szCs w:val="24"/>
              </w:rPr>
              <w:t>Growth</w:t>
            </w:r>
            <w:proofErr w:type="spellEnd"/>
          </w:p>
        </w:tc>
        <w:tc>
          <w:tcPr>
            <w:tcW w:w="1250" w:type="pct"/>
            <w:vAlign w:val="center"/>
          </w:tcPr>
          <w:p w14:paraId="23B6B9B0" w14:textId="77777777" w:rsidR="00C550BB" w:rsidRPr="00C550BB" w:rsidRDefault="00C550BB" w:rsidP="00C550BB">
            <w:pPr>
              <w:jc w:val="both"/>
              <w:rPr>
                <w:sz w:val="24"/>
                <w:szCs w:val="24"/>
              </w:rPr>
            </w:pPr>
            <w:r w:rsidRPr="00C550BB">
              <w:rPr>
                <w:sz w:val="24"/>
                <w:szCs w:val="24"/>
              </w:rPr>
              <w:t xml:space="preserve"> 30º </w:t>
            </w:r>
            <w:proofErr w:type="spellStart"/>
            <w:r w:rsidRPr="00C550BB">
              <w:rPr>
                <w:i/>
                <w:sz w:val="24"/>
                <w:szCs w:val="24"/>
              </w:rPr>
              <w:t>Growth</w:t>
            </w:r>
            <w:proofErr w:type="spellEnd"/>
          </w:p>
        </w:tc>
        <w:tc>
          <w:tcPr>
            <w:tcW w:w="1250" w:type="pct"/>
            <w:vMerge/>
          </w:tcPr>
          <w:p w14:paraId="33FE5CB8" w14:textId="77777777" w:rsidR="00C550BB" w:rsidRPr="00C550BB" w:rsidRDefault="00C550BB" w:rsidP="00C550BB">
            <w:pPr>
              <w:jc w:val="both"/>
              <w:rPr>
                <w:sz w:val="24"/>
                <w:szCs w:val="24"/>
              </w:rPr>
            </w:pPr>
          </w:p>
        </w:tc>
      </w:tr>
    </w:tbl>
    <w:p w14:paraId="3991C279" w14:textId="77777777" w:rsidR="00C550BB" w:rsidRPr="00C550BB" w:rsidRDefault="00C550BB" w:rsidP="00C550BB">
      <w:pPr>
        <w:jc w:val="both"/>
        <w:rPr>
          <w:szCs w:val="24"/>
        </w:rPr>
      </w:pPr>
      <w:r w:rsidRPr="00C550BB">
        <w:rPr>
          <w:szCs w:val="24"/>
        </w:rPr>
        <w:t xml:space="preserve">Fonte: Adaptado de Rogers e </w:t>
      </w:r>
      <w:proofErr w:type="spellStart"/>
      <w:r w:rsidRPr="00C550BB">
        <w:rPr>
          <w:szCs w:val="24"/>
        </w:rPr>
        <w:t>Securato</w:t>
      </w:r>
      <w:proofErr w:type="spellEnd"/>
      <w:r w:rsidRPr="00C550BB">
        <w:rPr>
          <w:szCs w:val="24"/>
        </w:rPr>
        <w:t xml:space="preserve"> (2009).</w:t>
      </w:r>
    </w:p>
    <w:p w14:paraId="27DE5C9F" w14:textId="77777777" w:rsidR="00C550BB" w:rsidRPr="00C550BB" w:rsidRDefault="00C550BB" w:rsidP="00C550BB">
      <w:pPr>
        <w:jc w:val="both"/>
        <w:rPr>
          <w:rFonts w:eastAsiaTheme="minorEastAsia"/>
          <w:iCs/>
          <w:color w:val="000000" w:themeColor="text1"/>
          <w:sz w:val="24"/>
          <w:szCs w:val="24"/>
        </w:rPr>
      </w:pPr>
    </w:p>
    <w:p w14:paraId="1894103D" w14:textId="77777777" w:rsidR="00C550BB" w:rsidRPr="00C550BB" w:rsidRDefault="00C550BB" w:rsidP="00C550BB">
      <w:pPr>
        <w:ind w:firstLine="709"/>
        <w:jc w:val="both"/>
        <w:rPr>
          <w:rFonts w:eastAsiaTheme="minorEastAsia"/>
          <w:iCs/>
          <w:color w:val="000000" w:themeColor="text1"/>
          <w:sz w:val="24"/>
          <w:szCs w:val="24"/>
        </w:rPr>
      </w:pPr>
      <w:r w:rsidRPr="00C550BB">
        <w:rPr>
          <w:rFonts w:eastAsiaTheme="minorEastAsia"/>
          <w:iCs/>
          <w:color w:val="000000" w:themeColor="text1"/>
          <w:sz w:val="24"/>
          <w:szCs w:val="24"/>
        </w:rPr>
        <w:t xml:space="preserve">O fator SMB tem seu valor com base na média dos retornos das carteiras </w:t>
      </w:r>
      <w:proofErr w:type="spellStart"/>
      <w:r w:rsidRPr="00C550BB">
        <w:rPr>
          <w:rFonts w:eastAsiaTheme="minorEastAsia"/>
          <w:i/>
          <w:iCs/>
          <w:color w:val="000000" w:themeColor="text1"/>
          <w:sz w:val="24"/>
          <w:szCs w:val="24"/>
        </w:rPr>
        <w:t>small</w:t>
      </w:r>
      <w:proofErr w:type="spellEnd"/>
      <w:r w:rsidRPr="00C550BB">
        <w:rPr>
          <w:rFonts w:eastAsiaTheme="minorEastAsia"/>
          <w:iCs/>
          <w:color w:val="000000" w:themeColor="text1"/>
          <w:sz w:val="24"/>
          <w:szCs w:val="24"/>
        </w:rPr>
        <w:t xml:space="preserve"> menos a média do retorno das carteiras </w:t>
      </w:r>
      <w:r w:rsidRPr="00C550BB">
        <w:rPr>
          <w:rFonts w:eastAsiaTheme="minorEastAsia"/>
          <w:i/>
          <w:iCs/>
          <w:color w:val="000000" w:themeColor="text1"/>
          <w:sz w:val="24"/>
          <w:szCs w:val="24"/>
        </w:rPr>
        <w:t>big</w:t>
      </w:r>
      <w:r w:rsidRPr="00C550BB">
        <w:rPr>
          <w:rFonts w:eastAsiaTheme="minorEastAsia"/>
          <w:iCs/>
          <w:color w:val="000000" w:themeColor="text1"/>
          <w:sz w:val="24"/>
          <w:szCs w:val="24"/>
        </w:rPr>
        <w:t>:</w:t>
      </w:r>
    </w:p>
    <w:p w14:paraId="033FAAC9" w14:textId="77777777" w:rsidR="00C550BB" w:rsidRPr="00C550BB" w:rsidRDefault="00C550BB" w:rsidP="00C550BB">
      <w:pPr>
        <w:jc w:val="both"/>
        <w:rPr>
          <w:rFonts w:eastAsiaTheme="minorEastAsia"/>
          <w:iCs/>
          <w:color w:val="000000" w:themeColor="text1"/>
          <w:sz w:val="24"/>
          <w:szCs w:val="24"/>
        </w:rPr>
      </w:pPr>
    </w:p>
    <w:p w14:paraId="3C87A475" w14:textId="77777777" w:rsidR="00C550BB" w:rsidRPr="00C550BB" w:rsidRDefault="00C550BB" w:rsidP="00C550BB">
      <w:pPr>
        <w:jc w:val="both"/>
        <w:rPr>
          <w:rFonts w:eastAsiaTheme="minorEastAsia"/>
          <w:iCs/>
          <w:color w:val="000000" w:themeColor="text1"/>
          <w:sz w:val="24"/>
          <w:szCs w:val="24"/>
        </w:rPr>
      </w:pPr>
      <m:oMath>
        <m:r>
          <w:rPr>
            <w:rFonts w:ascii="Cambria Math" w:eastAsiaTheme="minorEastAsia" w:hAnsi="Cambria Math"/>
            <w:color w:val="000000" w:themeColor="text1"/>
            <w:sz w:val="24"/>
            <w:szCs w:val="24"/>
          </w:rPr>
          <m:t xml:space="preserve">SMB= </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(Small Value+Small Neutral+Small Growth)</m:t>
            </m:r>
          </m:num>
          <m:den>
            <m:r>
              <w:rPr>
                <w:rFonts w:ascii="Cambria Math" w:eastAsiaTheme="minorEastAsia" w:hAnsi="Cambria Math"/>
                <w:color w:val="000000" w:themeColor="text1"/>
                <w:sz w:val="24"/>
                <w:szCs w:val="24"/>
              </w:rPr>
              <m:t>3</m:t>
            </m:r>
          </m:den>
        </m:f>
        <m:r>
          <w:rPr>
            <w:rFonts w:ascii="Cambria Math" w:eastAsiaTheme="minorEastAsia" w:hAnsi="Cambria Math"/>
            <w:color w:val="000000" w:themeColor="text1"/>
            <w:sz w:val="24"/>
            <w:szCs w:val="24"/>
          </w:rPr>
          <m:t>-</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(Big Value+Big Neutral+Big Growth)</m:t>
            </m:r>
          </m:num>
          <m:den>
            <m:r>
              <w:rPr>
                <w:rFonts w:ascii="Cambria Math" w:eastAsiaTheme="minorEastAsia" w:hAnsi="Cambria Math"/>
                <w:color w:val="000000" w:themeColor="text1"/>
                <w:sz w:val="24"/>
                <w:szCs w:val="24"/>
              </w:rPr>
              <m:t>3</m:t>
            </m:r>
          </m:den>
        </m:f>
      </m:oMath>
      <w:r w:rsidRPr="00C550BB">
        <w:rPr>
          <w:rFonts w:eastAsiaTheme="minorEastAsia"/>
          <w:iCs/>
          <w:color w:val="000000" w:themeColor="text1"/>
          <w:sz w:val="24"/>
          <w:szCs w:val="24"/>
        </w:rPr>
        <w:t xml:space="preserve"> </w:t>
      </w:r>
    </w:p>
    <w:p w14:paraId="3ABCE244" w14:textId="77777777" w:rsidR="00C550BB" w:rsidRPr="00C550BB" w:rsidRDefault="00C550BB" w:rsidP="00C550BB">
      <w:pPr>
        <w:jc w:val="both"/>
        <w:rPr>
          <w:rFonts w:eastAsiaTheme="minorEastAsia"/>
          <w:iCs/>
          <w:color w:val="000000" w:themeColor="text1"/>
          <w:sz w:val="24"/>
          <w:szCs w:val="24"/>
        </w:rPr>
      </w:pPr>
    </w:p>
    <w:p w14:paraId="7B41194D" w14:textId="77777777" w:rsidR="00C550BB" w:rsidRPr="00C550BB" w:rsidRDefault="00C550BB" w:rsidP="00C550BB">
      <w:pPr>
        <w:ind w:firstLine="709"/>
        <w:jc w:val="both"/>
        <w:rPr>
          <w:rFonts w:eastAsiaTheme="minorEastAsia"/>
          <w:iCs/>
          <w:color w:val="000000" w:themeColor="text1"/>
          <w:sz w:val="24"/>
          <w:szCs w:val="24"/>
        </w:rPr>
      </w:pPr>
      <w:r w:rsidRPr="00C550BB">
        <w:rPr>
          <w:rFonts w:eastAsiaTheme="minorEastAsia"/>
          <w:iCs/>
          <w:color w:val="000000" w:themeColor="text1"/>
          <w:sz w:val="24"/>
          <w:szCs w:val="24"/>
        </w:rPr>
        <w:t xml:space="preserve">O fator HML por sua vez é calculado com base na média dos retornos das duas carteiras com alto </w:t>
      </w:r>
      <w:r w:rsidRPr="00C550BB">
        <w:rPr>
          <w:rFonts w:eastAsiaTheme="minorEastAsia"/>
          <w:i/>
          <w:iCs/>
          <w:color w:val="000000" w:themeColor="text1"/>
          <w:sz w:val="24"/>
          <w:szCs w:val="24"/>
        </w:rPr>
        <w:t>book-</w:t>
      </w:r>
      <w:proofErr w:type="spellStart"/>
      <w:r w:rsidRPr="00C550BB">
        <w:rPr>
          <w:rFonts w:eastAsiaTheme="minorEastAsia"/>
          <w:i/>
          <w:iCs/>
          <w:color w:val="000000" w:themeColor="text1"/>
          <w:sz w:val="24"/>
          <w:szCs w:val="24"/>
        </w:rPr>
        <w:t>to</w:t>
      </w:r>
      <w:proofErr w:type="spellEnd"/>
      <w:r w:rsidRPr="00C550BB">
        <w:rPr>
          <w:rFonts w:eastAsiaTheme="minorEastAsia"/>
          <w:i/>
          <w:iCs/>
          <w:color w:val="000000" w:themeColor="text1"/>
          <w:sz w:val="24"/>
          <w:szCs w:val="24"/>
        </w:rPr>
        <w:t>-</w:t>
      </w:r>
      <w:proofErr w:type="spellStart"/>
      <w:r w:rsidRPr="00C550BB">
        <w:rPr>
          <w:rFonts w:eastAsiaTheme="minorEastAsia"/>
          <w:i/>
          <w:iCs/>
          <w:color w:val="000000" w:themeColor="text1"/>
          <w:sz w:val="24"/>
          <w:szCs w:val="24"/>
        </w:rPr>
        <w:t>market</w:t>
      </w:r>
      <w:proofErr w:type="spellEnd"/>
      <w:r w:rsidRPr="00C550BB">
        <w:rPr>
          <w:rFonts w:eastAsiaTheme="minorEastAsia"/>
          <w:iCs/>
          <w:color w:val="000000" w:themeColor="text1"/>
          <w:sz w:val="24"/>
          <w:szCs w:val="24"/>
        </w:rPr>
        <w:t xml:space="preserve"> menos o retorno médio das ações com baixo </w:t>
      </w:r>
      <w:r w:rsidRPr="00C550BB">
        <w:rPr>
          <w:rFonts w:eastAsiaTheme="minorEastAsia"/>
          <w:i/>
          <w:iCs/>
          <w:color w:val="000000" w:themeColor="text1"/>
          <w:sz w:val="24"/>
          <w:szCs w:val="24"/>
        </w:rPr>
        <w:t>book-</w:t>
      </w:r>
      <w:proofErr w:type="spellStart"/>
      <w:r w:rsidRPr="00C550BB">
        <w:rPr>
          <w:rFonts w:eastAsiaTheme="minorEastAsia"/>
          <w:i/>
          <w:iCs/>
          <w:color w:val="000000" w:themeColor="text1"/>
          <w:sz w:val="24"/>
          <w:szCs w:val="24"/>
        </w:rPr>
        <w:t>to</w:t>
      </w:r>
      <w:proofErr w:type="spellEnd"/>
      <w:r w:rsidRPr="00C550BB">
        <w:rPr>
          <w:rFonts w:eastAsiaTheme="minorEastAsia"/>
          <w:i/>
          <w:iCs/>
          <w:color w:val="000000" w:themeColor="text1"/>
          <w:sz w:val="24"/>
          <w:szCs w:val="24"/>
        </w:rPr>
        <w:t>-</w:t>
      </w:r>
      <w:proofErr w:type="spellStart"/>
      <w:r w:rsidRPr="00C550BB">
        <w:rPr>
          <w:rFonts w:eastAsiaTheme="minorEastAsia"/>
          <w:i/>
          <w:iCs/>
          <w:color w:val="000000" w:themeColor="text1"/>
          <w:sz w:val="24"/>
          <w:szCs w:val="24"/>
        </w:rPr>
        <w:t>market</w:t>
      </w:r>
      <w:proofErr w:type="spellEnd"/>
      <w:r w:rsidRPr="00C550BB">
        <w:rPr>
          <w:rFonts w:eastAsiaTheme="minorEastAsia"/>
          <w:iCs/>
          <w:color w:val="000000" w:themeColor="text1"/>
          <w:sz w:val="24"/>
          <w:szCs w:val="24"/>
        </w:rPr>
        <w:t>:</w:t>
      </w:r>
    </w:p>
    <w:p w14:paraId="0B748D92" w14:textId="77777777" w:rsidR="00C550BB" w:rsidRPr="00C550BB" w:rsidRDefault="00C550BB" w:rsidP="00C550BB">
      <w:pPr>
        <w:jc w:val="both"/>
        <w:rPr>
          <w:rFonts w:eastAsiaTheme="minorEastAsia"/>
          <w:iCs/>
          <w:color w:val="000000" w:themeColor="text1"/>
          <w:sz w:val="24"/>
          <w:szCs w:val="24"/>
        </w:rPr>
      </w:pPr>
    </w:p>
    <w:p w14:paraId="1167D16A" w14:textId="77777777" w:rsidR="00C550BB" w:rsidRPr="00C550BB" w:rsidRDefault="00C550BB" w:rsidP="00C550BB">
      <w:pPr>
        <w:jc w:val="both"/>
        <w:rPr>
          <w:rFonts w:eastAsiaTheme="minorEastAsia"/>
          <w:iCs/>
          <w:color w:val="000000" w:themeColor="text1"/>
          <w:sz w:val="24"/>
          <w:szCs w:val="24"/>
        </w:rPr>
      </w:pPr>
      <m:oMathPara>
        <m:oMath>
          <m:r>
            <w:rPr>
              <w:rFonts w:ascii="Cambria Math" w:eastAsiaTheme="minorEastAsia" w:hAnsi="Cambria Math"/>
              <w:color w:val="000000" w:themeColor="text1"/>
              <w:sz w:val="24"/>
              <w:szCs w:val="24"/>
            </w:rPr>
            <m:t xml:space="preserve">HML= </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(Small Value+Big Value)</m:t>
              </m:r>
            </m:num>
            <m:den>
              <m:r>
                <w:rPr>
                  <w:rFonts w:ascii="Cambria Math" w:eastAsiaTheme="minorEastAsia" w:hAnsi="Cambria Math"/>
                  <w:color w:val="000000" w:themeColor="text1"/>
                  <w:sz w:val="24"/>
                  <w:szCs w:val="24"/>
                </w:rPr>
                <m:t>2</m:t>
              </m:r>
            </m:den>
          </m:f>
          <m:r>
            <w:rPr>
              <w:rFonts w:ascii="Cambria Math" w:eastAsiaTheme="minorEastAsia" w:hAnsi="Cambria Math"/>
              <w:color w:val="000000" w:themeColor="text1"/>
              <w:sz w:val="24"/>
              <w:szCs w:val="24"/>
            </w:rPr>
            <m:t>-</m:t>
          </m:r>
          <m:f>
            <m:fPr>
              <m:ctrlPr>
                <w:rPr>
                  <w:rFonts w:ascii="Cambria Math" w:eastAsiaTheme="minorEastAsia" w:hAnsi="Cambria Math"/>
                  <w:i/>
                  <w:iCs/>
                  <w:color w:val="000000" w:themeColor="text1"/>
                  <w:sz w:val="24"/>
                  <w:szCs w:val="24"/>
                </w:rPr>
              </m:ctrlPr>
            </m:fPr>
            <m:num>
              <m:r>
                <w:rPr>
                  <w:rFonts w:ascii="Cambria Math" w:eastAsiaTheme="minorEastAsia" w:hAnsi="Cambria Math"/>
                  <w:color w:val="000000" w:themeColor="text1"/>
                  <w:sz w:val="24"/>
                  <w:szCs w:val="24"/>
                </w:rPr>
                <m:t>(Small Growth+Big Growth)</m:t>
              </m:r>
            </m:num>
            <m:den>
              <m:r>
                <w:rPr>
                  <w:rFonts w:ascii="Cambria Math" w:eastAsiaTheme="minorEastAsia" w:hAnsi="Cambria Math"/>
                  <w:color w:val="000000" w:themeColor="text1"/>
                  <w:sz w:val="24"/>
                  <w:szCs w:val="24"/>
                </w:rPr>
                <m:t>2</m:t>
              </m:r>
            </m:den>
          </m:f>
        </m:oMath>
      </m:oMathPara>
    </w:p>
    <w:p w14:paraId="56D98BE6" w14:textId="77777777" w:rsidR="00C550BB" w:rsidRPr="00C550BB" w:rsidRDefault="00C550BB" w:rsidP="00C550BB">
      <w:pPr>
        <w:jc w:val="both"/>
        <w:rPr>
          <w:rFonts w:eastAsiaTheme="minorEastAsia"/>
          <w:iCs/>
          <w:color w:val="000000" w:themeColor="text1"/>
          <w:sz w:val="24"/>
          <w:szCs w:val="24"/>
        </w:rPr>
      </w:pPr>
    </w:p>
    <w:p w14:paraId="72D8DFD3" w14:textId="46DD6DA0" w:rsidR="00C550BB" w:rsidRPr="00C550BB" w:rsidRDefault="00C550BB" w:rsidP="00C550BB">
      <w:pPr>
        <w:ind w:firstLine="709"/>
        <w:jc w:val="both"/>
        <w:rPr>
          <w:sz w:val="24"/>
          <w:szCs w:val="24"/>
        </w:rPr>
      </w:pPr>
      <w:r w:rsidRPr="00C550BB">
        <w:rPr>
          <w:sz w:val="24"/>
          <w:szCs w:val="24"/>
        </w:rPr>
        <w:t>A regressão do modelo foi realizada por empresa e por ano de pesquisa, com os dois países da amostra e as três diferentes taxas para cada país, originando 2400 re</w:t>
      </w:r>
      <w:r w:rsidR="00190A07">
        <w:rPr>
          <w:sz w:val="24"/>
          <w:szCs w:val="24"/>
        </w:rPr>
        <w:t xml:space="preserve">gressões, das quais obteve-se </w:t>
      </w:r>
      <w:r w:rsidRPr="00C550BB">
        <w:rPr>
          <w:sz w:val="24"/>
          <w:szCs w:val="24"/>
        </w:rPr>
        <w:t xml:space="preserve">os riscos sistêmicos e idiossincráticos. A coleta dos dados foi feita na base de dados da </w:t>
      </w:r>
      <w:proofErr w:type="spellStart"/>
      <w:r w:rsidRPr="00C550BB">
        <w:rPr>
          <w:sz w:val="24"/>
          <w:szCs w:val="24"/>
        </w:rPr>
        <w:t>Thonsom</w:t>
      </w:r>
      <w:proofErr w:type="spellEnd"/>
      <w:r w:rsidRPr="00C550BB">
        <w:rPr>
          <w:sz w:val="24"/>
          <w:szCs w:val="24"/>
        </w:rPr>
        <w:t xml:space="preserve">®, no qual foi coletado o ativo total das empresas, o preço de fechamento das ações mensais e anual, o patrimônio líquido e a quantidade de ações, as demais variáveis necessárias como a taxa livre de juros dos países e o retorno do mercado de acordo com cada índice escolhido foi feita em sites oficiais que dispunham de tais informações. Para cálculo dos fatores bem como as médias resultantes ao valor de final de cada fator, utilizou-se planilha eletrônica.  </w:t>
      </w:r>
    </w:p>
    <w:p w14:paraId="44EEF2A7" w14:textId="7DFE950E" w:rsidR="00C550BB" w:rsidRPr="00C550BB" w:rsidRDefault="00C550BB" w:rsidP="00C550BB">
      <w:pPr>
        <w:ind w:firstLine="709"/>
        <w:jc w:val="both"/>
        <w:rPr>
          <w:sz w:val="24"/>
          <w:szCs w:val="24"/>
        </w:rPr>
      </w:pPr>
      <w:r w:rsidRPr="00C550BB">
        <w:rPr>
          <w:sz w:val="24"/>
          <w:szCs w:val="24"/>
        </w:rPr>
        <w:t>Após o cálculo do CAPM de 3-Fatores, realizou o teste ANOVA com os valores obtidos para o risco sistêmico e idiossincrático nos quatro anos que perfazem a pesquisa, para comparação de médias e significância entre os grupos, além d</w:t>
      </w:r>
      <w:r w:rsidR="00190A07">
        <w:rPr>
          <w:sz w:val="24"/>
          <w:szCs w:val="24"/>
        </w:rPr>
        <w:t xml:space="preserve">este realizou-se </w:t>
      </w:r>
      <w:r w:rsidRPr="00C550BB">
        <w:rPr>
          <w:sz w:val="24"/>
          <w:szCs w:val="24"/>
        </w:rPr>
        <w:t xml:space="preserve">o teste de </w:t>
      </w:r>
      <w:proofErr w:type="spellStart"/>
      <w:r w:rsidRPr="00C550BB">
        <w:rPr>
          <w:sz w:val="24"/>
          <w:szCs w:val="24"/>
        </w:rPr>
        <w:t>Scheffe</w:t>
      </w:r>
      <w:proofErr w:type="spellEnd"/>
      <w:r w:rsidRPr="00C550BB">
        <w:rPr>
          <w:sz w:val="24"/>
          <w:szCs w:val="24"/>
        </w:rPr>
        <w:t xml:space="preserve"> que compara quais dos grupos é o mais distante, diferente, dos outros. </w:t>
      </w:r>
      <w:r w:rsidR="00190A07">
        <w:rPr>
          <w:sz w:val="24"/>
          <w:szCs w:val="24"/>
        </w:rPr>
        <w:t>R</w:t>
      </w:r>
      <w:r w:rsidRPr="00C550BB">
        <w:rPr>
          <w:sz w:val="24"/>
          <w:szCs w:val="24"/>
        </w:rPr>
        <w:t>ealizou-</w:t>
      </w:r>
      <w:r w:rsidR="003177BC" w:rsidRPr="00C550BB">
        <w:rPr>
          <w:sz w:val="24"/>
          <w:szCs w:val="24"/>
        </w:rPr>
        <w:t xml:space="preserve">se </w:t>
      </w:r>
      <w:r w:rsidR="003177BC">
        <w:rPr>
          <w:sz w:val="24"/>
          <w:szCs w:val="24"/>
        </w:rPr>
        <w:t>ainda</w:t>
      </w:r>
      <w:r w:rsidR="00190A07">
        <w:rPr>
          <w:sz w:val="24"/>
          <w:szCs w:val="24"/>
        </w:rPr>
        <w:t xml:space="preserve"> </w:t>
      </w:r>
      <w:r w:rsidRPr="00C550BB">
        <w:rPr>
          <w:sz w:val="24"/>
          <w:szCs w:val="24"/>
        </w:rPr>
        <w:t xml:space="preserve">gráficos para melhor explanar o comportamento dos riscos de acordo com suas médias para as três taxas livres de riscos, para os dois países da amostra. A análise será feita primeiramente de </w:t>
      </w:r>
      <w:r w:rsidR="00190A07">
        <w:rPr>
          <w:sz w:val="24"/>
          <w:szCs w:val="24"/>
        </w:rPr>
        <w:t xml:space="preserve">acordo com </w:t>
      </w:r>
      <w:r w:rsidRPr="00C550BB">
        <w:rPr>
          <w:sz w:val="24"/>
          <w:szCs w:val="24"/>
        </w:rPr>
        <w:t>as estatísticas descritivas de cada país com as três</w:t>
      </w:r>
      <w:r w:rsidR="00190A07">
        <w:rPr>
          <w:sz w:val="24"/>
          <w:szCs w:val="24"/>
        </w:rPr>
        <w:t xml:space="preserve"> diferentes taxas, após analisa</w:t>
      </w:r>
      <w:r w:rsidRPr="00C550BB">
        <w:rPr>
          <w:sz w:val="24"/>
          <w:szCs w:val="24"/>
        </w:rPr>
        <w:t>-se</w:t>
      </w:r>
      <w:r w:rsidR="00190A07">
        <w:rPr>
          <w:sz w:val="24"/>
          <w:szCs w:val="24"/>
        </w:rPr>
        <w:t xml:space="preserve"> </w:t>
      </w:r>
      <w:r w:rsidRPr="00C550BB">
        <w:rPr>
          <w:sz w:val="24"/>
          <w:szCs w:val="24"/>
        </w:rPr>
        <w:t xml:space="preserve">o teste ANOVA e por fim os gráficos. A regressão do modelo proposto e o teste ANOVA foram realizados por meio do software SPSS. </w:t>
      </w:r>
    </w:p>
    <w:p w14:paraId="1DDFBF58" w14:textId="77777777" w:rsidR="00C550BB" w:rsidRPr="00C550BB" w:rsidRDefault="00C550BB" w:rsidP="00C550BB">
      <w:pPr>
        <w:pStyle w:val="Ttulo1"/>
        <w:jc w:val="both"/>
        <w:rPr>
          <w:rFonts w:cs="Times New Roman"/>
          <w:szCs w:val="24"/>
        </w:rPr>
      </w:pPr>
      <w:r w:rsidRPr="00C550BB">
        <w:rPr>
          <w:rFonts w:cs="Times New Roman"/>
          <w:szCs w:val="24"/>
        </w:rPr>
        <w:t xml:space="preserve">ANÁLISE DOS RESULTADOS </w:t>
      </w:r>
    </w:p>
    <w:p w14:paraId="2BBC622B" w14:textId="6BDB73E6" w:rsidR="00C550BB" w:rsidRPr="00C550BB" w:rsidRDefault="0088090E" w:rsidP="00C550BB">
      <w:pPr>
        <w:ind w:firstLine="709"/>
        <w:jc w:val="both"/>
        <w:rPr>
          <w:sz w:val="24"/>
          <w:szCs w:val="24"/>
        </w:rPr>
      </w:pPr>
      <w:r>
        <w:rPr>
          <w:sz w:val="24"/>
          <w:szCs w:val="24"/>
        </w:rPr>
        <w:t xml:space="preserve">A análise quanto ao impacto da variação das diferentes taxas livres de risco </w:t>
      </w:r>
      <w:r w:rsidR="00C550BB" w:rsidRPr="00C550BB">
        <w:rPr>
          <w:sz w:val="24"/>
          <w:szCs w:val="24"/>
        </w:rPr>
        <w:t xml:space="preserve">para cada </w:t>
      </w:r>
      <w:r>
        <w:rPr>
          <w:sz w:val="24"/>
          <w:szCs w:val="24"/>
        </w:rPr>
        <w:t xml:space="preserve">amostra de pesquisa nos </w:t>
      </w:r>
      <w:r w:rsidR="00C550BB" w:rsidRPr="00C550BB">
        <w:rPr>
          <w:sz w:val="24"/>
          <w:szCs w:val="24"/>
        </w:rPr>
        <w:t>diferentes anos</w:t>
      </w:r>
      <w:r>
        <w:rPr>
          <w:sz w:val="24"/>
          <w:szCs w:val="24"/>
        </w:rPr>
        <w:t xml:space="preserve"> é expressa pela</w:t>
      </w:r>
      <w:r w:rsidR="00C550BB" w:rsidRPr="00C550BB">
        <w:rPr>
          <w:sz w:val="24"/>
          <w:szCs w:val="24"/>
        </w:rPr>
        <w:t xml:space="preserve"> tabela 2</w:t>
      </w:r>
      <w:r>
        <w:rPr>
          <w:sz w:val="24"/>
          <w:szCs w:val="24"/>
        </w:rPr>
        <w:t>.</w:t>
      </w:r>
      <w:r w:rsidR="00C550BB" w:rsidRPr="00C550BB">
        <w:rPr>
          <w:sz w:val="24"/>
          <w:szCs w:val="24"/>
        </w:rPr>
        <w:t xml:space="preserve"> A tabela apresentada a média, desvio-padrão, assimetria, curtose, máximo e mínimo. </w:t>
      </w:r>
    </w:p>
    <w:p w14:paraId="750EE53B" w14:textId="77777777" w:rsidR="00C550BB" w:rsidRPr="00C550BB" w:rsidRDefault="00C550BB" w:rsidP="00C550BB">
      <w:pPr>
        <w:jc w:val="both"/>
        <w:rPr>
          <w:sz w:val="24"/>
          <w:szCs w:val="24"/>
        </w:rPr>
      </w:pPr>
    </w:p>
    <w:p w14:paraId="742596EC" w14:textId="007214E0" w:rsidR="00C550BB" w:rsidRPr="00C550BB" w:rsidRDefault="00C550BB" w:rsidP="00C550BB">
      <w:pPr>
        <w:jc w:val="both"/>
        <w:rPr>
          <w:b/>
          <w:sz w:val="24"/>
          <w:szCs w:val="24"/>
        </w:rPr>
      </w:pPr>
      <w:r w:rsidRPr="00C550BB">
        <w:rPr>
          <w:b/>
          <w:sz w:val="24"/>
          <w:szCs w:val="24"/>
        </w:rPr>
        <w:t xml:space="preserve">Tabela 2 - Estatísticas Descritivas dos Riscos Sistêmicos e Idiossincráticos do Brasil </w:t>
      </w:r>
    </w:p>
    <w:tbl>
      <w:tblPr>
        <w:tblStyle w:val="TabelaSimples2"/>
        <w:tblW w:w="5000" w:type="pct"/>
        <w:tblLook w:val="04A0" w:firstRow="1" w:lastRow="0" w:firstColumn="1" w:lastColumn="0" w:noHBand="0" w:noVBand="1"/>
      </w:tblPr>
      <w:tblGrid>
        <w:gridCol w:w="1101"/>
        <w:gridCol w:w="1102"/>
        <w:gridCol w:w="1104"/>
        <w:gridCol w:w="1104"/>
        <w:gridCol w:w="1340"/>
        <w:gridCol w:w="1106"/>
        <w:gridCol w:w="1106"/>
        <w:gridCol w:w="1102"/>
      </w:tblGrid>
      <w:tr w:rsidR="00C550BB" w:rsidRPr="00C550BB" w14:paraId="03F401F9" w14:textId="77777777" w:rsidTr="00880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Borders>
              <w:top w:val="single" w:sz="18" w:space="0" w:color="auto"/>
            </w:tcBorders>
          </w:tcPr>
          <w:p w14:paraId="611BD62A" w14:textId="77777777" w:rsidR="00C550BB" w:rsidRPr="0088090E" w:rsidRDefault="00C550BB" w:rsidP="0088090E">
            <w:pPr>
              <w:jc w:val="center"/>
            </w:pPr>
            <w:r w:rsidRPr="0088090E">
              <w:t>Risco Sistêmico Brasil</w:t>
            </w:r>
          </w:p>
        </w:tc>
      </w:tr>
      <w:tr w:rsidR="00C550BB" w:rsidRPr="00C550BB" w14:paraId="4D33C428"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Borders>
              <w:top w:val="single" w:sz="18" w:space="0" w:color="auto"/>
              <w:bottom w:val="single" w:sz="18" w:space="0" w:color="auto"/>
            </w:tcBorders>
          </w:tcPr>
          <w:p w14:paraId="42FC5279" w14:textId="77777777" w:rsidR="00C550BB" w:rsidRPr="00C550BB" w:rsidRDefault="00C550BB" w:rsidP="00C550BB">
            <w:pPr>
              <w:jc w:val="both"/>
            </w:pPr>
          </w:p>
        </w:tc>
        <w:tc>
          <w:tcPr>
            <w:tcW w:w="608" w:type="pct"/>
            <w:tcBorders>
              <w:top w:val="single" w:sz="18" w:space="0" w:color="auto"/>
              <w:bottom w:val="single" w:sz="18" w:space="0" w:color="auto"/>
            </w:tcBorders>
          </w:tcPr>
          <w:p w14:paraId="64F4BB74"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pPr>
          </w:p>
        </w:tc>
        <w:tc>
          <w:tcPr>
            <w:tcW w:w="609" w:type="pct"/>
            <w:tcBorders>
              <w:top w:val="single" w:sz="18" w:space="0" w:color="auto"/>
              <w:bottom w:val="single" w:sz="18" w:space="0" w:color="auto"/>
            </w:tcBorders>
          </w:tcPr>
          <w:p w14:paraId="1BC846A1" w14:textId="249852A3" w:rsidR="00C550BB" w:rsidRPr="0088090E" w:rsidRDefault="00166A13" w:rsidP="0088090E">
            <w:pPr>
              <w:jc w:val="center"/>
              <w:cnfStyle w:val="000000100000" w:firstRow="0" w:lastRow="0" w:firstColumn="0" w:lastColumn="0" w:oddVBand="0" w:evenVBand="0" w:oddHBand="1" w:evenHBand="0" w:firstRowFirstColumn="0" w:firstRowLastColumn="0" w:lastRowFirstColumn="0" w:lastRowLastColumn="0"/>
              <w:rPr>
                <w:b/>
              </w:rPr>
            </w:pPr>
            <m:oMathPara>
              <m:oMath>
                <m:acc>
                  <m:accPr>
                    <m:chr m:val="̅"/>
                    <m:ctrlPr>
                      <w:rPr>
                        <w:rFonts w:ascii="Cambria Math" w:hAnsi="Cambria Math"/>
                        <w:b/>
                        <w:i/>
                      </w:rPr>
                    </m:ctrlPr>
                  </m:accPr>
                  <m:e>
                    <m:r>
                      <m:rPr>
                        <m:sty m:val="bi"/>
                      </m:rPr>
                      <w:rPr>
                        <w:rFonts w:ascii="Cambria Math" w:hAnsi="Cambria Math"/>
                      </w:rPr>
                      <m:t>X</m:t>
                    </m:r>
                  </m:e>
                </m:acc>
              </m:oMath>
            </m:oMathPara>
          </w:p>
        </w:tc>
        <w:tc>
          <w:tcPr>
            <w:tcW w:w="609" w:type="pct"/>
            <w:tcBorders>
              <w:top w:val="single" w:sz="18" w:space="0" w:color="auto"/>
              <w:bottom w:val="single" w:sz="18" w:space="0" w:color="auto"/>
            </w:tcBorders>
          </w:tcPr>
          <w:p w14:paraId="6D4A6122" w14:textId="5BF032A8" w:rsidR="00C550BB" w:rsidRPr="0088090E" w:rsidRDefault="0088090E" w:rsidP="0088090E">
            <w:pPr>
              <w:jc w:val="center"/>
              <w:cnfStyle w:val="000000100000" w:firstRow="0" w:lastRow="0" w:firstColumn="0" w:lastColumn="0" w:oddVBand="0" w:evenVBand="0" w:oddHBand="1" w:evenHBand="0" w:firstRowFirstColumn="0" w:firstRowLastColumn="0" w:lastRowFirstColumn="0" w:lastRowLastColumn="0"/>
              <w:rPr>
                <w:b/>
              </w:rPr>
            </w:pPr>
            <m:oMathPara>
              <m:oMath>
                <m:r>
                  <m:rPr>
                    <m:sty m:val="bi"/>
                  </m:rPr>
                  <w:rPr>
                    <w:rFonts w:ascii="Cambria Math" w:hAnsi="Cambria Math"/>
                  </w:rPr>
                  <m:t>σ</m:t>
                </m:r>
              </m:oMath>
            </m:oMathPara>
          </w:p>
        </w:tc>
        <w:tc>
          <w:tcPr>
            <w:tcW w:w="739" w:type="pct"/>
            <w:tcBorders>
              <w:top w:val="single" w:sz="18" w:space="0" w:color="auto"/>
              <w:bottom w:val="single" w:sz="18" w:space="0" w:color="auto"/>
            </w:tcBorders>
          </w:tcPr>
          <w:p w14:paraId="597D3C9A"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Assimetria</w:t>
            </w:r>
          </w:p>
        </w:tc>
        <w:tc>
          <w:tcPr>
            <w:tcW w:w="610" w:type="pct"/>
            <w:tcBorders>
              <w:top w:val="single" w:sz="18" w:space="0" w:color="auto"/>
              <w:bottom w:val="single" w:sz="18" w:space="0" w:color="auto"/>
            </w:tcBorders>
          </w:tcPr>
          <w:p w14:paraId="348AC579"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Curtose</w:t>
            </w:r>
          </w:p>
        </w:tc>
        <w:tc>
          <w:tcPr>
            <w:tcW w:w="610" w:type="pct"/>
            <w:tcBorders>
              <w:top w:val="single" w:sz="18" w:space="0" w:color="auto"/>
              <w:bottom w:val="single" w:sz="18" w:space="0" w:color="auto"/>
            </w:tcBorders>
          </w:tcPr>
          <w:p w14:paraId="4AC69184"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Máximo</w:t>
            </w:r>
          </w:p>
        </w:tc>
        <w:tc>
          <w:tcPr>
            <w:tcW w:w="608" w:type="pct"/>
            <w:tcBorders>
              <w:top w:val="single" w:sz="18" w:space="0" w:color="auto"/>
              <w:bottom w:val="single" w:sz="18" w:space="0" w:color="auto"/>
            </w:tcBorders>
          </w:tcPr>
          <w:p w14:paraId="3EC957A2"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Mínimo</w:t>
            </w:r>
          </w:p>
        </w:tc>
      </w:tr>
      <w:tr w:rsidR="00C550BB" w:rsidRPr="00C550BB" w14:paraId="2A3253D3" w14:textId="77777777" w:rsidTr="0088090E">
        <w:tc>
          <w:tcPr>
            <w:cnfStyle w:val="001000000000" w:firstRow="0" w:lastRow="0" w:firstColumn="1" w:lastColumn="0" w:oddVBand="0" w:evenVBand="0" w:oddHBand="0" w:evenHBand="0" w:firstRowFirstColumn="0" w:firstRowLastColumn="0" w:lastRowFirstColumn="0" w:lastRowLastColumn="0"/>
            <w:tcW w:w="607" w:type="pct"/>
            <w:vMerge w:val="restart"/>
            <w:tcBorders>
              <w:top w:val="single" w:sz="18" w:space="0" w:color="auto"/>
            </w:tcBorders>
          </w:tcPr>
          <w:p w14:paraId="55F9185C" w14:textId="77777777" w:rsidR="00C550BB" w:rsidRPr="00C550BB" w:rsidRDefault="00C550BB" w:rsidP="00C550BB">
            <w:pPr>
              <w:jc w:val="both"/>
            </w:pPr>
            <w:r w:rsidRPr="00C550BB">
              <w:t>2012</w:t>
            </w:r>
          </w:p>
        </w:tc>
        <w:tc>
          <w:tcPr>
            <w:tcW w:w="608" w:type="pct"/>
            <w:tcBorders>
              <w:top w:val="single" w:sz="18" w:space="0" w:color="auto"/>
            </w:tcBorders>
          </w:tcPr>
          <w:p w14:paraId="5028557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DIN</w:t>
            </w:r>
          </w:p>
        </w:tc>
        <w:tc>
          <w:tcPr>
            <w:tcW w:w="609" w:type="pct"/>
            <w:tcBorders>
              <w:top w:val="single" w:sz="18" w:space="0" w:color="auto"/>
            </w:tcBorders>
          </w:tcPr>
          <w:p w14:paraId="366494F8"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0.8204</w:t>
            </w:r>
          </w:p>
        </w:tc>
        <w:tc>
          <w:tcPr>
            <w:tcW w:w="609" w:type="pct"/>
            <w:tcBorders>
              <w:top w:val="single" w:sz="18" w:space="0" w:color="auto"/>
            </w:tcBorders>
          </w:tcPr>
          <w:p w14:paraId="4BB3D1E6"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3.8941</w:t>
            </w:r>
          </w:p>
        </w:tc>
        <w:tc>
          <w:tcPr>
            <w:tcW w:w="739" w:type="pct"/>
            <w:tcBorders>
              <w:top w:val="single" w:sz="18" w:space="0" w:color="auto"/>
            </w:tcBorders>
          </w:tcPr>
          <w:p w14:paraId="4C883C4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-1.2262</w:t>
            </w:r>
          </w:p>
        </w:tc>
        <w:tc>
          <w:tcPr>
            <w:tcW w:w="610" w:type="pct"/>
            <w:tcBorders>
              <w:top w:val="single" w:sz="18" w:space="0" w:color="auto"/>
            </w:tcBorders>
          </w:tcPr>
          <w:p w14:paraId="217DFDF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10.0366</w:t>
            </w:r>
          </w:p>
        </w:tc>
        <w:tc>
          <w:tcPr>
            <w:tcW w:w="610" w:type="pct"/>
            <w:tcBorders>
              <w:top w:val="single" w:sz="18" w:space="0" w:color="auto"/>
            </w:tcBorders>
          </w:tcPr>
          <w:p w14:paraId="7985863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14.0370</w:t>
            </w:r>
          </w:p>
        </w:tc>
        <w:tc>
          <w:tcPr>
            <w:tcW w:w="608" w:type="pct"/>
            <w:tcBorders>
              <w:top w:val="single" w:sz="18" w:space="0" w:color="auto"/>
            </w:tcBorders>
          </w:tcPr>
          <w:p w14:paraId="127B95E6"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-17.4830</w:t>
            </w:r>
          </w:p>
        </w:tc>
      </w:tr>
      <w:tr w:rsidR="00C550BB" w:rsidRPr="00C550BB" w14:paraId="37BBAFEB"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67C69320" w14:textId="77777777" w:rsidR="00C550BB" w:rsidRPr="00C550BB" w:rsidRDefault="00C550BB" w:rsidP="00C550BB">
            <w:pPr>
              <w:jc w:val="both"/>
            </w:pPr>
          </w:p>
        </w:tc>
        <w:tc>
          <w:tcPr>
            <w:tcW w:w="608" w:type="pct"/>
          </w:tcPr>
          <w:p w14:paraId="48072BC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BRA</w:t>
            </w:r>
          </w:p>
        </w:tc>
        <w:tc>
          <w:tcPr>
            <w:tcW w:w="609" w:type="pct"/>
          </w:tcPr>
          <w:p w14:paraId="56278CD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0.5561</w:t>
            </w:r>
          </w:p>
        </w:tc>
        <w:tc>
          <w:tcPr>
            <w:tcW w:w="609" w:type="pct"/>
          </w:tcPr>
          <w:p w14:paraId="4653179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1.1206</w:t>
            </w:r>
          </w:p>
        </w:tc>
        <w:tc>
          <w:tcPr>
            <w:tcW w:w="739" w:type="pct"/>
          </w:tcPr>
          <w:p w14:paraId="7CBD66A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0.5514</w:t>
            </w:r>
          </w:p>
        </w:tc>
        <w:tc>
          <w:tcPr>
            <w:tcW w:w="610" w:type="pct"/>
          </w:tcPr>
          <w:p w14:paraId="0919051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3.3620</w:t>
            </w:r>
          </w:p>
        </w:tc>
        <w:tc>
          <w:tcPr>
            <w:tcW w:w="610" w:type="pct"/>
          </w:tcPr>
          <w:p w14:paraId="1FE52224"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4.4940</w:t>
            </w:r>
          </w:p>
        </w:tc>
        <w:tc>
          <w:tcPr>
            <w:tcW w:w="608" w:type="pct"/>
          </w:tcPr>
          <w:p w14:paraId="345B904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-3.2650</w:t>
            </w:r>
          </w:p>
        </w:tc>
      </w:tr>
      <w:tr w:rsidR="00C550BB" w:rsidRPr="00C550BB" w14:paraId="74D31884"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36588AF6" w14:textId="77777777" w:rsidR="00C550BB" w:rsidRPr="00C550BB" w:rsidRDefault="00C550BB" w:rsidP="00C550BB">
            <w:pPr>
              <w:jc w:val="both"/>
            </w:pPr>
          </w:p>
        </w:tc>
        <w:tc>
          <w:tcPr>
            <w:tcW w:w="608" w:type="pct"/>
          </w:tcPr>
          <w:p w14:paraId="7DD7C8D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EUA</w:t>
            </w:r>
          </w:p>
        </w:tc>
        <w:tc>
          <w:tcPr>
            <w:tcW w:w="609" w:type="pct"/>
          </w:tcPr>
          <w:p w14:paraId="5A41F41E" w14:textId="77777777" w:rsidR="00C550BB" w:rsidRPr="00C550BB" w:rsidRDefault="00C550BB" w:rsidP="00C550BB">
            <w:pPr>
              <w:tabs>
                <w:tab w:val="left" w:pos="780"/>
              </w:tabs>
              <w:jc w:val="both"/>
              <w:cnfStyle w:val="000000000000" w:firstRow="0" w:lastRow="0" w:firstColumn="0" w:lastColumn="0" w:oddVBand="0" w:evenVBand="0" w:oddHBand="0" w:evenHBand="0" w:firstRowFirstColumn="0" w:firstRowLastColumn="0" w:lastRowFirstColumn="0" w:lastRowLastColumn="0"/>
            </w:pPr>
            <w:r w:rsidRPr="00C550BB">
              <w:t>0.8197</w:t>
            </w:r>
          </w:p>
        </w:tc>
        <w:tc>
          <w:tcPr>
            <w:tcW w:w="609" w:type="pct"/>
          </w:tcPr>
          <w:p w14:paraId="2F3F0C5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3.8939</w:t>
            </w:r>
          </w:p>
        </w:tc>
        <w:tc>
          <w:tcPr>
            <w:tcW w:w="739" w:type="pct"/>
          </w:tcPr>
          <w:p w14:paraId="20C8956F"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-1.2259</w:t>
            </w:r>
          </w:p>
        </w:tc>
        <w:tc>
          <w:tcPr>
            <w:tcW w:w="610" w:type="pct"/>
          </w:tcPr>
          <w:p w14:paraId="4A198F87"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10.0381</w:t>
            </w:r>
          </w:p>
        </w:tc>
        <w:tc>
          <w:tcPr>
            <w:tcW w:w="610" w:type="pct"/>
          </w:tcPr>
          <w:p w14:paraId="51A3FD77"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14.0370</w:t>
            </w:r>
          </w:p>
        </w:tc>
        <w:tc>
          <w:tcPr>
            <w:tcW w:w="608" w:type="pct"/>
          </w:tcPr>
          <w:p w14:paraId="1B3FACC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-17.4830</w:t>
            </w:r>
          </w:p>
        </w:tc>
      </w:tr>
      <w:tr w:rsidR="00C550BB" w:rsidRPr="00C550BB" w14:paraId="1E2D62D7"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val="restart"/>
          </w:tcPr>
          <w:p w14:paraId="616066D4" w14:textId="77777777" w:rsidR="00C550BB" w:rsidRPr="00C550BB" w:rsidRDefault="00C550BB" w:rsidP="00C550BB">
            <w:pPr>
              <w:jc w:val="both"/>
            </w:pPr>
            <w:r w:rsidRPr="00C550BB">
              <w:t>2013</w:t>
            </w:r>
          </w:p>
        </w:tc>
        <w:tc>
          <w:tcPr>
            <w:tcW w:w="608" w:type="pct"/>
          </w:tcPr>
          <w:p w14:paraId="4A55BBF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DIN</w:t>
            </w:r>
          </w:p>
        </w:tc>
        <w:tc>
          <w:tcPr>
            <w:tcW w:w="609" w:type="pct"/>
          </w:tcPr>
          <w:p w14:paraId="5619C51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0.6220</w:t>
            </w:r>
          </w:p>
        </w:tc>
        <w:tc>
          <w:tcPr>
            <w:tcW w:w="609" w:type="pct"/>
          </w:tcPr>
          <w:p w14:paraId="35AB81B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1.4357</w:t>
            </w:r>
          </w:p>
        </w:tc>
        <w:tc>
          <w:tcPr>
            <w:tcW w:w="739" w:type="pct"/>
          </w:tcPr>
          <w:p w14:paraId="0F9CFCD7"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-0.2032</w:t>
            </w:r>
          </w:p>
        </w:tc>
        <w:tc>
          <w:tcPr>
            <w:tcW w:w="610" w:type="pct"/>
          </w:tcPr>
          <w:p w14:paraId="149C7B0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4.6627</w:t>
            </w:r>
          </w:p>
        </w:tc>
        <w:tc>
          <w:tcPr>
            <w:tcW w:w="610" w:type="pct"/>
          </w:tcPr>
          <w:p w14:paraId="52289ADA"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4.8650</w:t>
            </w:r>
          </w:p>
        </w:tc>
        <w:tc>
          <w:tcPr>
            <w:tcW w:w="608" w:type="pct"/>
          </w:tcPr>
          <w:p w14:paraId="7AC978D4"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-5.5680</w:t>
            </w:r>
          </w:p>
        </w:tc>
      </w:tr>
      <w:tr w:rsidR="00C550BB" w:rsidRPr="00C550BB" w14:paraId="25D17912"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4E359577" w14:textId="77777777" w:rsidR="00C550BB" w:rsidRPr="00C550BB" w:rsidRDefault="00C550BB" w:rsidP="00C550BB">
            <w:pPr>
              <w:jc w:val="both"/>
            </w:pPr>
          </w:p>
        </w:tc>
        <w:tc>
          <w:tcPr>
            <w:tcW w:w="608" w:type="pct"/>
          </w:tcPr>
          <w:p w14:paraId="78B3DB6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BRA</w:t>
            </w:r>
          </w:p>
        </w:tc>
        <w:tc>
          <w:tcPr>
            <w:tcW w:w="609" w:type="pct"/>
          </w:tcPr>
          <w:p w14:paraId="26F420AF"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0.5890</w:t>
            </w:r>
          </w:p>
        </w:tc>
        <w:tc>
          <w:tcPr>
            <w:tcW w:w="609" w:type="pct"/>
          </w:tcPr>
          <w:p w14:paraId="7E96AA9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1.4448</w:t>
            </w:r>
          </w:p>
        </w:tc>
        <w:tc>
          <w:tcPr>
            <w:tcW w:w="739" w:type="pct"/>
          </w:tcPr>
          <w:p w14:paraId="751A8A70"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-0.1103</w:t>
            </w:r>
          </w:p>
        </w:tc>
        <w:tc>
          <w:tcPr>
            <w:tcW w:w="610" w:type="pct"/>
          </w:tcPr>
          <w:p w14:paraId="163DDE0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4.6187</w:t>
            </w:r>
          </w:p>
        </w:tc>
        <w:tc>
          <w:tcPr>
            <w:tcW w:w="610" w:type="pct"/>
          </w:tcPr>
          <w:p w14:paraId="5E7A94D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4.9220</w:t>
            </w:r>
          </w:p>
        </w:tc>
        <w:tc>
          <w:tcPr>
            <w:tcW w:w="608" w:type="pct"/>
          </w:tcPr>
          <w:p w14:paraId="1FAC0892"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-5.5990</w:t>
            </w:r>
          </w:p>
        </w:tc>
      </w:tr>
      <w:tr w:rsidR="00C550BB" w:rsidRPr="00C550BB" w14:paraId="3EDA3227"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701E6B92" w14:textId="77777777" w:rsidR="00C550BB" w:rsidRPr="00C550BB" w:rsidRDefault="00C550BB" w:rsidP="00C550BB">
            <w:pPr>
              <w:jc w:val="both"/>
            </w:pPr>
          </w:p>
        </w:tc>
        <w:tc>
          <w:tcPr>
            <w:tcW w:w="608" w:type="pct"/>
          </w:tcPr>
          <w:p w14:paraId="5A11BD8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EUA</w:t>
            </w:r>
          </w:p>
        </w:tc>
        <w:tc>
          <w:tcPr>
            <w:tcW w:w="609" w:type="pct"/>
          </w:tcPr>
          <w:p w14:paraId="75A160EC"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0.6052</w:t>
            </w:r>
          </w:p>
        </w:tc>
        <w:tc>
          <w:tcPr>
            <w:tcW w:w="609" w:type="pct"/>
          </w:tcPr>
          <w:p w14:paraId="4B103F5C"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1.4430</w:t>
            </w:r>
          </w:p>
        </w:tc>
        <w:tc>
          <w:tcPr>
            <w:tcW w:w="739" w:type="pct"/>
          </w:tcPr>
          <w:p w14:paraId="495B8F8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-0.1752</w:t>
            </w:r>
          </w:p>
        </w:tc>
        <w:tc>
          <w:tcPr>
            <w:tcW w:w="610" w:type="pct"/>
          </w:tcPr>
          <w:p w14:paraId="589EF9F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4.5098</w:t>
            </w:r>
          </w:p>
        </w:tc>
        <w:tc>
          <w:tcPr>
            <w:tcW w:w="610" w:type="pct"/>
          </w:tcPr>
          <w:p w14:paraId="65E8B8E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4.8650</w:t>
            </w:r>
          </w:p>
        </w:tc>
        <w:tc>
          <w:tcPr>
            <w:tcW w:w="608" w:type="pct"/>
          </w:tcPr>
          <w:p w14:paraId="2C0B0C0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-5.5680</w:t>
            </w:r>
          </w:p>
        </w:tc>
      </w:tr>
      <w:tr w:rsidR="00C550BB" w:rsidRPr="00C550BB" w14:paraId="0ECFDFD8" w14:textId="77777777" w:rsidTr="0088090E">
        <w:tc>
          <w:tcPr>
            <w:cnfStyle w:val="001000000000" w:firstRow="0" w:lastRow="0" w:firstColumn="1" w:lastColumn="0" w:oddVBand="0" w:evenVBand="0" w:oddHBand="0" w:evenHBand="0" w:firstRowFirstColumn="0" w:firstRowLastColumn="0" w:lastRowFirstColumn="0" w:lastRowLastColumn="0"/>
            <w:tcW w:w="607" w:type="pct"/>
            <w:vMerge w:val="restart"/>
          </w:tcPr>
          <w:p w14:paraId="53C2DD6E" w14:textId="77777777" w:rsidR="00C550BB" w:rsidRPr="00C550BB" w:rsidRDefault="00C550BB" w:rsidP="00C550BB">
            <w:pPr>
              <w:jc w:val="both"/>
            </w:pPr>
            <w:r w:rsidRPr="00C550BB">
              <w:t>2014</w:t>
            </w:r>
          </w:p>
        </w:tc>
        <w:tc>
          <w:tcPr>
            <w:tcW w:w="608" w:type="pct"/>
          </w:tcPr>
          <w:p w14:paraId="75B5A7F0"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DIN</w:t>
            </w:r>
          </w:p>
        </w:tc>
        <w:tc>
          <w:tcPr>
            <w:tcW w:w="609" w:type="pct"/>
          </w:tcPr>
          <w:p w14:paraId="54F8A05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0.7254</w:t>
            </w:r>
          </w:p>
        </w:tc>
        <w:tc>
          <w:tcPr>
            <w:tcW w:w="609" w:type="pct"/>
          </w:tcPr>
          <w:p w14:paraId="612D0B7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1.0361</w:t>
            </w:r>
          </w:p>
        </w:tc>
        <w:tc>
          <w:tcPr>
            <w:tcW w:w="739" w:type="pct"/>
          </w:tcPr>
          <w:p w14:paraId="181EB658"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1.6168</w:t>
            </w:r>
          </w:p>
        </w:tc>
        <w:tc>
          <w:tcPr>
            <w:tcW w:w="610" w:type="pct"/>
          </w:tcPr>
          <w:p w14:paraId="6D46121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7.8177</w:t>
            </w:r>
          </w:p>
        </w:tc>
        <w:tc>
          <w:tcPr>
            <w:tcW w:w="610" w:type="pct"/>
          </w:tcPr>
          <w:p w14:paraId="34306760"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5.8180</w:t>
            </w:r>
          </w:p>
        </w:tc>
        <w:tc>
          <w:tcPr>
            <w:tcW w:w="608" w:type="pct"/>
          </w:tcPr>
          <w:p w14:paraId="3FFAAD1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-2.0160</w:t>
            </w:r>
          </w:p>
        </w:tc>
      </w:tr>
      <w:tr w:rsidR="00C550BB" w:rsidRPr="00C550BB" w14:paraId="770A229D"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57CB1EAF" w14:textId="77777777" w:rsidR="00C550BB" w:rsidRPr="00C550BB" w:rsidRDefault="00C550BB" w:rsidP="00C550BB">
            <w:pPr>
              <w:jc w:val="both"/>
            </w:pPr>
          </w:p>
        </w:tc>
        <w:tc>
          <w:tcPr>
            <w:tcW w:w="608" w:type="pct"/>
          </w:tcPr>
          <w:p w14:paraId="266508C7"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BRA</w:t>
            </w:r>
          </w:p>
        </w:tc>
        <w:tc>
          <w:tcPr>
            <w:tcW w:w="609" w:type="pct"/>
          </w:tcPr>
          <w:p w14:paraId="0D0E6EAC"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0.4473</w:t>
            </w:r>
          </w:p>
        </w:tc>
        <w:tc>
          <w:tcPr>
            <w:tcW w:w="609" w:type="pct"/>
          </w:tcPr>
          <w:p w14:paraId="7DB86EA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0.8587</w:t>
            </w:r>
          </w:p>
        </w:tc>
        <w:tc>
          <w:tcPr>
            <w:tcW w:w="739" w:type="pct"/>
          </w:tcPr>
          <w:p w14:paraId="277B243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-0.2960</w:t>
            </w:r>
          </w:p>
        </w:tc>
        <w:tc>
          <w:tcPr>
            <w:tcW w:w="610" w:type="pct"/>
          </w:tcPr>
          <w:p w14:paraId="3A2A0AF5"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2.8048</w:t>
            </w:r>
          </w:p>
        </w:tc>
        <w:tc>
          <w:tcPr>
            <w:tcW w:w="610" w:type="pct"/>
          </w:tcPr>
          <w:p w14:paraId="79F327D3"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3.2610</w:t>
            </w:r>
          </w:p>
        </w:tc>
        <w:tc>
          <w:tcPr>
            <w:tcW w:w="608" w:type="pct"/>
          </w:tcPr>
          <w:p w14:paraId="004BCD2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-2.6890</w:t>
            </w:r>
          </w:p>
        </w:tc>
      </w:tr>
      <w:tr w:rsidR="00C550BB" w:rsidRPr="00C550BB" w14:paraId="7FCCC0A3"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5ADECBE2" w14:textId="77777777" w:rsidR="00C550BB" w:rsidRPr="00C550BB" w:rsidRDefault="00C550BB" w:rsidP="00C550BB">
            <w:pPr>
              <w:jc w:val="both"/>
            </w:pPr>
          </w:p>
        </w:tc>
        <w:tc>
          <w:tcPr>
            <w:tcW w:w="608" w:type="pct"/>
          </w:tcPr>
          <w:p w14:paraId="30408614"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EUA</w:t>
            </w:r>
          </w:p>
        </w:tc>
        <w:tc>
          <w:tcPr>
            <w:tcW w:w="609" w:type="pct"/>
          </w:tcPr>
          <w:p w14:paraId="3664731A"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0.4462</w:t>
            </w:r>
          </w:p>
        </w:tc>
        <w:tc>
          <w:tcPr>
            <w:tcW w:w="609" w:type="pct"/>
          </w:tcPr>
          <w:p w14:paraId="46A06B0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0.8800</w:t>
            </w:r>
          </w:p>
        </w:tc>
        <w:tc>
          <w:tcPr>
            <w:tcW w:w="739" w:type="pct"/>
          </w:tcPr>
          <w:p w14:paraId="13361F45"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-0.3292</w:t>
            </w:r>
          </w:p>
        </w:tc>
        <w:tc>
          <w:tcPr>
            <w:tcW w:w="610" w:type="pct"/>
          </w:tcPr>
          <w:p w14:paraId="1E5A50F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2.4506</w:t>
            </w:r>
          </w:p>
        </w:tc>
        <w:tc>
          <w:tcPr>
            <w:tcW w:w="610" w:type="pct"/>
          </w:tcPr>
          <w:p w14:paraId="09E1D93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3.2910</w:t>
            </w:r>
          </w:p>
        </w:tc>
        <w:tc>
          <w:tcPr>
            <w:tcW w:w="608" w:type="pct"/>
          </w:tcPr>
          <w:p w14:paraId="385714F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-2.6990</w:t>
            </w:r>
          </w:p>
        </w:tc>
      </w:tr>
      <w:tr w:rsidR="00C550BB" w:rsidRPr="00C550BB" w14:paraId="0F6C8B58"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val="restart"/>
          </w:tcPr>
          <w:p w14:paraId="6D073D26" w14:textId="77777777" w:rsidR="00C550BB" w:rsidRPr="00C550BB" w:rsidRDefault="00C550BB" w:rsidP="00C550BB">
            <w:pPr>
              <w:jc w:val="both"/>
            </w:pPr>
            <w:r w:rsidRPr="00C550BB">
              <w:t>2015</w:t>
            </w:r>
          </w:p>
        </w:tc>
        <w:tc>
          <w:tcPr>
            <w:tcW w:w="608" w:type="pct"/>
          </w:tcPr>
          <w:p w14:paraId="49C1D87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DIN</w:t>
            </w:r>
          </w:p>
        </w:tc>
        <w:tc>
          <w:tcPr>
            <w:tcW w:w="609" w:type="pct"/>
          </w:tcPr>
          <w:p w14:paraId="2C99F1D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1.0605</w:t>
            </w:r>
          </w:p>
        </w:tc>
        <w:tc>
          <w:tcPr>
            <w:tcW w:w="609" w:type="pct"/>
          </w:tcPr>
          <w:p w14:paraId="28E0CB0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0.8867</w:t>
            </w:r>
          </w:p>
        </w:tc>
        <w:tc>
          <w:tcPr>
            <w:tcW w:w="739" w:type="pct"/>
          </w:tcPr>
          <w:p w14:paraId="52D9D5A3"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-0.0880</w:t>
            </w:r>
          </w:p>
        </w:tc>
        <w:tc>
          <w:tcPr>
            <w:tcW w:w="610" w:type="pct"/>
          </w:tcPr>
          <w:p w14:paraId="09E59EF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2.5343</w:t>
            </w:r>
          </w:p>
        </w:tc>
        <w:tc>
          <w:tcPr>
            <w:tcW w:w="610" w:type="pct"/>
          </w:tcPr>
          <w:p w14:paraId="4911226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3.5270</w:t>
            </w:r>
          </w:p>
        </w:tc>
        <w:tc>
          <w:tcPr>
            <w:tcW w:w="608" w:type="pct"/>
          </w:tcPr>
          <w:p w14:paraId="3161C91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-2.3860</w:t>
            </w:r>
          </w:p>
        </w:tc>
      </w:tr>
      <w:tr w:rsidR="00C550BB" w:rsidRPr="00C550BB" w14:paraId="3D217B02"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522A587A" w14:textId="77777777" w:rsidR="00C550BB" w:rsidRPr="00C550BB" w:rsidRDefault="00C550BB" w:rsidP="00C550BB">
            <w:pPr>
              <w:jc w:val="both"/>
            </w:pPr>
          </w:p>
        </w:tc>
        <w:tc>
          <w:tcPr>
            <w:tcW w:w="608" w:type="pct"/>
          </w:tcPr>
          <w:p w14:paraId="3D91324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BRA</w:t>
            </w:r>
          </w:p>
        </w:tc>
        <w:tc>
          <w:tcPr>
            <w:tcW w:w="609" w:type="pct"/>
          </w:tcPr>
          <w:p w14:paraId="0642FEE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0.5211</w:t>
            </w:r>
          </w:p>
        </w:tc>
        <w:tc>
          <w:tcPr>
            <w:tcW w:w="609" w:type="pct"/>
          </w:tcPr>
          <w:p w14:paraId="533A8CD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1.3346</w:t>
            </w:r>
          </w:p>
        </w:tc>
        <w:tc>
          <w:tcPr>
            <w:tcW w:w="739" w:type="pct"/>
          </w:tcPr>
          <w:p w14:paraId="083AA7B2"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-0.7403</w:t>
            </w:r>
          </w:p>
        </w:tc>
        <w:tc>
          <w:tcPr>
            <w:tcW w:w="610" w:type="pct"/>
          </w:tcPr>
          <w:p w14:paraId="4D400DF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4.8083</w:t>
            </w:r>
          </w:p>
        </w:tc>
        <w:tc>
          <w:tcPr>
            <w:tcW w:w="610" w:type="pct"/>
          </w:tcPr>
          <w:p w14:paraId="2D6570D6"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5.1260</w:t>
            </w:r>
          </w:p>
        </w:tc>
        <w:tc>
          <w:tcPr>
            <w:tcW w:w="608" w:type="pct"/>
          </w:tcPr>
          <w:p w14:paraId="27A697F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-5.3430</w:t>
            </w:r>
          </w:p>
        </w:tc>
      </w:tr>
      <w:tr w:rsidR="00C550BB" w:rsidRPr="00C550BB" w14:paraId="600CD898"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Borders>
              <w:bottom w:val="single" w:sz="18" w:space="0" w:color="auto"/>
            </w:tcBorders>
          </w:tcPr>
          <w:p w14:paraId="4878DB1C" w14:textId="77777777" w:rsidR="00C550BB" w:rsidRPr="00C550BB" w:rsidRDefault="00C550BB" w:rsidP="00C550BB">
            <w:pPr>
              <w:jc w:val="both"/>
            </w:pPr>
          </w:p>
        </w:tc>
        <w:tc>
          <w:tcPr>
            <w:tcW w:w="608" w:type="pct"/>
            <w:tcBorders>
              <w:bottom w:val="single" w:sz="18" w:space="0" w:color="auto"/>
            </w:tcBorders>
          </w:tcPr>
          <w:p w14:paraId="5F7AA3C7"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EUA</w:t>
            </w:r>
          </w:p>
        </w:tc>
        <w:tc>
          <w:tcPr>
            <w:tcW w:w="609" w:type="pct"/>
            <w:tcBorders>
              <w:bottom w:val="single" w:sz="18" w:space="0" w:color="auto"/>
            </w:tcBorders>
          </w:tcPr>
          <w:p w14:paraId="7EE9E4A1"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0.7540</w:t>
            </w:r>
          </w:p>
        </w:tc>
        <w:tc>
          <w:tcPr>
            <w:tcW w:w="609" w:type="pct"/>
            <w:tcBorders>
              <w:bottom w:val="single" w:sz="18" w:space="0" w:color="auto"/>
            </w:tcBorders>
          </w:tcPr>
          <w:p w14:paraId="6DF4DE6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0.7422</w:t>
            </w:r>
          </w:p>
        </w:tc>
        <w:tc>
          <w:tcPr>
            <w:tcW w:w="739" w:type="pct"/>
            <w:tcBorders>
              <w:bottom w:val="single" w:sz="18" w:space="0" w:color="auto"/>
            </w:tcBorders>
          </w:tcPr>
          <w:p w14:paraId="6606428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-1.0179</w:t>
            </w:r>
          </w:p>
        </w:tc>
        <w:tc>
          <w:tcPr>
            <w:tcW w:w="610" w:type="pct"/>
            <w:tcBorders>
              <w:bottom w:val="single" w:sz="18" w:space="0" w:color="auto"/>
            </w:tcBorders>
          </w:tcPr>
          <w:p w14:paraId="19333F23"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2.0559</w:t>
            </w:r>
          </w:p>
        </w:tc>
        <w:tc>
          <w:tcPr>
            <w:tcW w:w="610" w:type="pct"/>
            <w:tcBorders>
              <w:bottom w:val="single" w:sz="18" w:space="0" w:color="auto"/>
            </w:tcBorders>
          </w:tcPr>
          <w:p w14:paraId="5E09F27C"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2.2990</w:t>
            </w:r>
          </w:p>
        </w:tc>
        <w:tc>
          <w:tcPr>
            <w:tcW w:w="608" w:type="pct"/>
          </w:tcPr>
          <w:p w14:paraId="3EA877E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-1.6370</w:t>
            </w:r>
          </w:p>
        </w:tc>
      </w:tr>
      <w:tr w:rsidR="00C550BB" w:rsidRPr="00C550BB" w14:paraId="516B03FA" w14:textId="77777777" w:rsidTr="0088090E">
        <w:tc>
          <w:tcPr>
            <w:cnfStyle w:val="001000000000" w:firstRow="0" w:lastRow="0" w:firstColumn="1" w:lastColumn="0" w:oddVBand="0" w:evenVBand="0" w:oddHBand="0" w:evenHBand="0" w:firstRowFirstColumn="0" w:firstRowLastColumn="0" w:lastRowFirstColumn="0" w:lastRowLastColumn="0"/>
            <w:tcW w:w="5000" w:type="pct"/>
            <w:gridSpan w:val="8"/>
            <w:tcBorders>
              <w:top w:val="single" w:sz="18" w:space="0" w:color="auto"/>
              <w:bottom w:val="single" w:sz="18" w:space="0" w:color="auto"/>
            </w:tcBorders>
          </w:tcPr>
          <w:p w14:paraId="67DE2CD6" w14:textId="77777777" w:rsidR="00C550BB" w:rsidRPr="0088090E" w:rsidRDefault="00C550BB" w:rsidP="0088090E">
            <w:pPr>
              <w:jc w:val="center"/>
            </w:pPr>
            <w:r w:rsidRPr="0088090E">
              <w:t>Risco Idiossincrático Brasil</w:t>
            </w:r>
          </w:p>
        </w:tc>
      </w:tr>
      <w:tr w:rsidR="00C550BB" w:rsidRPr="00C550BB" w14:paraId="4F60989C"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Borders>
              <w:top w:val="single" w:sz="18" w:space="0" w:color="auto"/>
              <w:bottom w:val="single" w:sz="18" w:space="0" w:color="auto"/>
            </w:tcBorders>
          </w:tcPr>
          <w:p w14:paraId="11847FCA" w14:textId="77777777" w:rsidR="00C550BB" w:rsidRPr="00C550BB" w:rsidRDefault="00C550BB" w:rsidP="00C550BB">
            <w:pPr>
              <w:jc w:val="both"/>
            </w:pPr>
          </w:p>
        </w:tc>
        <w:tc>
          <w:tcPr>
            <w:tcW w:w="608" w:type="pct"/>
            <w:tcBorders>
              <w:top w:val="single" w:sz="18" w:space="0" w:color="auto"/>
              <w:bottom w:val="single" w:sz="18" w:space="0" w:color="auto"/>
            </w:tcBorders>
          </w:tcPr>
          <w:p w14:paraId="2327266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p>
        </w:tc>
        <w:tc>
          <w:tcPr>
            <w:tcW w:w="609" w:type="pct"/>
            <w:tcBorders>
              <w:top w:val="single" w:sz="18" w:space="0" w:color="auto"/>
              <w:bottom w:val="single" w:sz="18" w:space="0" w:color="auto"/>
            </w:tcBorders>
          </w:tcPr>
          <w:p w14:paraId="2FF9E65C" w14:textId="21433415" w:rsidR="00C550BB" w:rsidRPr="00C550BB" w:rsidRDefault="00166A13" w:rsidP="0088090E">
            <w:pPr>
              <w:jc w:val="center"/>
              <w:cnfStyle w:val="000000100000" w:firstRow="0" w:lastRow="0" w:firstColumn="0" w:lastColumn="0" w:oddVBand="0" w:evenVBand="0" w:oddHBand="1" w:evenHBand="0" w:firstRowFirstColumn="0" w:firstRowLastColumn="0" w:lastRowFirstColumn="0" w:lastRowLastColumn="0"/>
            </w:pPr>
            <m:oMath>
              <m:acc>
                <m:accPr>
                  <m:chr m:val="̅"/>
                  <m:ctrlPr>
                    <w:rPr>
                      <w:rFonts w:ascii="Cambria Math" w:hAnsi="Cambria Math"/>
                      <w:i/>
                    </w:rPr>
                  </m:ctrlPr>
                </m:accPr>
                <m:e>
                  <m:r>
                    <w:rPr>
                      <w:rFonts w:ascii="Cambria Math" w:hAnsi="Cambria Math"/>
                    </w:rPr>
                    <m:t>X</m:t>
                  </m:r>
                </m:e>
              </m:acc>
            </m:oMath>
            <w:r w:rsidR="0088090E">
              <w:t xml:space="preserve"> </w:t>
            </w:r>
          </w:p>
        </w:tc>
        <w:tc>
          <w:tcPr>
            <w:tcW w:w="609" w:type="pct"/>
            <w:tcBorders>
              <w:top w:val="single" w:sz="18" w:space="0" w:color="auto"/>
              <w:bottom w:val="single" w:sz="18" w:space="0" w:color="auto"/>
            </w:tcBorders>
          </w:tcPr>
          <w:p w14:paraId="21072B32" w14:textId="2A31CDF7" w:rsidR="00C550BB" w:rsidRPr="00C550BB" w:rsidRDefault="0088090E" w:rsidP="0088090E">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σ</m:t>
              </m:r>
            </m:oMath>
            <w:r>
              <w:t xml:space="preserve"> </w:t>
            </w:r>
          </w:p>
        </w:tc>
        <w:tc>
          <w:tcPr>
            <w:tcW w:w="739" w:type="pct"/>
            <w:tcBorders>
              <w:top w:val="single" w:sz="18" w:space="0" w:color="auto"/>
              <w:bottom w:val="single" w:sz="18" w:space="0" w:color="auto"/>
            </w:tcBorders>
          </w:tcPr>
          <w:p w14:paraId="2B10D37D"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Assimetria</w:t>
            </w:r>
          </w:p>
        </w:tc>
        <w:tc>
          <w:tcPr>
            <w:tcW w:w="610" w:type="pct"/>
            <w:tcBorders>
              <w:top w:val="single" w:sz="18" w:space="0" w:color="auto"/>
              <w:bottom w:val="single" w:sz="18" w:space="0" w:color="auto"/>
            </w:tcBorders>
          </w:tcPr>
          <w:p w14:paraId="3F8E3056"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Curtose</w:t>
            </w:r>
          </w:p>
        </w:tc>
        <w:tc>
          <w:tcPr>
            <w:tcW w:w="610" w:type="pct"/>
            <w:tcBorders>
              <w:top w:val="single" w:sz="18" w:space="0" w:color="auto"/>
              <w:bottom w:val="single" w:sz="18" w:space="0" w:color="auto"/>
            </w:tcBorders>
          </w:tcPr>
          <w:p w14:paraId="4CE1297C"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Máximo</w:t>
            </w:r>
          </w:p>
        </w:tc>
        <w:tc>
          <w:tcPr>
            <w:tcW w:w="608" w:type="pct"/>
            <w:tcBorders>
              <w:top w:val="single" w:sz="18" w:space="0" w:color="auto"/>
              <w:bottom w:val="single" w:sz="18" w:space="0" w:color="auto"/>
            </w:tcBorders>
          </w:tcPr>
          <w:p w14:paraId="75015681" w14:textId="77777777" w:rsidR="00C550BB" w:rsidRPr="0088090E" w:rsidRDefault="00C550BB" w:rsidP="0088090E">
            <w:pPr>
              <w:jc w:val="center"/>
              <w:cnfStyle w:val="000000100000" w:firstRow="0" w:lastRow="0" w:firstColumn="0" w:lastColumn="0" w:oddVBand="0" w:evenVBand="0" w:oddHBand="1" w:evenHBand="0" w:firstRowFirstColumn="0" w:firstRowLastColumn="0" w:lastRowFirstColumn="0" w:lastRowLastColumn="0"/>
              <w:rPr>
                <w:b/>
              </w:rPr>
            </w:pPr>
            <w:r w:rsidRPr="0088090E">
              <w:rPr>
                <w:b/>
              </w:rPr>
              <w:t>Mínimo</w:t>
            </w:r>
          </w:p>
        </w:tc>
      </w:tr>
      <w:tr w:rsidR="00C550BB" w:rsidRPr="00C550BB" w14:paraId="26B2791B" w14:textId="77777777" w:rsidTr="0088090E">
        <w:tc>
          <w:tcPr>
            <w:cnfStyle w:val="001000000000" w:firstRow="0" w:lastRow="0" w:firstColumn="1" w:lastColumn="0" w:oddVBand="0" w:evenVBand="0" w:oddHBand="0" w:evenHBand="0" w:firstRowFirstColumn="0" w:firstRowLastColumn="0" w:lastRowFirstColumn="0" w:lastRowLastColumn="0"/>
            <w:tcW w:w="607" w:type="pct"/>
            <w:vMerge w:val="restart"/>
            <w:tcBorders>
              <w:top w:val="single" w:sz="18" w:space="0" w:color="auto"/>
            </w:tcBorders>
          </w:tcPr>
          <w:p w14:paraId="47CB7B5A" w14:textId="77777777" w:rsidR="00C550BB" w:rsidRPr="00C550BB" w:rsidRDefault="00C550BB" w:rsidP="00C550BB">
            <w:pPr>
              <w:jc w:val="both"/>
            </w:pPr>
            <w:r w:rsidRPr="00C550BB">
              <w:t>2012</w:t>
            </w:r>
          </w:p>
        </w:tc>
        <w:tc>
          <w:tcPr>
            <w:tcW w:w="608" w:type="pct"/>
            <w:tcBorders>
              <w:top w:val="single" w:sz="18" w:space="0" w:color="auto"/>
            </w:tcBorders>
          </w:tcPr>
          <w:p w14:paraId="64480E00"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DIN</w:t>
            </w:r>
          </w:p>
        </w:tc>
        <w:tc>
          <w:tcPr>
            <w:tcW w:w="609" w:type="pct"/>
            <w:tcBorders>
              <w:top w:val="single" w:sz="18" w:space="0" w:color="auto"/>
            </w:tcBorders>
          </w:tcPr>
          <w:p w14:paraId="3B4DFBD4" w14:textId="77777777" w:rsidR="00C550BB" w:rsidRPr="00C550BB" w:rsidRDefault="00C550BB" w:rsidP="0088090E">
            <w:pPr>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0.0747</w:t>
            </w:r>
          </w:p>
        </w:tc>
        <w:tc>
          <w:tcPr>
            <w:tcW w:w="609" w:type="pct"/>
            <w:tcBorders>
              <w:top w:val="single" w:sz="18" w:space="0" w:color="auto"/>
            </w:tcBorders>
          </w:tcPr>
          <w:p w14:paraId="39C2C816" w14:textId="77777777" w:rsidR="00C550BB" w:rsidRPr="00C550BB" w:rsidRDefault="00C550BB" w:rsidP="0088090E">
            <w:pPr>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0.0739</w:t>
            </w:r>
          </w:p>
        </w:tc>
        <w:tc>
          <w:tcPr>
            <w:tcW w:w="739" w:type="pct"/>
            <w:tcBorders>
              <w:top w:val="single" w:sz="18" w:space="0" w:color="auto"/>
            </w:tcBorders>
          </w:tcPr>
          <w:p w14:paraId="0082C631"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2.6828</w:t>
            </w:r>
          </w:p>
        </w:tc>
        <w:tc>
          <w:tcPr>
            <w:tcW w:w="610" w:type="pct"/>
            <w:tcBorders>
              <w:top w:val="single" w:sz="18" w:space="0" w:color="auto"/>
            </w:tcBorders>
          </w:tcPr>
          <w:p w14:paraId="33FA033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8.6167</w:t>
            </w:r>
          </w:p>
        </w:tc>
        <w:tc>
          <w:tcPr>
            <w:tcW w:w="610" w:type="pct"/>
            <w:tcBorders>
              <w:top w:val="single" w:sz="18" w:space="0" w:color="auto"/>
            </w:tcBorders>
          </w:tcPr>
          <w:p w14:paraId="195B3945"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0.4451</w:t>
            </w:r>
          </w:p>
        </w:tc>
        <w:tc>
          <w:tcPr>
            <w:tcW w:w="608" w:type="pct"/>
            <w:tcBorders>
              <w:top w:val="single" w:sz="18" w:space="0" w:color="auto"/>
            </w:tcBorders>
          </w:tcPr>
          <w:p w14:paraId="5BB0BF94"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0.0088</w:t>
            </w:r>
          </w:p>
        </w:tc>
      </w:tr>
      <w:tr w:rsidR="00C550BB" w:rsidRPr="00C550BB" w14:paraId="7BE14B78"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27DCC4FF" w14:textId="77777777" w:rsidR="00C550BB" w:rsidRPr="00C550BB" w:rsidRDefault="00C550BB" w:rsidP="00C550BB">
            <w:pPr>
              <w:jc w:val="both"/>
            </w:pPr>
          </w:p>
        </w:tc>
        <w:tc>
          <w:tcPr>
            <w:tcW w:w="608" w:type="pct"/>
          </w:tcPr>
          <w:p w14:paraId="5B7E295A"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BRA</w:t>
            </w:r>
          </w:p>
        </w:tc>
        <w:tc>
          <w:tcPr>
            <w:tcW w:w="609" w:type="pct"/>
          </w:tcPr>
          <w:p w14:paraId="12053CD0"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t>0.1083</w:t>
            </w:r>
          </w:p>
        </w:tc>
        <w:tc>
          <w:tcPr>
            <w:tcW w:w="609" w:type="pct"/>
          </w:tcPr>
          <w:p w14:paraId="6DFAA63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t>0.1024</w:t>
            </w:r>
          </w:p>
        </w:tc>
        <w:tc>
          <w:tcPr>
            <w:tcW w:w="739" w:type="pct"/>
          </w:tcPr>
          <w:p w14:paraId="43C87895"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1.7664</w:t>
            </w:r>
          </w:p>
        </w:tc>
        <w:tc>
          <w:tcPr>
            <w:tcW w:w="610" w:type="pct"/>
          </w:tcPr>
          <w:p w14:paraId="7CC6C0D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2.3074</w:t>
            </w:r>
          </w:p>
        </w:tc>
        <w:tc>
          <w:tcPr>
            <w:tcW w:w="610" w:type="pct"/>
          </w:tcPr>
          <w:p w14:paraId="6FE2158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0.4380</w:t>
            </w:r>
          </w:p>
        </w:tc>
        <w:tc>
          <w:tcPr>
            <w:tcW w:w="608" w:type="pct"/>
          </w:tcPr>
          <w:p w14:paraId="4F61F42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0.0010</w:t>
            </w:r>
          </w:p>
        </w:tc>
      </w:tr>
      <w:tr w:rsidR="00C550BB" w:rsidRPr="00C550BB" w14:paraId="7A3142AE"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0D1934BB" w14:textId="77777777" w:rsidR="00C550BB" w:rsidRPr="00C550BB" w:rsidRDefault="00C550BB" w:rsidP="00C550BB">
            <w:pPr>
              <w:jc w:val="both"/>
            </w:pPr>
          </w:p>
        </w:tc>
        <w:tc>
          <w:tcPr>
            <w:tcW w:w="608" w:type="pct"/>
          </w:tcPr>
          <w:p w14:paraId="1B08A06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EUA</w:t>
            </w:r>
          </w:p>
        </w:tc>
        <w:tc>
          <w:tcPr>
            <w:tcW w:w="609" w:type="pct"/>
          </w:tcPr>
          <w:p w14:paraId="34FE91A5"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0.0747</w:t>
            </w:r>
          </w:p>
        </w:tc>
        <w:tc>
          <w:tcPr>
            <w:tcW w:w="609" w:type="pct"/>
          </w:tcPr>
          <w:p w14:paraId="252634F2"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0.0739</w:t>
            </w:r>
          </w:p>
        </w:tc>
        <w:tc>
          <w:tcPr>
            <w:tcW w:w="739" w:type="pct"/>
          </w:tcPr>
          <w:p w14:paraId="45C9DEC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2.6828</w:t>
            </w:r>
          </w:p>
        </w:tc>
        <w:tc>
          <w:tcPr>
            <w:tcW w:w="610" w:type="pct"/>
          </w:tcPr>
          <w:p w14:paraId="6C73B72E"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8.6167</w:t>
            </w:r>
          </w:p>
        </w:tc>
        <w:tc>
          <w:tcPr>
            <w:tcW w:w="610" w:type="pct"/>
          </w:tcPr>
          <w:p w14:paraId="2E473F7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0.4451</w:t>
            </w:r>
          </w:p>
        </w:tc>
        <w:tc>
          <w:tcPr>
            <w:tcW w:w="608" w:type="pct"/>
          </w:tcPr>
          <w:p w14:paraId="7E5ABDD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0.0088</w:t>
            </w:r>
          </w:p>
        </w:tc>
      </w:tr>
      <w:tr w:rsidR="00C550BB" w:rsidRPr="00C550BB" w14:paraId="2A0CCE54"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val="restart"/>
          </w:tcPr>
          <w:p w14:paraId="4ED8174E" w14:textId="77777777" w:rsidR="00C550BB" w:rsidRPr="00C550BB" w:rsidRDefault="00C550BB" w:rsidP="00C550BB">
            <w:pPr>
              <w:jc w:val="both"/>
            </w:pPr>
            <w:r w:rsidRPr="00C550BB">
              <w:t>2013</w:t>
            </w:r>
          </w:p>
        </w:tc>
        <w:tc>
          <w:tcPr>
            <w:tcW w:w="608" w:type="pct"/>
          </w:tcPr>
          <w:p w14:paraId="5302DC2F"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DIN</w:t>
            </w:r>
          </w:p>
        </w:tc>
        <w:tc>
          <w:tcPr>
            <w:tcW w:w="609" w:type="pct"/>
          </w:tcPr>
          <w:p w14:paraId="2FC5D08A"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0.1108</w:t>
            </w:r>
          </w:p>
        </w:tc>
        <w:tc>
          <w:tcPr>
            <w:tcW w:w="609" w:type="pct"/>
          </w:tcPr>
          <w:p w14:paraId="52DE1353"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0.1034</w:t>
            </w:r>
          </w:p>
        </w:tc>
        <w:tc>
          <w:tcPr>
            <w:tcW w:w="739" w:type="pct"/>
          </w:tcPr>
          <w:p w14:paraId="2C98452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1.8049</w:t>
            </w:r>
          </w:p>
        </w:tc>
        <w:tc>
          <w:tcPr>
            <w:tcW w:w="610" w:type="pct"/>
          </w:tcPr>
          <w:p w14:paraId="68A18F28"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2.5966</w:t>
            </w:r>
          </w:p>
        </w:tc>
        <w:tc>
          <w:tcPr>
            <w:tcW w:w="610" w:type="pct"/>
          </w:tcPr>
          <w:p w14:paraId="18FDCEE5"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0.4738</w:t>
            </w:r>
          </w:p>
        </w:tc>
        <w:tc>
          <w:tcPr>
            <w:tcW w:w="608" w:type="pct"/>
          </w:tcPr>
          <w:p w14:paraId="5BF6E71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0.0152</w:t>
            </w:r>
          </w:p>
        </w:tc>
      </w:tr>
      <w:tr w:rsidR="00C550BB" w:rsidRPr="00C550BB" w14:paraId="6449E2DD"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485425FC" w14:textId="77777777" w:rsidR="00C550BB" w:rsidRPr="00C550BB" w:rsidRDefault="00C550BB" w:rsidP="00C550BB">
            <w:pPr>
              <w:jc w:val="both"/>
            </w:pPr>
          </w:p>
        </w:tc>
        <w:tc>
          <w:tcPr>
            <w:tcW w:w="608" w:type="pct"/>
          </w:tcPr>
          <w:p w14:paraId="5F421A9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BRA</w:t>
            </w:r>
          </w:p>
        </w:tc>
        <w:tc>
          <w:tcPr>
            <w:tcW w:w="609" w:type="pct"/>
          </w:tcPr>
          <w:p w14:paraId="0603488F"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t>0.1104</w:t>
            </w:r>
          </w:p>
        </w:tc>
        <w:tc>
          <w:tcPr>
            <w:tcW w:w="609" w:type="pct"/>
          </w:tcPr>
          <w:p w14:paraId="47035BC8"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t>0.1088</w:t>
            </w:r>
          </w:p>
        </w:tc>
        <w:tc>
          <w:tcPr>
            <w:tcW w:w="739" w:type="pct"/>
          </w:tcPr>
          <w:p w14:paraId="66E4EC95"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1.6451</w:t>
            </w:r>
          </w:p>
        </w:tc>
        <w:tc>
          <w:tcPr>
            <w:tcW w:w="610" w:type="pct"/>
          </w:tcPr>
          <w:p w14:paraId="775503AA"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1.9664</w:t>
            </w:r>
          </w:p>
        </w:tc>
        <w:tc>
          <w:tcPr>
            <w:tcW w:w="610" w:type="pct"/>
          </w:tcPr>
          <w:p w14:paraId="137A946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0.4736</w:t>
            </w:r>
          </w:p>
        </w:tc>
        <w:tc>
          <w:tcPr>
            <w:tcW w:w="608" w:type="pct"/>
          </w:tcPr>
          <w:p w14:paraId="609C392A"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0.0007</w:t>
            </w:r>
          </w:p>
        </w:tc>
      </w:tr>
      <w:tr w:rsidR="00C550BB" w:rsidRPr="00C550BB" w14:paraId="31B2F290"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019113A0" w14:textId="77777777" w:rsidR="00C550BB" w:rsidRPr="00C550BB" w:rsidRDefault="00C550BB" w:rsidP="00C550BB">
            <w:pPr>
              <w:jc w:val="both"/>
            </w:pPr>
          </w:p>
        </w:tc>
        <w:tc>
          <w:tcPr>
            <w:tcW w:w="608" w:type="pct"/>
          </w:tcPr>
          <w:p w14:paraId="35AAA4B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EUA</w:t>
            </w:r>
          </w:p>
        </w:tc>
        <w:tc>
          <w:tcPr>
            <w:tcW w:w="609" w:type="pct"/>
          </w:tcPr>
          <w:p w14:paraId="6E7DADD0"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0.1108</w:t>
            </w:r>
          </w:p>
        </w:tc>
        <w:tc>
          <w:tcPr>
            <w:tcW w:w="609" w:type="pct"/>
          </w:tcPr>
          <w:p w14:paraId="6681E5B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0.1034</w:t>
            </w:r>
          </w:p>
        </w:tc>
        <w:tc>
          <w:tcPr>
            <w:tcW w:w="739" w:type="pct"/>
          </w:tcPr>
          <w:p w14:paraId="20579A7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1.8049</w:t>
            </w:r>
          </w:p>
        </w:tc>
        <w:tc>
          <w:tcPr>
            <w:tcW w:w="610" w:type="pct"/>
          </w:tcPr>
          <w:p w14:paraId="5BCE9FE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2.5966</w:t>
            </w:r>
          </w:p>
        </w:tc>
        <w:tc>
          <w:tcPr>
            <w:tcW w:w="610" w:type="pct"/>
          </w:tcPr>
          <w:p w14:paraId="20D92960"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0.4738</w:t>
            </w:r>
          </w:p>
        </w:tc>
        <w:tc>
          <w:tcPr>
            <w:tcW w:w="608" w:type="pct"/>
          </w:tcPr>
          <w:p w14:paraId="46151427"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0.0152</w:t>
            </w:r>
          </w:p>
        </w:tc>
      </w:tr>
      <w:tr w:rsidR="00C550BB" w:rsidRPr="00C550BB" w14:paraId="4C1B5E14" w14:textId="77777777" w:rsidTr="0088090E">
        <w:tc>
          <w:tcPr>
            <w:cnfStyle w:val="001000000000" w:firstRow="0" w:lastRow="0" w:firstColumn="1" w:lastColumn="0" w:oddVBand="0" w:evenVBand="0" w:oddHBand="0" w:evenHBand="0" w:firstRowFirstColumn="0" w:firstRowLastColumn="0" w:lastRowFirstColumn="0" w:lastRowLastColumn="0"/>
            <w:tcW w:w="607" w:type="pct"/>
            <w:vMerge w:val="restart"/>
          </w:tcPr>
          <w:p w14:paraId="39104259" w14:textId="77777777" w:rsidR="00C550BB" w:rsidRPr="00C550BB" w:rsidRDefault="00C550BB" w:rsidP="00C550BB">
            <w:pPr>
              <w:jc w:val="both"/>
            </w:pPr>
            <w:r w:rsidRPr="00C550BB">
              <w:t>2014</w:t>
            </w:r>
          </w:p>
        </w:tc>
        <w:tc>
          <w:tcPr>
            <w:tcW w:w="608" w:type="pct"/>
          </w:tcPr>
          <w:p w14:paraId="3FCE2779"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DIN</w:t>
            </w:r>
          </w:p>
        </w:tc>
        <w:tc>
          <w:tcPr>
            <w:tcW w:w="609" w:type="pct"/>
          </w:tcPr>
          <w:p w14:paraId="62CD304F"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0.1339</w:t>
            </w:r>
          </w:p>
        </w:tc>
        <w:tc>
          <w:tcPr>
            <w:tcW w:w="609" w:type="pct"/>
          </w:tcPr>
          <w:p w14:paraId="74C3415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0.1194</w:t>
            </w:r>
          </w:p>
        </w:tc>
        <w:tc>
          <w:tcPr>
            <w:tcW w:w="739" w:type="pct"/>
          </w:tcPr>
          <w:p w14:paraId="01AF272A"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1.8492</w:t>
            </w:r>
          </w:p>
        </w:tc>
        <w:tc>
          <w:tcPr>
            <w:tcW w:w="610" w:type="pct"/>
          </w:tcPr>
          <w:p w14:paraId="377E2756"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3.1833</w:t>
            </w:r>
          </w:p>
        </w:tc>
        <w:tc>
          <w:tcPr>
            <w:tcW w:w="610" w:type="pct"/>
          </w:tcPr>
          <w:p w14:paraId="7DB7E71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0.6345</w:t>
            </w:r>
          </w:p>
        </w:tc>
        <w:tc>
          <w:tcPr>
            <w:tcW w:w="608" w:type="pct"/>
          </w:tcPr>
          <w:p w14:paraId="1329F7F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0.0068</w:t>
            </w:r>
          </w:p>
        </w:tc>
      </w:tr>
      <w:tr w:rsidR="00C550BB" w:rsidRPr="00C550BB" w14:paraId="5AB4F925"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Pr>
          <w:p w14:paraId="50F515CF" w14:textId="77777777" w:rsidR="00C550BB" w:rsidRPr="00C550BB" w:rsidRDefault="00C550BB" w:rsidP="00C550BB">
            <w:pPr>
              <w:jc w:val="both"/>
            </w:pPr>
          </w:p>
        </w:tc>
        <w:tc>
          <w:tcPr>
            <w:tcW w:w="608" w:type="pct"/>
          </w:tcPr>
          <w:p w14:paraId="6552794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BRA</w:t>
            </w:r>
          </w:p>
        </w:tc>
        <w:tc>
          <w:tcPr>
            <w:tcW w:w="609" w:type="pct"/>
          </w:tcPr>
          <w:p w14:paraId="28041CF2"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t>0.1272</w:t>
            </w:r>
          </w:p>
        </w:tc>
        <w:tc>
          <w:tcPr>
            <w:tcW w:w="609" w:type="pct"/>
          </w:tcPr>
          <w:p w14:paraId="40D73C91"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t>0.1258</w:t>
            </w:r>
          </w:p>
        </w:tc>
        <w:tc>
          <w:tcPr>
            <w:tcW w:w="739" w:type="pct"/>
          </w:tcPr>
          <w:p w14:paraId="1C3B598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1.7126</w:t>
            </w:r>
          </w:p>
        </w:tc>
        <w:tc>
          <w:tcPr>
            <w:tcW w:w="610" w:type="pct"/>
          </w:tcPr>
          <w:p w14:paraId="2BE725A7"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2.6401</w:t>
            </w:r>
          </w:p>
        </w:tc>
        <w:tc>
          <w:tcPr>
            <w:tcW w:w="610" w:type="pct"/>
          </w:tcPr>
          <w:p w14:paraId="5D9C50AE"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0.6354</w:t>
            </w:r>
          </w:p>
        </w:tc>
        <w:tc>
          <w:tcPr>
            <w:tcW w:w="608" w:type="pct"/>
          </w:tcPr>
          <w:p w14:paraId="50D01B52"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0.0006</w:t>
            </w:r>
          </w:p>
        </w:tc>
      </w:tr>
      <w:tr w:rsidR="00C550BB" w:rsidRPr="00C550BB" w14:paraId="5A3232DA"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6BC6F0E8" w14:textId="77777777" w:rsidR="00C550BB" w:rsidRPr="00C550BB" w:rsidRDefault="00C550BB" w:rsidP="00C550BB">
            <w:pPr>
              <w:jc w:val="both"/>
            </w:pPr>
          </w:p>
        </w:tc>
        <w:tc>
          <w:tcPr>
            <w:tcW w:w="608" w:type="pct"/>
          </w:tcPr>
          <w:p w14:paraId="4A14E6C5"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EUA</w:t>
            </w:r>
          </w:p>
        </w:tc>
        <w:tc>
          <w:tcPr>
            <w:tcW w:w="609" w:type="pct"/>
          </w:tcPr>
          <w:p w14:paraId="1EE6026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0.1306</w:t>
            </w:r>
          </w:p>
        </w:tc>
        <w:tc>
          <w:tcPr>
            <w:tcW w:w="609" w:type="pct"/>
          </w:tcPr>
          <w:p w14:paraId="78F65C3D"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rPr>
                <w:color w:val="000000"/>
              </w:rPr>
              <w:t>0.1249</w:t>
            </w:r>
          </w:p>
        </w:tc>
        <w:tc>
          <w:tcPr>
            <w:tcW w:w="739" w:type="pct"/>
          </w:tcPr>
          <w:p w14:paraId="1E3D8CE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1.7956</w:t>
            </w:r>
          </w:p>
        </w:tc>
        <w:tc>
          <w:tcPr>
            <w:tcW w:w="610" w:type="pct"/>
          </w:tcPr>
          <w:p w14:paraId="3A53D77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2.7643</w:t>
            </w:r>
          </w:p>
        </w:tc>
        <w:tc>
          <w:tcPr>
            <w:tcW w:w="610" w:type="pct"/>
          </w:tcPr>
          <w:p w14:paraId="3D7E67C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0.6354</w:t>
            </w:r>
          </w:p>
        </w:tc>
        <w:tc>
          <w:tcPr>
            <w:tcW w:w="608" w:type="pct"/>
          </w:tcPr>
          <w:p w14:paraId="3560B5F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rPr>
                <w:color w:val="000000"/>
              </w:rPr>
              <w:t>0.0061</w:t>
            </w:r>
          </w:p>
        </w:tc>
      </w:tr>
      <w:tr w:rsidR="00C550BB" w:rsidRPr="00C550BB" w14:paraId="6AD165B5"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val="restart"/>
          </w:tcPr>
          <w:p w14:paraId="52D5B8C6" w14:textId="77777777" w:rsidR="00C550BB" w:rsidRPr="00C550BB" w:rsidRDefault="00C550BB" w:rsidP="00C550BB">
            <w:pPr>
              <w:jc w:val="both"/>
            </w:pPr>
            <w:r w:rsidRPr="00C550BB">
              <w:t>2015</w:t>
            </w:r>
          </w:p>
        </w:tc>
        <w:tc>
          <w:tcPr>
            <w:tcW w:w="608" w:type="pct"/>
          </w:tcPr>
          <w:p w14:paraId="6C1E6D20"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DIN</w:t>
            </w:r>
          </w:p>
        </w:tc>
        <w:tc>
          <w:tcPr>
            <w:tcW w:w="609" w:type="pct"/>
          </w:tcPr>
          <w:p w14:paraId="664D65B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0.1436</w:t>
            </w:r>
          </w:p>
        </w:tc>
        <w:tc>
          <w:tcPr>
            <w:tcW w:w="609" w:type="pct"/>
          </w:tcPr>
          <w:p w14:paraId="4244693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0.1012</w:t>
            </w:r>
          </w:p>
        </w:tc>
        <w:tc>
          <w:tcPr>
            <w:tcW w:w="739" w:type="pct"/>
          </w:tcPr>
          <w:p w14:paraId="558511E2"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1.0850</w:t>
            </w:r>
          </w:p>
        </w:tc>
        <w:tc>
          <w:tcPr>
            <w:tcW w:w="610" w:type="pct"/>
          </w:tcPr>
          <w:p w14:paraId="6D0C0010"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0.1094</w:t>
            </w:r>
          </w:p>
        </w:tc>
        <w:tc>
          <w:tcPr>
            <w:tcW w:w="610" w:type="pct"/>
          </w:tcPr>
          <w:p w14:paraId="006B5469"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0.4185</w:t>
            </w:r>
          </w:p>
        </w:tc>
        <w:tc>
          <w:tcPr>
            <w:tcW w:w="608" w:type="pct"/>
          </w:tcPr>
          <w:p w14:paraId="3091F785"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0.0040</w:t>
            </w:r>
          </w:p>
        </w:tc>
      </w:tr>
      <w:tr w:rsidR="00C550BB" w:rsidRPr="00C550BB" w14:paraId="3C8319A9" w14:textId="77777777" w:rsidTr="0088090E">
        <w:tc>
          <w:tcPr>
            <w:cnfStyle w:val="001000000000" w:firstRow="0" w:lastRow="0" w:firstColumn="1" w:lastColumn="0" w:oddVBand="0" w:evenVBand="0" w:oddHBand="0" w:evenHBand="0" w:firstRowFirstColumn="0" w:firstRowLastColumn="0" w:lastRowFirstColumn="0" w:lastRowLastColumn="0"/>
            <w:tcW w:w="607" w:type="pct"/>
            <w:vMerge/>
          </w:tcPr>
          <w:p w14:paraId="7E37C587" w14:textId="77777777" w:rsidR="00C550BB" w:rsidRPr="00C550BB" w:rsidRDefault="00C550BB" w:rsidP="00C550BB">
            <w:pPr>
              <w:jc w:val="both"/>
            </w:pPr>
          </w:p>
        </w:tc>
        <w:tc>
          <w:tcPr>
            <w:tcW w:w="608" w:type="pct"/>
          </w:tcPr>
          <w:p w14:paraId="3CA1BC8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BRA</w:t>
            </w:r>
          </w:p>
        </w:tc>
        <w:tc>
          <w:tcPr>
            <w:tcW w:w="609" w:type="pct"/>
          </w:tcPr>
          <w:p w14:paraId="23C9B9CB"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t>0.1349</w:t>
            </w:r>
          </w:p>
        </w:tc>
        <w:tc>
          <w:tcPr>
            <w:tcW w:w="609" w:type="pct"/>
          </w:tcPr>
          <w:p w14:paraId="0CE9702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rPr>
                <w:rFonts w:eastAsia="Calibri"/>
              </w:rPr>
            </w:pPr>
            <w:r w:rsidRPr="00C550BB">
              <w:t>0.1029</w:t>
            </w:r>
          </w:p>
        </w:tc>
        <w:tc>
          <w:tcPr>
            <w:tcW w:w="739" w:type="pct"/>
          </w:tcPr>
          <w:p w14:paraId="72811023"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0.9868</w:t>
            </w:r>
          </w:p>
        </w:tc>
        <w:tc>
          <w:tcPr>
            <w:tcW w:w="610" w:type="pct"/>
          </w:tcPr>
          <w:p w14:paraId="5C550BD8"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0.0676</w:t>
            </w:r>
          </w:p>
        </w:tc>
        <w:tc>
          <w:tcPr>
            <w:tcW w:w="610" w:type="pct"/>
          </w:tcPr>
          <w:p w14:paraId="45B4447F"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0.4185</w:t>
            </w:r>
          </w:p>
        </w:tc>
        <w:tc>
          <w:tcPr>
            <w:tcW w:w="608" w:type="pct"/>
          </w:tcPr>
          <w:p w14:paraId="2FB48C9C" w14:textId="77777777" w:rsidR="00C550BB" w:rsidRPr="00C550BB" w:rsidRDefault="00C550BB" w:rsidP="00C550BB">
            <w:pPr>
              <w:jc w:val="both"/>
              <w:cnfStyle w:val="000000000000" w:firstRow="0" w:lastRow="0" w:firstColumn="0" w:lastColumn="0" w:oddVBand="0" w:evenVBand="0" w:oddHBand="0" w:evenHBand="0" w:firstRowFirstColumn="0" w:firstRowLastColumn="0" w:lastRowFirstColumn="0" w:lastRowLastColumn="0"/>
            </w:pPr>
            <w:r w:rsidRPr="00C550BB">
              <w:t>0.0007</w:t>
            </w:r>
          </w:p>
        </w:tc>
      </w:tr>
      <w:tr w:rsidR="00C550BB" w:rsidRPr="00C550BB" w14:paraId="766EA69B" w14:textId="77777777" w:rsidTr="00880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vMerge/>
            <w:tcBorders>
              <w:bottom w:val="single" w:sz="18" w:space="0" w:color="auto"/>
            </w:tcBorders>
          </w:tcPr>
          <w:p w14:paraId="0C7C2BD5" w14:textId="77777777" w:rsidR="00C550BB" w:rsidRPr="00C550BB" w:rsidRDefault="00C550BB" w:rsidP="00C550BB">
            <w:pPr>
              <w:jc w:val="both"/>
            </w:pPr>
          </w:p>
        </w:tc>
        <w:tc>
          <w:tcPr>
            <w:tcW w:w="608" w:type="pct"/>
            <w:tcBorders>
              <w:bottom w:val="single" w:sz="18" w:space="0" w:color="auto"/>
            </w:tcBorders>
          </w:tcPr>
          <w:p w14:paraId="12AA5024"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t>EUA</w:t>
            </w:r>
          </w:p>
        </w:tc>
        <w:tc>
          <w:tcPr>
            <w:tcW w:w="609" w:type="pct"/>
            <w:tcBorders>
              <w:bottom w:val="single" w:sz="18" w:space="0" w:color="auto"/>
            </w:tcBorders>
          </w:tcPr>
          <w:p w14:paraId="2AD12CAD"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0.1459</w:t>
            </w:r>
          </w:p>
        </w:tc>
        <w:tc>
          <w:tcPr>
            <w:tcW w:w="609" w:type="pct"/>
            <w:tcBorders>
              <w:bottom w:val="single" w:sz="18" w:space="0" w:color="auto"/>
            </w:tcBorders>
          </w:tcPr>
          <w:p w14:paraId="35ABBA25"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rPr>
                <w:rFonts w:eastAsia="Calibri"/>
              </w:rPr>
            </w:pPr>
            <w:r w:rsidRPr="00C550BB">
              <w:rPr>
                <w:color w:val="000000"/>
              </w:rPr>
              <w:t>0.1016</w:t>
            </w:r>
          </w:p>
        </w:tc>
        <w:tc>
          <w:tcPr>
            <w:tcW w:w="739" w:type="pct"/>
            <w:tcBorders>
              <w:bottom w:val="single" w:sz="18" w:space="0" w:color="auto"/>
            </w:tcBorders>
          </w:tcPr>
          <w:p w14:paraId="1810FA5B"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1.1294</w:t>
            </w:r>
          </w:p>
        </w:tc>
        <w:tc>
          <w:tcPr>
            <w:tcW w:w="610" w:type="pct"/>
            <w:tcBorders>
              <w:bottom w:val="single" w:sz="18" w:space="0" w:color="auto"/>
            </w:tcBorders>
          </w:tcPr>
          <w:p w14:paraId="5E613186"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0.2719</w:t>
            </w:r>
          </w:p>
        </w:tc>
        <w:tc>
          <w:tcPr>
            <w:tcW w:w="610" w:type="pct"/>
            <w:tcBorders>
              <w:bottom w:val="single" w:sz="18" w:space="0" w:color="auto"/>
            </w:tcBorders>
          </w:tcPr>
          <w:p w14:paraId="51B5D1EC"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0.4211</w:t>
            </w:r>
          </w:p>
        </w:tc>
        <w:tc>
          <w:tcPr>
            <w:tcW w:w="608" w:type="pct"/>
            <w:tcBorders>
              <w:bottom w:val="single" w:sz="18" w:space="0" w:color="auto"/>
            </w:tcBorders>
          </w:tcPr>
          <w:p w14:paraId="47432852" w14:textId="77777777" w:rsidR="00C550BB" w:rsidRPr="00C550BB" w:rsidRDefault="00C550BB" w:rsidP="00C550BB">
            <w:pPr>
              <w:jc w:val="both"/>
              <w:cnfStyle w:val="000000100000" w:firstRow="0" w:lastRow="0" w:firstColumn="0" w:lastColumn="0" w:oddVBand="0" w:evenVBand="0" w:oddHBand="1" w:evenHBand="0" w:firstRowFirstColumn="0" w:firstRowLastColumn="0" w:lastRowFirstColumn="0" w:lastRowLastColumn="0"/>
            </w:pPr>
            <w:r w:rsidRPr="00C550BB">
              <w:rPr>
                <w:color w:val="000000"/>
              </w:rPr>
              <w:t>0.004</w:t>
            </w:r>
          </w:p>
        </w:tc>
      </w:tr>
    </w:tbl>
    <w:p w14:paraId="0DFA79D4" w14:textId="77777777" w:rsidR="00C550BB" w:rsidRPr="00C550BB" w:rsidRDefault="00C550BB" w:rsidP="00C550BB">
      <w:pPr>
        <w:jc w:val="both"/>
        <w:rPr>
          <w:szCs w:val="24"/>
        </w:rPr>
      </w:pPr>
      <w:r w:rsidRPr="00C550BB">
        <w:rPr>
          <w:szCs w:val="24"/>
        </w:rPr>
        <w:t>Fonte: Dados da pesquisa</w:t>
      </w:r>
    </w:p>
    <w:p w14:paraId="5D2074AF" w14:textId="77777777" w:rsidR="00C550BB" w:rsidRPr="00C550BB" w:rsidRDefault="00C550BB" w:rsidP="00C550BB">
      <w:pPr>
        <w:jc w:val="both"/>
        <w:rPr>
          <w:sz w:val="24"/>
          <w:szCs w:val="24"/>
        </w:rPr>
      </w:pPr>
    </w:p>
    <w:p w14:paraId="41294008" w14:textId="63D1F7AF" w:rsidR="00C550BB" w:rsidRPr="00C550BB" w:rsidRDefault="00C550BB" w:rsidP="00C550BB">
      <w:pPr>
        <w:ind w:firstLine="709"/>
        <w:jc w:val="both"/>
        <w:rPr>
          <w:sz w:val="24"/>
          <w:szCs w:val="24"/>
        </w:rPr>
      </w:pPr>
      <w:r w:rsidRPr="00C550BB">
        <w:rPr>
          <w:sz w:val="24"/>
          <w:szCs w:val="24"/>
        </w:rPr>
        <w:t xml:space="preserve">De acordo com a tabela </w:t>
      </w:r>
      <w:r w:rsidR="0088090E">
        <w:rPr>
          <w:sz w:val="24"/>
          <w:szCs w:val="24"/>
        </w:rPr>
        <w:t xml:space="preserve">2 </w:t>
      </w:r>
      <w:r w:rsidRPr="00C550BB">
        <w:rPr>
          <w:sz w:val="24"/>
          <w:szCs w:val="24"/>
        </w:rPr>
        <w:t>supra apresentada os resultados apontam que no ano de 2012 as médias do risco sistêmico do Brasil com as taxas americana e dinamarquesa são semelhantes em todas as estatísticas descritivas, ocorrendo de possuírem o mesmo máximo e mínimo</w:t>
      </w:r>
      <w:r w:rsidR="0088090E">
        <w:rPr>
          <w:sz w:val="24"/>
          <w:szCs w:val="24"/>
        </w:rPr>
        <w:t xml:space="preserve">. Ambas as taxas dinamarquesa e americana foram </w:t>
      </w:r>
      <w:r w:rsidRPr="00C550BB">
        <w:rPr>
          <w:sz w:val="24"/>
          <w:szCs w:val="24"/>
        </w:rPr>
        <w:t xml:space="preserve">discrepantes ao comparar com a média da taxa brasileira para o mesmo período, no qual essa apresenta-se com valores menores nas estatísticas destacadas na tabela. Apresentando um menor risco sistêmico infere-se que tal ocorrido implica em menor influência do mercado em geral </w:t>
      </w:r>
      <w:r w:rsidR="0088090E">
        <w:rPr>
          <w:sz w:val="24"/>
          <w:szCs w:val="24"/>
        </w:rPr>
        <w:t>na precificação do ativo e implic</w:t>
      </w:r>
      <w:r w:rsidRPr="00C550BB">
        <w:rPr>
          <w:sz w:val="24"/>
          <w:szCs w:val="24"/>
        </w:rPr>
        <w:t>a que outros fatores não relacionados estão influenciando a precificação, e menor desvio-padrão indica uma maior ‘padronização’ dos dados, indicando maior homogeneidade destes, os máximos e mínimos indicam entre quais pontos os dados variam, percebe-se que os maiores desvios para o referido ano são para as taxa</w:t>
      </w:r>
      <w:r w:rsidR="0088090E">
        <w:rPr>
          <w:sz w:val="24"/>
          <w:szCs w:val="24"/>
        </w:rPr>
        <w:t>s que possuem maiores diferenças</w:t>
      </w:r>
      <w:r w:rsidRPr="00C550BB">
        <w:rPr>
          <w:sz w:val="24"/>
          <w:szCs w:val="24"/>
        </w:rPr>
        <w:t xml:space="preserve"> entre os seus máximos e mínimos. Neste ano a taxa dinamarquesa está muito próxima da tida como padrão, indicando uma </w:t>
      </w:r>
      <w:r w:rsidR="0088090E">
        <w:rPr>
          <w:sz w:val="24"/>
          <w:szCs w:val="24"/>
        </w:rPr>
        <w:t xml:space="preserve">boa estimação da </w:t>
      </w:r>
      <w:r w:rsidRPr="00C550BB">
        <w:rPr>
          <w:sz w:val="24"/>
          <w:szCs w:val="24"/>
        </w:rPr>
        <w:t xml:space="preserve">taxa livre de juros </w:t>
      </w:r>
      <w:r w:rsidR="0088090E">
        <w:rPr>
          <w:sz w:val="24"/>
          <w:szCs w:val="24"/>
        </w:rPr>
        <w:t>para o país</w:t>
      </w:r>
      <w:r w:rsidRPr="00C550BB">
        <w:rPr>
          <w:sz w:val="24"/>
          <w:szCs w:val="24"/>
        </w:rPr>
        <w:t xml:space="preserve">. </w:t>
      </w:r>
    </w:p>
    <w:p w14:paraId="668A404E" w14:textId="3C933ADE" w:rsidR="00C550BB" w:rsidRPr="00C550BB" w:rsidRDefault="00C550BB" w:rsidP="00C550BB">
      <w:pPr>
        <w:ind w:firstLine="709"/>
        <w:jc w:val="both"/>
        <w:rPr>
          <w:sz w:val="24"/>
          <w:szCs w:val="24"/>
        </w:rPr>
      </w:pPr>
      <w:r w:rsidRPr="00C550BB">
        <w:rPr>
          <w:sz w:val="24"/>
          <w:szCs w:val="24"/>
        </w:rPr>
        <w:t>Para o ano de 2013 tem-se que o risco sistêmico contin</w:t>
      </w:r>
      <w:r w:rsidR="001E52A6">
        <w:rPr>
          <w:sz w:val="24"/>
          <w:szCs w:val="24"/>
        </w:rPr>
        <w:t>ua com menor valor para a taxa b</w:t>
      </w:r>
      <w:r w:rsidRPr="00C550BB">
        <w:rPr>
          <w:sz w:val="24"/>
          <w:szCs w:val="24"/>
        </w:rPr>
        <w:t>rasileira, assim como o ano anteriormente analisado, porém neste ano as diferenças entre as três taxas analisadas são relevantemente menores, não apresentando grandes discrepâncias. Afirmando isso a taxa dinamarquesa é a que apresenta o menor desvio-padrão, porém com diferença máxima de 0,0091. As demais estatísticas se apresentam semelhantes para três taxas no referido ano. Infere-se assim que neste ano a economia emergente esteve ‘alinhada’ com as demais economias analisadas (desenvolvida e padrão) visto que todas apresentam as mesmas tendências.</w:t>
      </w:r>
    </w:p>
    <w:p w14:paraId="60D1E286" w14:textId="5A4C0241" w:rsidR="00C550BB" w:rsidRPr="00C550BB" w:rsidRDefault="001E52A6" w:rsidP="00C550BB">
      <w:pPr>
        <w:ind w:firstLine="709"/>
        <w:jc w:val="both"/>
        <w:rPr>
          <w:sz w:val="24"/>
          <w:szCs w:val="24"/>
        </w:rPr>
      </w:pPr>
      <w:r>
        <w:rPr>
          <w:sz w:val="24"/>
          <w:szCs w:val="24"/>
        </w:rPr>
        <w:t>No</w:t>
      </w:r>
      <w:r w:rsidR="00C550BB" w:rsidRPr="00C550BB">
        <w:rPr>
          <w:sz w:val="24"/>
          <w:szCs w:val="24"/>
        </w:rPr>
        <w:t xml:space="preserve"> ano de 2014 a taxa americana é a que apresenta o menor risco sistêmico do Brasil, porém a taxa brasileira possui diferença de apenas 0,0011 com a taxa americana, indicando que ambas têm a estimada do risco praticamente igual em tal ano, já a taxa dinamarquesa apresenta </w:t>
      </w:r>
      <w:r w:rsidR="00C550BB" w:rsidRPr="00C550BB">
        <w:rPr>
          <w:sz w:val="24"/>
          <w:szCs w:val="24"/>
        </w:rPr>
        <w:lastRenderedPageBreak/>
        <w:t xml:space="preserve">a maior e mais discrepante média para o ano, indicando uma semelhança da taxa brasileira à tida como padrão (americana) e um distanciamento da taxa dinamarquesa ao considerado ideal. As demais estatísticas descritivas seguem a lógica referenciada acima. A taxa dinamarquesa apresenta em conseguinte a maior média para o risco sistêmico no ano de 2015, em semelhança ao ano anterior, porém há diferencial no fato da taxa americana ter valor discrepante à brasileira. </w:t>
      </w:r>
    </w:p>
    <w:p w14:paraId="6EEC27FC" w14:textId="30FF5C8B" w:rsidR="00C550BB" w:rsidRPr="00C550BB" w:rsidRDefault="00C550BB" w:rsidP="00C550BB">
      <w:pPr>
        <w:ind w:firstLine="709"/>
        <w:jc w:val="both"/>
        <w:rPr>
          <w:sz w:val="24"/>
          <w:szCs w:val="24"/>
        </w:rPr>
      </w:pPr>
      <w:r w:rsidRPr="00C550BB">
        <w:rPr>
          <w:sz w:val="24"/>
          <w:szCs w:val="24"/>
        </w:rPr>
        <w:t>A taxa</w:t>
      </w:r>
      <w:r w:rsidR="001E52A6">
        <w:rPr>
          <w:sz w:val="24"/>
          <w:szCs w:val="24"/>
        </w:rPr>
        <w:t xml:space="preserve"> livre de risco</w:t>
      </w:r>
      <w:r w:rsidRPr="00C550BB">
        <w:rPr>
          <w:sz w:val="24"/>
          <w:szCs w:val="24"/>
        </w:rPr>
        <w:t xml:space="preserve"> dinamarquesa possuir um valor diferenciado, pode estar intrínseco ao fato de neste ano ela possuir a taxa mais negativa do período amostral (-0,75), destoando assim das demais taxas comparadas. A taxa americana apresenta valor maior à brasileira, ocorrendo de o Brasil poder ter neste período uma taxa demonstrando algum ‘fenômeno’ econômico que refletiu na taxa e a destoou da tida como padrão. As demais estatísticas descritivas seguem com semelhanças entre a taxa dinamarquesa e americana e disparidade destas quanto à taxa brasileira. </w:t>
      </w:r>
    </w:p>
    <w:p w14:paraId="74C6F1AB" w14:textId="77777777" w:rsidR="00C550BB" w:rsidRPr="00C550BB" w:rsidRDefault="00C550BB" w:rsidP="00C550BB">
      <w:pPr>
        <w:ind w:firstLine="709"/>
        <w:jc w:val="both"/>
        <w:rPr>
          <w:sz w:val="24"/>
          <w:szCs w:val="24"/>
        </w:rPr>
      </w:pPr>
      <w:r w:rsidRPr="00C550BB">
        <w:rPr>
          <w:sz w:val="24"/>
          <w:szCs w:val="24"/>
        </w:rPr>
        <w:t>O risco idiossincrático tem no ano de 2012 maior valor para a taxa brasileira, porém está com pouca diferença para a taxa dinamarquesa e americana, visto que são iguais e ligeiramente menores, as demais estatísticas para o mesmo ano possuem a mesma tendência da já mencionada. O fato de o Brasil ser o único a destoar das outras duas taxas, indica no referido ano como já mencionado a Dinamarca conseguir uma taxa livre de juros com resultante igual à américa (padrão) e o Brasil possuir diferencial destas duas, porém sem grande e relevante discrepância, na mensuração do risco idiossincrático.</w:t>
      </w:r>
    </w:p>
    <w:p w14:paraId="0F322888" w14:textId="77777777" w:rsidR="00C550BB" w:rsidRPr="00C550BB" w:rsidRDefault="00C550BB" w:rsidP="00C550BB">
      <w:pPr>
        <w:ind w:firstLine="709"/>
        <w:jc w:val="both"/>
        <w:rPr>
          <w:sz w:val="24"/>
          <w:szCs w:val="24"/>
        </w:rPr>
      </w:pPr>
      <w:r w:rsidRPr="00C550BB">
        <w:rPr>
          <w:sz w:val="24"/>
          <w:szCs w:val="24"/>
        </w:rPr>
        <w:t xml:space="preserve">Em 2013 a mensuração do risco idiossincrático praticamente não se altera com a mudança de taxa entre os três países, sendo a taxa dinamarquesa e americana as mesmas resultantes e a taxa brasileira com uma diferença de apenas 0,0004. As demais estatísticas seguem semelhantes entre os países. Na análise do risco idiossincrático e na sua mensuração com o modelo de 3-Fatores de Fama e </w:t>
      </w:r>
      <w:proofErr w:type="spellStart"/>
      <w:r w:rsidRPr="00C550BB">
        <w:rPr>
          <w:sz w:val="24"/>
          <w:szCs w:val="24"/>
        </w:rPr>
        <w:t>French</w:t>
      </w:r>
      <w:proofErr w:type="spellEnd"/>
      <w:r w:rsidRPr="00C550BB">
        <w:rPr>
          <w:sz w:val="24"/>
          <w:szCs w:val="24"/>
        </w:rPr>
        <w:t xml:space="preserve"> (1993) não se tem grandes e relevantes variações ao trocar as taxas livre de risco entre os países sendo a diferença máxima em 2014 de 0,0067 e em 2015 de 0,011, as quais não se fazem ressaltantes. Assim como destacado anteriormente as semelhanças ocorrentes na média postergam para as demais estatísticas descritivas. A tabela 3 explana os riscos sistêmicos e idiossincráticos resultantes da pesquisa referentes a Dinamarca. </w:t>
      </w:r>
    </w:p>
    <w:p w14:paraId="1249A32E" w14:textId="77777777" w:rsidR="00C550BB" w:rsidRPr="00C550BB" w:rsidRDefault="00C550BB" w:rsidP="00C550BB">
      <w:pPr>
        <w:jc w:val="both"/>
        <w:rPr>
          <w:sz w:val="24"/>
          <w:szCs w:val="24"/>
        </w:rPr>
      </w:pPr>
    </w:p>
    <w:p w14:paraId="302C5323" w14:textId="6056E970" w:rsidR="00C550BB" w:rsidRPr="00C550BB" w:rsidRDefault="00C550BB" w:rsidP="00C550BB">
      <w:pPr>
        <w:jc w:val="both"/>
        <w:rPr>
          <w:b/>
          <w:sz w:val="24"/>
          <w:szCs w:val="24"/>
        </w:rPr>
      </w:pPr>
      <w:r w:rsidRPr="00C550BB">
        <w:rPr>
          <w:b/>
          <w:sz w:val="24"/>
          <w:szCs w:val="24"/>
        </w:rPr>
        <w:t>Tabela 3 - Estatísticas Descritivas dos Riscos Sistêmicos e Idiossincráticos da Dinamarca</w:t>
      </w:r>
    </w:p>
    <w:tbl>
      <w:tblPr>
        <w:tblStyle w:val="Tabelacomgrade"/>
        <w:tblW w:w="5000" w:type="pct"/>
        <w:tblLook w:val="04A0" w:firstRow="1" w:lastRow="0" w:firstColumn="1" w:lastColumn="0" w:noHBand="0" w:noVBand="1"/>
      </w:tblPr>
      <w:tblGrid>
        <w:gridCol w:w="1099"/>
        <w:gridCol w:w="1101"/>
        <w:gridCol w:w="1103"/>
        <w:gridCol w:w="1103"/>
        <w:gridCol w:w="1338"/>
        <w:gridCol w:w="1105"/>
        <w:gridCol w:w="1105"/>
        <w:gridCol w:w="1101"/>
      </w:tblGrid>
      <w:tr w:rsidR="00C550BB" w:rsidRPr="00C550BB" w14:paraId="1692FC34" w14:textId="77777777" w:rsidTr="00C550BB">
        <w:tc>
          <w:tcPr>
            <w:tcW w:w="5000" w:type="pct"/>
            <w:gridSpan w:val="8"/>
          </w:tcPr>
          <w:p w14:paraId="2F7E2D0C" w14:textId="77777777" w:rsidR="00C550BB" w:rsidRPr="00C550BB" w:rsidRDefault="00C550BB" w:rsidP="00C550BB">
            <w:pPr>
              <w:jc w:val="both"/>
              <w:rPr>
                <w:b/>
              </w:rPr>
            </w:pPr>
            <w:r w:rsidRPr="00C550BB">
              <w:rPr>
                <w:b/>
              </w:rPr>
              <w:t>Risco Sistêmico Dinamarca</w:t>
            </w:r>
          </w:p>
        </w:tc>
      </w:tr>
      <w:tr w:rsidR="00C550BB" w:rsidRPr="00C550BB" w14:paraId="201CE5F8" w14:textId="77777777" w:rsidTr="00C550BB">
        <w:tc>
          <w:tcPr>
            <w:tcW w:w="607" w:type="pct"/>
          </w:tcPr>
          <w:p w14:paraId="1FE21E60" w14:textId="77777777" w:rsidR="00C550BB" w:rsidRPr="00C550BB" w:rsidRDefault="00C550BB" w:rsidP="00C550BB">
            <w:pPr>
              <w:jc w:val="both"/>
            </w:pPr>
          </w:p>
        </w:tc>
        <w:tc>
          <w:tcPr>
            <w:tcW w:w="608" w:type="pct"/>
          </w:tcPr>
          <w:p w14:paraId="40B4074A" w14:textId="77777777" w:rsidR="00C550BB" w:rsidRPr="00C550BB" w:rsidRDefault="00C550BB" w:rsidP="00C550BB">
            <w:pPr>
              <w:jc w:val="both"/>
            </w:pPr>
          </w:p>
        </w:tc>
        <w:tc>
          <w:tcPr>
            <w:tcW w:w="609" w:type="pct"/>
            <w:vAlign w:val="center"/>
          </w:tcPr>
          <w:p w14:paraId="5588877C" w14:textId="77777777" w:rsidR="00C550BB" w:rsidRPr="00C550BB" w:rsidRDefault="00166A13" w:rsidP="00C550BB">
            <w:pPr>
              <w:jc w:val="both"/>
            </w:pPr>
            <m:oMathPara>
              <m:oMath>
                <m:acc>
                  <m:accPr>
                    <m:chr m:val="̅"/>
                    <m:ctrlPr>
                      <w:rPr>
                        <w:rFonts w:ascii="Cambria Math" w:hAnsi="Cambria Math"/>
                        <w:i/>
                      </w:rPr>
                    </m:ctrlPr>
                  </m:accPr>
                  <m:e>
                    <m:r>
                      <w:rPr>
                        <w:rFonts w:ascii="Cambria Math" w:hAnsi="Cambria Math"/>
                      </w:rPr>
                      <m:t>X</m:t>
                    </m:r>
                  </m:e>
                </m:acc>
              </m:oMath>
            </m:oMathPara>
          </w:p>
        </w:tc>
        <w:tc>
          <w:tcPr>
            <w:tcW w:w="609" w:type="pct"/>
            <w:vAlign w:val="center"/>
          </w:tcPr>
          <w:p w14:paraId="71C28592" w14:textId="77777777" w:rsidR="00C550BB" w:rsidRPr="00C550BB" w:rsidRDefault="00C550BB" w:rsidP="00C550BB">
            <w:pPr>
              <w:jc w:val="both"/>
            </w:pPr>
            <m:oMathPara>
              <m:oMath>
                <m:r>
                  <w:rPr>
                    <w:rFonts w:ascii="Cambria Math" w:hAnsi="Cambria Math"/>
                  </w:rPr>
                  <m:t>σ</m:t>
                </m:r>
              </m:oMath>
            </m:oMathPara>
          </w:p>
        </w:tc>
        <w:tc>
          <w:tcPr>
            <w:tcW w:w="739" w:type="pct"/>
          </w:tcPr>
          <w:p w14:paraId="4E8B36F6" w14:textId="77777777" w:rsidR="00C550BB" w:rsidRPr="00C550BB" w:rsidRDefault="00C550BB" w:rsidP="00C550BB">
            <w:pPr>
              <w:jc w:val="both"/>
            </w:pPr>
            <w:r w:rsidRPr="00C550BB">
              <w:t>Assimetria</w:t>
            </w:r>
          </w:p>
        </w:tc>
        <w:tc>
          <w:tcPr>
            <w:tcW w:w="610" w:type="pct"/>
          </w:tcPr>
          <w:p w14:paraId="4DC85E32" w14:textId="77777777" w:rsidR="00C550BB" w:rsidRPr="00C550BB" w:rsidRDefault="00C550BB" w:rsidP="00C550BB">
            <w:pPr>
              <w:jc w:val="both"/>
            </w:pPr>
            <w:r w:rsidRPr="00C550BB">
              <w:t>Curtose</w:t>
            </w:r>
          </w:p>
        </w:tc>
        <w:tc>
          <w:tcPr>
            <w:tcW w:w="610" w:type="pct"/>
          </w:tcPr>
          <w:p w14:paraId="1AD29469" w14:textId="77777777" w:rsidR="00C550BB" w:rsidRPr="00C550BB" w:rsidRDefault="00C550BB" w:rsidP="00C550BB">
            <w:pPr>
              <w:jc w:val="both"/>
            </w:pPr>
            <w:r w:rsidRPr="00C550BB">
              <w:t>Máximo</w:t>
            </w:r>
          </w:p>
        </w:tc>
        <w:tc>
          <w:tcPr>
            <w:tcW w:w="608" w:type="pct"/>
          </w:tcPr>
          <w:p w14:paraId="1B94375F" w14:textId="77777777" w:rsidR="00C550BB" w:rsidRPr="00C550BB" w:rsidRDefault="00C550BB" w:rsidP="00C550BB">
            <w:pPr>
              <w:jc w:val="both"/>
            </w:pPr>
            <w:r w:rsidRPr="00C550BB">
              <w:t>Mínimo</w:t>
            </w:r>
          </w:p>
        </w:tc>
      </w:tr>
      <w:tr w:rsidR="00C550BB" w:rsidRPr="00C550BB" w14:paraId="50DBC65C" w14:textId="77777777" w:rsidTr="00C550BB">
        <w:tc>
          <w:tcPr>
            <w:tcW w:w="607" w:type="pct"/>
            <w:vMerge w:val="restart"/>
            <w:vAlign w:val="center"/>
          </w:tcPr>
          <w:p w14:paraId="0FAF2640" w14:textId="77777777" w:rsidR="00C550BB" w:rsidRPr="00C550BB" w:rsidRDefault="00C550BB" w:rsidP="00C550BB">
            <w:pPr>
              <w:jc w:val="both"/>
            </w:pPr>
            <w:r w:rsidRPr="00C550BB">
              <w:t>2012</w:t>
            </w:r>
          </w:p>
        </w:tc>
        <w:tc>
          <w:tcPr>
            <w:tcW w:w="608" w:type="pct"/>
          </w:tcPr>
          <w:p w14:paraId="4D5B1FD8" w14:textId="77777777" w:rsidR="00C550BB" w:rsidRPr="00C550BB" w:rsidRDefault="00C550BB" w:rsidP="00C550BB">
            <w:pPr>
              <w:jc w:val="both"/>
            </w:pPr>
            <w:r w:rsidRPr="00C550BB">
              <w:t>DIN</w:t>
            </w:r>
          </w:p>
        </w:tc>
        <w:tc>
          <w:tcPr>
            <w:tcW w:w="609" w:type="pct"/>
            <w:vAlign w:val="bottom"/>
          </w:tcPr>
          <w:p w14:paraId="3BE17CF5" w14:textId="77777777" w:rsidR="00C550BB" w:rsidRPr="00C550BB" w:rsidRDefault="00C550BB" w:rsidP="00C550BB">
            <w:pPr>
              <w:jc w:val="both"/>
            </w:pPr>
            <w:r w:rsidRPr="00C550BB">
              <w:rPr>
                <w:color w:val="000000"/>
              </w:rPr>
              <w:t>0.5268</w:t>
            </w:r>
          </w:p>
        </w:tc>
        <w:tc>
          <w:tcPr>
            <w:tcW w:w="609" w:type="pct"/>
            <w:vAlign w:val="bottom"/>
          </w:tcPr>
          <w:p w14:paraId="54839486" w14:textId="77777777" w:rsidR="00C550BB" w:rsidRPr="00C550BB" w:rsidRDefault="00C550BB" w:rsidP="00C550BB">
            <w:pPr>
              <w:jc w:val="both"/>
            </w:pPr>
            <w:r w:rsidRPr="00C550BB">
              <w:rPr>
                <w:color w:val="000000"/>
              </w:rPr>
              <w:t>1.9839</w:t>
            </w:r>
          </w:p>
        </w:tc>
        <w:tc>
          <w:tcPr>
            <w:tcW w:w="739" w:type="pct"/>
            <w:vAlign w:val="bottom"/>
          </w:tcPr>
          <w:p w14:paraId="56E5CA7F" w14:textId="77777777" w:rsidR="00C550BB" w:rsidRPr="00C550BB" w:rsidRDefault="00C550BB" w:rsidP="00C550BB">
            <w:pPr>
              <w:jc w:val="both"/>
            </w:pPr>
            <w:r w:rsidRPr="00C550BB">
              <w:rPr>
                <w:color w:val="000000"/>
              </w:rPr>
              <w:t>4.0503</w:t>
            </w:r>
          </w:p>
        </w:tc>
        <w:tc>
          <w:tcPr>
            <w:tcW w:w="610" w:type="pct"/>
            <w:vAlign w:val="bottom"/>
          </w:tcPr>
          <w:p w14:paraId="4896409B" w14:textId="77777777" w:rsidR="00C550BB" w:rsidRPr="00C550BB" w:rsidRDefault="00C550BB" w:rsidP="00C550BB">
            <w:pPr>
              <w:jc w:val="both"/>
            </w:pPr>
            <w:r w:rsidRPr="00C550BB">
              <w:rPr>
                <w:color w:val="000000"/>
              </w:rPr>
              <w:t>30.3125</w:t>
            </w:r>
          </w:p>
        </w:tc>
        <w:tc>
          <w:tcPr>
            <w:tcW w:w="610" w:type="pct"/>
            <w:vAlign w:val="bottom"/>
          </w:tcPr>
          <w:p w14:paraId="47394550" w14:textId="77777777" w:rsidR="00C550BB" w:rsidRPr="00C550BB" w:rsidRDefault="00C550BB" w:rsidP="00C550BB">
            <w:pPr>
              <w:jc w:val="both"/>
            </w:pPr>
            <w:r w:rsidRPr="00C550BB">
              <w:rPr>
                <w:color w:val="000000"/>
              </w:rPr>
              <w:t>15.1670</w:t>
            </w:r>
          </w:p>
        </w:tc>
        <w:tc>
          <w:tcPr>
            <w:tcW w:w="608" w:type="pct"/>
            <w:vAlign w:val="bottom"/>
          </w:tcPr>
          <w:p w14:paraId="7B24E114" w14:textId="77777777" w:rsidR="00C550BB" w:rsidRPr="00C550BB" w:rsidRDefault="00C550BB" w:rsidP="00C550BB">
            <w:pPr>
              <w:jc w:val="both"/>
            </w:pPr>
            <w:r w:rsidRPr="00C550BB">
              <w:rPr>
                <w:color w:val="000000"/>
              </w:rPr>
              <w:t>-5.2440</w:t>
            </w:r>
          </w:p>
        </w:tc>
      </w:tr>
      <w:tr w:rsidR="00C550BB" w:rsidRPr="00C550BB" w14:paraId="622AEFD2" w14:textId="77777777" w:rsidTr="00C550BB">
        <w:tc>
          <w:tcPr>
            <w:tcW w:w="607" w:type="pct"/>
            <w:vMerge/>
            <w:vAlign w:val="center"/>
          </w:tcPr>
          <w:p w14:paraId="1A558846" w14:textId="77777777" w:rsidR="00C550BB" w:rsidRPr="00C550BB" w:rsidRDefault="00C550BB" w:rsidP="00C550BB">
            <w:pPr>
              <w:jc w:val="both"/>
            </w:pPr>
          </w:p>
        </w:tc>
        <w:tc>
          <w:tcPr>
            <w:tcW w:w="608" w:type="pct"/>
          </w:tcPr>
          <w:p w14:paraId="5E599887" w14:textId="77777777" w:rsidR="00C550BB" w:rsidRPr="00C550BB" w:rsidRDefault="00C550BB" w:rsidP="00C550BB">
            <w:pPr>
              <w:jc w:val="both"/>
            </w:pPr>
            <w:r w:rsidRPr="00C550BB">
              <w:t>BRA</w:t>
            </w:r>
          </w:p>
        </w:tc>
        <w:tc>
          <w:tcPr>
            <w:tcW w:w="609" w:type="pct"/>
            <w:vAlign w:val="bottom"/>
          </w:tcPr>
          <w:p w14:paraId="2E3D6E9A" w14:textId="77777777" w:rsidR="00C550BB" w:rsidRPr="00C550BB" w:rsidRDefault="00C550BB" w:rsidP="00C550BB">
            <w:pPr>
              <w:jc w:val="both"/>
            </w:pPr>
            <w:r w:rsidRPr="00C550BB">
              <w:rPr>
                <w:color w:val="000000"/>
              </w:rPr>
              <w:t>0.5062</w:t>
            </w:r>
          </w:p>
        </w:tc>
        <w:tc>
          <w:tcPr>
            <w:tcW w:w="609" w:type="pct"/>
            <w:vAlign w:val="bottom"/>
          </w:tcPr>
          <w:p w14:paraId="05C8D195" w14:textId="77777777" w:rsidR="00C550BB" w:rsidRPr="00C550BB" w:rsidRDefault="00C550BB" w:rsidP="00C550BB">
            <w:pPr>
              <w:jc w:val="both"/>
            </w:pPr>
            <w:r w:rsidRPr="00C550BB">
              <w:rPr>
                <w:color w:val="000000"/>
              </w:rPr>
              <w:t>2.0045</w:t>
            </w:r>
          </w:p>
        </w:tc>
        <w:tc>
          <w:tcPr>
            <w:tcW w:w="739" w:type="pct"/>
            <w:vAlign w:val="bottom"/>
          </w:tcPr>
          <w:p w14:paraId="041CE71F" w14:textId="77777777" w:rsidR="00C550BB" w:rsidRPr="00C550BB" w:rsidRDefault="00C550BB" w:rsidP="00C550BB">
            <w:pPr>
              <w:jc w:val="both"/>
            </w:pPr>
            <w:r w:rsidRPr="00C550BB">
              <w:rPr>
                <w:color w:val="000000"/>
              </w:rPr>
              <w:t>4.1507</w:t>
            </w:r>
          </w:p>
        </w:tc>
        <w:tc>
          <w:tcPr>
            <w:tcW w:w="610" w:type="pct"/>
            <w:vAlign w:val="bottom"/>
          </w:tcPr>
          <w:p w14:paraId="63DB4742" w14:textId="77777777" w:rsidR="00C550BB" w:rsidRPr="00C550BB" w:rsidRDefault="00C550BB" w:rsidP="00C550BB">
            <w:pPr>
              <w:jc w:val="both"/>
            </w:pPr>
            <w:r w:rsidRPr="00C550BB">
              <w:rPr>
                <w:color w:val="000000"/>
              </w:rPr>
              <w:t>31.1124</w:t>
            </w:r>
          </w:p>
        </w:tc>
        <w:tc>
          <w:tcPr>
            <w:tcW w:w="610" w:type="pct"/>
            <w:vAlign w:val="bottom"/>
          </w:tcPr>
          <w:p w14:paraId="6E499540" w14:textId="77777777" w:rsidR="00C550BB" w:rsidRPr="00C550BB" w:rsidRDefault="00C550BB" w:rsidP="00C550BB">
            <w:pPr>
              <w:jc w:val="both"/>
            </w:pPr>
            <w:r w:rsidRPr="00C550BB">
              <w:rPr>
                <w:color w:val="000000"/>
              </w:rPr>
              <w:t>15.4040</w:t>
            </w:r>
          </w:p>
        </w:tc>
        <w:tc>
          <w:tcPr>
            <w:tcW w:w="608" w:type="pct"/>
            <w:vAlign w:val="bottom"/>
          </w:tcPr>
          <w:p w14:paraId="17EFB622" w14:textId="77777777" w:rsidR="00C550BB" w:rsidRPr="00C550BB" w:rsidRDefault="00C550BB" w:rsidP="00C550BB">
            <w:pPr>
              <w:jc w:val="both"/>
            </w:pPr>
            <w:r w:rsidRPr="00C550BB">
              <w:rPr>
                <w:color w:val="000000"/>
              </w:rPr>
              <w:t>-5.1390</w:t>
            </w:r>
          </w:p>
        </w:tc>
      </w:tr>
      <w:tr w:rsidR="00C550BB" w:rsidRPr="00C550BB" w14:paraId="72552A0E" w14:textId="77777777" w:rsidTr="00C550BB">
        <w:tc>
          <w:tcPr>
            <w:tcW w:w="607" w:type="pct"/>
            <w:vMerge/>
            <w:vAlign w:val="center"/>
          </w:tcPr>
          <w:p w14:paraId="243F3158" w14:textId="77777777" w:rsidR="00C550BB" w:rsidRPr="00C550BB" w:rsidRDefault="00C550BB" w:rsidP="00C550BB">
            <w:pPr>
              <w:jc w:val="both"/>
            </w:pPr>
          </w:p>
        </w:tc>
        <w:tc>
          <w:tcPr>
            <w:tcW w:w="608" w:type="pct"/>
          </w:tcPr>
          <w:p w14:paraId="2754BF95" w14:textId="77777777" w:rsidR="00C550BB" w:rsidRPr="00C550BB" w:rsidRDefault="00C550BB" w:rsidP="00C550BB">
            <w:pPr>
              <w:jc w:val="both"/>
            </w:pPr>
            <w:r w:rsidRPr="00C550BB">
              <w:t>EUA</w:t>
            </w:r>
          </w:p>
        </w:tc>
        <w:tc>
          <w:tcPr>
            <w:tcW w:w="609" w:type="pct"/>
            <w:vAlign w:val="bottom"/>
          </w:tcPr>
          <w:p w14:paraId="79467CF5" w14:textId="77777777" w:rsidR="00C550BB" w:rsidRPr="00C550BB" w:rsidRDefault="00C550BB" w:rsidP="00C550BB">
            <w:pPr>
              <w:jc w:val="both"/>
            </w:pPr>
            <w:r w:rsidRPr="00C550BB">
              <w:rPr>
                <w:color w:val="000000"/>
              </w:rPr>
              <w:t>0.5267</w:t>
            </w:r>
          </w:p>
        </w:tc>
        <w:tc>
          <w:tcPr>
            <w:tcW w:w="609" w:type="pct"/>
            <w:vAlign w:val="bottom"/>
          </w:tcPr>
          <w:p w14:paraId="2034CE4C" w14:textId="77777777" w:rsidR="00C550BB" w:rsidRPr="00C550BB" w:rsidRDefault="00C550BB" w:rsidP="00C550BB">
            <w:pPr>
              <w:jc w:val="both"/>
            </w:pPr>
            <w:r w:rsidRPr="00C550BB">
              <w:rPr>
                <w:color w:val="000000"/>
              </w:rPr>
              <w:t>1.9839</w:t>
            </w:r>
          </w:p>
        </w:tc>
        <w:tc>
          <w:tcPr>
            <w:tcW w:w="739" w:type="pct"/>
            <w:vAlign w:val="bottom"/>
          </w:tcPr>
          <w:p w14:paraId="24DB06DD" w14:textId="77777777" w:rsidR="00C550BB" w:rsidRPr="00C550BB" w:rsidRDefault="00C550BB" w:rsidP="00C550BB">
            <w:pPr>
              <w:jc w:val="both"/>
            </w:pPr>
            <w:r w:rsidRPr="00C550BB">
              <w:rPr>
                <w:color w:val="000000"/>
              </w:rPr>
              <w:t>4.0501</w:t>
            </w:r>
          </w:p>
        </w:tc>
        <w:tc>
          <w:tcPr>
            <w:tcW w:w="610" w:type="pct"/>
            <w:vAlign w:val="bottom"/>
          </w:tcPr>
          <w:p w14:paraId="01A30A2E" w14:textId="77777777" w:rsidR="00C550BB" w:rsidRPr="00C550BB" w:rsidRDefault="00C550BB" w:rsidP="00C550BB">
            <w:pPr>
              <w:jc w:val="both"/>
            </w:pPr>
            <w:r w:rsidRPr="00C550BB">
              <w:rPr>
                <w:color w:val="000000"/>
              </w:rPr>
              <w:t>30.3101</w:t>
            </w:r>
          </w:p>
        </w:tc>
        <w:tc>
          <w:tcPr>
            <w:tcW w:w="610" w:type="pct"/>
            <w:vAlign w:val="bottom"/>
          </w:tcPr>
          <w:p w14:paraId="66CA3B89" w14:textId="77777777" w:rsidR="00C550BB" w:rsidRPr="00C550BB" w:rsidRDefault="00C550BB" w:rsidP="00C550BB">
            <w:pPr>
              <w:jc w:val="both"/>
            </w:pPr>
            <w:r w:rsidRPr="00C550BB">
              <w:rPr>
                <w:color w:val="000000"/>
              </w:rPr>
              <w:t>15.1670</w:t>
            </w:r>
          </w:p>
        </w:tc>
        <w:tc>
          <w:tcPr>
            <w:tcW w:w="608" w:type="pct"/>
            <w:vAlign w:val="bottom"/>
          </w:tcPr>
          <w:p w14:paraId="775AD2C8" w14:textId="77777777" w:rsidR="00C550BB" w:rsidRPr="00C550BB" w:rsidRDefault="00C550BB" w:rsidP="00C550BB">
            <w:pPr>
              <w:jc w:val="both"/>
            </w:pPr>
            <w:r w:rsidRPr="00C550BB">
              <w:rPr>
                <w:color w:val="000000"/>
              </w:rPr>
              <w:t>-5.2440</w:t>
            </w:r>
          </w:p>
        </w:tc>
      </w:tr>
      <w:tr w:rsidR="00C550BB" w:rsidRPr="00C550BB" w14:paraId="0FC4E5BD" w14:textId="77777777" w:rsidTr="00C550BB">
        <w:tc>
          <w:tcPr>
            <w:tcW w:w="607" w:type="pct"/>
            <w:vMerge w:val="restart"/>
            <w:vAlign w:val="center"/>
          </w:tcPr>
          <w:p w14:paraId="483B4E67" w14:textId="77777777" w:rsidR="00C550BB" w:rsidRPr="00C550BB" w:rsidRDefault="00C550BB" w:rsidP="00C550BB">
            <w:pPr>
              <w:jc w:val="both"/>
            </w:pPr>
            <w:r w:rsidRPr="00C550BB">
              <w:t>2013</w:t>
            </w:r>
          </w:p>
        </w:tc>
        <w:tc>
          <w:tcPr>
            <w:tcW w:w="608" w:type="pct"/>
          </w:tcPr>
          <w:p w14:paraId="263B8DE0" w14:textId="77777777" w:rsidR="00C550BB" w:rsidRPr="00C550BB" w:rsidRDefault="00C550BB" w:rsidP="00C550BB">
            <w:pPr>
              <w:jc w:val="both"/>
            </w:pPr>
            <w:r w:rsidRPr="00C550BB">
              <w:t>DIN</w:t>
            </w:r>
          </w:p>
        </w:tc>
        <w:tc>
          <w:tcPr>
            <w:tcW w:w="609" w:type="pct"/>
            <w:vAlign w:val="bottom"/>
          </w:tcPr>
          <w:p w14:paraId="55BE96A7" w14:textId="77777777" w:rsidR="00C550BB" w:rsidRPr="00C550BB" w:rsidRDefault="00C550BB" w:rsidP="00C550BB">
            <w:pPr>
              <w:jc w:val="both"/>
            </w:pPr>
            <w:r w:rsidRPr="00C550BB">
              <w:rPr>
                <w:color w:val="000000"/>
              </w:rPr>
              <w:t>0.3627</w:t>
            </w:r>
          </w:p>
        </w:tc>
        <w:tc>
          <w:tcPr>
            <w:tcW w:w="609" w:type="pct"/>
            <w:vAlign w:val="bottom"/>
          </w:tcPr>
          <w:p w14:paraId="0BA65B10" w14:textId="77777777" w:rsidR="00C550BB" w:rsidRPr="00C550BB" w:rsidRDefault="00C550BB" w:rsidP="00C550BB">
            <w:pPr>
              <w:jc w:val="both"/>
            </w:pPr>
            <w:r w:rsidRPr="00C550BB">
              <w:rPr>
                <w:color w:val="000000"/>
              </w:rPr>
              <w:t>0.6836</w:t>
            </w:r>
          </w:p>
        </w:tc>
        <w:tc>
          <w:tcPr>
            <w:tcW w:w="739" w:type="pct"/>
            <w:vAlign w:val="bottom"/>
          </w:tcPr>
          <w:p w14:paraId="080038DA" w14:textId="77777777" w:rsidR="00C550BB" w:rsidRPr="00C550BB" w:rsidRDefault="00C550BB" w:rsidP="00C550BB">
            <w:pPr>
              <w:jc w:val="both"/>
            </w:pPr>
            <w:r w:rsidRPr="00C550BB">
              <w:rPr>
                <w:color w:val="000000"/>
              </w:rPr>
              <w:t>-0.0224</w:t>
            </w:r>
          </w:p>
        </w:tc>
        <w:tc>
          <w:tcPr>
            <w:tcW w:w="610" w:type="pct"/>
            <w:vAlign w:val="bottom"/>
          </w:tcPr>
          <w:p w14:paraId="0B91B3FA" w14:textId="77777777" w:rsidR="00C550BB" w:rsidRPr="00C550BB" w:rsidRDefault="00C550BB" w:rsidP="00C550BB">
            <w:pPr>
              <w:jc w:val="both"/>
            </w:pPr>
            <w:r w:rsidRPr="00C550BB">
              <w:rPr>
                <w:color w:val="000000"/>
              </w:rPr>
              <w:t>-0.1443</w:t>
            </w:r>
          </w:p>
        </w:tc>
        <w:tc>
          <w:tcPr>
            <w:tcW w:w="610" w:type="pct"/>
            <w:vAlign w:val="bottom"/>
          </w:tcPr>
          <w:p w14:paraId="6FB23ACF" w14:textId="77777777" w:rsidR="00C550BB" w:rsidRPr="00C550BB" w:rsidRDefault="00C550BB" w:rsidP="00C550BB">
            <w:pPr>
              <w:jc w:val="both"/>
            </w:pPr>
            <w:r w:rsidRPr="00C550BB">
              <w:rPr>
                <w:color w:val="000000"/>
              </w:rPr>
              <w:t>1.9840</w:t>
            </w:r>
          </w:p>
        </w:tc>
        <w:tc>
          <w:tcPr>
            <w:tcW w:w="608" w:type="pct"/>
            <w:vAlign w:val="bottom"/>
          </w:tcPr>
          <w:p w14:paraId="238711DC" w14:textId="77777777" w:rsidR="00C550BB" w:rsidRPr="00C550BB" w:rsidRDefault="00C550BB" w:rsidP="00C550BB">
            <w:pPr>
              <w:jc w:val="both"/>
            </w:pPr>
            <w:r w:rsidRPr="00C550BB">
              <w:rPr>
                <w:color w:val="000000"/>
              </w:rPr>
              <w:t>-1.4760</w:t>
            </w:r>
          </w:p>
        </w:tc>
      </w:tr>
      <w:tr w:rsidR="00C550BB" w:rsidRPr="00C550BB" w14:paraId="7F747AD7" w14:textId="77777777" w:rsidTr="00C550BB">
        <w:tc>
          <w:tcPr>
            <w:tcW w:w="607" w:type="pct"/>
            <w:vMerge/>
            <w:vAlign w:val="center"/>
          </w:tcPr>
          <w:p w14:paraId="0FAE3BB6" w14:textId="77777777" w:rsidR="00C550BB" w:rsidRPr="00C550BB" w:rsidRDefault="00C550BB" w:rsidP="00C550BB">
            <w:pPr>
              <w:jc w:val="both"/>
            </w:pPr>
          </w:p>
        </w:tc>
        <w:tc>
          <w:tcPr>
            <w:tcW w:w="608" w:type="pct"/>
          </w:tcPr>
          <w:p w14:paraId="2A356380" w14:textId="77777777" w:rsidR="00C550BB" w:rsidRPr="00C550BB" w:rsidRDefault="00C550BB" w:rsidP="00C550BB">
            <w:pPr>
              <w:jc w:val="both"/>
            </w:pPr>
            <w:r w:rsidRPr="00C550BB">
              <w:t>BRA</w:t>
            </w:r>
          </w:p>
        </w:tc>
        <w:tc>
          <w:tcPr>
            <w:tcW w:w="609" w:type="pct"/>
            <w:vAlign w:val="bottom"/>
          </w:tcPr>
          <w:p w14:paraId="5D36E9AF" w14:textId="77777777" w:rsidR="00C550BB" w:rsidRPr="00C550BB" w:rsidRDefault="00C550BB" w:rsidP="00C550BB">
            <w:pPr>
              <w:jc w:val="both"/>
            </w:pPr>
            <w:r w:rsidRPr="00C550BB">
              <w:rPr>
                <w:color w:val="000000"/>
              </w:rPr>
              <w:t>0.3630</w:t>
            </w:r>
          </w:p>
        </w:tc>
        <w:tc>
          <w:tcPr>
            <w:tcW w:w="609" w:type="pct"/>
            <w:vAlign w:val="bottom"/>
          </w:tcPr>
          <w:p w14:paraId="1EAFC3A8" w14:textId="77777777" w:rsidR="00C550BB" w:rsidRPr="00C550BB" w:rsidRDefault="00C550BB" w:rsidP="00C550BB">
            <w:pPr>
              <w:jc w:val="both"/>
            </w:pPr>
            <w:r w:rsidRPr="00C550BB">
              <w:rPr>
                <w:color w:val="000000"/>
              </w:rPr>
              <w:t>0.6814</w:t>
            </w:r>
          </w:p>
        </w:tc>
        <w:tc>
          <w:tcPr>
            <w:tcW w:w="739" w:type="pct"/>
            <w:vAlign w:val="bottom"/>
          </w:tcPr>
          <w:p w14:paraId="57F1B8C8" w14:textId="77777777" w:rsidR="00C550BB" w:rsidRPr="00C550BB" w:rsidRDefault="00C550BB" w:rsidP="00C550BB">
            <w:pPr>
              <w:jc w:val="both"/>
            </w:pPr>
            <w:r w:rsidRPr="00C550BB">
              <w:rPr>
                <w:color w:val="000000"/>
              </w:rPr>
              <w:t>-0.0454</w:t>
            </w:r>
          </w:p>
        </w:tc>
        <w:tc>
          <w:tcPr>
            <w:tcW w:w="610" w:type="pct"/>
            <w:vAlign w:val="bottom"/>
          </w:tcPr>
          <w:p w14:paraId="6F4AA5B3" w14:textId="77777777" w:rsidR="00C550BB" w:rsidRPr="00C550BB" w:rsidRDefault="00C550BB" w:rsidP="00C550BB">
            <w:pPr>
              <w:jc w:val="both"/>
            </w:pPr>
            <w:r w:rsidRPr="00C550BB">
              <w:rPr>
                <w:color w:val="000000"/>
              </w:rPr>
              <w:t>-0.0068</w:t>
            </w:r>
          </w:p>
        </w:tc>
        <w:tc>
          <w:tcPr>
            <w:tcW w:w="610" w:type="pct"/>
            <w:vAlign w:val="bottom"/>
          </w:tcPr>
          <w:p w14:paraId="1DC3A416" w14:textId="77777777" w:rsidR="00C550BB" w:rsidRPr="00C550BB" w:rsidRDefault="00C550BB" w:rsidP="00C550BB">
            <w:pPr>
              <w:jc w:val="both"/>
            </w:pPr>
            <w:r w:rsidRPr="00C550BB">
              <w:rPr>
                <w:color w:val="000000"/>
              </w:rPr>
              <w:t>1.9450</w:t>
            </w:r>
          </w:p>
        </w:tc>
        <w:tc>
          <w:tcPr>
            <w:tcW w:w="608" w:type="pct"/>
            <w:vAlign w:val="bottom"/>
          </w:tcPr>
          <w:p w14:paraId="757AB4BC" w14:textId="77777777" w:rsidR="00C550BB" w:rsidRPr="00C550BB" w:rsidRDefault="00C550BB" w:rsidP="00C550BB">
            <w:pPr>
              <w:jc w:val="both"/>
            </w:pPr>
            <w:r w:rsidRPr="00C550BB">
              <w:rPr>
                <w:color w:val="000000"/>
              </w:rPr>
              <w:t>-1.5980</w:t>
            </w:r>
          </w:p>
        </w:tc>
      </w:tr>
      <w:tr w:rsidR="00C550BB" w:rsidRPr="00C550BB" w14:paraId="396EA29D" w14:textId="77777777" w:rsidTr="00C550BB">
        <w:tc>
          <w:tcPr>
            <w:tcW w:w="607" w:type="pct"/>
            <w:vMerge/>
            <w:vAlign w:val="center"/>
          </w:tcPr>
          <w:p w14:paraId="329995B3" w14:textId="77777777" w:rsidR="00C550BB" w:rsidRPr="00C550BB" w:rsidRDefault="00C550BB" w:rsidP="00C550BB">
            <w:pPr>
              <w:jc w:val="both"/>
            </w:pPr>
          </w:p>
        </w:tc>
        <w:tc>
          <w:tcPr>
            <w:tcW w:w="608" w:type="pct"/>
          </w:tcPr>
          <w:p w14:paraId="4910B6CA" w14:textId="77777777" w:rsidR="00C550BB" w:rsidRPr="00C550BB" w:rsidRDefault="00C550BB" w:rsidP="00C550BB">
            <w:pPr>
              <w:jc w:val="both"/>
            </w:pPr>
            <w:r w:rsidRPr="00C550BB">
              <w:t>EUA</w:t>
            </w:r>
          </w:p>
        </w:tc>
        <w:tc>
          <w:tcPr>
            <w:tcW w:w="609" w:type="pct"/>
            <w:vAlign w:val="bottom"/>
          </w:tcPr>
          <w:p w14:paraId="21413728" w14:textId="77777777" w:rsidR="00C550BB" w:rsidRPr="00C550BB" w:rsidRDefault="00C550BB" w:rsidP="00C550BB">
            <w:pPr>
              <w:jc w:val="both"/>
            </w:pPr>
            <w:r w:rsidRPr="00C550BB">
              <w:rPr>
                <w:color w:val="000000"/>
              </w:rPr>
              <w:t>0.3731</w:t>
            </w:r>
          </w:p>
        </w:tc>
        <w:tc>
          <w:tcPr>
            <w:tcW w:w="609" w:type="pct"/>
            <w:vAlign w:val="bottom"/>
          </w:tcPr>
          <w:p w14:paraId="5DEDAFDA" w14:textId="77777777" w:rsidR="00C550BB" w:rsidRPr="00C550BB" w:rsidRDefault="00C550BB" w:rsidP="00C550BB">
            <w:pPr>
              <w:jc w:val="both"/>
            </w:pPr>
            <w:r w:rsidRPr="00C550BB">
              <w:rPr>
                <w:color w:val="000000"/>
              </w:rPr>
              <w:t>0.6722</w:t>
            </w:r>
          </w:p>
        </w:tc>
        <w:tc>
          <w:tcPr>
            <w:tcW w:w="739" w:type="pct"/>
            <w:vAlign w:val="bottom"/>
          </w:tcPr>
          <w:p w14:paraId="0280327D" w14:textId="77777777" w:rsidR="00C550BB" w:rsidRPr="00C550BB" w:rsidRDefault="00C550BB" w:rsidP="00C550BB">
            <w:pPr>
              <w:jc w:val="both"/>
            </w:pPr>
            <w:r w:rsidRPr="00C550BB">
              <w:rPr>
                <w:color w:val="000000"/>
              </w:rPr>
              <w:t>-0.0058</w:t>
            </w:r>
          </w:p>
        </w:tc>
        <w:tc>
          <w:tcPr>
            <w:tcW w:w="610" w:type="pct"/>
            <w:vAlign w:val="bottom"/>
          </w:tcPr>
          <w:p w14:paraId="0B1D954B" w14:textId="77777777" w:rsidR="00C550BB" w:rsidRPr="00C550BB" w:rsidRDefault="00C550BB" w:rsidP="00C550BB">
            <w:pPr>
              <w:jc w:val="both"/>
            </w:pPr>
            <w:r w:rsidRPr="00C550BB">
              <w:rPr>
                <w:color w:val="000000"/>
              </w:rPr>
              <w:t>-0.0655</w:t>
            </w:r>
          </w:p>
        </w:tc>
        <w:tc>
          <w:tcPr>
            <w:tcW w:w="610" w:type="pct"/>
            <w:vAlign w:val="bottom"/>
          </w:tcPr>
          <w:p w14:paraId="08F5145A" w14:textId="77777777" w:rsidR="00C550BB" w:rsidRPr="00C550BB" w:rsidRDefault="00C550BB" w:rsidP="00C550BB">
            <w:pPr>
              <w:jc w:val="both"/>
            </w:pPr>
            <w:r w:rsidRPr="00C550BB">
              <w:rPr>
                <w:color w:val="000000"/>
              </w:rPr>
              <w:t>1.9840</w:t>
            </w:r>
          </w:p>
        </w:tc>
        <w:tc>
          <w:tcPr>
            <w:tcW w:w="608" w:type="pct"/>
            <w:vAlign w:val="bottom"/>
          </w:tcPr>
          <w:p w14:paraId="3D1A6A59" w14:textId="77777777" w:rsidR="00C550BB" w:rsidRPr="00C550BB" w:rsidRDefault="00C550BB" w:rsidP="00C550BB">
            <w:pPr>
              <w:jc w:val="both"/>
            </w:pPr>
            <w:r w:rsidRPr="00C550BB">
              <w:rPr>
                <w:color w:val="000000"/>
              </w:rPr>
              <w:t>-1.4760</w:t>
            </w:r>
          </w:p>
        </w:tc>
      </w:tr>
      <w:tr w:rsidR="00C550BB" w:rsidRPr="00C550BB" w14:paraId="58A960B3" w14:textId="77777777" w:rsidTr="00C550BB">
        <w:tc>
          <w:tcPr>
            <w:tcW w:w="607" w:type="pct"/>
            <w:vMerge w:val="restart"/>
            <w:vAlign w:val="center"/>
          </w:tcPr>
          <w:p w14:paraId="64614284" w14:textId="77777777" w:rsidR="00C550BB" w:rsidRPr="00C550BB" w:rsidRDefault="00C550BB" w:rsidP="00C550BB">
            <w:pPr>
              <w:jc w:val="both"/>
            </w:pPr>
            <w:r w:rsidRPr="00C550BB">
              <w:t>2014</w:t>
            </w:r>
          </w:p>
        </w:tc>
        <w:tc>
          <w:tcPr>
            <w:tcW w:w="608" w:type="pct"/>
          </w:tcPr>
          <w:p w14:paraId="0241A7DC" w14:textId="77777777" w:rsidR="00C550BB" w:rsidRPr="00C550BB" w:rsidRDefault="00C550BB" w:rsidP="00C550BB">
            <w:pPr>
              <w:jc w:val="both"/>
            </w:pPr>
            <w:r w:rsidRPr="00C550BB">
              <w:t>DIN</w:t>
            </w:r>
          </w:p>
        </w:tc>
        <w:tc>
          <w:tcPr>
            <w:tcW w:w="609" w:type="pct"/>
            <w:vAlign w:val="bottom"/>
          </w:tcPr>
          <w:p w14:paraId="2BD15799" w14:textId="77777777" w:rsidR="00C550BB" w:rsidRPr="00C550BB" w:rsidRDefault="00C550BB" w:rsidP="00C550BB">
            <w:pPr>
              <w:jc w:val="both"/>
            </w:pPr>
            <w:r w:rsidRPr="00C550BB">
              <w:rPr>
                <w:color w:val="000000"/>
              </w:rPr>
              <w:t>0.8222</w:t>
            </w:r>
          </w:p>
        </w:tc>
        <w:tc>
          <w:tcPr>
            <w:tcW w:w="609" w:type="pct"/>
            <w:vAlign w:val="bottom"/>
          </w:tcPr>
          <w:p w14:paraId="191A56AA" w14:textId="77777777" w:rsidR="00C550BB" w:rsidRPr="00C550BB" w:rsidRDefault="00C550BB" w:rsidP="00C550BB">
            <w:pPr>
              <w:jc w:val="both"/>
            </w:pPr>
            <w:r w:rsidRPr="00C550BB">
              <w:rPr>
                <w:color w:val="000000"/>
              </w:rPr>
              <w:t>0.3089</w:t>
            </w:r>
          </w:p>
        </w:tc>
        <w:tc>
          <w:tcPr>
            <w:tcW w:w="739" w:type="pct"/>
            <w:vAlign w:val="bottom"/>
          </w:tcPr>
          <w:p w14:paraId="227B6637" w14:textId="77777777" w:rsidR="00C550BB" w:rsidRPr="00C550BB" w:rsidRDefault="00C550BB" w:rsidP="00C550BB">
            <w:pPr>
              <w:jc w:val="both"/>
            </w:pPr>
            <w:r w:rsidRPr="00C550BB">
              <w:rPr>
                <w:color w:val="000000"/>
              </w:rPr>
              <w:t>0.7405</w:t>
            </w:r>
          </w:p>
        </w:tc>
        <w:tc>
          <w:tcPr>
            <w:tcW w:w="610" w:type="pct"/>
            <w:vAlign w:val="bottom"/>
          </w:tcPr>
          <w:p w14:paraId="730D1721" w14:textId="77777777" w:rsidR="00C550BB" w:rsidRPr="00C550BB" w:rsidRDefault="00C550BB" w:rsidP="00C550BB">
            <w:pPr>
              <w:jc w:val="both"/>
            </w:pPr>
            <w:r w:rsidRPr="00C550BB">
              <w:rPr>
                <w:color w:val="000000"/>
              </w:rPr>
              <w:t>1.6907</w:t>
            </w:r>
          </w:p>
        </w:tc>
        <w:tc>
          <w:tcPr>
            <w:tcW w:w="610" w:type="pct"/>
            <w:vAlign w:val="bottom"/>
          </w:tcPr>
          <w:p w14:paraId="583D544F" w14:textId="77777777" w:rsidR="00C550BB" w:rsidRPr="00C550BB" w:rsidRDefault="00C550BB" w:rsidP="00C550BB">
            <w:pPr>
              <w:jc w:val="both"/>
            </w:pPr>
            <w:r w:rsidRPr="00C550BB">
              <w:rPr>
                <w:color w:val="000000"/>
              </w:rPr>
              <w:t>1.8590</w:t>
            </w:r>
          </w:p>
        </w:tc>
        <w:tc>
          <w:tcPr>
            <w:tcW w:w="608" w:type="pct"/>
            <w:vAlign w:val="bottom"/>
          </w:tcPr>
          <w:p w14:paraId="43D83656" w14:textId="77777777" w:rsidR="00C550BB" w:rsidRPr="00C550BB" w:rsidRDefault="00C550BB" w:rsidP="00C550BB">
            <w:pPr>
              <w:jc w:val="both"/>
            </w:pPr>
            <w:r w:rsidRPr="00C550BB">
              <w:rPr>
                <w:color w:val="000000"/>
              </w:rPr>
              <w:t>0.0280</w:t>
            </w:r>
          </w:p>
        </w:tc>
      </w:tr>
      <w:tr w:rsidR="00C550BB" w:rsidRPr="00C550BB" w14:paraId="723C7DC9" w14:textId="77777777" w:rsidTr="00C550BB">
        <w:tc>
          <w:tcPr>
            <w:tcW w:w="607" w:type="pct"/>
            <w:vMerge/>
            <w:vAlign w:val="center"/>
          </w:tcPr>
          <w:p w14:paraId="74EF9C99" w14:textId="77777777" w:rsidR="00C550BB" w:rsidRPr="00C550BB" w:rsidRDefault="00C550BB" w:rsidP="00C550BB">
            <w:pPr>
              <w:jc w:val="both"/>
            </w:pPr>
          </w:p>
        </w:tc>
        <w:tc>
          <w:tcPr>
            <w:tcW w:w="608" w:type="pct"/>
          </w:tcPr>
          <w:p w14:paraId="2757972A" w14:textId="77777777" w:rsidR="00C550BB" w:rsidRPr="00C550BB" w:rsidRDefault="00C550BB" w:rsidP="00C550BB">
            <w:pPr>
              <w:jc w:val="both"/>
            </w:pPr>
            <w:r w:rsidRPr="00C550BB">
              <w:t>BRA</w:t>
            </w:r>
          </w:p>
        </w:tc>
        <w:tc>
          <w:tcPr>
            <w:tcW w:w="609" w:type="pct"/>
            <w:vAlign w:val="bottom"/>
          </w:tcPr>
          <w:p w14:paraId="664EEA37" w14:textId="77777777" w:rsidR="00C550BB" w:rsidRPr="00C550BB" w:rsidRDefault="00C550BB" w:rsidP="00C550BB">
            <w:pPr>
              <w:jc w:val="both"/>
            </w:pPr>
            <w:r w:rsidRPr="00C550BB">
              <w:rPr>
                <w:color w:val="000000"/>
              </w:rPr>
              <w:t>0.4154</w:t>
            </w:r>
          </w:p>
        </w:tc>
        <w:tc>
          <w:tcPr>
            <w:tcW w:w="609" w:type="pct"/>
            <w:vAlign w:val="bottom"/>
          </w:tcPr>
          <w:p w14:paraId="7C7C3683" w14:textId="77777777" w:rsidR="00C550BB" w:rsidRPr="00C550BB" w:rsidRDefault="00C550BB" w:rsidP="00C550BB">
            <w:pPr>
              <w:jc w:val="both"/>
            </w:pPr>
            <w:r w:rsidRPr="00C550BB">
              <w:rPr>
                <w:color w:val="000000"/>
              </w:rPr>
              <w:t>0.6905</w:t>
            </w:r>
          </w:p>
        </w:tc>
        <w:tc>
          <w:tcPr>
            <w:tcW w:w="739" w:type="pct"/>
            <w:vAlign w:val="bottom"/>
          </w:tcPr>
          <w:p w14:paraId="44444D6E" w14:textId="77777777" w:rsidR="00C550BB" w:rsidRPr="00C550BB" w:rsidRDefault="00C550BB" w:rsidP="00C550BB">
            <w:pPr>
              <w:jc w:val="both"/>
            </w:pPr>
            <w:r w:rsidRPr="00C550BB">
              <w:rPr>
                <w:color w:val="000000"/>
              </w:rPr>
              <w:t>1.1056</w:t>
            </w:r>
          </w:p>
        </w:tc>
        <w:tc>
          <w:tcPr>
            <w:tcW w:w="610" w:type="pct"/>
            <w:vAlign w:val="bottom"/>
          </w:tcPr>
          <w:p w14:paraId="0B5B48F6" w14:textId="77777777" w:rsidR="00C550BB" w:rsidRPr="00C550BB" w:rsidRDefault="00C550BB" w:rsidP="00C550BB">
            <w:pPr>
              <w:jc w:val="both"/>
            </w:pPr>
            <w:r w:rsidRPr="00C550BB">
              <w:rPr>
                <w:color w:val="000000"/>
              </w:rPr>
              <w:t>2.1798</w:t>
            </w:r>
          </w:p>
        </w:tc>
        <w:tc>
          <w:tcPr>
            <w:tcW w:w="610" w:type="pct"/>
            <w:vAlign w:val="bottom"/>
          </w:tcPr>
          <w:p w14:paraId="480AAA3B" w14:textId="77777777" w:rsidR="00C550BB" w:rsidRPr="00C550BB" w:rsidRDefault="00C550BB" w:rsidP="00C550BB">
            <w:pPr>
              <w:jc w:val="both"/>
            </w:pPr>
            <w:r w:rsidRPr="00C550BB">
              <w:rPr>
                <w:color w:val="000000"/>
              </w:rPr>
              <w:t>3.2050</w:t>
            </w:r>
          </w:p>
        </w:tc>
        <w:tc>
          <w:tcPr>
            <w:tcW w:w="608" w:type="pct"/>
            <w:vAlign w:val="bottom"/>
          </w:tcPr>
          <w:p w14:paraId="5C31815C" w14:textId="77777777" w:rsidR="00C550BB" w:rsidRPr="00C550BB" w:rsidRDefault="00C550BB" w:rsidP="00C550BB">
            <w:pPr>
              <w:jc w:val="both"/>
            </w:pPr>
            <w:r w:rsidRPr="00C550BB">
              <w:rPr>
                <w:color w:val="000000"/>
              </w:rPr>
              <w:t>-0.8460</w:t>
            </w:r>
          </w:p>
        </w:tc>
      </w:tr>
      <w:tr w:rsidR="00C550BB" w:rsidRPr="00C550BB" w14:paraId="1BF27885" w14:textId="77777777" w:rsidTr="00C550BB">
        <w:tc>
          <w:tcPr>
            <w:tcW w:w="607" w:type="pct"/>
            <w:vMerge/>
            <w:vAlign w:val="center"/>
          </w:tcPr>
          <w:p w14:paraId="15B28048" w14:textId="77777777" w:rsidR="00C550BB" w:rsidRPr="00C550BB" w:rsidRDefault="00C550BB" w:rsidP="00C550BB">
            <w:pPr>
              <w:jc w:val="both"/>
            </w:pPr>
          </w:p>
        </w:tc>
        <w:tc>
          <w:tcPr>
            <w:tcW w:w="608" w:type="pct"/>
          </w:tcPr>
          <w:p w14:paraId="7BF01229" w14:textId="77777777" w:rsidR="00C550BB" w:rsidRPr="00C550BB" w:rsidRDefault="00C550BB" w:rsidP="00C550BB">
            <w:pPr>
              <w:jc w:val="both"/>
            </w:pPr>
            <w:r w:rsidRPr="00C550BB">
              <w:t>EUA</w:t>
            </w:r>
          </w:p>
        </w:tc>
        <w:tc>
          <w:tcPr>
            <w:tcW w:w="609" w:type="pct"/>
            <w:vAlign w:val="bottom"/>
          </w:tcPr>
          <w:p w14:paraId="43F59E17" w14:textId="77777777" w:rsidR="00C550BB" w:rsidRPr="00C550BB" w:rsidRDefault="00C550BB" w:rsidP="00C550BB">
            <w:pPr>
              <w:jc w:val="both"/>
            </w:pPr>
            <w:r w:rsidRPr="00C550BB">
              <w:rPr>
                <w:color w:val="000000"/>
              </w:rPr>
              <w:t>0.4126</w:t>
            </w:r>
          </w:p>
        </w:tc>
        <w:tc>
          <w:tcPr>
            <w:tcW w:w="609" w:type="pct"/>
            <w:vAlign w:val="bottom"/>
          </w:tcPr>
          <w:p w14:paraId="40BEA11C" w14:textId="77777777" w:rsidR="00C550BB" w:rsidRPr="00C550BB" w:rsidRDefault="00C550BB" w:rsidP="00C550BB">
            <w:pPr>
              <w:jc w:val="both"/>
            </w:pPr>
            <w:r w:rsidRPr="00C550BB">
              <w:rPr>
                <w:color w:val="000000"/>
              </w:rPr>
              <w:t>0.6929</w:t>
            </w:r>
          </w:p>
        </w:tc>
        <w:tc>
          <w:tcPr>
            <w:tcW w:w="739" w:type="pct"/>
            <w:vAlign w:val="bottom"/>
          </w:tcPr>
          <w:p w14:paraId="6C379752" w14:textId="77777777" w:rsidR="00C550BB" w:rsidRPr="00C550BB" w:rsidRDefault="00C550BB" w:rsidP="00C550BB">
            <w:pPr>
              <w:jc w:val="both"/>
            </w:pPr>
            <w:r w:rsidRPr="00C550BB">
              <w:rPr>
                <w:color w:val="000000"/>
              </w:rPr>
              <w:t>1.1242</w:t>
            </w:r>
          </w:p>
        </w:tc>
        <w:tc>
          <w:tcPr>
            <w:tcW w:w="610" w:type="pct"/>
            <w:vAlign w:val="bottom"/>
          </w:tcPr>
          <w:p w14:paraId="2BB51110" w14:textId="77777777" w:rsidR="00C550BB" w:rsidRPr="00C550BB" w:rsidRDefault="00C550BB" w:rsidP="00C550BB">
            <w:pPr>
              <w:jc w:val="both"/>
            </w:pPr>
            <w:r w:rsidRPr="00C550BB">
              <w:rPr>
                <w:color w:val="000000"/>
              </w:rPr>
              <w:t>2.2648</w:t>
            </w:r>
          </w:p>
        </w:tc>
        <w:tc>
          <w:tcPr>
            <w:tcW w:w="610" w:type="pct"/>
            <w:vAlign w:val="bottom"/>
          </w:tcPr>
          <w:p w14:paraId="5C5C586B" w14:textId="77777777" w:rsidR="00C550BB" w:rsidRPr="00C550BB" w:rsidRDefault="00C550BB" w:rsidP="00C550BB">
            <w:pPr>
              <w:jc w:val="both"/>
            </w:pPr>
            <w:r w:rsidRPr="00C550BB">
              <w:rPr>
                <w:color w:val="000000"/>
              </w:rPr>
              <w:t>3.2340</w:t>
            </w:r>
          </w:p>
        </w:tc>
        <w:tc>
          <w:tcPr>
            <w:tcW w:w="608" w:type="pct"/>
            <w:vAlign w:val="bottom"/>
          </w:tcPr>
          <w:p w14:paraId="5DB8F742" w14:textId="77777777" w:rsidR="00C550BB" w:rsidRPr="00C550BB" w:rsidRDefault="00C550BB" w:rsidP="00C550BB">
            <w:pPr>
              <w:jc w:val="both"/>
            </w:pPr>
            <w:r w:rsidRPr="00C550BB">
              <w:rPr>
                <w:color w:val="000000"/>
              </w:rPr>
              <w:t>-0.8320</w:t>
            </w:r>
          </w:p>
        </w:tc>
      </w:tr>
      <w:tr w:rsidR="00C550BB" w:rsidRPr="00C550BB" w14:paraId="436DBE99" w14:textId="77777777" w:rsidTr="00C550BB">
        <w:tc>
          <w:tcPr>
            <w:tcW w:w="607" w:type="pct"/>
            <w:vMerge w:val="restart"/>
            <w:vAlign w:val="center"/>
          </w:tcPr>
          <w:p w14:paraId="40063C1E" w14:textId="77777777" w:rsidR="00C550BB" w:rsidRPr="00C550BB" w:rsidRDefault="00C550BB" w:rsidP="00C550BB">
            <w:pPr>
              <w:jc w:val="both"/>
            </w:pPr>
            <w:r w:rsidRPr="00C550BB">
              <w:t>2015</w:t>
            </w:r>
          </w:p>
        </w:tc>
        <w:tc>
          <w:tcPr>
            <w:tcW w:w="608" w:type="pct"/>
          </w:tcPr>
          <w:p w14:paraId="4A3D0E69" w14:textId="77777777" w:rsidR="00C550BB" w:rsidRPr="00C550BB" w:rsidRDefault="00C550BB" w:rsidP="00C550BB">
            <w:pPr>
              <w:jc w:val="both"/>
            </w:pPr>
            <w:r w:rsidRPr="00C550BB">
              <w:t>DIN</w:t>
            </w:r>
          </w:p>
        </w:tc>
        <w:tc>
          <w:tcPr>
            <w:tcW w:w="609" w:type="pct"/>
            <w:vAlign w:val="bottom"/>
          </w:tcPr>
          <w:p w14:paraId="235E9EE0" w14:textId="77777777" w:rsidR="00C550BB" w:rsidRPr="00C550BB" w:rsidRDefault="00C550BB" w:rsidP="00C550BB">
            <w:pPr>
              <w:jc w:val="both"/>
            </w:pPr>
            <w:r w:rsidRPr="00C550BB">
              <w:rPr>
                <w:color w:val="000000"/>
              </w:rPr>
              <w:t>0.9716</w:t>
            </w:r>
          </w:p>
        </w:tc>
        <w:tc>
          <w:tcPr>
            <w:tcW w:w="609" w:type="pct"/>
            <w:vAlign w:val="bottom"/>
          </w:tcPr>
          <w:p w14:paraId="0001AADB" w14:textId="77777777" w:rsidR="00C550BB" w:rsidRPr="00C550BB" w:rsidRDefault="00C550BB" w:rsidP="00C550BB">
            <w:pPr>
              <w:jc w:val="both"/>
            </w:pPr>
            <w:r w:rsidRPr="00C550BB">
              <w:rPr>
                <w:color w:val="000000"/>
              </w:rPr>
              <w:t>0.3782</w:t>
            </w:r>
          </w:p>
        </w:tc>
        <w:tc>
          <w:tcPr>
            <w:tcW w:w="739" w:type="pct"/>
            <w:vAlign w:val="bottom"/>
          </w:tcPr>
          <w:p w14:paraId="5B043EDE" w14:textId="77777777" w:rsidR="00C550BB" w:rsidRPr="00C550BB" w:rsidRDefault="00C550BB" w:rsidP="00C550BB">
            <w:pPr>
              <w:jc w:val="both"/>
            </w:pPr>
            <w:r w:rsidRPr="00C550BB">
              <w:rPr>
                <w:color w:val="000000"/>
              </w:rPr>
              <w:t>0.4286</w:t>
            </w:r>
          </w:p>
        </w:tc>
        <w:tc>
          <w:tcPr>
            <w:tcW w:w="610" w:type="pct"/>
            <w:vAlign w:val="bottom"/>
          </w:tcPr>
          <w:p w14:paraId="4CECA40A" w14:textId="77777777" w:rsidR="00C550BB" w:rsidRPr="00C550BB" w:rsidRDefault="00C550BB" w:rsidP="00C550BB">
            <w:pPr>
              <w:jc w:val="both"/>
            </w:pPr>
            <w:r w:rsidRPr="00C550BB">
              <w:rPr>
                <w:color w:val="000000"/>
              </w:rPr>
              <w:t>1.5956</w:t>
            </w:r>
          </w:p>
        </w:tc>
        <w:tc>
          <w:tcPr>
            <w:tcW w:w="610" w:type="pct"/>
            <w:vAlign w:val="bottom"/>
          </w:tcPr>
          <w:p w14:paraId="2D5DEFB9" w14:textId="77777777" w:rsidR="00C550BB" w:rsidRPr="00C550BB" w:rsidRDefault="00C550BB" w:rsidP="00C550BB">
            <w:pPr>
              <w:jc w:val="both"/>
            </w:pPr>
            <w:r w:rsidRPr="00C550BB">
              <w:rPr>
                <w:color w:val="000000"/>
              </w:rPr>
              <w:t>2.2630</w:t>
            </w:r>
          </w:p>
        </w:tc>
        <w:tc>
          <w:tcPr>
            <w:tcW w:w="608" w:type="pct"/>
            <w:vAlign w:val="bottom"/>
          </w:tcPr>
          <w:p w14:paraId="07C248C1" w14:textId="77777777" w:rsidR="00C550BB" w:rsidRPr="00C550BB" w:rsidRDefault="00C550BB" w:rsidP="00C550BB">
            <w:pPr>
              <w:jc w:val="both"/>
            </w:pPr>
            <w:r w:rsidRPr="00C550BB">
              <w:rPr>
                <w:color w:val="000000"/>
              </w:rPr>
              <w:t>0.0810</w:t>
            </w:r>
          </w:p>
        </w:tc>
      </w:tr>
      <w:tr w:rsidR="00C550BB" w:rsidRPr="00C550BB" w14:paraId="411D43A8" w14:textId="77777777" w:rsidTr="00C550BB">
        <w:tc>
          <w:tcPr>
            <w:tcW w:w="607" w:type="pct"/>
            <w:vMerge/>
            <w:vAlign w:val="center"/>
          </w:tcPr>
          <w:p w14:paraId="6435CD0B" w14:textId="77777777" w:rsidR="00C550BB" w:rsidRPr="00C550BB" w:rsidRDefault="00C550BB" w:rsidP="00C550BB">
            <w:pPr>
              <w:jc w:val="both"/>
            </w:pPr>
          </w:p>
        </w:tc>
        <w:tc>
          <w:tcPr>
            <w:tcW w:w="608" w:type="pct"/>
          </w:tcPr>
          <w:p w14:paraId="7F081A8D" w14:textId="77777777" w:rsidR="00C550BB" w:rsidRPr="00C550BB" w:rsidRDefault="00C550BB" w:rsidP="00C550BB">
            <w:pPr>
              <w:jc w:val="both"/>
            </w:pPr>
            <w:r w:rsidRPr="00C550BB">
              <w:t>BRA</w:t>
            </w:r>
          </w:p>
        </w:tc>
        <w:tc>
          <w:tcPr>
            <w:tcW w:w="609" w:type="pct"/>
            <w:vAlign w:val="bottom"/>
          </w:tcPr>
          <w:p w14:paraId="74EF8137" w14:textId="77777777" w:rsidR="00C550BB" w:rsidRPr="00C550BB" w:rsidRDefault="00C550BB" w:rsidP="00C550BB">
            <w:pPr>
              <w:jc w:val="both"/>
            </w:pPr>
            <w:r w:rsidRPr="00C550BB">
              <w:rPr>
                <w:color w:val="000000"/>
              </w:rPr>
              <w:t>0.5569</w:t>
            </w:r>
          </w:p>
        </w:tc>
        <w:tc>
          <w:tcPr>
            <w:tcW w:w="609" w:type="pct"/>
            <w:vAlign w:val="bottom"/>
          </w:tcPr>
          <w:p w14:paraId="233D0DB3" w14:textId="77777777" w:rsidR="00C550BB" w:rsidRPr="00C550BB" w:rsidRDefault="00C550BB" w:rsidP="00C550BB">
            <w:pPr>
              <w:jc w:val="both"/>
            </w:pPr>
            <w:r w:rsidRPr="00C550BB">
              <w:rPr>
                <w:color w:val="000000"/>
              </w:rPr>
              <w:t>0.6128</w:t>
            </w:r>
          </w:p>
        </w:tc>
        <w:tc>
          <w:tcPr>
            <w:tcW w:w="739" w:type="pct"/>
            <w:vAlign w:val="bottom"/>
          </w:tcPr>
          <w:p w14:paraId="78434319" w14:textId="77777777" w:rsidR="00C550BB" w:rsidRPr="00C550BB" w:rsidRDefault="00C550BB" w:rsidP="00C550BB">
            <w:pPr>
              <w:jc w:val="both"/>
            </w:pPr>
            <w:r w:rsidRPr="00C550BB">
              <w:rPr>
                <w:color w:val="000000"/>
              </w:rPr>
              <w:t>0.7446</w:t>
            </w:r>
          </w:p>
        </w:tc>
        <w:tc>
          <w:tcPr>
            <w:tcW w:w="610" w:type="pct"/>
            <w:vAlign w:val="bottom"/>
          </w:tcPr>
          <w:p w14:paraId="47720354" w14:textId="77777777" w:rsidR="00C550BB" w:rsidRPr="00C550BB" w:rsidRDefault="00C550BB" w:rsidP="00C550BB">
            <w:pPr>
              <w:jc w:val="both"/>
            </w:pPr>
            <w:r w:rsidRPr="00C550BB">
              <w:rPr>
                <w:color w:val="000000"/>
              </w:rPr>
              <w:t>1.0116</w:t>
            </w:r>
          </w:p>
        </w:tc>
        <w:tc>
          <w:tcPr>
            <w:tcW w:w="610" w:type="pct"/>
            <w:vAlign w:val="bottom"/>
          </w:tcPr>
          <w:p w14:paraId="7BF6810F" w14:textId="77777777" w:rsidR="00C550BB" w:rsidRPr="00C550BB" w:rsidRDefault="00C550BB" w:rsidP="00C550BB">
            <w:pPr>
              <w:jc w:val="both"/>
            </w:pPr>
            <w:r w:rsidRPr="00C550BB">
              <w:rPr>
                <w:color w:val="000000"/>
              </w:rPr>
              <w:t>2.5430</w:t>
            </w:r>
          </w:p>
        </w:tc>
        <w:tc>
          <w:tcPr>
            <w:tcW w:w="608" w:type="pct"/>
            <w:vAlign w:val="bottom"/>
          </w:tcPr>
          <w:p w14:paraId="3AC20A98" w14:textId="77777777" w:rsidR="00C550BB" w:rsidRPr="00C550BB" w:rsidRDefault="00C550BB" w:rsidP="00C550BB">
            <w:pPr>
              <w:jc w:val="both"/>
            </w:pPr>
            <w:r w:rsidRPr="00C550BB">
              <w:rPr>
                <w:color w:val="000000"/>
              </w:rPr>
              <w:t>-0.5920</w:t>
            </w:r>
          </w:p>
        </w:tc>
      </w:tr>
      <w:tr w:rsidR="00C550BB" w:rsidRPr="00C550BB" w14:paraId="7BFC5ECD" w14:textId="77777777" w:rsidTr="00C550BB">
        <w:tc>
          <w:tcPr>
            <w:tcW w:w="607" w:type="pct"/>
            <w:vMerge/>
            <w:vAlign w:val="center"/>
          </w:tcPr>
          <w:p w14:paraId="1AB96717" w14:textId="77777777" w:rsidR="00C550BB" w:rsidRPr="00C550BB" w:rsidRDefault="00C550BB" w:rsidP="00C550BB">
            <w:pPr>
              <w:jc w:val="both"/>
            </w:pPr>
          </w:p>
        </w:tc>
        <w:tc>
          <w:tcPr>
            <w:tcW w:w="608" w:type="pct"/>
          </w:tcPr>
          <w:p w14:paraId="55B495C7" w14:textId="77777777" w:rsidR="00C550BB" w:rsidRPr="00C550BB" w:rsidRDefault="00C550BB" w:rsidP="00C550BB">
            <w:pPr>
              <w:jc w:val="both"/>
            </w:pPr>
            <w:r w:rsidRPr="00C550BB">
              <w:t>EUA</w:t>
            </w:r>
          </w:p>
        </w:tc>
        <w:tc>
          <w:tcPr>
            <w:tcW w:w="609" w:type="pct"/>
            <w:vAlign w:val="bottom"/>
          </w:tcPr>
          <w:p w14:paraId="0BE2C485" w14:textId="77777777" w:rsidR="00C550BB" w:rsidRPr="00C550BB" w:rsidRDefault="00C550BB" w:rsidP="00C550BB">
            <w:pPr>
              <w:jc w:val="both"/>
            </w:pPr>
            <w:r w:rsidRPr="00C550BB">
              <w:rPr>
                <w:color w:val="000000"/>
              </w:rPr>
              <w:t>0.8512</w:t>
            </w:r>
          </w:p>
        </w:tc>
        <w:tc>
          <w:tcPr>
            <w:tcW w:w="609" w:type="pct"/>
            <w:vAlign w:val="bottom"/>
          </w:tcPr>
          <w:p w14:paraId="1599D1E6" w14:textId="77777777" w:rsidR="00C550BB" w:rsidRPr="00C550BB" w:rsidRDefault="00C550BB" w:rsidP="00C550BB">
            <w:pPr>
              <w:jc w:val="both"/>
            </w:pPr>
            <w:r w:rsidRPr="00C550BB">
              <w:rPr>
                <w:color w:val="000000"/>
              </w:rPr>
              <w:t>0.2947</w:t>
            </w:r>
          </w:p>
        </w:tc>
        <w:tc>
          <w:tcPr>
            <w:tcW w:w="739" w:type="pct"/>
            <w:vAlign w:val="bottom"/>
          </w:tcPr>
          <w:p w14:paraId="49162525" w14:textId="77777777" w:rsidR="00C550BB" w:rsidRPr="00C550BB" w:rsidRDefault="00C550BB" w:rsidP="00C550BB">
            <w:pPr>
              <w:jc w:val="both"/>
            </w:pPr>
            <w:r w:rsidRPr="00C550BB">
              <w:rPr>
                <w:color w:val="000000"/>
              </w:rPr>
              <w:t>0.3934</w:t>
            </w:r>
          </w:p>
        </w:tc>
        <w:tc>
          <w:tcPr>
            <w:tcW w:w="610" w:type="pct"/>
            <w:vAlign w:val="bottom"/>
          </w:tcPr>
          <w:p w14:paraId="719BC5F2" w14:textId="77777777" w:rsidR="00C550BB" w:rsidRPr="00C550BB" w:rsidRDefault="00C550BB" w:rsidP="00C550BB">
            <w:pPr>
              <w:jc w:val="both"/>
            </w:pPr>
            <w:r w:rsidRPr="00C550BB">
              <w:rPr>
                <w:color w:val="000000"/>
              </w:rPr>
              <w:t>1.6102</w:t>
            </w:r>
          </w:p>
        </w:tc>
        <w:tc>
          <w:tcPr>
            <w:tcW w:w="610" w:type="pct"/>
            <w:vAlign w:val="bottom"/>
          </w:tcPr>
          <w:p w14:paraId="0005B606" w14:textId="77777777" w:rsidR="00C550BB" w:rsidRPr="00C550BB" w:rsidRDefault="00C550BB" w:rsidP="00C550BB">
            <w:pPr>
              <w:jc w:val="both"/>
            </w:pPr>
            <w:r w:rsidRPr="00C550BB">
              <w:rPr>
                <w:color w:val="000000"/>
              </w:rPr>
              <w:t>1.8760</w:t>
            </w:r>
          </w:p>
        </w:tc>
        <w:tc>
          <w:tcPr>
            <w:tcW w:w="608" w:type="pct"/>
            <w:vAlign w:val="bottom"/>
          </w:tcPr>
          <w:p w14:paraId="7624C73D" w14:textId="77777777" w:rsidR="00C550BB" w:rsidRPr="00C550BB" w:rsidRDefault="00C550BB" w:rsidP="00C550BB">
            <w:pPr>
              <w:jc w:val="both"/>
            </w:pPr>
            <w:r w:rsidRPr="00C550BB">
              <w:rPr>
                <w:color w:val="000000"/>
              </w:rPr>
              <w:t>0.1520</w:t>
            </w:r>
          </w:p>
        </w:tc>
      </w:tr>
      <w:tr w:rsidR="00C550BB" w:rsidRPr="00C550BB" w14:paraId="43EFE414" w14:textId="77777777" w:rsidTr="00C550BB">
        <w:tc>
          <w:tcPr>
            <w:tcW w:w="5000" w:type="pct"/>
            <w:gridSpan w:val="8"/>
          </w:tcPr>
          <w:p w14:paraId="1BCDDEFA" w14:textId="77777777" w:rsidR="00C550BB" w:rsidRPr="00C550BB" w:rsidRDefault="00C550BB" w:rsidP="00C550BB">
            <w:pPr>
              <w:jc w:val="both"/>
            </w:pPr>
            <w:r w:rsidRPr="00C550BB">
              <w:rPr>
                <w:b/>
              </w:rPr>
              <w:t>Risco Idiossincrático Dinamarca</w:t>
            </w:r>
          </w:p>
        </w:tc>
      </w:tr>
      <w:tr w:rsidR="00C550BB" w:rsidRPr="00C550BB" w14:paraId="50D3074B" w14:textId="77777777" w:rsidTr="00C550BB">
        <w:tc>
          <w:tcPr>
            <w:tcW w:w="607" w:type="pct"/>
          </w:tcPr>
          <w:p w14:paraId="650DA323" w14:textId="77777777" w:rsidR="00C550BB" w:rsidRPr="00C550BB" w:rsidRDefault="00C550BB" w:rsidP="00C550BB">
            <w:pPr>
              <w:jc w:val="both"/>
            </w:pPr>
          </w:p>
        </w:tc>
        <w:tc>
          <w:tcPr>
            <w:tcW w:w="608" w:type="pct"/>
          </w:tcPr>
          <w:p w14:paraId="573867AE" w14:textId="77777777" w:rsidR="00C550BB" w:rsidRPr="00C550BB" w:rsidRDefault="00C550BB" w:rsidP="00C550BB">
            <w:pPr>
              <w:jc w:val="both"/>
            </w:pPr>
          </w:p>
        </w:tc>
        <w:tc>
          <w:tcPr>
            <w:tcW w:w="609" w:type="pct"/>
            <w:vAlign w:val="center"/>
          </w:tcPr>
          <w:p w14:paraId="29EE629E" w14:textId="77777777" w:rsidR="00C550BB" w:rsidRPr="00C550BB" w:rsidRDefault="00166A13" w:rsidP="00C550BB">
            <w:pPr>
              <w:jc w:val="both"/>
            </w:pPr>
            <m:oMathPara>
              <m:oMath>
                <m:acc>
                  <m:accPr>
                    <m:chr m:val="̅"/>
                    <m:ctrlPr>
                      <w:rPr>
                        <w:rFonts w:ascii="Cambria Math" w:hAnsi="Cambria Math"/>
                        <w:i/>
                      </w:rPr>
                    </m:ctrlPr>
                  </m:accPr>
                  <m:e>
                    <m:r>
                      <w:rPr>
                        <w:rFonts w:ascii="Cambria Math" w:hAnsi="Cambria Math"/>
                      </w:rPr>
                      <m:t>X</m:t>
                    </m:r>
                  </m:e>
                </m:acc>
              </m:oMath>
            </m:oMathPara>
          </w:p>
        </w:tc>
        <w:tc>
          <w:tcPr>
            <w:tcW w:w="609" w:type="pct"/>
            <w:vAlign w:val="center"/>
          </w:tcPr>
          <w:p w14:paraId="394A0A29" w14:textId="77777777" w:rsidR="00C550BB" w:rsidRPr="00C550BB" w:rsidRDefault="00C550BB" w:rsidP="00C550BB">
            <w:pPr>
              <w:jc w:val="both"/>
            </w:pPr>
            <m:oMathPara>
              <m:oMath>
                <m:r>
                  <w:rPr>
                    <w:rFonts w:ascii="Cambria Math" w:hAnsi="Cambria Math"/>
                  </w:rPr>
                  <m:t>σ</m:t>
                </m:r>
              </m:oMath>
            </m:oMathPara>
          </w:p>
        </w:tc>
        <w:tc>
          <w:tcPr>
            <w:tcW w:w="739" w:type="pct"/>
          </w:tcPr>
          <w:p w14:paraId="68749AAA" w14:textId="77777777" w:rsidR="00C550BB" w:rsidRPr="00C550BB" w:rsidRDefault="00C550BB" w:rsidP="00C550BB">
            <w:pPr>
              <w:jc w:val="both"/>
            </w:pPr>
            <w:r w:rsidRPr="00C550BB">
              <w:t>Assimetria</w:t>
            </w:r>
          </w:p>
        </w:tc>
        <w:tc>
          <w:tcPr>
            <w:tcW w:w="610" w:type="pct"/>
          </w:tcPr>
          <w:p w14:paraId="5C5E4871" w14:textId="77777777" w:rsidR="00C550BB" w:rsidRPr="00C550BB" w:rsidRDefault="00C550BB" w:rsidP="00C550BB">
            <w:pPr>
              <w:jc w:val="both"/>
            </w:pPr>
            <w:r w:rsidRPr="00C550BB">
              <w:t>Curtose</w:t>
            </w:r>
          </w:p>
        </w:tc>
        <w:tc>
          <w:tcPr>
            <w:tcW w:w="610" w:type="pct"/>
          </w:tcPr>
          <w:p w14:paraId="280E0B57" w14:textId="77777777" w:rsidR="00C550BB" w:rsidRPr="00C550BB" w:rsidRDefault="00C550BB" w:rsidP="00C550BB">
            <w:pPr>
              <w:jc w:val="both"/>
            </w:pPr>
            <w:r w:rsidRPr="00C550BB">
              <w:t>Máximo</w:t>
            </w:r>
          </w:p>
        </w:tc>
        <w:tc>
          <w:tcPr>
            <w:tcW w:w="608" w:type="pct"/>
          </w:tcPr>
          <w:p w14:paraId="3DD5DED9" w14:textId="77777777" w:rsidR="00C550BB" w:rsidRPr="00C550BB" w:rsidRDefault="00C550BB" w:rsidP="00C550BB">
            <w:pPr>
              <w:jc w:val="both"/>
            </w:pPr>
            <w:r w:rsidRPr="00C550BB">
              <w:t>Mínimo</w:t>
            </w:r>
          </w:p>
        </w:tc>
      </w:tr>
      <w:tr w:rsidR="00C550BB" w:rsidRPr="00C550BB" w14:paraId="4A40F7A8" w14:textId="77777777" w:rsidTr="00C550BB">
        <w:tc>
          <w:tcPr>
            <w:tcW w:w="607" w:type="pct"/>
            <w:vMerge w:val="restart"/>
            <w:vAlign w:val="center"/>
          </w:tcPr>
          <w:p w14:paraId="4ACBA7A1" w14:textId="77777777" w:rsidR="00C550BB" w:rsidRPr="00C550BB" w:rsidRDefault="00C550BB" w:rsidP="00C550BB">
            <w:pPr>
              <w:jc w:val="both"/>
            </w:pPr>
            <w:r w:rsidRPr="00C550BB">
              <w:t>2012</w:t>
            </w:r>
          </w:p>
        </w:tc>
        <w:tc>
          <w:tcPr>
            <w:tcW w:w="608" w:type="pct"/>
          </w:tcPr>
          <w:p w14:paraId="01EAAE19" w14:textId="77777777" w:rsidR="00C550BB" w:rsidRPr="00C550BB" w:rsidRDefault="00C550BB" w:rsidP="00C550BB">
            <w:pPr>
              <w:jc w:val="both"/>
            </w:pPr>
            <w:r w:rsidRPr="00C550BB">
              <w:t>DIN</w:t>
            </w:r>
          </w:p>
        </w:tc>
        <w:tc>
          <w:tcPr>
            <w:tcW w:w="609" w:type="pct"/>
            <w:vAlign w:val="bottom"/>
          </w:tcPr>
          <w:p w14:paraId="2325AA0F" w14:textId="77777777" w:rsidR="00C550BB" w:rsidRPr="00C550BB" w:rsidRDefault="00C550BB" w:rsidP="00C550BB">
            <w:pPr>
              <w:jc w:val="both"/>
              <w:rPr>
                <w:rFonts w:eastAsia="Calibri"/>
              </w:rPr>
            </w:pPr>
            <w:r w:rsidRPr="00C550BB">
              <w:rPr>
                <w:color w:val="000000"/>
              </w:rPr>
              <w:t>0.0439</w:t>
            </w:r>
          </w:p>
        </w:tc>
        <w:tc>
          <w:tcPr>
            <w:tcW w:w="609" w:type="pct"/>
            <w:vAlign w:val="bottom"/>
          </w:tcPr>
          <w:p w14:paraId="76F9C509" w14:textId="77777777" w:rsidR="00C550BB" w:rsidRPr="00C550BB" w:rsidRDefault="00C550BB" w:rsidP="00C550BB">
            <w:pPr>
              <w:jc w:val="both"/>
              <w:rPr>
                <w:rFonts w:eastAsia="Calibri"/>
              </w:rPr>
            </w:pPr>
            <w:r w:rsidRPr="00C550BB">
              <w:rPr>
                <w:color w:val="000000"/>
              </w:rPr>
              <w:t>0.0319</w:t>
            </w:r>
          </w:p>
        </w:tc>
        <w:tc>
          <w:tcPr>
            <w:tcW w:w="739" w:type="pct"/>
            <w:vAlign w:val="bottom"/>
          </w:tcPr>
          <w:p w14:paraId="6708D4F7" w14:textId="77777777" w:rsidR="00C550BB" w:rsidRPr="00C550BB" w:rsidRDefault="00C550BB" w:rsidP="00C550BB">
            <w:pPr>
              <w:jc w:val="both"/>
            </w:pPr>
            <w:r w:rsidRPr="00C550BB">
              <w:rPr>
                <w:color w:val="000000"/>
              </w:rPr>
              <w:t>1.8259</w:t>
            </w:r>
          </w:p>
        </w:tc>
        <w:tc>
          <w:tcPr>
            <w:tcW w:w="610" w:type="pct"/>
            <w:vAlign w:val="bottom"/>
          </w:tcPr>
          <w:p w14:paraId="58DEFABF" w14:textId="77777777" w:rsidR="00C550BB" w:rsidRPr="00C550BB" w:rsidRDefault="00C550BB" w:rsidP="00C550BB">
            <w:pPr>
              <w:jc w:val="both"/>
            </w:pPr>
            <w:r w:rsidRPr="00C550BB">
              <w:rPr>
                <w:color w:val="000000"/>
              </w:rPr>
              <w:t>5.3657</w:t>
            </w:r>
          </w:p>
        </w:tc>
        <w:tc>
          <w:tcPr>
            <w:tcW w:w="610" w:type="pct"/>
            <w:vAlign w:val="bottom"/>
          </w:tcPr>
          <w:p w14:paraId="7D464441" w14:textId="77777777" w:rsidR="00C550BB" w:rsidRPr="00C550BB" w:rsidRDefault="00C550BB" w:rsidP="00C550BB">
            <w:pPr>
              <w:jc w:val="both"/>
            </w:pPr>
            <w:r w:rsidRPr="00C550BB">
              <w:rPr>
                <w:color w:val="000000"/>
              </w:rPr>
              <w:t>0.2003</w:t>
            </w:r>
          </w:p>
        </w:tc>
        <w:tc>
          <w:tcPr>
            <w:tcW w:w="608" w:type="pct"/>
            <w:vAlign w:val="bottom"/>
          </w:tcPr>
          <w:p w14:paraId="0BB56DC6" w14:textId="77777777" w:rsidR="00C550BB" w:rsidRPr="00C550BB" w:rsidRDefault="00C550BB" w:rsidP="00C550BB">
            <w:pPr>
              <w:jc w:val="both"/>
            </w:pPr>
            <w:r w:rsidRPr="00C550BB">
              <w:rPr>
                <w:color w:val="000000"/>
              </w:rPr>
              <w:t>0.0002</w:t>
            </w:r>
          </w:p>
        </w:tc>
      </w:tr>
      <w:tr w:rsidR="00C550BB" w:rsidRPr="00C550BB" w14:paraId="3F3762C7" w14:textId="77777777" w:rsidTr="00C550BB">
        <w:tc>
          <w:tcPr>
            <w:tcW w:w="607" w:type="pct"/>
            <w:vMerge/>
            <w:vAlign w:val="center"/>
          </w:tcPr>
          <w:p w14:paraId="3969C0BF" w14:textId="77777777" w:rsidR="00C550BB" w:rsidRPr="00C550BB" w:rsidRDefault="00C550BB" w:rsidP="00C550BB">
            <w:pPr>
              <w:jc w:val="both"/>
            </w:pPr>
          </w:p>
        </w:tc>
        <w:tc>
          <w:tcPr>
            <w:tcW w:w="608" w:type="pct"/>
          </w:tcPr>
          <w:p w14:paraId="29143BA0" w14:textId="77777777" w:rsidR="00C550BB" w:rsidRPr="00C550BB" w:rsidRDefault="00C550BB" w:rsidP="00C550BB">
            <w:pPr>
              <w:jc w:val="both"/>
            </w:pPr>
            <w:r w:rsidRPr="00C550BB">
              <w:t>BRA</w:t>
            </w:r>
          </w:p>
        </w:tc>
        <w:tc>
          <w:tcPr>
            <w:tcW w:w="609" w:type="pct"/>
            <w:vAlign w:val="bottom"/>
          </w:tcPr>
          <w:p w14:paraId="0840339C" w14:textId="77777777" w:rsidR="00C550BB" w:rsidRPr="00C550BB" w:rsidRDefault="00C550BB" w:rsidP="00C550BB">
            <w:pPr>
              <w:jc w:val="both"/>
              <w:rPr>
                <w:rFonts w:eastAsia="Calibri"/>
              </w:rPr>
            </w:pPr>
            <w:r w:rsidRPr="00C550BB">
              <w:rPr>
                <w:color w:val="000000"/>
              </w:rPr>
              <w:t>0.0439</w:t>
            </w:r>
          </w:p>
        </w:tc>
        <w:tc>
          <w:tcPr>
            <w:tcW w:w="609" w:type="pct"/>
            <w:vAlign w:val="bottom"/>
          </w:tcPr>
          <w:p w14:paraId="220889EB" w14:textId="77777777" w:rsidR="00C550BB" w:rsidRPr="00C550BB" w:rsidRDefault="00C550BB" w:rsidP="00C550BB">
            <w:pPr>
              <w:jc w:val="both"/>
              <w:rPr>
                <w:rFonts w:eastAsia="Calibri"/>
              </w:rPr>
            </w:pPr>
            <w:r w:rsidRPr="00C550BB">
              <w:rPr>
                <w:color w:val="000000"/>
              </w:rPr>
              <w:t>0.0320</w:t>
            </w:r>
          </w:p>
        </w:tc>
        <w:tc>
          <w:tcPr>
            <w:tcW w:w="739" w:type="pct"/>
            <w:vAlign w:val="bottom"/>
          </w:tcPr>
          <w:p w14:paraId="3C9FB039" w14:textId="77777777" w:rsidR="00C550BB" w:rsidRPr="00C550BB" w:rsidRDefault="00C550BB" w:rsidP="00C550BB">
            <w:pPr>
              <w:jc w:val="both"/>
            </w:pPr>
            <w:r w:rsidRPr="00C550BB">
              <w:rPr>
                <w:color w:val="000000"/>
              </w:rPr>
              <w:t>1.8748</w:t>
            </w:r>
          </w:p>
        </w:tc>
        <w:tc>
          <w:tcPr>
            <w:tcW w:w="610" w:type="pct"/>
            <w:vAlign w:val="bottom"/>
          </w:tcPr>
          <w:p w14:paraId="553848DB" w14:textId="77777777" w:rsidR="00C550BB" w:rsidRPr="00C550BB" w:rsidRDefault="00C550BB" w:rsidP="00C550BB">
            <w:pPr>
              <w:jc w:val="both"/>
            </w:pPr>
            <w:r w:rsidRPr="00C550BB">
              <w:rPr>
                <w:color w:val="000000"/>
              </w:rPr>
              <w:t>5.6977</w:t>
            </w:r>
          </w:p>
        </w:tc>
        <w:tc>
          <w:tcPr>
            <w:tcW w:w="610" w:type="pct"/>
            <w:vAlign w:val="bottom"/>
          </w:tcPr>
          <w:p w14:paraId="6B4FE4B4" w14:textId="77777777" w:rsidR="00C550BB" w:rsidRPr="00C550BB" w:rsidRDefault="00C550BB" w:rsidP="00C550BB">
            <w:pPr>
              <w:jc w:val="both"/>
            </w:pPr>
            <w:r w:rsidRPr="00C550BB">
              <w:rPr>
                <w:color w:val="000000"/>
              </w:rPr>
              <w:t>0.2033</w:t>
            </w:r>
          </w:p>
        </w:tc>
        <w:tc>
          <w:tcPr>
            <w:tcW w:w="608" w:type="pct"/>
            <w:vAlign w:val="bottom"/>
          </w:tcPr>
          <w:p w14:paraId="7305C3D9" w14:textId="77777777" w:rsidR="00C550BB" w:rsidRPr="00C550BB" w:rsidRDefault="00C550BB" w:rsidP="00C550BB">
            <w:pPr>
              <w:jc w:val="both"/>
            </w:pPr>
            <w:r w:rsidRPr="00C550BB">
              <w:rPr>
                <w:color w:val="000000"/>
              </w:rPr>
              <w:t>0.0032</w:t>
            </w:r>
          </w:p>
        </w:tc>
      </w:tr>
      <w:tr w:rsidR="00C550BB" w:rsidRPr="00C550BB" w14:paraId="62F7A8A2" w14:textId="77777777" w:rsidTr="00C550BB">
        <w:tc>
          <w:tcPr>
            <w:tcW w:w="607" w:type="pct"/>
            <w:vMerge/>
            <w:vAlign w:val="center"/>
          </w:tcPr>
          <w:p w14:paraId="4AD54B60" w14:textId="77777777" w:rsidR="00C550BB" w:rsidRPr="00C550BB" w:rsidRDefault="00C550BB" w:rsidP="00C550BB">
            <w:pPr>
              <w:jc w:val="both"/>
            </w:pPr>
          </w:p>
        </w:tc>
        <w:tc>
          <w:tcPr>
            <w:tcW w:w="608" w:type="pct"/>
          </w:tcPr>
          <w:p w14:paraId="73B98EF8" w14:textId="77777777" w:rsidR="00C550BB" w:rsidRPr="00C550BB" w:rsidRDefault="00C550BB" w:rsidP="00C550BB">
            <w:pPr>
              <w:jc w:val="both"/>
            </w:pPr>
            <w:r w:rsidRPr="00C550BB">
              <w:t>EUA</w:t>
            </w:r>
          </w:p>
        </w:tc>
        <w:tc>
          <w:tcPr>
            <w:tcW w:w="609" w:type="pct"/>
            <w:vAlign w:val="bottom"/>
          </w:tcPr>
          <w:p w14:paraId="30AEABEB" w14:textId="77777777" w:rsidR="00C550BB" w:rsidRPr="00C550BB" w:rsidRDefault="00C550BB" w:rsidP="00C550BB">
            <w:pPr>
              <w:jc w:val="both"/>
              <w:rPr>
                <w:rFonts w:eastAsia="Calibri"/>
              </w:rPr>
            </w:pPr>
            <w:r w:rsidRPr="00C550BB">
              <w:rPr>
                <w:color w:val="000000"/>
              </w:rPr>
              <w:t>0.0439</w:t>
            </w:r>
          </w:p>
        </w:tc>
        <w:tc>
          <w:tcPr>
            <w:tcW w:w="609" w:type="pct"/>
            <w:vAlign w:val="bottom"/>
          </w:tcPr>
          <w:p w14:paraId="38061889" w14:textId="77777777" w:rsidR="00C550BB" w:rsidRPr="00C550BB" w:rsidRDefault="00C550BB" w:rsidP="00C550BB">
            <w:pPr>
              <w:jc w:val="both"/>
              <w:rPr>
                <w:rFonts w:eastAsia="Calibri"/>
              </w:rPr>
            </w:pPr>
            <w:r w:rsidRPr="00C550BB">
              <w:rPr>
                <w:color w:val="000000"/>
              </w:rPr>
              <w:t>0.0319</w:t>
            </w:r>
          </w:p>
        </w:tc>
        <w:tc>
          <w:tcPr>
            <w:tcW w:w="739" w:type="pct"/>
            <w:vAlign w:val="bottom"/>
          </w:tcPr>
          <w:p w14:paraId="5CE80228" w14:textId="77777777" w:rsidR="00C550BB" w:rsidRPr="00C550BB" w:rsidRDefault="00C550BB" w:rsidP="00C550BB">
            <w:pPr>
              <w:jc w:val="both"/>
            </w:pPr>
            <w:r w:rsidRPr="00C550BB">
              <w:rPr>
                <w:color w:val="000000"/>
              </w:rPr>
              <w:t>1.8259</w:t>
            </w:r>
          </w:p>
        </w:tc>
        <w:tc>
          <w:tcPr>
            <w:tcW w:w="610" w:type="pct"/>
            <w:vAlign w:val="bottom"/>
          </w:tcPr>
          <w:p w14:paraId="4BA78FD3" w14:textId="77777777" w:rsidR="00C550BB" w:rsidRPr="00C550BB" w:rsidRDefault="00C550BB" w:rsidP="00C550BB">
            <w:pPr>
              <w:jc w:val="both"/>
            </w:pPr>
            <w:r w:rsidRPr="00C550BB">
              <w:rPr>
                <w:color w:val="000000"/>
              </w:rPr>
              <w:t>5.3657</w:t>
            </w:r>
          </w:p>
        </w:tc>
        <w:tc>
          <w:tcPr>
            <w:tcW w:w="610" w:type="pct"/>
            <w:vAlign w:val="bottom"/>
          </w:tcPr>
          <w:p w14:paraId="76455C94" w14:textId="77777777" w:rsidR="00C550BB" w:rsidRPr="00C550BB" w:rsidRDefault="00C550BB" w:rsidP="00C550BB">
            <w:pPr>
              <w:jc w:val="both"/>
            </w:pPr>
            <w:r w:rsidRPr="00C550BB">
              <w:rPr>
                <w:color w:val="000000"/>
              </w:rPr>
              <w:t>0.2003</w:t>
            </w:r>
          </w:p>
        </w:tc>
        <w:tc>
          <w:tcPr>
            <w:tcW w:w="608" w:type="pct"/>
            <w:vAlign w:val="bottom"/>
          </w:tcPr>
          <w:p w14:paraId="5DFD8C2E" w14:textId="77777777" w:rsidR="00C550BB" w:rsidRPr="00C550BB" w:rsidRDefault="00C550BB" w:rsidP="00C550BB">
            <w:pPr>
              <w:jc w:val="both"/>
            </w:pPr>
            <w:r w:rsidRPr="00C550BB">
              <w:rPr>
                <w:color w:val="000000"/>
              </w:rPr>
              <w:t>0.0002</w:t>
            </w:r>
          </w:p>
        </w:tc>
      </w:tr>
      <w:tr w:rsidR="00C550BB" w:rsidRPr="00C550BB" w14:paraId="4D01ACE6" w14:textId="77777777" w:rsidTr="00C550BB">
        <w:tc>
          <w:tcPr>
            <w:tcW w:w="607" w:type="pct"/>
            <w:vMerge w:val="restart"/>
            <w:vAlign w:val="center"/>
          </w:tcPr>
          <w:p w14:paraId="520D4C95" w14:textId="77777777" w:rsidR="00C550BB" w:rsidRPr="00C550BB" w:rsidRDefault="00C550BB" w:rsidP="00C550BB">
            <w:pPr>
              <w:jc w:val="both"/>
            </w:pPr>
            <w:r w:rsidRPr="00C550BB">
              <w:t>2013</w:t>
            </w:r>
          </w:p>
        </w:tc>
        <w:tc>
          <w:tcPr>
            <w:tcW w:w="608" w:type="pct"/>
          </w:tcPr>
          <w:p w14:paraId="633FC206" w14:textId="77777777" w:rsidR="00C550BB" w:rsidRPr="00C550BB" w:rsidRDefault="00C550BB" w:rsidP="00C550BB">
            <w:pPr>
              <w:jc w:val="both"/>
            </w:pPr>
            <w:r w:rsidRPr="00C550BB">
              <w:t>DIN</w:t>
            </w:r>
          </w:p>
        </w:tc>
        <w:tc>
          <w:tcPr>
            <w:tcW w:w="609" w:type="pct"/>
            <w:vAlign w:val="bottom"/>
          </w:tcPr>
          <w:p w14:paraId="20034E7A" w14:textId="77777777" w:rsidR="00C550BB" w:rsidRPr="00C550BB" w:rsidRDefault="00C550BB" w:rsidP="00C550BB">
            <w:pPr>
              <w:jc w:val="both"/>
              <w:rPr>
                <w:rFonts w:eastAsia="Calibri"/>
              </w:rPr>
            </w:pPr>
            <w:r w:rsidRPr="00C550BB">
              <w:rPr>
                <w:color w:val="000000"/>
              </w:rPr>
              <w:t>0.0724</w:t>
            </w:r>
          </w:p>
        </w:tc>
        <w:tc>
          <w:tcPr>
            <w:tcW w:w="609" w:type="pct"/>
            <w:vAlign w:val="bottom"/>
          </w:tcPr>
          <w:p w14:paraId="39E6602F" w14:textId="77777777" w:rsidR="00C550BB" w:rsidRPr="00C550BB" w:rsidRDefault="00C550BB" w:rsidP="00C550BB">
            <w:pPr>
              <w:jc w:val="both"/>
              <w:rPr>
                <w:rFonts w:eastAsia="Calibri"/>
              </w:rPr>
            </w:pPr>
            <w:r w:rsidRPr="00C550BB">
              <w:rPr>
                <w:color w:val="000000"/>
              </w:rPr>
              <w:t>0.0459</w:t>
            </w:r>
          </w:p>
        </w:tc>
        <w:tc>
          <w:tcPr>
            <w:tcW w:w="739" w:type="pct"/>
            <w:vAlign w:val="bottom"/>
          </w:tcPr>
          <w:p w14:paraId="5604B7F3" w14:textId="77777777" w:rsidR="00C550BB" w:rsidRPr="00C550BB" w:rsidRDefault="00C550BB" w:rsidP="00C550BB">
            <w:pPr>
              <w:jc w:val="both"/>
            </w:pPr>
            <w:r w:rsidRPr="00C550BB">
              <w:rPr>
                <w:color w:val="000000"/>
              </w:rPr>
              <w:t>2.0167</w:t>
            </w:r>
          </w:p>
        </w:tc>
        <w:tc>
          <w:tcPr>
            <w:tcW w:w="610" w:type="pct"/>
            <w:vAlign w:val="bottom"/>
          </w:tcPr>
          <w:p w14:paraId="0E11CD0E" w14:textId="77777777" w:rsidR="00C550BB" w:rsidRPr="00C550BB" w:rsidRDefault="00C550BB" w:rsidP="00C550BB">
            <w:pPr>
              <w:jc w:val="both"/>
            </w:pPr>
            <w:r w:rsidRPr="00C550BB">
              <w:rPr>
                <w:color w:val="000000"/>
              </w:rPr>
              <w:t>5.7014</w:t>
            </w:r>
          </w:p>
        </w:tc>
        <w:tc>
          <w:tcPr>
            <w:tcW w:w="610" w:type="pct"/>
            <w:vAlign w:val="bottom"/>
          </w:tcPr>
          <w:p w14:paraId="5BF45B84" w14:textId="77777777" w:rsidR="00C550BB" w:rsidRPr="00C550BB" w:rsidRDefault="00C550BB" w:rsidP="00C550BB">
            <w:pPr>
              <w:jc w:val="both"/>
            </w:pPr>
            <w:r w:rsidRPr="00C550BB">
              <w:rPr>
                <w:color w:val="000000"/>
              </w:rPr>
              <w:t>0.2767</w:t>
            </w:r>
          </w:p>
        </w:tc>
        <w:tc>
          <w:tcPr>
            <w:tcW w:w="608" w:type="pct"/>
            <w:vAlign w:val="bottom"/>
          </w:tcPr>
          <w:p w14:paraId="4867B117" w14:textId="77777777" w:rsidR="00C550BB" w:rsidRPr="00C550BB" w:rsidRDefault="00C550BB" w:rsidP="00C550BB">
            <w:pPr>
              <w:jc w:val="both"/>
            </w:pPr>
            <w:r w:rsidRPr="00C550BB">
              <w:rPr>
                <w:color w:val="000000"/>
              </w:rPr>
              <w:t>0.0085</w:t>
            </w:r>
          </w:p>
        </w:tc>
      </w:tr>
      <w:tr w:rsidR="00C550BB" w:rsidRPr="00C550BB" w14:paraId="2E50E320" w14:textId="77777777" w:rsidTr="00C550BB">
        <w:tc>
          <w:tcPr>
            <w:tcW w:w="607" w:type="pct"/>
            <w:vMerge/>
            <w:vAlign w:val="center"/>
          </w:tcPr>
          <w:p w14:paraId="5452E2D3" w14:textId="77777777" w:rsidR="00C550BB" w:rsidRPr="00C550BB" w:rsidRDefault="00C550BB" w:rsidP="00C550BB">
            <w:pPr>
              <w:jc w:val="both"/>
            </w:pPr>
          </w:p>
        </w:tc>
        <w:tc>
          <w:tcPr>
            <w:tcW w:w="608" w:type="pct"/>
          </w:tcPr>
          <w:p w14:paraId="0AD48861" w14:textId="77777777" w:rsidR="00C550BB" w:rsidRPr="00C550BB" w:rsidRDefault="00C550BB" w:rsidP="00C550BB">
            <w:pPr>
              <w:jc w:val="both"/>
            </w:pPr>
            <w:r w:rsidRPr="00C550BB">
              <w:t>BRA</w:t>
            </w:r>
          </w:p>
        </w:tc>
        <w:tc>
          <w:tcPr>
            <w:tcW w:w="609" w:type="pct"/>
            <w:vAlign w:val="bottom"/>
          </w:tcPr>
          <w:p w14:paraId="1680AEE8" w14:textId="77777777" w:rsidR="00C550BB" w:rsidRPr="00C550BB" w:rsidRDefault="00C550BB" w:rsidP="00C550BB">
            <w:pPr>
              <w:jc w:val="both"/>
              <w:rPr>
                <w:rFonts w:eastAsia="Calibri"/>
              </w:rPr>
            </w:pPr>
            <w:r w:rsidRPr="00C550BB">
              <w:rPr>
                <w:color w:val="000000"/>
              </w:rPr>
              <w:t>0.0723</w:t>
            </w:r>
          </w:p>
        </w:tc>
        <w:tc>
          <w:tcPr>
            <w:tcW w:w="609" w:type="pct"/>
            <w:vAlign w:val="bottom"/>
          </w:tcPr>
          <w:p w14:paraId="61C2C090" w14:textId="77777777" w:rsidR="00C550BB" w:rsidRPr="00C550BB" w:rsidRDefault="00C550BB" w:rsidP="00C550BB">
            <w:pPr>
              <w:jc w:val="both"/>
              <w:rPr>
                <w:rFonts w:eastAsia="Calibri"/>
              </w:rPr>
            </w:pPr>
            <w:r w:rsidRPr="00C550BB">
              <w:rPr>
                <w:color w:val="000000"/>
              </w:rPr>
              <w:t>0.0458</w:t>
            </w:r>
          </w:p>
        </w:tc>
        <w:tc>
          <w:tcPr>
            <w:tcW w:w="739" w:type="pct"/>
            <w:vAlign w:val="bottom"/>
          </w:tcPr>
          <w:p w14:paraId="07623CB1" w14:textId="77777777" w:rsidR="00C550BB" w:rsidRPr="00C550BB" w:rsidRDefault="00C550BB" w:rsidP="00C550BB">
            <w:pPr>
              <w:jc w:val="both"/>
            </w:pPr>
            <w:r w:rsidRPr="00C550BB">
              <w:rPr>
                <w:color w:val="000000"/>
              </w:rPr>
              <w:t>2.0121</w:t>
            </w:r>
          </w:p>
        </w:tc>
        <w:tc>
          <w:tcPr>
            <w:tcW w:w="610" w:type="pct"/>
            <w:vAlign w:val="bottom"/>
          </w:tcPr>
          <w:p w14:paraId="5EBF06C0" w14:textId="77777777" w:rsidR="00C550BB" w:rsidRPr="00C550BB" w:rsidRDefault="00C550BB" w:rsidP="00C550BB">
            <w:pPr>
              <w:jc w:val="both"/>
            </w:pPr>
            <w:r w:rsidRPr="00C550BB">
              <w:rPr>
                <w:color w:val="000000"/>
              </w:rPr>
              <w:t>5.6571</w:t>
            </w:r>
          </w:p>
        </w:tc>
        <w:tc>
          <w:tcPr>
            <w:tcW w:w="610" w:type="pct"/>
            <w:vAlign w:val="bottom"/>
          </w:tcPr>
          <w:p w14:paraId="6172D348" w14:textId="77777777" w:rsidR="00C550BB" w:rsidRPr="00C550BB" w:rsidRDefault="00C550BB" w:rsidP="00C550BB">
            <w:pPr>
              <w:jc w:val="both"/>
            </w:pPr>
            <w:r w:rsidRPr="00C550BB">
              <w:rPr>
                <w:color w:val="000000"/>
              </w:rPr>
              <w:t>0.2757</w:t>
            </w:r>
          </w:p>
        </w:tc>
        <w:tc>
          <w:tcPr>
            <w:tcW w:w="608" w:type="pct"/>
            <w:vAlign w:val="bottom"/>
          </w:tcPr>
          <w:p w14:paraId="0D2061B4" w14:textId="77777777" w:rsidR="00C550BB" w:rsidRPr="00C550BB" w:rsidRDefault="00C550BB" w:rsidP="00C550BB">
            <w:pPr>
              <w:jc w:val="both"/>
            </w:pPr>
            <w:r w:rsidRPr="00C550BB">
              <w:rPr>
                <w:color w:val="000000"/>
              </w:rPr>
              <w:t>0.0091</w:t>
            </w:r>
          </w:p>
        </w:tc>
      </w:tr>
      <w:tr w:rsidR="00C550BB" w:rsidRPr="00C550BB" w14:paraId="42E92180" w14:textId="77777777" w:rsidTr="00C550BB">
        <w:tc>
          <w:tcPr>
            <w:tcW w:w="607" w:type="pct"/>
            <w:vMerge/>
            <w:vAlign w:val="center"/>
          </w:tcPr>
          <w:p w14:paraId="702606F5" w14:textId="77777777" w:rsidR="00C550BB" w:rsidRPr="00C550BB" w:rsidRDefault="00C550BB" w:rsidP="00C550BB">
            <w:pPr>
              <w:jc w:val="both"/>
            </w:pPr>
          </w:p>
        </w:tc>
        <w:tc>
          <w:tcPr>
            <w:tcW w:w="608" w:type="pct"/>
          </w:tcPr>
          <w:p w14:paraId="7DE5D804" w14:textId="77777777" w:rsidR="00C550BB" w:rsidRPr="00C550BB" w:rsidRDefault="00C550BB" w:rsidP="00C550BB">
            <w:pPr>
              <w:jc w:val="both"/>
            </w:pPr>
            <w:r w:rsidRPr="00C550BB">
              <w:t>EUA</w:t>
            </w:r>
          </w:p>
        </w:tc>
        <w:tc>
          <w:tcPr>
            <w:tcW w:w="609" w:type="pct"/>
            <w:vAlign w:val="bottom"/>
          </w:tcPr>
          <w:p w14:paraId="759D0AC2" w14:textId="77777777" w:rsidR="00C550BB" w:rsidRPr="00C550BB" w:rsidRDefault="00C550BB" w:rsidP="00C550BB">
            <w:pPr>
              <w:jc w:val="both"/>
              <w:rPr>
                <w:rFonts w:eastAsia="Calibri"/>
              </w:rPr>
            </w:pPr>
            <w:r w:rsidRPr="00C550BB">
              <w:rPr>
                <w:color w:val="000000"/>
              </w:rPr>
              <w:t>0.0724</w:t>
            </w:r>
          </w:p>
        </w:tc>
        <w:tc>
          <w:tcPr>
            <w:tcW w:w="609" w:type="pct"/>
            <w:vAlign w:val="bottom"/>
          </w:tcPr>
          <w:p w14:paraId="24B2B7AE" w14:textId="77777777" w:rsidR="00C550BB" w:rsidRPr="00C550BB" w:rsidRDefault="00C550BB" w:rsidP="00C550BB">
            <w:pPr>
              <w:jc w:val="both"/>
              <w:rPr>
                <w:rFonts w:eastAsia="Calibri"/>
              </w:rPr>
            </w:pPr>
            <w:r w:rsidRPr="00C550BB">
              <w:rPr>
                <w:color w:val="000000"/>
              </w:rPr>
              <w:t>0.0459</w:t>
            </w:r>
          </w:p>
        </w:tc>
        <w:tc>
          <w:tcPr>
            <w:tcW w:w="739" w:type="pct"/>
            <w:vAlign w:val="bottom"/>
          </w:tcPr>
          <w:p w14:paraId="773D43C8" w14:textId="77777777" w:rsidR="00C550BB" w:rsidRPr="00C550BB" w:rsidRDefault="00C550BB" w:rsidP="00C550BB">
            <w:pPr>
              <w:jc w:val="both"/>
            </w:pPr>
            <w:r w:rsidRPr="00C550BB">
              <w:rPr>
                <w:color w:val="000000"/>
              </w:rPr>
              <w:t>2.0167</w:t>
            </w:r>
          </w:p>
        </w:tc>
        <w:tc>
          <w:tcPr>
            <w:tcW w:w="610" w:type="pct"/>
            <w:vAlign w:val="bottom"/>
          </w:tcPr>
          <w:p w14:paraId="045E4AFE" w14:textId="77777777" w:rsidR="00C550BB" w:rsidRPr="00C550BB" w:rsidRDefault="00C550BB" w:rsidP="00C550BB">
            <w:pPr>
              <w:jc w:val="both"/>
            </w:pPr>
            <w:r w:rsidRPr="00C550BB">
              <w:rPr>
                <w:color w:val="000000"/>
              </w:rPr>
              <w:t>5.7014</w:t>
            </w:r>
          </w:p>
        </w:tc>
        <w:tc>
          <w:tcPr>
            <w:tcW w:w="610" w:type="pct"/>
            <w:vAlign w:val="bottom"/>
          </w:tcPr>
          <w:p w14:paraId="306FA527" w14:textId="77777777" w:rsidR="00C550BB" w:rsidRPr="00C550BB" w:rsidRDefault="00C550BB" w:rsidP="00C550BB">
            <w:pPr>
              <w:jc w:val="both"/>
            </w:pPr>
            <w:r w:rsidRPr="00C550BB">
              <w:rPr>
                <w:color w:val="000000"/>
              </w:rPr>
              <w:t>0.2767</w:t>
            </w:r>
          </w:p>
        </w:tc>
        <w:tc>
          <w:tcPr>
            <w:tcW w:w="608" w:type="pct"/>
            <w:vAlign w:val="bottom"/>
          </w:tcPr>
          <w:p w14:paraId="461F8975" w14:textId="77777777" w:rsidR="00C550BB" w:rsidRPr="00C550BB" w:rsidRDefault="00C550BB" w:rsidP="00C550BB">
            <w:pPr>
              <w:jc w:val="both"/>
            </w:pPr>
            <w:r w:rsidRPr="00C550BB">
              <w:rPr>
                <w:color w:val="000000"/>
              </w:rPr>
              <w:t>0.0085</w:t>
            </w:r>
          </w:p>
        </w:tc>
      </w:tr>
      <w:tr w:rsidR="00C550BB" w:rsidRPr="00C550BB" w14:paraId="37EF0360" w14:textId="77777777" w:rsidTr="00C550BB">
        <w:tc>
          <w:tcPr>
            <w:tcW w:w="607" w:type="pct"/>
            <w:vMerge w:val="restart"/>
            <w:vAlign w:val="center"/>
          </w:tcPr>
          <w:p w14:paraId="04B6F6BB" w14:textId="77777777" w:rsidR="00C550BB" w:rsidRPr="00C550BB" w:rsidRDefault="00C550BB" w:rsidP="00C550BB">
            <w:pPr>
              <w:jc w:val="both"/>
            </w:pPr>
            <w:r w:rsidRPr="00C550BB">
              <w:t>2014</w:t>
            </w:r>
          </w:p>
        </w:tc>
        <w:tc>
          <w:tcPr>
            <w:tcW w:w="608" w:type="pct"/>
          </w:tcPr>
          <w:p w14:paraId="7A24257E" w14:textId="77777777" w:rsidR="00C550BB" w:rsidRPr="00C550BB" w:rsidRDefault="00C550BB" w:rsidP="00C550BB">
            <w:pPr>
              <w:jc w:val="both"/>
            </w:pPr>
            <w:r w:rsidRPr="00C550BB">
              <w:t>DIN</w:t>
            </w:r>
          </w:p>
        </w:tc>
        <w:tc>
          <w:tcPr>
            <w:tcW w:w="609" w:type="pct"/>
            <w:vAlign w:val="bottom"/>
          </w:tcPr>
          <w:p w14:paraId="57BF5081" w14:textId="77777777" w:rsidR="00C550BB" w:rsidRPr="00C550BB" w:rsidRDefault="00C550BB" w:rsidP="00C550BB">
            <w:pPr>
              <w:jc w:val="both"/>
              <w:rPr>
                <w:rFonts w:eastAsia="Calibri"/>
              </w:rPr>
            </w:pPr>
            <w:r w:rsidRPr="00C550BB">
              <w:rPr>
                <w:color w:val="000000"/>
              </w:rPr>
              <w:t>0.0636</w:t>
            </w:r>
          </w:p>
        </w:tc>
        <w:tc>
          <w:tcPr>
            <w:tcW w:w="609" w:type="pct"/>
            <w:vAlign w:val="bottom"/>
          </w:tcPr>
          <w:p w14:paraId="618036E8" w14:textId="77777777" w:rsidR="00C550BB" w:rsidRPr="00C550BB" w:rsidRDefault="00C550BB" w:rsidP="00C550BB">
            <w:pPr>
              <w:jc w:val="both"/>
              <w:rPr>
                <w:rFonts w:eastAsia="Calibri"/>
              </w:rPr>
            </w:pPr>
            <w:r w:rsidRPr="00C550BB">
              <w:rPr>
                <w:color w:val="000000"/>
              </w:rPr>
              <w:t>0.0445</w:t>
            </w:r>
          </w:p>
        </w:tc>
        <w:tc>
          <w:tcPr>
            <w:tcW w:w="739" w:type="pct"/>
            <w:vAlign w:val="bottom"/>
          </w:tcPr>
          <w:p w14:paraId="0EC75E84" w14:textId="77777777" w:rsidR="00C550BB" w:rsidRPr="00C550BB" w:rsidRDefault="00C550BB" w:rsidP="00C550BB">
            <w:pPr>
              <w:jc w:val="both"/>
            </w:pPr>
            <w:r w:rsidRPr="00C550BB">
              <w:rPr>
                <w:color w:val="000000"/>
              </w:rPr>
              <w:t>3.1405</w:t>
            </w:r>
          </w:p>
        </w:tc>
        <w:tc>
          <w:tcPr>
            <w:tcW w:w="610" w:type="pct"/>
            <w:vAlign w:val="bottom"/>
          </w:tcPr>
          <w:p w14:paraId="1181A793" w14:textId="77777777" w:rsidR="00C550BB" w:rsidRPr="00C550BB" w:rsidRDefault="00C550BB" w:rsidP="00C550BB">
            <w:pPr>
              <w:jc w:val="both"/>
            </w:pPr>
            <w:r w:rsidRPr="00C550BB">
              <w:rPr>
                <w:color w:val="000000"/>
              </w:rPr>
              <w:t>12.8879</w:t>
            </w:r>
          </w:p>
        </w:tc>
        <w:tc>
          <w:tcPr>
            <w:tcW w:w="610" w:type="pct"/>
            <w:vAlign w:val="bottom"/>
          </w:tcPr>
          <w:p w14:paraId="36068007" w14:textId="77777777" w:rsidR="00C550BB" w:rsidRPr="00C550BB" w:rsidRDefault="00C550BB" w:rsidP="00C550BB">
            <w:pPr>
              <w:jc w:val="both"/>
            </w:pPr>
            <w:r w:rsidRPr="00C550BB">
              <w:rPr>
                <w:color w:val="000000"/>
              </w:rPr>
              <w:t>0.3179</w:t>
            </w:r>
          </w:p>
        </w:tc>
        <w:tc>
          <w:tcPr>
            <w:tcW w:w="608" w:type="pct"/>
            <w:vAlign w:val="bottom"/>
          </w:tcPr>
          <w:p w14:paraId="326A6D47" w14:textId="77777777" w:rsidR="00C550BB" w:rsidRPr="00C550BB" w:rsidRDefault="00C550BB" w:rsidP="00C550BB">
            <w:pPr>
              <w:jc w:val="both"/>
            </w:pPr>
            <w:r w:rsidRPr="00C550BB">
              <w:rPr>
                <w:color w:val="000000"/>
              </w:rPr>
              <w:t>0.0230</w:t>
            </w:r>
          </w:p>
        </w:tc>
      </w:tr>
      <w:tr w:rsidR="00C550BB" w:rsidRPr="00C550BB" w14:paraId="781A4B98" w14:textId="77777777" w:rsidTr="00C550BB">
        <w:tc>
          <w:tcPr>
            <w:tcW w:w="607" w:type="pct"/>
            <w:vMerge/>
            <w:vAlign w:val="center"/>
          </w:tcPr>
          <w:p w14:paraId="676157C2" w14:textId="77777777" w:rsidR="00C550BB" w:rsidRPr="00C550BB" w:rsidRDefault="00C550BB" w:rsidP="00C550BB">
            <w:pPr>
              <w:jc w:val="both"/>
            </w:pPr>
          </w:p>
        </w:tc>
        <w:tc>
          <w:tcPr>
            <w:tcW w:w="608" w:type="pct"/>
          </w:tcPr>
          <w:p w14:paraId="1C709E2C" w14:textId="77777777" w:rsidR="00C550BB" w:rsidRPr="00C550BB" w:rsidRDefault="00C550BB" w:rsidP="00C550BB">
            <w:pPr>
              <w:jc w:val="both"/>
            </w:pPr>
            <w:r w:rsidRPr="00C550BB">
              <w:t>BRA</w:t>
            </w:r>
          </w:p>
        </w:tc>
        <w:tc>
          <w:tcPr>
            <w:tcW w:w="609" w:type="pct"/>
            <w:vAlign w:val="bottom"/>
          </w:tcPr>
          <w:p w14:paraId="2770B8A8" w14:textId="77777777" w:rsidR="00C550BB" w:rsidRPr="00C550BB" w:rsidRDefault="00C550BB" w:rsidP="00C550BB">
            <w:pPr>
              <w:jc w:val="both"/>
              <w:rPr>
                <w:rFonts w:eastAsia="Calibri"/>
              </w:rPr>
            </w:pPr>
            <w:r w:rsidRPr="00C550BB">
              <w:rPr>
                <w:color w:val="000000"/>
              </w:rPr>
              <w:t>0.0605</w:t>
            </w:r>
          </w:p>
        </w:tc>
        <w:tc>
          <w:tcPr>
            <w:tcW w:w="609" w:type="pct"/>
            <w:vAlign w:val="bottom"/>
          </w:tcPr>
          <w:p w14:paraId="2A68C120" w14:textId="77777777" w:rsidR="00C550BB" w:rsidRPr="00C550BB" w:rsidRDefault="00C550BB" w:rsidP="00C550BB">
            <w:pPr>
              <w:jc w:val="both"/>
              <w:rPr>
                <w:rFonts w:eastAsia="Calibri"/>
              </w:rPr>
            </w:pPr>
            <w:r w:rsidRPr="00C550BB">
              <w:rPr>
                <w:color w:val="000000"/>
              </w:rPr>
              <w:t>0.0456</w:t>
            </w:r>
          </w:p>
        </w:tc>
        <w:tc>
          <w:tcPr>
            <w:tcW w:w="739" w:type="pct"/>
            <w:vAlign w:val="bottom"/>
          </w:tcPr>
          <w:p w14:paraId="0FC5B607" w14:textId="77777777" w:rsidR="00C550BB" w:rsidRPr="00C550BB" w:rsidRDefault="00C550BB" w:rsidP="00C550BB">
            <w:pPr>
              <w:jc w:val="both"/>
            </w:pPr>
            <w:r w:rsidRPr="00C550BB">
              <w:rPr>
                <w:color w:val="000000"/>
              </w:rPr>
              <w:t>2.9816</w:t>
            </w:r>
          </w:p>
        </w:tc>
        <w:tc>
          <w:tcPr>
            <w:tcW w:w="610" w:type="pct"/>
            <w:vAlign w:val="bottom"/>
          </w:tcPr>
          <w:p w14:paraId="2EE4F65F" w14:textId="77777777" w:rsidR="00C550BB" w:rsidRPr="00C550BB" w:rsidRDefault="00C550BB" w:rsidP="00C550BB">
            <w:pPr>
              <w:jc w:val="both"/>
            </w:pPr>
            <w:r w:rsidRPr="00C550BB">
              <w:rPr>
                <w:color w:val="000000"/>
              </w:rPr>
              <w:t>11.2436</w:t>
            </w:r>
          </w:p>
        </w:tc>
        <w:tc>
          <w:tcPr>
            <w:tcW w:w="610" w:type="pct"/>
            <w:vAlign w:val="bottom"/>
          </w:tcPr>
          <w:p w14:paraId="20CC6D76" w14:textId="77777777" w:rsidR="00C550BB" w:rsidRPr="00C550BB" w:rsidRDefault="00C550BB" w:rsidP="00C550BB">
            <w:pPr>
              <w:jc w:val="both"/>
            </w:pPr>
            <w:r w:rsidRPr="00C550BB">
              <w:rPr>
                <w:color w:val="000000"/>
              </w:rPr>
              <w:t>0.3071</w:t>
            </w:r>
          </w:p>
        </w:tc>
        <w:tc>
          <w:tcPr>
            <w:tcW w:w="608" w:type="pct"/>
            <w:vAlign w:val="bottom"/>
          </w:tcPr>
          <w:p w14:paraId="5D8FFE43" w14:textId="77777777" w:rsidR="00C550BB" w:rsidRPr="00C550BB" w:rsidRDefault="00C550BB" w:rsidP="00C550BB">
            <w:pPr>
              <w:jc w:val="both"/>
            </w:pPr>
            <w:r w:rsidRPr="00C550BB">
              <w:rPr>
                <w:color w:val="000000"/>
              </w:rPr>
              <w:t>0.0160</w:t>
            </w:r>
          </w:p>
        </w:tc>
      </w:tr>
      <w:tr w:rsidR="00C550BB" w:rsidRPr="00C550BB" w14:paraId="1CBD9F64" w14:textId="77777777" w:rsidTr="00C550BB">
        <w:tc>
          <w:tcPr>
            <w:tcW w:w="607" w:type="pct"/>
            <w:vMerge/>
            <w:vAlign w:val="center"/>
          </w:tcPr>
          <w:p w14:paraId="23D2FEB5" w14:textId="77777777" w:rsidR="00C550BB" w:rsidRPr="00C550BB" w:rsidRDefault="00C550BB" w:rsidP="00C550BB">
            <w:pPr>
              <w:jc w:val="both"/>
            </w:pPr>
          </w:p>
        </w:tc>
        <w:tc>
          <w:tcPr>
            <w:tcW w:w="608" w:type="pct"/>
          </w:tcPr>
          <w:p w14:paraId="70821C39" w14:textId="77777777" w:rsidR="00C550BB" w:rsidRPr="00C550BB" w:rsidRDefault="00C550BB" w:rsidP="00C550BB">
            <w:pPr>
              <w:jc w:val="both"/>
            </w:pPr>
            <w:r w:rsidRPr="00C550BB">
              <w:t>EUA</w:t>
            </w:r>
          </w:p>
        </w:tc>
        <w:tc>
          <w:tcPr>
            <w:tcW w:w="609" w:type="pct"/>
            <w:vAlign w:val="bottom"/>
          </w:tcPr>
          <w:p w14:paraId="4A81B8EF" w14:textId="77777777" w:rsidR="00C550BB" w:rsidRPr="00C550BB" w:rsidRDefault="00C550BB" w:rsidP="00C550BB">
            <w:pPr>
              <w:jc w:val="both"/>
              <w:rPr>
                <w:rFonts w:eastAsia="Calibri"/>
              </w:rPr>
            </w:pPr>
            <w:r w:rsidRPr="00C550BB">
              <w:rPr>
                <w:color w:val="000000"/>
              </w:rPr>
              <w:t>0.0605</w:t>
            </w:r>
          </w:p>
        </w:tc>
        <w:tc>
          <w:tcPr>
            <w:tcW w:w="609" w:type="pct"/>
            <w:vAlign w:val="bottom"/>
          </w:tcPr>
          <w:p w14:paraId="6DA076F9" w14:textId="77777777" w:rsidR="00C550BB" w:rsidRPr="00C550BB" w:rsidRDefault="00C550BB" w:rsidP="00C550BB">
            <w:pPr>
              <w:jc w:val="both"/>
              <w:rPr>
                <w:rFonts w:eastAsia="Calibri"/>
              </w:rPr>
            </w:pPr>
            <w:r w:rsidRPr="00C550BB">
              <w:rPr>
                <w:color w:val="000000"/>
              </w:rPr>
              <w:t>0.0456</w:t>
            </w:r>
          </w:p>
        </w:tc>
        <w:tc>
          <w:tcPr>
            <w:tcW w:w="739" w:type="pct"/>
            <w:vAlign w:val="bottom"/>
          </w:tcPr>
          <w:p w14:paraId="4001199B" w14:textId="77777777" w:rsidR="00C550BB" w:rsidRPr="00C550BB" w:rsidRDefault="00C550BB" w:rsidP="00C550BB">
            <w:pPr>
              <w:jc w:val="both"/>
            </w:pPr>
            <w:r w:rsidRPr="00C550BB">
              <w:rPr>
                <w:color w:val="000000"/>
              </w:rPr>
              <w:t>2.9828</w:t>
            </w:r>
          </w:p>
        </w:tc>
        <w:tc>
          <w:tcPr>
            <w:tcW w:w="610" w:type="pct"/>
            <w:vAlign w:val="bottom"/>
          </w:tcPr>
          <w:p w14:paraId="05401F90" w14:textId="77777777" w:rsidR="00C550BB" w:rsidRPr="00C550BB" w:rsidRDefault="00C550BB" w:rsidP="00C550BB">
            <w:pPr>
              <w:jc w:val="both"/>
            </w:pPr>
            <w:r w:rsidRPr="00C550BB">
              <w:rPr>
                <w:color w:val="000000"/>
              </w:rPr>
              <w:t>11.2414</w:t>
            </w:r>
          </w:p>
        </w:tc>
        <w:tc>
          <w:tcPr>
            <w:tcW w:w="610" w:type="pct"/>
            <w:vAlign w:val="bottom"/>
          </w:tcPr>
          <w:p w14:paraId="08077909" w14:textId="77777777" w:rsidR="00C550BB" w:rsidRPr="00C550BB" w:rsidRDefault="00C550BB" w:rsidP="00C550BB">
            <w:pPr>
              <w:jc w:val="both"/>
            </w:pPr>
            <w:r w:rsidRPr="00C550BB">
              <w:rPr>
                <w:color w:val="000000"/>
              </w:rPr>
              <w:t>0.3069</w:t>
            </w:r>
          </w:p>
        </w:tc>
        <w:tc>
          <w:tcPr>
            <w:tcW w:w="608" w:type="pct"/>
            <w:vAlign w:val="bottom"/>
          </w:tcPr>
          <w:p w14:paraId="21BAF7B5" w14:textId="77777777" w:rsidR="00C550BB" w:rsidRPr="00C550BB" w:rsidRDefault="00C550BB" w:rsidP="00C550BB">
            <w:pPr>
              <w:jc w:val="both"/>
            </w:pPr>
            <w:r w:rsidRPr="00C550BB">
              <w:rPr>
                <w:color w:val="000000"/>
              </w:rPr>
              <w:t>0.0161</w:t>
            </w:r>
          </w:p>
        </w:tc>
      </w:tr>
      <w:tr w:rsidR="00C550BB" w:rsidRPr="00C550BB" w14:paraId="4286C6BD" w14:textId="77777777" w:rsidTr="00C550BB">
        <w:tc>
          <w:tcPr>
            <w:tcW w:w="607" w:type="pct"/>
            <w:vMerge w:val="restart"/>
            <w:vAlign w:val="center"/>
          </w:tcPr>
          <w:p w14:paraId="3198817E" w14:textId="77777777" w:rsidR="00C550BB" w:rsidRPr="00C550BB" w:rsidRDefault="00C550BB" w:rsidP="00C550BB">
            <w:pPr>
              <w:jc w:val="both"/>
            </w:pPr>
            <w:r w:rsidRPr="00C550BB">
              <w:t>2015</w:t>
            </w:r>
          </w:p>
        </w:tc>
        <w:tc>
          <w:tcPr>
            <w:tcW w:w="608" w:type="pct"/>
          </w:tcPr>
          <w:p w14:paraId="42AC8129" w14:textId="77777777" w:rsidR="00C550BB" w:rsidRPr="00C550BB" w:rsidRDefault="00C550BB" w:rsidP="00C550BB">
            <w:pPr>
              <w:jc w:val="both"/>
            </w:pPr>
            <w:r w:rsidRPr="00C550BB">
              <w:t>DIN</w:t>
            </w:r>
          </w:p>
        </w:tc>
        <w:tc>
          <w:tcPr>
            <w:tcW w:w="609" w:type="pct"/>
            <w:vAlign w:val="bottom"/>
          </w:tcPr>
          <w:p w14:paraId="6EE3D92F" w14:textId="77777777" w:rsidR="00C550BB" w:rsidRPr="00C550BB" w:rsidRDefault="00C550BB" w:rsidP="00C550BB">
            <w:pPr>
              <w:jc w:val="both"/>
              <w:rPr>
                <w:rFonts w:eastAsia="Calibri"/>
              </w:rPr>
            </w:pPr>
            <w:r w:rsidRPr="00C550BB">
              <w:rPr>
                <w:color w:val="000000"/>
              </w:rPr>
              <w:t>0.0696</w:t>
            </w:r>
          </w:p>
        </w:tc>
        <w:tc>
          <w:tcPr>
            <w:tcW w:w="609" w:type="pct"/>
            <w:vAlign w:val="bottom"/>
          </w:tcPr>
          <w:p w14:paraId="360FD15E" w14:textId="77777777" w:rsidR="00C550BB" w:rsidRPr="00C550BB" w:rsidRDefault="00C550BB" w:rsidP="00C550BB">
            <w:pPr>
              <w:jc w:val="both"/>
              <w:rPr>
                <w:rFonts w:eastAsia="Calibri"/>
              </w:rPr>
            </w:pPr>
            <w:r w:rsidRPr="00C550BB">
              <w:rPr>
                <w:color w:val="000000"/>
              </w:rPr>
              <w:t>0.0343</w:t>
            </w:r>
          </w:p>
        </w:tc>
        <w:tc>
          <w:tcPr>
            <w:tcW w:w="739" w:type="pct"/>
            <w:vAlign w:val="bottom"/>
          </w:tcPr>
          <w:p w14:paraId="17DFCF34" w14:textId="77777777" w:rsidR="00C550BB" w:rsidRPr="00C550BB" w:rsidRDefault="00C550BB" w:rsidP="00C550BB">
            <w:pPr>
              <w:jc w:val="both"/>
            </w:pPr>
            <w:r w:rsidRPr="00C550BB">
              <w:rPr>
                <w:color w:val="000000"/>
              </w:rPr>
              <w:t>1.7024</w:t>
            </w:r>
          </w:p>
        </w:tc>
        <w:tc>
          <w:tcPr>
            <w:tcW w:w="610" w:type="pct"/>
            <w:vAlign w:val="bottom"/>
          </w:tcPr>
          <w:p w14:paraId="001CBF62" w14:textId="77777777" w:rsidR="00C550BB" w:rsidRPr="00C550BB" w:rsidRDefault="00C550BB" w:rsidP="00C550BB">
            <w:pPr>
              <w:jc w:val="both"/>
            </w:pPr>
            <w:r w:rsidRPr="00C550BB">
              <w:rPr>
                <w:color w:val="000000"/>
              </w:rPr>
              <w:t>3.2583</w:t>
            </w:r>
          </w:p>
        </w:tc>
        <w:tc>
          <w:tcPr>
            <w:tcW w:w="610" w:type="pct"/>
            <w:vAlign w:val="bottom"/>
          </w:tcPr>
          <w:p w14:paraId="69E6BCA2" w14:textId="77777777" w:rsidR="00C550BB" w:rsidRPr="00C550BB" w:rsidRDefault="00C550BB" w:rsidP="00C550BB">
            <w:pPr>
              <w:jc w:val="both"/>
            </w:pPr>
            <w:r w:rsidRPr="00C550BB">
              <w:rPr>
                <w:color w:val="000000"/>
              </w:rPr>
              <w:t>0.1954</w:t>
            </w:r>
          </w:p>
        </w:tc>
        <w:tc>
          <w:tcPr>
            <w:tcW w:w="608" w:type="pct"/>
            <w:vAlign w:val="bottom"/>
          </w:tcPr>
          <w:p w14:paraId="53DF8F3C" w14:textId="77777777" w:rsidR="00C550BB" w:rsidRPr="00C550BB" w:rsidRDefault="00C550BB" w:rsidP="00C550BB">
            <w:pPr>
              <w:jc w:val="both"/>
            </w:pPr>
            <w:r w:rsidRPr="00C550BB">
              <w:rPr>
                <w:color w:val="000000"/>
              </w:rPr>
              <w:t>0.0248</w:t>
            </w:r>
          </w:p>
        </w:tc>
      </w:tr>
      <w:tr w:rsidR="00C550BB" w:rsidRPr="00C550BB" w14:paraId="6A7C5CEA" w14:textId="77777777" w:rsidTr="00C550BB">
        <w:tc>
          <w:tcPr>
            <w:tcW w:w="607" w:type="pct"/>
            <w:vMerge/>
            <w:vAlign w:val="center"/>
          </w:tcPr>
          <w:p w14:paraId="4783279D" w14:textId="77777777" w:rsidR="00C550BB" w:rsidRPr="00C550BB" w:rsidRDefault="00C550BB" w:rsidP="00C550BB">
            <w:pPr>
              <w:jc w:val="both"/>
            </w:pPr>
          </w:p>
        </w:tc>
        <w:tc>
          <w:tcPr>
            <w:tcW w:w="608" w:type="pct"/>
          </w:tcPr>
          <w:p w14:paraId="0D937B8B" w14:textId="77777777" w:rsidR="00C550BB" w:rsidRPr="00C550BB" w:rsidRDefault="00C550BB" w:rsidP="00C550BB">
            <w:pPr>
              <w:jc w:val="both"/>
            </w:pPr>
            <w:r w:rsidRPr="00C550BB">
              <w:t>BRA</w:t>
            </w:r>
          </w:p>
        </w:tc>
        <w:tc>
          <w:tcPr>
            <w:tcW w:w="609" w:type="pct"/>
            <w:vAlign w:val="bottom"/>
          </w:tcPr>
          <w:p w14:paraId="6DF73E3D" w14:textId="77777777" w:rsidR="00C550BB" w:rsidRPr="00C550BB" w:rsidRDefault="00C550BB" w:rsidP="00C550BB">
            <w:pPr>
              <w:jc w:val="both"/>
              <w:rPr>
                <w:rFonts w:eastAsia="Calibri"/>
              </w:rPr>
            </w:pPr>
            <w:r w:rsidRPr="00C550BB">
              <w:rPr>
                <w:color w:val="000000"/>
              </w:rPr>
              <w:t>0.0641</w:t>
            </w:r>
          </w:p>
        </w:tc>
        <w:tc>
          <w:tcPr>
            <w:tcW w:w="609" w:type="pct"/>
            <w:vAlign w:val="bottom"/>
          </w:tcPr>
          <w:p w14:paraId="411B9396" w14:textId="77777777" w:rsidR="00C550BB" w:rsidRPr="00C550BB" w:rsidRDefault="00C550BB" w:rsidP="00C550BB">
            <w:pPr>
              <w:jc w:val="both"/>
              <w:rPr>
                <w:rFonts w:eastAsia="Calibri"/>
              </w:rPr>
            </w:pPr>
            <w:r w:rsidRPr="00C550BB">
              <w:rPr>
                <w:color w:val="000000"/>
              </w:rPr>
              <w:t>0.0357</w:t>
            </w:r>
          </w:p>
        </w:tc>
        <w:tc>
          <w:tcPr>
            <w:tcW w:w="739" w:type="pct"/>
            <w:vAlign w:val="bottom"/>
          </w:tcPr>
          <w:p w14:paraId="59F9AAD9" w14:textId="77777777" w:rsidR="00C550BB" w:rsidRPr="00C550BB" w:rsidRDefault="00C550BB" w:rsidP="00C550BB">
            <w:pPr>
              <w:jc w:val="both"/>
            </w:pPr>
            <w:r w:rsidRPr="00C550BB">
              <w:rPr>
                <w:color w:val="000000"/>
              </w:rPr>
              <w:t>1.8160</w:t>
            </w:r>
          </w:p>
        </w:tc>
        <w:tc>
          <w:tcPr>
            <w:tcW w:w="610" w:type="pct"/>
            <w:vAlign w:val="bottom"/>
          </w:tcPr>
          <w:p w14:paraId="5A1C1A00" w14:textId="77777777" w:rsidR="00C550BB" w:rsidRPr="00C550BB" w:rsidRDefault="00C550BB" w:rsidP="00C550BB">
            <w:pPr>
              <w:jc w:val="both"/>
            </w:pPr>
            <w:r w:rsidRPr="00C550BB">
              <w:rPr>
                <w:color w:val="000000"/>
              </w:rPr>
              <w:t>3.6574</w:t>
            </w:r>
          </w:p>
        </w:tc>
        <w:tc>
          <w:tcPr>
            <w:tcW w:w="610" w:type="pct"/>
            <w:vAlign w:val="bottom"/>
          </w:tcPr>
          <w:p w14:paraId="031E63AC" w14:textId="77777777" w:rsidR="00C550BB" w:rsidRPr="00C550BB" w:rsidRDefault="00C550BB" w:rsidP="00C550BB">
            <w:pPr>
              <w:jc w:val="both"/>
            </w:pPr>
            <w:r w:rsidRPr="00C550BB">
              <w:rPr>
                <w:color w:val="000000"/>
              </w:rPr>
              <w:t>0.1958</w:t>
            </w:r>
          </w:p>
        </w:tc>
        <w:tc>
          <w:tcPr>
            <w:tcW w:w="608" w:type="pct"/>
            <w:vAlign w:val="bottom"/>
          </w:tcPr>
          <w:p w14:paraId="3FE25FA7" w14:textId="77777777" w:rsidR="00C550BB" w:rsidRPr="00C550BB" w:rsidRDefault="00C550BB" w:rsidP="00C550BB">
            <w:pPr>
              <w:jc w:val="both"/>
            </w:pPr>
            <w:r w:rsidRPr="00C550BB">
              <w:rPr>
                <w:color w:val="000000"/>
              </w:rPr>
              <w:t>0.0198</w:t>
            </w:r>
          </w:p>
        </w:tc>
      </w:tr>
      <w:tr w:rsidR="00C550BB" w:rsidRPr="00C550BB" w14:paraId="45E2451F" w14:textId="77777777" w:rsidTr="00C550BB">
        <w:tc>
          <w:tcPr>
            <w:tcW w:w="607" w:type="pct"/>
            <w:vMerge/>
            <w:vAlign w:val="center"/>
          </w:tcPr>
          <w:p w14:paraId="40056648" w14:textId="77777777" w:rsidR="00C550BB" w:rsidRPr="00C550BB" w:rsidRDefault="00C550BB" w:rsidP="00C550BB">
            <w:pPr>
              <w:jc w:val="both"/>
            </w:pPr>
          </w:p>
        </w:tc>
        <w:tc>
          <w:tcPr>
            <w:tcW w:w="608" w:type="pct"/>
          </w:tcPr>
          <w:p w14:paraId="2A31B9DD" w14:textId="77777777" w:rsidR="00C550BB" w:rsidRPr="00C550BB" w:rsidRDefault="00C550BB" w:rsidP="00C550BB">
            <w:pPr>
              <w:jc w:val="both"/>
            </w:pPr>
            <w:r w:rsidRPr="00C550BB">
              <w:t>EUA</w:t>
            </w:r>
          </w:p>
        </w:tc>
        <w:tc>
          <w:tcPr>
            <w:tcW w:w="609" w:type="pct"/>
            <w:vAlign w:val="bottom"/>
          </w:tcPr>
          <w:p w14:paraId="50B427BB" w14:textId="77777777" w:rsidR="00C550BB" w:rsidRPr="00C550BB" w:rsidRDefault="00C550BB" w:rsidP="00C550BB">
            <w:pPr>
              <w:jc w:val="both"/>
              <w:rPr>
                <w:rFonts w:eastAsia="Calibri"/>
              </w:rPr>
            </w:pPr>
            <w:r w:rsidRPr="00C550BB">
              <w:rPr>
                <w:color w:val="000000"/>
              </w:rPr>
              <w:t>0.0669</w:t>
            </w:r>
          </w:p>
        </w:tc>
        <w:tc>
          <w:tcPr>
            <w:tcW w:w="609" w:type="pct"/>
            <w:vAlign w:val="bottom"/>
          </w:tcPr>
          <w:p w14:paraId="2A64FF9C" w14:textId="77777777" w:rsidR="00C550BB" w:rsidRPr="00C550BB" w:rsidRDefault="00C550BB" w:rsidP="00C550BB">
            <w:pPr>
              <w:jc w:val="both"/>
              <w:rPr>
                <w:rFonts w:eastAsia="Calibri"/>
              </w:rPr>
            </w:pPr>
            <w:r w:rsidRPr="00C550BB">
              <w:rPr>
                <w:color w:val="000000"/>
              </w:rPr>
              <w:t>0.0352</w:t>
            </w:r>
          </w:p>
        </w:tc>
        <w:tc>
          <w:tcPr>
            <w:tcW w:w="739" w:type="pct"/>
            <w:vAlign w:val="bottom"/>
          </w:tcPr>
          <w:p w14:paraId="7FAED2DE" w14:textId="77777777" w:rsidR="00C550BB" w:rsidRPr="00C550BB" w:rsidRDefault="00C550BB" w:rsidP="00C550BB">
            <w:pPr>
              <w:jc w:val="both"/>
            </w:pPr>
            <w:r w:rsidRPr="00C550BB">
              <w:rPr>
                <w:color w:val="000000"/>
              </w:rPr>
              <w:t>1.7538</w:t>
            </w:r>
          </w:p>
        </w:tc>
        <w:tc>
          <w:tcPr>
            <w:tcW w:w="610" w:type="pct"/>
            <w:vAlign w:val="bottom"/>
          </w:tcPr>
          <w:p w14:paraId="70DC8EA0" w14:textId="77777777" w:rsidR="00C550BB" w:rsidRPr="00C550BB" w:rsidRDefault="00C550BB" w:rsidP="00C550BB">
            <w:pPr>
              <w:jc w:val="both"/>
            </w:pPr>
            <w:r w:rsidRPr="00C550BB">
              <w:rPr>
                <w:color w:val="000000"/>
              </w:rPr>
              <w:t>3.3922</w:t>
            </w:r>
          </w:p>
        </w:tc>
        <w:tc>
          <w:tcPr>
            <w:tcW w:w="610" w:type="pct"/>
            <w:vAlign w:val="bottom"/>
          </w:tcPr>
          <w:p w14:paraId="58587341" w14:textId="77777777" w:rsidR="00C550BB" w:rsidRPr="00C550BB" w:rsidRDefault="00C550BB" w:rsidP="00C550BB">
            <w:pPr>
              <w:jc w:val="both"/>
            </w:pPr>
            <w:r w:rsidRPr="00C550BB">
              <w:rPr>
                <w:color w:val="000000"/>
              </w:rPr>
              <w:t>0.1956</w:t>
            </w:r>
          </w:p>
        </w:tc>
        <w:tc>
          <w:tcPr>
            <w:tcW w:w="608" w:type="pct"/>
            <w:vAlign w:val="bottom"/>
          </w:tcPr>
          <w:p w14:paraId="544A6A71" w14:textId="77777777" w:rsidR="00C550BB" w:rsidRPr="00C550BB" w:rsidRDefault="00C550BB" w:rsidP="00C550BB">
            <w:pPr>
              <w:jc w:val="both"/>
            </w:pPr>
            <w:r w:rsidRPr="00C550BB">
              <w:rPr>
                <w:color w:val="000000"/>
              </w:rPr>
              <w:t>0.0228</w:t>
            </w:r>
          </w:p>
        </w:tc>
      </w:tr>
    </w:tbl>
    <w:p w14:paraId="14828876" w14:textId="77777777" w:rsidR="00C550BB" w:rsidRPr="00C550BB" w:rsidRDefault="00C550BB" w:rsidP="00C550BB">
      <w:pPr>
        <w:jc w:val="both"/>
        <w:rPr>
          <w:szCs w:val="24"/>
        </w:rPr>
      </w:pPr>
      <w:r w:rsidRPr="00C550BB">
        <w:rPr>
          <w:szCs w:val="24"/>
        </w:rPr>
        <w:t>Fonte: Dados da pesquisa</w:t>
      </w:r>
    </w:p>
    <w:p w14:paraId="6EB9D44E" w14:textId="77777777" w:rsidR="00C550BB" w:rsidRPr="00C550BB" w:rsidRDefault="00C550BB" w:rsidP="00C550BB">
      <w:pPr>
        <w:jc w:val="both"/>
        <w:rPr>
          <w:sz w:val="24"/>
          <w:szCs w:val="24"/>
        </w:rPr>
      </w:pPr>
    </w:p>
    <w:p w14:paraId="6A12B270" w14:textId="17AF5CC6" w:rsidR="00C550BB" w:rsidRPr="00C550BB" w:rsidRDefault="00C550BB" w:rsidP="00C550BB">
      <w:pPr>
        <w:ind w:firstLine="709"/>
        <w:jc w:val="both"/>
        <w:rPr>
          <w:sz w:val="24"/>
          <w:szCs w:val="24"/>
        </w:rPr>
      </w:pPr>
      <w:r w:rsidRPr="00C550BB">
        <w:rPr>
          <w:sz w:val="24"/>
          <w:szCs w:val="24"/>
        </w:rPr>
        <w:t xml:space="preserve">O risco sistêmico referente as maiores empresas da Dinamarca nos anos de 2012 e 2013 apresentam-se semelhantes para as três taxas em teste, indicando que nestes dois anos de pesquisa as taxas se assemelham à padrão, estimando o risco de modo similar para a precificação de ativos da Dinamarca, de mesma forma se comportam as demais estatísticas descritivas. Já para o ano de 2014 foi identificada uma semelhança na estimação do risco sistêmico por parte do Brasil e dos Estados Unidos, tendo ambas a taxa semelhante </w:t>
      </w:r>
      <w:r w:rsidR="001E52A6" w:rsidRPr="00C550BB">
        <w:rPr>
          <w:sz w:val="24"/>
          <w:szCs w:val="24"/>
        </w:rPr>
        <w:t>a</w:t>
      </w:r>
      <w:r w:rsidRPr="00C550BB">
        <w:rPr>
          <w:sz w:val="24"/>
          <w:szCs w:val="24"/>
        </w:rPr>
        <w:t xml:space="preserve"> padrão, e a taxa dinamarquesa por sua vez apresentou-se relevantemente mais elevada do que ambas as outras, indicando algum ocorrido interno à Dinamarca que fez sua taxa se desestabilizar, visto que vinha nos anos anteriores se assemelhando às demais analisadas. </w:t>
      </w:r>
    </w:p>
    <w:p w14:paraId="6A546780" w14:textId="77777777" w:rsidR="00C550BB" w:rsidRPr="00C550BB" w:rsidRDefault="00C550BB" w:rsidP="00C550BB">
      <w:pPr>
        <w:ind w:firstLine="709"/>
        <w:jc w:val="both"/>
        <w:rPr>
          <w:sz w:val="24"/>
          <w:szCs w:val="24"/>
        </w:rPr>
      </w:pPr>
      <w:r w:rsidRPr="00C550BB">
        <w:rPr>
          <w:sz w:val="24"/>
          <w:szCs w:val="24"/>
        </w:rPr>
        <w:t xml:space="preserve">O desvio-padrão por sua vez é menor nos dados da taxa Dinamarquesa indicando maior homogeneidade e consistência dos dados, ao ponto que a taxa americana e dinamarquesa possuem maiores valores para desvio-padrão do ano em análise. O ano de 2015 demonstra uma instabilidade quanto ao risco sistêmico dinamarquês, uma vez que nenhuma das taxas se assemelham, sendo a taxa da Dinamarca e americana as maiores, porém não tão similares e a brasileira com menor valor, porém também discrepantes das demais, logo infere-se a instabilidade de tais empresas neste período visto que as taxas em suma se apresentam semelhantes, como devido ao conceito de taxa livre de risco, e neste ano em especial elas ficaram de forma geral dispares. O desvio-padrão apresenta alto para ambas as taxas porem com maior ênfase nos dados (baixos) estimados com a taxa brasileira, indicando grande variabilidade. </w:t>
      </w:r>
    </w:p>
    <w:p w14:paraId="43137A28" w14:textId="3AF9E5F0" w:rsidR="00C550BB" w:rsidRPr="00C550BB" w:rsidRDefault="00C550BB" w:rsidP="00C550BB">
      <w:pPr>
        <w:ind w:firstLine="709"/>
        <w:jc w:val="both"/>
        <w:rPr>
          <w:sz w:val="24"/>
          <w:szCs w:val="24"/>
        </w:rPr>
      </w:pPr>
      <w:r w:rsidRPr="00C550BB">
        <w:rPr>
          <w:sz w:val="24"/>
          <w:szCs w:val="24"/>
        </w:rPr>
        <w:t xml:space="preserve">A análise quanto ao risco idiossincrático se dá de forma geral, uma vez que a estimação dos riscos se apresentam similar nos quatro anos em estudos, destacando o ano de 2013 que teve os maiores valores e o ano de 2012 que teve os menores, porém tal diferença como possível de verificação, não se faz relevante. O desvio-padrão é complacentemente pequeno, indicando grande invariabilidade dos dados, além dessa se manter entre os anos, uma vez que a maior diferença é de 0,014. As demais estatísticas não se apresentam totalmente similares quanto aos anos, porém asseguram a semelhança entre as taxas ano </w:t>
      </w:r>
      <w:r w:rsidR="003177BC" w:rsidRPr="00C550BB">
        <w:rPr>
          <w:sz w:val="24"/>
          <w:szCs w:val="24"/>
        </w:rPr>
        <w:t>a</w:t>
      </w:r>
      <w:r w:rsidRPr="00C550BB">
        <w:rPr>
          <w:sz w:val="24"/>
          <w:szCs w:val="24"/>
        </w:rPr>
        <w:t xml:space="preserve"> ano. </w:t>
      </w:r>
    </w:p>
    <w:p w14:paraId="5D423682" w14:textId="77777777" w:rsidR="00C550BB" w:rsidRPr="00C550BB" w:rsidRDefault="00C550BB" w:rsidP="00C550BB">
      <w:pPr>
        <w:ind w:firstLine="709"/>
        <w:jc w:val="both"/>
        <w:rPr>
          <w:sz w:val="24"/>
          <w:szCs w:val="24"/>
        </w:rPr>
      </w:pPr>
      <w:r w:rsidRPr="00C550BB">
        <w:rPr>
          <w:sz w:val="24"/>
          <w:szCs w:val="24"/>
        </w:rPr>
        <w:t xml:space="preserve">De forma totalmente genérica sem se detalhar as particularidades anuais apresentadas diferentemente no decorrer da análise descritiva, destaca-se a semelhança das estimativas dos riscos sistêmico e idiossincrático para as três taxas em estudo, indicando que a taxa de juros nacional, que por definição é a taxa livre de juros nacional, taxas dos governos, dos países estudados atendem à tal definição. Da análise destaca-se que o risco idiossincrático em suma e mais permanentemente não sofreu grandes variâncias com a mudança das taxas, ao passo que o risco sistêmico teve maior variação e instabilidade, indicando uma maior influência das diferentes taxas livre de risco nos aspectos mercadológicos das empresas do que de forma particular, interna à empresa. </w:t>
      </w:r>
    </w:p>
    <w:p w14:paraId="5031FB3B" w14:textId="77777777" w:rsidR="00C550BB" w:rsidRPr="00C550BB" w:rsidRDefault="00C550BB" w:rsidP="00C550BB">
      <w:pPr>
        <w:ind w:firstLine="709"/>
        <w:jc w:val="both"/>
        <w:rPr>
          <w:sz w:val="24"/>
          <w:szCs w:val="24"/>
        </w:rPr>
      </w:pPr>
      <w:r w:rsidRPr="00C550BB">
        <w:rPr>
          <w:sz w:val="24"/>
          <w:szCs w:val="24"/>
        </w:rPr>
        <w:t xml:space="preserve">Explana-se na tabela 4 o teste ANOVA juntamente com o teste de </w:t>
      </w:r>
      <w:proofErr w:type="spellStart"/>
      <w:r w:rsidRPr="00C550BB">
        <w:rPr>
          <w:sz w:val="24"/>
          <w:szCs w:val="24"/>
        </w:rPr>
        <w:t>Scheffe</w:t>
      </w:r>
      <w:proofErr w:type="spellEnd"/>
      <w:r w:rsidRPr="00C550BB">
        <w:rPr>
          <w:sz w:val="24"/>
          <w:szCs w:val="24"/>
        </w:rPr>
        <w:t xml:space="preserve"> que indicam se há nos grupos e entre anos diferença estatisticamente significativa, e o teste de </w:t>
      </w:r>
      <w:proofErr w:type="spellStart"/>
      <w:r w:rsidRPr="00C550BB">
        <w:rPr>
          <w:sz w:val="24"/>
          <w:szCs w:val="24"/>
        </w:rPr>
        <w:t>Scheffe</w:t>
      </w:r>
      <w:proofErr w:type="spellEnd"/>
      <w:r w:rsidRPr="00C550BB">
        <w:rPr>
          <w:sz w:val="24"/>
          <w:szCs w:val="24"/>
        </w:rPr>
        <w:t xml:space="preserve"> indica entre os grupos qual é o mais diferente dos comparados. O teste de </w:t>
      </w:r>
      <w:proofErr w:type="spellStart"/>
      <w:r w:rsidRPr="00C550BB">
        <w:rPr>
          <w:sz w:val="24"/>
          <w:szCs w:val="24"/>
        </w:rPr>
        <w:t>Scheffe</w:t>
      </w:r>
      <w:proofErr w:type="spellEnd"/>
      <w:r w:rsidRPr="00C550BB">
        <w:rPr>
          <w:sz w:val="24"/>
          <w:szCs w:val="24"/>
        </w:rPr>
        <w:t xml:space="preserve"> foi realizado para os riscos sistêmicos e idiossincráticos em todos os anos, porém se faz menção na tabela somente dos resultados que apresentaram diferença significativa. </w:t>
      </w:r>
    </w:p>
    <w:p w14:paraId="287FF6C1" w14:textId="77777777" w:rsidR="00C550BB" w:rsidRPr="00C550BB" w:rsidRDefault="00C550BB" w:rsidP="00C550BB">
      <w:pPr>
        <w:jc w:val="both"/>
        <w:rPr>
          <w:b/>
          <w:sz w:val="24"/>
          <w:szCs w:val="24"/>
        </w:rPr>
      </w:pPr>
    </w:p>
    <w:p w14:paraId="778D6908" w14:textId="58674ECF" w:rsidR="00C550BB" w:rsidRPr="00C550BB" w:rsidRDefault="00C550BB" w:rsidP="00C550BB">
      <w:pPr>
        <w:autoSpaceDE w:val="0"/>
        <w:autoSpaceDN w:val="0"/>
        <w:adjustRightInd w:val="0"/>
        <w:jc w:val="both"/>
        <w:rPr>
          <w:b/>
          <w:sz w:val="24"/>
          <w:szCs w:val="24"/>
        </w:rPr>
      </w:pPr>
      <w:r w:rsidRPr="00C550BB">
        <w:rPr>
          <w:b/>
          <w:sz w:val="24"/>
          <w:szCs w:val="24"/>
        </w:rPr>
        <w:t xml:space="preserve">Tabela 4 - ANOVA e teste de </w:t>
      </w:r>
      <w:proofErr w:type="spellStart"/>
      <w:r w:rsidRPr="00C550BB">
        <w:rPr>
          <w:b/>
          <w:sz w:val="24"/>
          <w:szCs w:val="24"/>
        </w:rPr>
        <w:t>Scheffe</w:t>
      </w:r>
      <w:proofErr w:type="spellEnd"/>
      <w:r w:rsidRPr="00C550BB">
        <w:rPr>
          <w:b/>
          <w:sz w:val="24"/>
          <w:szCs w:val="24"/>
        </w:rPr>
        <w:t xml:space="preserve"> dos Riscos Sistêmico e Idiossincrático para a Dinamarca </w:t>
      </w:r>
    </w:p>
    <w:tbl>
      <w:tblPr>
        <w:tblW w:w="499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8"/>
        <w:gridCol w:w="620"/>
        <w:gridCol w:w="31"/>
        <w:gridCol w:w="1200"/>
        <w:gridCol w:w="7"/>
        <w:gridCol w:w="1595"/>
        <w:gridCol w:w="9"/>
        <w:gridCol w:w="1250"/>
        <w:gridCol w:w="85"/>
        <w:gridCol w:w="1604"/>
        <w:gridCol w:w="873"/>
        <w:gridCol w:w="1769"/>
      </w:tblGrid>
      <w:tr w:rsidR="00C550BB" w:rsidRPr="001E52A6" w14:paraId="2432F48C" w14:textId="77777777" w:rsidTr="00C550BB">
        <w:trPr>
          <w:gridBefore w:val="1"/>
          <w:wBefore w:w="10" w:type="pct"/>
          <w:cantSplit/>
          <w:trHeight w:val="185"/>
        </w:trPr>
        <w:tc>
          <w:tcPr>
            <w:tcW w:w="4990" w:type="pct"/>
            <w:gridSpan w:val="11"/>
            <w:tcBorders>
              <w:top w:val="single" w:sz="18" w:space="0" w:color="auto"/>
              <w:left w:val="nil"/>
              <w:bottom w:val="single" w:sz="16" w:space="0" w:color="000000"/>
              <w:right w:val="nil"/>
            </w:tcBorders>
            <w:shd w:val="clear" w:color="auto" w:fill="FFFFFF"/>
          </w:tcPr>
          <w:p w14:paraId="070349CD" w14:textId="77777777" w:rsidR="00C550BB" w:rsidRPr="001E52A6" w:rsidRDefault="00C550BB" w:rsidP="001E52A6">
            <w:pPr>
              <w:autoSpaceDE w:val="0"/>
              <w:autoSpaceDN w:val="0"/>
              <w:adjustRightInd w:val="0"/>
              <w:jc w:val="center"/>
              <w:rPr>
                <w:b/>
                <w:color w:val="000000"/>
              </w:rPr>
            </w:pPr>
            <w:r w:rsidRPr="001E52A6">
              <w:rPr>
                <w:b/>
                <w:color w:val="000000"/>
              </w:rPr>
              <w:lastRenderedPageBreak/>
              <w:t>Risco Sistêmico para a Dinamarca</w:t>
            </w:r>
          </w:p>
        </w:tc>
      </w:tr>
      <w:tr w:rsidR="00C550BB" w:rsidRPr="001E52A6" w14:paraId="702FC489" w14:textId="77777777" w:rsidTr="00C550BB">
        <w:trPr>
          <w:gridBefore w:val="1"/>
          <w:wBefore w:w="10" w:type="pct"/>
          <w:cantSplit/>
          <w:trHeight w:val="170"/>
        </w:trPr>
        <w:tc>
          <w:tcPr>
            <w:tcW w:w="1021" w:type="pct"/>
            <w:gridSpan w:val="3"/>
            <w:tcBorders>
              <w:top w:val="single" w:sz="18" w:space="0" w:color="auto"/>
              <w:left w:val="nil"/>
              <w:bottom w:val="single" w:sz="16" w:space="0" w:color="000000"/>
              <w:right w:val="single" w:sz="2" w:space="0" w:color="auto"/>
            </w:tcBorders>
            <w:shd w:val="clear" w:color="auto" w:fill="FFFFFF"/>
          </w:tcPr>
          <w:p w14:paraId="51DC65BE" w14:textId="77777777" w:rsidR="00C550BB" w:rsidRPr="001E52A6" w:rsidRDefault="00C550BB" w:rsidP="00C550BB">
            <w:pPr>
              <w:autoSpaceDE w:val="0"/>
              <w:autoSpaceDN w:val="0"/>
              <w:adjustRightInd w:val="0"/>
              <w:jc w:val="both"/>
            </w:pPr>
          </w:p>
        </w:tc>
        <w:tc>
          <w:tcPr>
            <w:tcW w:w="889" w:type="pct"/>
            <w:gridSpan w:val="3"/>
            <w:tcBorders>
              <w:top w:val="single" w:sz="18" w:space="0" w:color="auto"/>
              <w:left w:val="single" w:sz="2" w:space="0" w:color="auto"/>
              <w:bottom w:val="single" w:sz="12" w:space="0" w:color="auto"/>
            </w:tcBorders>
            <w:shd w:val="clear" w:color="auto" w:fill="FFFFFF"/>
          </w:tcPr>
          <w:p w14:paraId="0F37FD6C" w14:textId="77777777" w:rsidR="00C550BB" w:rsidRPr="001E52A6" w:rsidRDefault="00C550BB" w:rsidP="001E52A6">
            <w:pPr>
              <w:autoSpaceDE w:val="0"/>
              <w:autoSpaceDN w:val="0"/>
              <w:adjustRightInd w:val="0"/>
              <w:jc w:val="center"/>
              <w:rPr>
                <w:color w:val="000000"/>
              </w:rPr>
            </w:pPr>
            <w:r w:rsidRPr="001E52A6">
              <w:rPr>
                <w:color w:val="000000"/>
              </w:rPr>
              <w:t>Σ Quadrados</w:t>
            </w:r>
          </w:p>
        </w:tc>
        <w:tc>
          <w:tcPr>
            <w:tcW w:w="690" w:type="pct"/>
            <w:tcBorders>
              <w:top w:val="single" w:sz="18" w:space="0" w:color="auto"/>
              <w:bottom w:val="single" w:sz="12" w:space="0" w:color="auto"/>
            </w:tcBorders>
            <w:shd w:val="clear" w:color="auto" w:fill="FFFFFF"/>
          </w:tcPr>
          <w:p w14:paraId="7201D214" w14:textId="77777777" w:rsidR="00C550BB" w:rsidRPr="001E52A6" w:rsidRDefault="00C550BB" w:rsidP="001E52A6">
            <w:pPr>
              <w:autoSpaceDE w:val="0"/>
              <w:autoSpaceDN w:val="0"/>
              <w:adjustRightInd w:val="0"/>
              <w:jc w:val="center"/>
              <w:rPr>
                <w:color w:val="000000"/>
              </w:rPr>
            </w:pPr>
            <w:proofErr w:type="spellStart"/>
            <w:r w:rsidRPr="001E52A6">
              <w:rPr>
                <w:color w:val="000000"/>
              </w:rPr>
              <w:t>df</w:t>
            </w:r>
            <w:proofErr w:type="spellEnd"/>
          </w:p>
        </w:tc>
        <w:tc>
          <w:tcPr>
            <w:tcW w:w="932" w:type="pct"/>
            <w:gridSpan w:val="2"/>
            <w:tcBorders>
              <w:top w:val="single" w:sz="18" w:space="0" w:color="auto"/>
              <w:bottom w:val="single" w:sz="12" w:space="0" w:color="auto"/>
            </w:tcBorders>
            <w:shd w:val="clear" w:color="auto" w:fill="FFFFFF"/>
          </w:tcPr>
          <w:p w14:paraId="4AE52BCC" w14:textId="77777777" w:rsidR="00C550BB" w:rsidRPr="001E52A6" w:rsidRDefault="00C550BB" w:rsidP="001E52A6">
            <w:pPr>
              <w:autoSpaceDE w:val="0"/>
              <w:autoSpaceDN w:val="0"/>
              <w:adjustRightInd w:val="0"/>
              <w:jc w:val="center"/>
              <w:rPr>
                <w:color w:val="000000"/>
              </w:rPr>
            </w:pPr>
            <w:r w:rsidRPr="001E52A6">
              <w:rPr>
                <w:color w:val="000000"/>
              </w:rPr>
              <w:t>Quadrado Médio</w:t>
            </w:r>
          </w:p>
        </w:tc>
        <w:tc>
          <w:tcPr>
            <w:tcW w:w="482" w:type="pct"/>
            <w:tcBorders>
              <w:top w:val="single" w:sz="18" w:space="0" w:color="auto"/>
              <w:bottom w:val="single" w:sz="12" w:space="0" w:color="auto"/>
            </w:tcBorders>
            <w:shd w:val="clear" w:color="auto" w:fill="FFFFFF"/>
          </w:tcPr>
          <w:p w14:paraId="54CE058D" w14:textId="77777777" w:rsidR="00C550BB" w:rsidRPr="001E52A6" w:rsidRDefault="00C550BB" w:rsidP="001E52A6">
            <w:pPr>
              <w:autoSpaceDE w:val="0"/>
              <w:autoSpaceDN w:val="0"/>
              <w:adjustRightInd w:val="0"/>
              <w:jc w:val="center"/>
              <w:rPr>
                <w:color w:val="000000"/>
              </w:rPr>
            </w:pPr>
            <w:r w:rsidRPr="001E52A6">
              <w:rPr>
                <w:color w:val="000000"/>
              </w:rPr>
              <w:t>F</w:t>
            </w:r>
          </w:p>
        </w:tc>
        <w:tc>
          <w:tcPr>
            <w:tcW w:w="976" w:type="pct"/>
            <w:tcBorders>
              <w:top w:val="single" w:sz="18" w:space="0" w:color="auto"/>
              <w:bottom w:val="single" w:sz="12" w:space="0" w:color="auto"/>
              <w:right w:val="nil"/>
            </w:tcBorders>
            <w:shd w:val="clear" w:color="auto" w:fill="FFFFFF"/>
          </w:tcPr>
          <w:p w14:paraId="7EB7E742" w14:textId="77777777" w:rsidR="00C550BB" w:rsidRPr="001E52A6" w:rsidRDefault="00C550BB" w:rsidP="001E52A6">
            <w:pPr>
              <w:autoSpaceDE w:val="0"/>
              <w:autoSpaceDN w:val="0"/>
              <w:adjustRightInd w:val="0"/>
              <w:jc w:val="center"/>
              <w:rPr>
                <w:color w:val="000000"/>
              </w:rPr>
            </w:pPr>
            <w:proofErr w:type="spellStart"/>
            <w:r w:rsidRPr="001E52A6">
              <w:rPr>
                <w:color w:val="000000"/>
              </w:rPr>
              <w:t>Sig</w:t>
            </w:r>
            <w:proofErr w:type="spellEnd"/>
            <w:r w:rsidRPr="001E52A6">
              <w:rPr>
                <w:color w:val="000000"/>
              </w:rPr>
              <w:t>.</w:t>
            </w:r>
          </w:p>
        </w:tc>
      </w:tr>
      <w:tr w:rsidR="00C550BB" w:rsidRPr="001E52A6" w14:paraId="76EC190B" w14:textId="77777777" w:rsidTr="00C550BB">
        <w:trPr>
          <w:gridBefore w:val="1"/>
          <w:wBefore w:w="10" w:type="pct"/>
          <w:cantSplit/>
          <w:trHeight w:val="57"/>
        </w:trPr>
        <w:tc>
          <w:tcPr>
            <w:tcW w:w="359" w:type="pct"/>
            <w:gridSpan w:val="2"/>
            <w:vMerge w:val="restart"/>
            <w:tcBorders>
              <w:top w:val="single" w:sz="12" w:space="0" w:color="auto"/>
              <w:left w:val="nil"/>
              <w:bottom w:val="nil"/>
              <w:right w:val="nil"/>
            </w:tcBorders>
            <w:shd w:val="clear" w:color="auto" w:fill="FFFFFF"/>
            <w:vAlign w:val="center"/>
          </w:tcPr>
          <w:p w14:paraId="7393BBD2" w14:textId="77777777" w:rsidR="00C550BB" w:rsidRPr="001E52A6" w:rsidRDefault="00C550BB" w:rsidP="001E52A6">
            <w:pPr>
              <w:autoSpaceDE w:val="0"/>
              <w:autoSpaceDN w:val="0"/>
              <w:adjustRightInd w:val="0"/>
              <w:jc w:val="center"/>
              <w:rPr>
                <w:color w:val="000000"/>
              </w:rPr>
            </w:pPr>
            <w:r w:rsidRPr="001E52A6">
              <w:rPr>
                <w:color w:val="000000"/>
              </w:rPr>
              <w:t>RS12</w:t>
            </w:r>
          </w:p>
        </w:tc>
        <w:tc>
          <w:tcPr>
            <w:tcW w:w="662" w:type="pct"/>
            <w:tcBorders>
              <w:top w:val="single" w:sz="12" w:space="0" w:color="auto"/>
              <w:left w:val="nil"/>
              <w:bottom w:val="nil"/>
              <w:right w:val="single" w:sz="2" w:space="0" w:color="auto"/>
            </w:tcBorders>
            <w:shd w:val="clear" w:color="auto" w:fill="FFFFFF"/>
            <w:vAlign w:val="center"/>
          </w:tcPr>
          <w:p w14:paraId="05995177"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9" w:type="pct"/>
            <w:gridSpan w:val="3"/>
            <w:tcBorders>
              <w:top w:val="single" w:sz="12" w:space="0" w:color="auto"/>
              <w:left w:val="single" w:sz="2" w:space="0" w:color="auto"/>
              <w:bottom w:val="nil"/>
            </w:tcBorders>
            <w:shd w:val="clear" w:color="auto" w:fill="FFFFFF"/>
          </w:tcPr>
          <w:p w14:paraId="65D7048A" w14:textId="77777777" w:rsidR="00C550BB" w:rsidRPr="001E52A6" w:rsidRDefault="00C550BB" w:rsidP="001E52A6">
            <w:pPr>
              <w:autoSpaceDE w:val="0"/>
              <w:autoSpaceDN w:val="0"/>
              <w:adjustRightInd w:val="0"/>
              <w:jc w:val="center"/>
              <w:rPr>
                <w:color w:val="000000"/>
              </w:rPr>
            </w:pPr>
            <w:r w:rsidRPr="001E52A6">
              <w:rPr>
                <w:color w:val="000000"/>
              </w:rPr>
              <w:t>4,644</w:t>
            </w:r>
          </w:p>
        </w:tc>
        <w:tc>
          <w:tcPr>
            <w:tcW w:w="690" w:type="pct"/>
            <w:tcBorders>
              <w:top w:val="single" w:sz="12" w:space="0" w:color="auto"/>
              <w:bottom w:val="nil"/>
            </w:tcBorders>
            <w:shd w:val="clear" w:color="auto" w:fill="FFFFFF"/>
          </w:tcPr>
          <w:p w14:paraId="04D618D3"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932" w:type="pct"/>
            <w:gridSpan w:val="2"/>
            <w:tcBorders>
              <w:top w:val="single" w:sz="12" w:space="0" w:color="auto"/>
              <w:bottom w:val="nil"/>
            </w:tcBorders>
            <w:shd w:val="clear" w:color="auto" w:fill="FFFFFF"/>
          </w:tcPr>
          <w:p w14:paraId="2482FF57" w14:textId="77777777" w:rsidR="00C550BB" w:rsidRPr="001E52A6" w:rsidRDefault="00C550BB" w:rsidP="001E52A6">
            <w:pPr>
              <w:autoSpaceDE w:val="0"/>
              <w:autoSpaceDN w:val="0"/>
              <w:adjustRightInd w:val="0"/>
              <w:jc w:val="center"/>
              <w:rPr>
                <w:color w:val="000000"/>
              </w:rPr>
            </w:pPr>
            <w:r w:rsidRPr="001E52A6">
              <w:rPr>
                <w:color w:val="000000"/>
              </w:rPr>
              <w:t>2,322</w:t>
            </w:r>
          </w:p>
        </w:tc>
        <w:tc>
          <w:tcPr>
            <w:tcW w:w="482" w:type="pct"/>
            <w:tcBorders>
              <w:top w:val="single" w:sz="12" w:space="0" w:color="auto"/>
              <w:bottom w:val="nil"/>
            </w:tcBorders>
            <w:shd w:val="clear" w:color="auto" w:fill="FFFFFF"/>
          </w:tcPr>
          <w:p w14:paraId="508A7848" w14:textId="77777777" w:rsidR="00C550BB" w:rsidRPr="001E52A6" w:rsidRDefault="00C550BB" w:rsidP="001E52A6">
            <w:pPr>
              <w:autoSpaceDE w:val="0"/>
              <w:autoSpaceDN w:val="0"/>
              <w:adjustRightInd w:val="0"/>
              <w:jc w:val="center"/>
              <w:rPr>
                <w:color w:val="000000"/>
              </w:rPr>
            </w:pPr>
            <w:r w:rsidRPr="001E52A6">
              <w:rPr>
                <w:color w:val="000000"/>
              </w:rPr>
              <w:t>,221</w:t>
            </w:r>
          </w:p>
        </w:tc>
        <w:tc>
          <w:tcPr>
            <w:tcW w:w="976" w:type="pct"/>
            <w:tcBorders>
              <w:top w:val="single" w:sz="12" w:space="0" w:color="auto"/>
              <w:bottom w:val="nil"/>
              <w:right w:val="nil"/>
            </w:tcBorders>
            <w:shd w:val="clear" w:color="auto" w:fill="FFFFFF"/>
          </w:tcPr>
          <w:p w14:paraId="6B354D87" w14:textId="77777777" w:rsidR="00C550BB" w:rsidRPr="001E52A6" w:rsidRDefault="00C550BB" w:rsidP="001E52A6">
            <w:pPr>
              <w:autoSpaceDE w:val="0"/>
              <w:autoSpaceDN w:val="0"/>
              <w:adjustRightInd w:val="0"/>
              <w:jc w:val="center"/>
              <w:rPr>
                <w:color w:val="000000"/>
              </w:rPr>
            </w:pPr>
            <w:r w:rsidRPr="001E52A6">
              <w:rPr>
                <w:color w:val="000000"/>
              </w:rPr>
              <w:t>,802</w:t>
            </w:r>
          </w:p>
        </w:tc>
      </w:tr>
      <w:tr w:rsidR="00C550BB" w:rsidRPr="001E52A6" w14:paraId="15B497CD" w14:textId="77777777" w:rsidTr="00C550BB">
        <w:trPr>
          <w:gridBefore w:val="1"/>
          <w:gridAfter w:val="1"/>
          <w:wBefore w:w="10" w:type="pct"/>
          <w:wAfter w:w="976" w:type="pct"/>
          <w:cantSplit/>
          <w:trHeight w:val="57"/>
        </w:trPr>
        <w:tc>
          <w:tcPr>
            <w:tcW w:w="359" w:type="pct"/>
            <w:gridSpan w:val="2"/>
            <w:vMerge/>
            <w:tcBorders>
              <w:top w:val="single" w:sz="16" w:space="0" w:color="000000"/>
              <w:left w:val="nil"/>
              <w:bottom w:val="nil"/>
              <w:right w:val="nil"/>
            </w:tcBorders>
            <w:shd w:val="clear" w:color="auto" w:fill="FFFFFF"/>
            <w:vAlign w:val="center"/>
          </w:tcPr>
          <w:p w14:paraId="5A89B581" w14:textId="77777777" w:rsidR="00C550BB" w:rsidRPr="001E52A6" w:rsidRDefault="00C550BB" w:rsidP="001E52A6">
            <w:pPr>
              <w:autoSpaceDE w:val="0"/>
              <w:autoSpaceDN w:val="0"/>
              <w:adjustRightInd w:val="0"/>
              <w:jc w:val="center"/>
              <w:rPr>
                <w:color w:val="000000"/>
              </w:rPr>
            </w:pPr>
          </w:p>
        </w:tc>
        <w:tc>
          <w:tcPr>
            <w:tcW w:w="662" w:type="pct"/>
            <w:tcBorders>
              <w:top w:val="nil"/>
              <w:left w:val="nil"/>
              <w:bottom w:val="nil"/>
              <w:right w:val="single" w:sz="2" w:space="0" w:color="auto"/>
            </w:tcBorders>
            <w:shd w:val="clear" w:color="auto" w:fill="FFFFFF"/>
            <w:vAlign w:val="center"/>
          </w:tcPr>
          <w:p w14:paraId="7004EF1A"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9" w:type="pct"/>
            <w:gridSpan w:val="3"/>
            <w:tcBorders>
              <w:top w:val="nil"/>
              <w:left w:val="single" w:sz="2" w:space="0" w:color="auto"/>
              <w:bottom w:val="nil"/>
            </w:tcBorders>
            <w:shd w:val="clear" w:color="auto" w:fill="FFFFFF"/>
          </w:tcPr>
          <w:p w14:paraId="08559F1A" w14:textId="77777777" w:rsidR="00C550BB" w:rsidRPr="001E52A6" w:rsidRDefault="00C550BB" w:rsidP="001E52A6">
            <w:pPr>
              <w:autoSpaceDE w:val="0"/>
              <w:autoSpaceDN w:val="0"/>
              <w:adjustRightInd w:val="0"/>
              <w:jc w:val="center"/>
              <w:rPr>
                <w:color w:val="000000"/>
              </w:rPr>
            </w:pPr>
            <w:r w:rsidRPr="001E52A6">
              <w:rPr>
                <w:color w:val="000000"/>
              </w:rPr>
              <w:t>3126,679</w:t>
            </w:r>
          </w:p>
        </w:tc>
        <w:tc>
          <w:tcPr>
            <w:tcW w:w="690" w:type="pct"/>
            <w:tcBorders>
              <w:top w:val="nil"/>
              <w:bottom w:val="nil"/>
            </w:tcBorders>
            <w:shd w:val="clear" w:color="auto" w:fill="FFFFFF"/>
          </w:tcPr>
          <w:p w14:paraId="57C5563A"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932" w:type="pct"/>
            <w:gridSpan w:val="2"/>
            <w:tcBorders>
              <w:top w:val="nil"/>
              <w:bottom w:val="nil"/>
            </w:tcBorders>
            <w:shd w:val="clear" w:color="auto" w:fill="FFFFFF"/>
          </w:tcPr>
          <w:p w14:paraId="4889C83C" w14:textId="77777777" w:rsidR="00C550BB" w:rsidRPr="001E52A6" w:rsidRDefault="00C550BB" w:rsidP="001E52A6">
            <w:pPr>
              <w:autoSpaceDE w:val="0"/>
              <w:autoSpaceDN w:val="0"/>
              <w:adjustRightInd w:val="0"/>
              <w:jc w:val="center"/>
              <w:rPr>
                <w:color w:val="000000"/>
              </w:rPr>
            </w:pPr>
            <w:r w:rsidRPr="001E52A6">
              <w:rPr>
                <w:color w:val="000000"/>
              </w:rPr>
              <w:t>10,528</w:t>
            </w:r>
          </w:p>
        </w:tc>
        <w:tc>
          <w:tcPr>
            <w:tcW w:w="482" w:type="pct"/>
            <w:tcBorders>
              <w:top w:val="nil"/>
              <w:bottom w:val="nil"/>
            </w:tcBorders>
            <w:shd w:val="clear" w:color="auto" w:fill="FFFFFF"/>
          </w:tcPr>
          <w:p w14:paraId="68D3857A" w14:textId="77777777" w:rsidR="00C550BB" w:rsidRPr="001E52A6" w:rsidRDefault="00C550BB" w:rsidP="001E52A6">
            <w:pPr>
              <w:autoSpaceDE w:val="0"/>
              <w:autoSpaceDN w:val="0"/>
              <w:adjustRightInd w:val="0"/>
              <w:jc w:val="center"/>
              <w:rPr>
                <w:color w:val="000000"/>
              </w:rPr>
            </w:pPr>
          </w:p>
        </w:tc>
      </w:tr>
      <w:tr w:rsidR="00C550BB" w:rsidRPr="001E52A6" w14:paraId="660973A9" w14:textId="77777777" w:rsidTr="00C550BB">
        <w:trPr>
          <w:gridBefore w:val="1"/>
          <w:wBefore w:w="10" w:type="pct"/>
          <w:cantSplit/>
          <w:trHeight w:val="57"/>
        </w:trPr>
        <w:tc>
          <w:tcPr>
            <w:tcW w:w="359" w:type="pct"/>
            <w:gridSpan w:val="2"/>
            <w:vMerge w:val="restart"/>
            <w:tcBorders>
              <w:top w:val="nil"/>
              <w:left w:val="nil"/>
              <w:bottom w:val="nil"/>
              <w:right w:val="nil"/>
            </w:tcBorders>
            <w:shd w:val="clear" w:color="auto" w:fill="FFFFFF"/>
            <w:vAlign w:val="center"/>
          </w:tcPr>
          <w:p w14:paraId="4C305E53" w14:textId="77777777" w:rsidR="00C550BB" w:rsidRPr="001E52A6" w:rsidRDefault="00C550BB" w:rsidP="001E52A6">
            <w:pPr>
              <w:autoSpaceDE w:val="0"/>
              <w:autoSpaceDN w:val="0"/>
              <w:adjustRightInd w:val="0"/>
              <w:jc w:val="center"/>
              <w:rPr>
                <w:color w:val="000000"/>
              </w:rPr>
            </w:pPr>
            <w:r w:rsidRPr="001E52A6">
              <w:rPr>
                <w:color w:val="000000"/>
              </w:rPr>
              <w:t>RS13</w:t>
            </w:r>
          </w:p>
        </w:tc>
        <w:tc>
          <w:tcPr>
            <w:tcW w:w="662" w:type="pct"/>
            <w:tcBorders>
              <w:top w:val="nil"/>
              <w:left w:val="nil"/>
              <w:bottom w:val="nil"/>
              <w:right w:val="single" w:sz="2" w:space="0" w:color="auto"/>
            </w:tcBorders>
            <w:shd w:val="clear" w:color="auto" w:fill="FFFFFF"/>
            <w:vAlign w:val="center"/>
          </w:tcPr>
          <w:p w14:paraId="769F8199"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9" w:type="pct"/>
            <w:gridSpan w:val="3"/>
            <w:tcBorders>
              <w:top w:val="nil"/>
              <w:left w:val="single" w:sz="2" w:space="0" w:color="auto"/>
              <w:bottom w:val="nil"/>
            </w:tcBorders>
            <w:shd w:val="clear" w:color="auto" w:fill="FFFFFF"/>
          </w:tcPr>
          <w:p w14:paraId="603BB68D" w14:textId="77777777" w:rsidR="00C550BB" w:rsidRPr="001E52A6" w:rsidRDefault="00C550BB" w:rsidP="001E52A6">
            <w:pPr>
              <w:autoSpaceDE w:val="0"/>
              <w:autoSpaceDN w:val="0"/>
              <w:adjustRightInd w:val="0"/>
              <w:jc w:val="center"/>
              <w:rPr>
                <w:color w:val="000000"/>
              </w:rPr>
            </w:pPr>
            <w:r w:rsidRPr="001E52A6">
              <w:rPr>
                <w:color w:val="000000"/>
              </w:rPr>
              <w:t>,055</w:t>
            </w:r>
          </w:p>
        </w:tc>
        <w:tc>
          <w:tcPr>
            <w:tcW w:w="690" w:type="pct"/>
            <w:tcBorders>
              <w:top w:val="nil"/>
              <w:bottom w:val="nil"/>
            </w:tcBorders>
            <w:shd w:val="clear" w:color="auto" w:fill="FFFFFF"/>
          </w:tcPr>
          <w:p w14:paraId="6DD735AF"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932" w:type="pct"/>
            <w:gridSpan w:val="2"/>
            <w:tcBorders>
              <w:top w:val="nil"/>
              <w:bottom w:val="nil"/>
            </w:tcBorders>
            <w:shd w:val="clear" w:color="auto" w:fill="FFFFFF"/>
          </w:tcPr>
          <w:p w14:paraId="74335B14" w14:textId="77777777" w:rsidR="00C550BB" w:rsidRPr="001E52A6" w:rsidRDefault="00C550BB" w:rsidP="001E52A6">
            <w:pPr>
              <w:autoSpaceDE w:val="0"/>
              <w:autoSpaceDN w:val="0"/>
              <w:adjustRightInd w:val="0"/>
              <w:jc w:val="center"/>
              <w:rPr>
                <w:color w:val="000000"/>
              </w:rPr>
            </w:pPr>
            <w:r w:rsidRPr="001E52A6">
              <w:rPr>
                <w:color w:val="000000"/>
              </w:rPr>
              <w:t>,027</w:t>
            </w:r>
          </w:p>
        </w:tc>
        <w:tc>
          <w:tcPr>
            <w:tcW w:w="482" w:type="pct"/>
            <w:tcBorders>
              <w:top w:val="nil"/>
              <w:bottom w:val="nil"/>
            </w:tcBorders>
            <w:shd w:val="clear" w:color="auto" w:fill="FFFFFF"/>
          </w:tcPr>
          <w:p w14:paraId="713A0CAB" w14:textId="77777777" w:rsidR="00C550BB" w:rsidRPr="001E52A6" w:rsidRDefault="00C550BB" w:rsidP="001E52A6">
            <w:pPr>
              <w:autoSpaceDE w:val="0"/>
              <w:autoSpaceDN w:val="0"/>
              <w:adjustRightInd w:val="0"/>
              <w:jc w:val="center"/>
              <w:rPr>
                <w:color w:val="000000"/>
              </w:rPr>
            </w:pPr>
            <w:r w:rsidRPr="001E52A6">
              <w:rPr>
                <w:color w:val="000000"/>
              </w:rPr>
              <w:t>,013</w:t>
            </w:r>
          </w:p>
        </w:tc>
        <w:tc>
          <w:tcPr>
            <w:tcW w:w="976" w:type="pct"/>
            <w:tcBorders>
              <w:top w:val="nil"/>
              <w:bottom w:val="nil"/>
              <w:right w:val="nil"/>
            </w:tcBorders>
            <w:shd w:val="clear" w:color="auto" w:fill="FFFFFF"/>
          </w:tcPr>
          <w:p w14:paraId="5B04E671" w14:textId="77777777" w:rsidR="00C550BB" w:rsidRPr="001E52A6" w:rsidRDefault="00C550BB" w:rsidP="001E52A6">
            <w:pPr>
              <w:autoSpaceDE w:val="0"/>
              <w:autoSpaceDN w:val="0"/>
              <w:adjustRightInd w:val="0"/>
              <w:jc w:val="center"/>
              <w:rPr>
                <w:color w:val="000000"/>
              </w:rPr>
            </w:pPr>
            <w:r w:rsidRPr="001E52A6">
              <w:rPr>
                <w:color w:val="000000"/>
              </w:rPr>
              <w:t>,987</w:t>
            </w:r>
          </w:p>
        </w:tc>
      </w:tr>
      <w:tr w:rsidR="00C550BB" w:rsidRPr="001E52A6" w14:paraId="28080C95" w14:textId="77777777" w:rsidTr="00C550BB">
        <w:trPr>
          <w:gridBefore w:val="1"/>
          <w:gridAfter w:val="1"/>
          <w:wBefore w:w="10" w:type="pct"/>
          <w:wAfter w:w="976" w:type="pct"/>
          <w:cantSplit/>
          <w:trHeight w:val="57"/>
        </w:trPr>
        <w:tc>
          <w:tcPr>
            <w:tcW w:w="359" w:type="pct"/>
            <w:gridSpan w:val="2"/>
            <w:vMerge/>
            <w:tcBorders>
              <w:top w:val="nil"/>
              <w:left w:val="nil"/>
              <w:bottom w:val="nil"/>
              <w:right w:val="nil"/>
            </w:tcBorders>
            <w:shd w:val="clear" w:color="auto" w:fill="FFFFFF"/>
            <w:vAlign w:val="center"/>
          </w:tcPr>
          <w:p w14:paraId="13A708D8" w14:textId="77777777" w:rsidR="00C550BB" w:rsidRPr="001E52A6" w:rsidRDefault="00C550BB" w:rsidP="001E52A6">
            <w:pPr>
              <w:autoSpaceDE w:val="0"/>
              <w:autoSpaceDN w:val="0"/>
              <w:adjustRightInd w:val="0"/>
              <w:jc w:val="center"/>
              <w:rPr>
                <w:color w:val="000000"/>
              </w:rPr>
            </w:pPr>
          </w:p>
        </w:tc>
        <w:tc>
          <w:tcPr>
            <w:tcW w:w="662" w:type="pct"/>
            <w:tcBorders>
              <w:top w:val="nil"/>
              <w:left w:val="nil"/>
              <w:bottom w:val="nil"/>
              <w:right w:val="single" w:sz="2" w:space="0" w:color="auto"/>
            </w:tcBorders>
            <w:shd w:val="clear" w:color="auto" w:fill="FFFFFF"/>
            <w:vAlign w:val="center"/>
          </w:tcPr>
          <w:p w14:paraId="0A0AEFE8"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9" w:type="pct"/>
            <w:gridSpan w:val="3"/>
            <w:tcBorders>
              <w:top w:val="nil"/>
              <w:left w:val="single" w:sz="2" w:space="0" w:color="auto"/>
              <w:bottom w:val="nil"/>
            </w:tcBorders>
            <w:shd w:val="clear" w:color="auto" w:fill="FFFFFF"/>
          </w:tcPr>
          <w:p w14:paraId="60A25BEA" w14:textId="77777777" w:rsidR="00C550BB" w:rsidRPr="001E52A6" w:rsidRDefault="00C550BB" w:rsidP="001E52A6">
            <w:pPr>
              <w:autoSpaceDE w:val="0"/>
              <w:autoSpaceDN w:val="0"/>
              <w:adjustRightInd w:val="0"/>
              <w:jc w:val="center"/>
              <w:rPr>
                <w:color w:val="000000"/>
              </w:rPr>
            </w:pPr>
            <w:r w:rsidRPr="001E52A6">
              <w:rPr>
                <w:color w:val="000000"/>
              </w:rPr>
              <w:t>616,876</w:t>
            </w:r>
          </w:p>
        </w:tc>
        <w:tc>
          <w:tcPr>
            <w:tcW w:w="690" w:type="pct"/>
            <w:tcBorders>
              <w:top w:val="nil"/>
              <w:bottom w:val="nil"/>
            </w:tcBorders>
            <w:shd w:val="clear" w:color="auto" w:fill="FFFFFF"/>
          </w:tcPr>
          <w:p w14:paraId="4FAD0888"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932" w:type="pct"/>
            <w:gridSpan w:val="2"/>
            <w:tcBorders>
              <w:top w:val="nil"/>
              <w:bottom w:val="nil"/>
            </w:tcBorders>
            <w:shd w:val="clear" w:color="auto" w:fill="FFFFFF"/>
          </w:tcPr>
          <w:p w14:paraId="3C2D3228" w14:textId="77777777" w:rsidR="00C550BB" w:rsidRPr="001E52A6" w:rsidRDefault="00C550BB" w:rsidP="001E52A6">
            <w:pPr>
              <w:autoSpaceDE w:val="0"/>
              <w:autoSpaceDN w:val="0"/>
              <w:adjustRightInd w:val="0"/>
              <w:jc w:val="center"/>
              <w:rPr>
                <w:color w:val="000000"/>
              </w:rPr>
            </w:pPr>
            <w:r w:rsidRPr="001E52A6">
              <w:rPr>
                <w:color w:val="000000"/>
              </w:rPr>
              <w:t>2,077</w:t>
            </w:r>
          </w:p>
        </w:tc>
        <w:tc>
          <w:tcPr>
            <w:tcW w:w="482" w:type="pct"/>
            <w:tcBorders>
              <w:top w:val="nil"/>
              <w:bottom w:val="nil"/>
            </w:tcBorders>
            <w:shd w:val="clear" w:color="auto" w:fill="FFFFFF"/>
          </w:tcPr>
          <w:p w14:paraId="2CE9FFD3" w14:textId="77777777" w:rsidR="00C550BB" w:rsidRPr="001E52A6" w:rsidRDefault="00C550BB" w:rsidP="001E52A6">
            <w:pPr>
              <w:autoSpaceDE w:val="0"/>
              <w:autoSpaceDN w:val="0"/>
              <w:adjustRightInd w:val="0"/>
              <w:jc w:val="center"/>
              <w:rPr>
                <w:color w:val="000000"/>
              </w:rPr>
            </w:pPr>
          </w:p>
        </w:tc>
      </w:tr>
      <w:tr w:rsidR="00C550BB" w:rsidRPr="001E52A6" w14:paraId="4ED5FC20" w14:textId="77777777" w:rsidTr="00C550BB">
        <w:trPr>
          <w:gridBefore w:val="1"/>
          <w:wBefore w:w="10" w:type="pct"/>
          <w:cantSplit/>
          <w:trHeight w:val="57"/>
        </w:trPr>
        <w:tc>
          <w:tcPr>
            <w:tcW w:w="359" w:type="pct"/>
            <w:gridSpan w:val="2"/>
            <w:vMerge w:val="restart"/>
            <w:tcBorders>
              <w:top w:val="nil"/>
              <w:left w:val="nil"/>
              <w:bottom w:val="nil"/>
              <w:right w:val="nil"/>
            </w:tcBorders>
            <w:shd w:val="clear" w:color="auto" w:fill="FFFFFF"/>
            <w:vAlign w:val="center"/>
          </w:tcPr>
          <w:p w14:paraId="57D77C2E" w14:textId="77777777" w:rsidR="00C550BB" w:rsidRPr="001E52A6" w:rsidRDefault="00C550BB" w:rsidP="001E52A6">
            <w:pPr>
              <w:autoSpaceDE w:val="0"/>
              <w:autoSpaceDN w:val="0"/>
              <w:adjustRightInd w:val="0"/>
              <w:jc w:val="center"/>
              <w:rPr>
                <w:color w:val="000000"/>
              </w:rPr>
            </w:pPr>
            <w:r w:rsidRPr="001E52A6">
              <w:rPr>
                <w:color w:val="000000"/>
              </w:rPr>
              <w:t>RS14</w:t>
            </w:r>
          </w:p>
        </w:tc>
        <w:tc>
          <w:tcPr>
            <w:tcW w:w="662" w:type="pct"/>
            <w:tcBorders>
              <w:top w:val="nil"/>
              <w:left w:val="nil"/>
              <w:bottom w:val="nil"/>
              <w:right w:val="single" w:sz="2" w:space="0" w:color="auto"/>
            </w:tcBorders>
            <w:shd w:val="clear" w:color="auto" w:fill="FFFFFF"/>
            <w:vAlign w:val="center"/>
          </w:tcPr>
          <w:p w14:paraId="00C3D891"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9" w:type="pct"/>
            <w:gridSpan w:val="3"/>
            <w:tcBorders>
              <w:top w:val="nil"/>
              <w:left w:val="single" w:sz="2" w:space="0" w:color="auto"/>
              <w:bottom w:val="nil"/>
            </w:tcBorders>
            <w:shd w:val="clear" w:color="auto" w:fill="FFFFFF"/>
          </w:tcPr>
          <w:p w14:paraId="7457DCB5" w14:textId="77777777" w:rsidR="00C550BB" w:rsidRPr="001E52A6" w:rsidRDefault="00C550BB" w:rsidP="001E52A6">
            <w:pPr>
              <w:autoSpaceDE w:val="0"/>
              <w:autoSpaceDN w:val="0"/>
              <w:adjustRightInd w:val="0"/>
              <w:jc w:val="center"/>
              <w:rPr>
                <w:color w:val="000000"/>
              </w:rPr>
            </w:pPr>
            <w:r w:rsidRPr="001E52A6">
              <w:rPr>
                <w:color w:val="000000"/>
              </w:rPr>
              <w:t>5,177</w:t>
            </w:r>
          </w:p>
        </w:tc>
        <w:tc>
          <w:tcPr>
            <w:tcW w:w="690" w:type="pct"/>
            <w:tcBorders>
              <w:top w:val="nil"/>
              <w:bottom w:val="nil"/>
            </w:tcBorders>
            <w:shd w:val="clear" w:color="auto" w:fill="FFFFFF"/>
          </w:tcPr>
          <w:p w14:paraId="69BB0822"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932" w:type="pct"/>
            <w:gridSpan w:val="2"/>
            <w:tcBorders>
              <w:top w:val="nil"/>
              <w:bottom w:val="nil"/>
            </w:tcBorders>
            <w:shd w:val="clear" w:color="auto" w:fill="FFFFFF"/>
          </w:tcPr>
          <w:p w14:paraId="4733F9CF" w14:textId="77777777" w:rsidR="00C550BB" w:rsidRPr="001E52A6" w:rsidRDefault="00C550BB" w:rsidP="001E52A6">
            <w:pPr>
              <w:autoSpaceDE w:val="0"/>
              <w:autoSpaceDN w:val="0"/>
              <w:adjustRightInd w:val="0"/>
              <w:jc w:val="center"/>
              <w:rPr>
                <w:color w:val="000000"/>
              </w:rPr>
            </w:pPr>
            <w:r w:rsidRPr="001E52A6">
              <w:rPr>
                <w:color w:val="000000"/>
              </w:rPr>
              <w:t>2,589</w:t>
            </w:r>
          </w:p>
        </w:tc>
        <w:tc>
          <w:tcPr>
            <w:tcW w:w="482" w:type="pct"/>
            <w:tcBorders>
              <w:top w:val="nil"/>
              <w:bottom w:val="nil"/>
            </w:tcBorders>
            <w:shd w:val="clear" w:color="auto" w:fill="FFFFFF"/>
          </w:tcPr>
          <w:p w14:paraId="300364E6" w14:textId="77777777" w:rsidR="00C550BB" w:rsidRPr="001E52A6" w:rsidRDefault="00C550BB" w:rsidP="001E52A6">
            <w:pPr>
              <w:autoSpaceDE w:val="0"/>
              <w:autoSpaceDN w:val="0"/>
              <w:adjustRightInd w:val="0"/>
              <w:jc w:val="center"/>
              <w:rPr>
                <w:color w:val="000000"/>
              </w:rPr>
            </w:pPr>
            <w:r w:rsidRPr="001E52A6">
              <w:rPr>
                <w:color w:val="000000"/>
              </w:rPr>
              <w:t>3,004</w:t>
            </w:r>
          </w:p>
        </w:tc>
        <w:tc>
          <w:tcPr>
            <w:tcW w:w="976" w:type="pct"/>
            <w:tcBorders>
              <w:top w:val="nil"/>
              <w:bottom w:val="nil"/>
              <w:right w:val="nil"/>
            </w:tcBorders>
            <w:shd w:val="clear" w:color="auto" w:fill="FFFFFF"/>
          </w:tcPr>
          <w:p w14:paraId="0D429836" w14:textId="77777777" w:rsidR="00C550BB" w:rsidRPr="001E52A6" w:rsidRDefault="00C550BB" w:rsidP="001E52A6">
            <w:pPr>
              <w:autoSpaceDE w:val="0"/>
              <w:autoSpaceDN w:val="0"/>
              <w:adjustRightInd w:val="0"/>
              <w:jc w:val="center"/>
              <w:rPr>
                <w:color w:val="000000"/>
              </w:rPr>
            </w:pPr>
            <w:r w:rsidRPr="001E52A6">
              <w:rPr>
                <w:color w:val="000000"/>
              </w:rPr>
              <w:t>,051</w:t>
            </w:r>
          </w:p>
        </w:tc>
      </w:tr>
      <w:tr w:rsidR="00C550BB" w:rsidRPr="001E52A6" w14:paraId="704532D9" w14:textId="77777777" w:rsidTr="00C550BB">
        <w:trPr>
          <w:gridBefore w:val="1"/>
          <w:gridAfter w:val="1"/>
          <w:wBefore w:w="10" w:type="pct"/>
          <w:wAfter w:w="976" w:type="pct"/>
          <w:cantSplit/>
          <w:trHeight w:val="57"/>
        </w:trPr>
        <w:tc>
          <w:tcPr>
            <w:tcW w:w="359" w:type="pct"/>
            <w:gridSpan w:val="2"/>
            <w:vMerge/>
            <w:tcBorders>
              <w:top w:val="nil"/>
              <w:left w:val="nil"/>
              <w:bottom w:val="nil"/>
              <w:right w:val="nil"/>
            </w:tcBorders>
            <w:shd w:val="clear" w:color="auto" w:fill="FFFFFF"/>
            <w:vAlign w:val="center"/>
          </w:tcPr>
          <w:p w14:paraId="02362D6C" w14:textId="77777777" w:rsidR="00C550BB" w:rsidRPr="001E52A6" w:rsidRDefault="00C550BB" w:rsidP="001E52A6">
            <w:pPr>
              <w:autoSpaceDE w:val="0"/>
              <w:autoSpaceDN w:val="0"/>
              <w:adjustRightInd w:val="0"/>
              <w:jc w:val="center"/>
              <w:rPr>
                <w:color w:val="000000"/>
              </w:rPr>
            </w:pPr>
          </w:p>
        </w:tc>
        <w:tc>
          <w:tcPr>
            <w:tcW w:w="662" w:type="pct"/>
            <w:tcBorders>
              <w:top w:val="nil"/>
              <w:left w:val="nil"/>
              <w:bottom w:val="nil"/>
              <w:right w:val="single" w:sz="2" w:space="0" w:color="auto"/>
            </w:tcBorders>
            <w:shd w:val="clear" w:color="auto" w:fill="FFFFFF"/>
            <w:vAlign w:val="center"/>
          </w:tcPr>
          <w:p w14:paraId="73793AE2"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9" w:type="pct"/>
            <w:gridSpan w:val="3"/>
            <w:tcBorders>
              <w:top w:val="nil"/>
              <w:left w:val="single" w:sz="2" w:space="0" w:color="auto"/>
              <w:bottom w:val="nil"/>
            </w:tcBorders>
            <w:shd w:val="clear" w:color="auto" w:fill="FFFFFF"/>
          </w:tcPr>
          <w:p w14:paraId="0CD4E838" w14:textId="77777777" w:rsidR="00C550BB" w:rsidRPr="001E52A6" w:rsidRDefault="00C550BB" w:rsidP="001E52A6">
            <w:pPr>
              <w:autoSpaceDE w:val="0"/>
              <w:autoSpaceDN w:val="0"/>
              <w:adjustRightInd w:val="0"/>
              <w:jc w:val="center"/>
              <w:rPr>
                <w:color w:val="000000"/>
              </w:rPr>
            </w:pPr>
            <w:r w:rsidRPr="001E52A6">
              <w:rPr>
                <w:color w:val="000000"/>
              </w:rPr>
              <w:t>255,948</w:t>
            </w:r>
          </w:p>
        </w:tc>
        <w:tc>
          <w:tcPr>
            <w:tcW w:w="690" w:type="pct"/>
            <w:tcBorders>
              <w:top w:val="nil"/>
              <w:bottom w:val="nil"/>
            </w:tcBorders>
            <w:shd w:val="clear" w:color="auto" w:fill="FFFFFF"/>
          </w:tcPr>
          <w:p w14:paraId="5EDD56FA"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932" w:type="pct"/>
            <w:gridSpan w:val="2"/>
            <w:tcBorders>
              <w:top w:val="nil"/>
              <w:bottom w:val="nil"/>
            </w:tcBorders>
            <w:shd w:val="clear" w:color="auto" w:fill="FFFFFF"/>
          </w:tcPr>
          <w:p w14:paraId="6C5E9C38" w14:textId="77777777" w:rsidR="00C550BB" w:rsidRPr="001E52A6" w:rsidRDefault="00C550BB" w:rsidP="001E52A6">
            <w:pPr>
              <w:autoSpaceDE w:val="0"/>
              <w:autoSpaceDN w:val="0"/>
              <w:adjustRightInd w:val="0"/>
              <w:jc w:val="center"/>
              <w:rPr>
                <w:color w:val="000000"/>
              </w:rPr>
            </w:pPr>
            <w:r w:rsidRPr="001E52A6">
              <w:rPr>
                <w:color w:val="000000"/>
              </w:rPr>
              <w:t>,862</w:t>
            </w:r>
          </w:p>
        </w:tc>
        <w:tc>
          <w:tcPr>
            <w:tcW w:w="482" w:type="pct"/>
            <w:tcBorders>
              <w:top w:val="nil"/>
              <w:bottom w:val="nil"/>
            </w:tcBorders>
            <w:shd w:val="clear" w:color="auto" w:fill="FFFFFF"/>
          </w:tcPr>
          <w:p w14:paraId="049C03AA" w14:textId="77777777" w:rsidR="00C550BB" w:rsidRPr="001E52A6" w:rsidRDefault="00C550BB" w:rsidP="001E52A6">
            <w:pPr>
              <w:autoSpaceDE w:val="0"/>
              <w:autoSpaceDN w:val="0"/>
              <w:adjustRightInd w:val="0"/>
              <w:jc w:val="center"/>
              <w:rPr>
                <w:color w:val="000000"/>
              </w:rPr>
            </w:pPr>
          </w:p>
        </w:tc>
      </w:tr>
      <w:tr w:rsidR="00C550BB" w:rsidRPr="001E52A6" w14:paraId="5A028D5F" w14:textId="77777777" w:rsidTr="00C550BB">
        <w:trPr>
          <w:gridBefore w:val="1"/>
          <w:wBefore w:w="10" w:type="pct"/>
          <w:cantSplit/>
          <w:trHeight w:val="57"/>
        </w:trPr>
        <w:tc>
          <w:tcPr>
            <w:tcW w:w="359" w:type="pct"/>
            <w:gridSpan w:val="2"/>
            <w:vMerge w:val="restart"/>
            <w:tcBorders>
              <w:top w:val="nil"/>
              <w:left w:val="nil"/>
              <w:bottom w:val="single" w:sz="16" w:space="0" w:color="000000"/>
              <w:right w:val="nil"/>
            </w:tcBorders>
            <w:shd w:val="clear" w:color="auto" w:fill="FFFFFF"/>
            <w:vAlign w:val="center"/>
          </w:tcPr>
          <w:p w14:paraId="29BCA179" w14:textId="77777777" w:rsidR="00C550BB" w:rsidRPr="001E52A6" w:rsidRDefault="00C550BB" w:rsidP="001E52A6">
            <w:pPr>
              <w:autoSpaceDE w:val="0"/>
              <w:autoSpaceDN w:val="0"/>
              <w:adjustRightInd w:val="0"/>
              <w:jc w:val="center"/>
              <w:rPr>
                <w:color w:val="000000"/>
              </w:rPr>
            </w:pPr>
            <w:r w:rsidRPr="001E52A6">
              <w:rPr>
                <w:color w:val="000000"/>
              </w:rPr>
              <w:t>RS15</w:t>
            </w:r>
          </w:p>
        </w:tc>
        <w:tc>
          <w:tcPr>
            <w:tcW w:w="662" w:type="pct"/>
            <w:tcBorders>
              <w:top w:val="nil"/>
              <w:left w:val="nil"/>
              <w:bottom w:val="nil"/>
              <w:right w:val="single" w:sz="2" w:space="0" w:color="auto"/>
            </w:tcBorders>
            <w:shd w:val="clear" w:color="auto" w:fill="FFFFFF"/>
            <w:vAlign w:val="center"/>
          </w:tcPr>
          <w:p w14:paraId="448B7580"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9" w:type="pct"/>
            <w:gridSpan w:val="3"/>
            <w:tcBorders>
              <w:top w:val="nil"/>
              <w:left w:val="single" w:sz="2" w:space="0" w:color="auto"/>
              <w:bottom w:val="nil"/>
            </w:tcBorders>
            <w:shd w:val="clear" w:color="auto" w:fill="FFFFFF"/>
          </w:tcPr>
          <w:p w14:paraId="35278179" w14:textId="77777777" w:rsidR="00C550BB" w:rsidRPr="001E52A6" w:rsidRDefault="00C550BB" w:rsidP="001E52A6">
            <w:pPr>
              <w:autoSpaceDE w:val="0"/>
              <w:autoSpaceDN w:val="0"/>
              <w:adjustRightInd w:val="0"/>
              <w:jc w:val="center"/>
              <w:rPr>
                <w:color w:val="000000"/>
              </w:rPr>
            </w:pPr>
            <w:r w:rsidRPr="001E52A6">
              <w:rPr>
                <w:color w:val="000000"/>
              </w:rPr>
              <w:t>14,637</w:t>
            </w:r>
          </w:p>
        </w:tc>
        <w:tc>
          <w:tcPr>
            <w:tcW w:w="690" w:type="pct"/>
            <w:tcBorders>
              <w:top w:val="nil"/>
              <w:bottom w:val="nil"/>
            </w:tcBorders>
            <w:shd w:val="clear" w:color="auto" w:fill="FFFFFF"/>
          </w:tcPr>
          <w:p w14:paraId="479ECDDB"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932" w:type="pct"/>
            <w:gridSpan w:val="2"/>
            <w:tcBorders>
              <w:top w:val="nil"/>
              <w:bottom w:val="nil"/>
            </w:tcBorders>
            <w:shd w:val="clear" w:color="auto" w:fill="FFFFFF"/>
          </w:tcPr>
          <w:p w14:paraId="324C2EAA" w14:textId="77777777" w:rsidR="00C550BB" w:rsidRPr="001E52A6" w:rsidRDefault="00C550BB" w:rsidP="001E52A6">
            <w:pPr>
              <w:autoSpaceDE w:val="0"/>
              <w:autoSpaceDN w:val="0"/>
              <w:adjustRightInd w:val="0"/>
              <w:jc w:val="center"/>
              <w:rPr>
                <w:color w:val="000000"/>
              </w:rPr>
            </w:pPr>
            <w:r w:rsidRPr="001E52A6">
              <w:rPr>
                <w:color w:val="000000"/>
              </w:rPr>
              <w:t>7,318</w:t>
            </w:r>
          </w:p>
        </w:tc>
        <w:tc>
          <w:tcPr>
            <w:tcW w:w="482" w:type="pct"/>
            <w:tcBorders>
              <w:top w:val="nil"/>
              <w:bottom w:val="nil"/>
            </w:tcBorders>
            <w:shd w:val="clear" w:color="auto" w:fill="FFFFFF"/>
          </w:tcPr>
          <w:p w14:paraId="2FA6FD03" w14:textId="77777777" w:rsidR="00C550BB" w:rsidRPr="001E52A6" w:rsidRDefault="00C550BB" w:rsidP="001E52A6">
            <w:pPr>
              <w:autoSpaceDE w:val="0"/>
              <w:autoSpaceDN w:val="0"/>
              <w:adjustRightInd w:val="0"/>
              <w:jc w:val="center"/>
              <w:rPr>
                <w:color w:val="000000"/>
              </w:rPr>
            </w:pPr>
            <w:r w:rsidRPr="001E52A6">
              <w:rPr>
                <w:color w:val="000000"/>
              </w:rPr>
              <w:t>7,041</w:t>
            </w:r>
          </w:p>
        </w:tc>
        <w:tc>
          <w:tcPr>
            <w:tcW w:w="976" w:type="pct"/>
            <w:tcBorders>
              <w:top w:val="nil"/>
              <w:bottom w:val="nil"/>
              <w:right w:val="nil"/>
            </w:tcBorders>
            <w:shd w:val="clear" w:color="auto" w:fill="FFFFFF"/>
          </w:tcPr>
          <w:p w14:paraId="344519FB" w14:textId="77777777" w:rsidR="00C550BB" w:rsidRPr="001E52A6" w:rsidRDefault="00C550BB" w:rsidP="001E52A6">
            <w:pPr>
              <w:autoSpaceDE w:val="0"/>
              <w:autoSpaceDN w:val="0"/>
              <w:adjustRightInd w:val="0"/>
              <w:jc w:val="center"/>
              <w:rPr>
                <w:color w:val="000000"/>
              </w:rPr>
            </w:pPr>
            <w:r w:rsidRPr="001E52A6">
              <w:rPr>
                <w:color w:val="000000"/>
              </w:rPr>
              <w:t>,001</w:t>
            </w:r>
          </w:p>
        </w:tc>
      </w:tr>
      <w:tr w:rsidR="00C550BB" w:rsidRPr="001E52A6" w14:paraId="0CD908FF" w14:textId="77777777" w:rsidTr="00C550BB">
        <w:trPr>
          <w:gridBefore w:val="1"/>
          <w:wBefore w:w="10" w:type="pct"/>
          <w:cantSplit/>
          <w:trHeight w:val="57"/>
        </w:trPr>
        <w:tc>
          <w:tcPr>
            <w:tcW w:w="359" w:type="pct"/>
            <w:gridSpan w:val="2"/>
            <w:vMerge/>
            <w:tcBorders>
              <w:top w:val="nil"/>
              <w:left w:val="nil"/>
              <w:bottom w:val="single" w:sz="12" w:space="0" w:color="auto"/>
              <w:right w:val="nil"/>
            </w:tcBorders>
            <w:shd w:val="clear" w:color="auto" w:fill="FFFFFF"/>
            <w:vAlign w:val="center"/>
          </w:tcPr>
          <w:p w14:paraId="2EF65186" w14:textId="77777777" w:rsidR="00C550BB" w:rsidRPr="001E52A6" w:rsidRDefault="00C550BB" w:rsidP="001E52A6">
            <w:pPr>
              <w:autoSpaceDE w:val="0"/>
              <w:autoSpaceDN w:val="0"/>
              <w:adjustRightInd w:val="0"/>
              <w:jc w:val="center"/>
              <w:rPr>
                <w:color w:val="000000"/>
              </w:rPr>
            </w:pPr>
          </w:p>
        </w:tc>
        <w:tc>
          <w:tcPr>
            <w:tcW w:w="662" w:type="pct"/>
            <w:tcBorders>
              <w:top w:val="nil"/>
              <w:left w:val="nil"/>
              <w:bottom w:val="single" w:sz="12" w:space="0" w:color="auto"/>
              <w:right w:val="single" w:sz="2" w:space="0" w:color="auto"/>
            </w:tcBorders>
            <w:shd w:val="clear" w:color="auto" w:fill="FFFFFF"/>
            <w:vAlign w:val="center"/>
          </w:tcPr>
          <w:p w14:paraId="3AA25D9E"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9" w:type="pct"/>
            <w:gridSpan w:val="3"/>
            <w:tcBorders>
              <w:top w:val="nil"/>
              <w:left w:val="single" w:sz="2" w:space="0" w:color="auto"/>
              <w:bottom w:val="single" w:sz="12" w:space="0" w:color="auto"/>
            </w:tcBorders>
            <w:shd w:val="clear" w:color="auto" w:fill="FFFFFF"/>
          </w:tcPr>
          <w:p w14:paraId="01EE4B5F" w14:textId="77777777" w:rsidR="00C550BB" w:rsidRPr="001E52A6" w:rsidRDefault="00C550BB" w:rsidP="001E52A6">
            <w:pPr>
              <w:autoSpaceDE w:val="0"/>
              <w:autoSpaceDN w:val="0"/>
              <w:adjustRightInd w:val="0"/>
              <w:jc w:val="center"/>
              <w:rPr>
                <w:color w:val="000000"/>
              </w:rPr>
            </w:pPr>
            <w:r w:rsidRPr="001E52A6">
              <w:rPr>
                <w:color w:val="000000"/>
              </w:rPr>
              <w:t>308,714</w:t>
            </w:r>
          </w:p>
        </w:tc>
        <w:tc>
          <w:tcPr>
            <w:tcW w:w="690" w:type="pct"/>
            <w:tcBorders>
              <w:top w:val="nil"/>
              <w:bottom w:val="single" w:sz="12" w:space="0" w:color="auto"/>
            </w:tcBorders>
            <w:shd w:val="clear" w:color="auto" w:fill="FFFFFF"/>
          </w:tcPr>
          <w:p w14:paraId="2DCE2E3D"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932" w:type="pct"/>
            <w:gridSpan w:val="2"/>
            <w:tcBorders>
              <w:top w:val="nil"/>
              <w:bottom w:val="single" w:sz="12" w:space="0" w:color="auto"/>
            </w:tcBorders>
            <w:shd w:val="clear" w:color="auto" w:fill="FFFFFF"/>
          </w:tcPr>
          <w:p w14:paraId="59D0B2E0" w14:textId="77777777" w:rsidR="00C550BB" w:rsidRPr="001E52A6" w:rsidRDefault="00C550BB" w:rsidP="001E52A6">
            <w:pPr>
              <w:autoSpaceDE w:val="0"/>
              <w:autoSpaceDN w:val="0"/>
              <w:adjustRightInd w:val="0"/>
              <w:jc w:val="center"/>
              <w:rPr>
                <w:color w:val="000000"/>
              </w:rPr>
            </w:pPr>
            <w:r w:rsidRPr="001E52A6">
              <w:rPr>
                <w:color w:val="000000"/>
              </w:rPr>
              <w:t>1,039</w:t>
            </w:r>
          </w:p>
        </w:tc>
        <w:tc>
          <w:tcPr>
            <w:tcW w:w="482" w:type="pct"/>
            <w:tcBorders>
              <w:top w:val="nil"/>
              <w:bottom w:val="single" w:sz="12" w:space="0" w:color="auto"/>
            </w:tcBorders>
            <w:shd w:val="clear" w:color="auto" w:fill="FFFFFF"/>
          </w:tcPr>
          <w:p w14:paraId="366B2E9E" w14:textId="77777777" w:rsidR="00C550BB" w:rsidRPr="001E52A6" w:rsidRDefault="00C550BB" w:rsidP="001E52A6">
            <w:pPr>
              <w:autoSpaceDE w:val="0"/>
              <w:autoSpaceDN w:val="0"/>
              <w:adjustRightInd w:val="0"/>
              <w:jc w:val="center"/>
              <w:rPr>
                <w:color w:val="000000"/>
              </w:rPr>
            </w:pPr>
          </w:p>
        </w:tc>
        <w:tc>
          <w:tcPr>
            <w:tcW w:w="976" w:type="pct"/>
            <w:tcBorders>
              <w:top w:val="nil"/>
              <w:bottom w:val="single" w:sz="12" w:space="0" w:color="auto"/>
              <w:right w:val="nil"/>
            </w:tcBorders>
            <w:shd w:val="clear" w:color="auto" w:fill="FFFFFF"/>
          </w:tcPr>
          <w:p w14:paraId="48E824D0" w14:textId="77777777" w:rsidR="00C550BB" w:rsidRPr="001E52A6" w:rsidRDefault="00C550BB" w:rsidP="001E52A6">
            <w:pPr>
              <w:autoSpaceDE w:val="0"/>
              <w:autoSpaceDN w:val="0"/>
              <w:adjustRightInd w:val="0"/>
              <w:jc w:val="center"/>
              <w:rPr>
                <w:color w:val="000000"/>
              </w:rPr>
            </w:pPr>
          </w:p>
        </w:tc>
      </w:tr>
      <w:tr w:rsidR="00C550BB" w:rsidRPr="001E52A6" w14:paraId="540571E2" w14:textId="77777777" w:rsidTr="00C550BB">
        <w:trPr>
          <w:gridBefore w:val="1"/>
          <w:wBefore w:w="10" w:type="pct"/>
          <w:cantSplit/>
        </w:trPr>
        <w:tc>
          <w:tcPr>
            <w:tcW w:w="1021" w:type="pct"/>
            <w:gridSpan w:val="3"/>
            <w:tcBorders>
              <w:top w:val="single" w:sz="12" w:space="0" w:color="auto"/>
              <w:left w:val="nil"/>
              <w:bottom w:val="single" w:sz="12" w:space="0" w:color="auto"/>
              <w:right w:val="single" w:sz="8" w:space="0" w:color="000000"/>
            </w:tcBorders>
            <w:shd w:val="clear" w:color="auto" w:fill="FFFFFF"/>
          </w:tcPr>
          <w:p w14:paraId="7D3AD269" w14:textId="77777777" w:rsidR="00C550BB" w:rsidRPr="001E52A6" w:rsidRDefault="00C550BB" w:rsidP="001E52A6">
            <w:pPr>
              <w:autoSpaceDE w:val="0"/>
              <w:autoSpaceDN w:val="0"/>
              <w:adjustRightInd w:val="0"/>
              <w:jc w:val="center"/>
              <w:rPr>
                <w:color w:val="000000"/>
              </w:rPr>
            </w:pPr>
            <w:r w:rsidRPr="001E52A6">
              <w:rPr>
                <w:color w:val="000000"/>
              </w:rPr>
              <w:t>Variável dependente</w:t>
            </w:r>
          </w:p>
        </w:tc>
        <w:tc>
          <w:tcPr>
            <w:tcW w:w="889" w:type="pct"/>
            <w:gridSpan w:val="3"/>
            <w:tcBorders>
              <w:top w:val="single" w:sz="12" w:space="0" w:color="auto"/>
              <w:left w:val="single" w:sz="8" w:space="0" w:color="000000"/>
              <w:bottom w:val="single" w:sz="12" w:space="0" w:color="auto"/>
              <w:right w:val="single" w:sz="8" w:space="0" w:color="000000"/>
            </w:tcBorders>
            <w:shd w:val="clear" w:color="auto" w:fill="FFFFFF"/>
          </w:tcPr>
          <w:p w14:paraId="54A6F3B0" w14:textId="77777777" w:rsidR="00C550BB" w:rsidRPr="001E52A6" w:rsidRDefault="00C550BB" w:rsidP="001E52A6">
            <w:pPr>
              <w:autoSpaceDE w:val="0"/>
              <w:autoSpaceDN w:val="0"/>
              <w:adjustRightInd w:val="0"/>
              <w:jc w:val="center"/>
              <w:rPr>
                <w:color w:val="000000"/>
              </w:rPr>
            </w:pPr>
            <w:r w:rsidRPr="001E52A6">
              <w:rPr>
                <w:color w:val="000000"/>
              </w:rPr>
              <w:t>(I) Seleção</w:t>
            </w:r>
          </w:p>
        </w:tc>
        <w:tc>
          <w:tcPr>
            <w:tcW w:w="690" w:type="pct"/>
            <w:tcBorders>
              <w:top w:val="single" w:sz="12" w:space="0" w:color="auto"/>
              <w:left w:val="single" w:sz="8" w:space="0" w:color="000000"/>
              <w:bottom w:val="single" w:sz="12" w:space="0" w:color="auto"/>
              <w:right w:val="single" w:sz="2" w:space="0" w:color="auto"/>
            </w:tcBorders>
            <w:shd w:val="clear" w:color="auto" w:fill="FFFFFF"/>
          </w:tcPr>
          <w:p w14:paraId="23DF965C" w14:textId="77777777" w:rsidR="00C550BB" w:rsidRPr="001E52A6" w:rsidRDefault="00C550BB" w:rsidP="001E52A6">
            <w:pPr>
              <w:autoSpaceDE w:val="0"/>
              <w:autoSpaceDN w:val="0"/>
              <w:adjustRightInd w:val="0"/>
              <w:jc w:val="center"/>
              <w:rPr>
                <w:color w:val="000000"/>
              </w:rPr>
            </w:pPr>
            <w:r w:rsidRPr="001E52A6">
              <w:rPr>
                <w:color w:val="000000"/>
              </w:rPr>
              <w:t>(J) Seleção</w:t>
            </w:r>
          </w:p>
        </w:tc>
        <w:tc>
          <w:tcPr>
            <w:tcW w:w="1414" w:type="pct"/>
            <w:gridSpan w:val="3"/>
            <w:tcBorders>
              <w:top w:val="single" w:sz="12" w:space="0" w:color="auto"/>
              <w:left w:val="single" w:sz="2" w:space="0" w:color="auto"/>
              <w:bottom w:val="single" w:sz="12" w:space="0" w:color="auto"/>
              <w:right w:val="single" w:sz="8" w:space="0" w:color="000000"/>
            </w:tcBorders>
            <w:shd w:val="clear" w:color="auto" w:fill="FFFFFF"/>
            <w:vAlign w:val="center"/>
          </w:tcPr>
          <w:p w14:paraId="5397FEB8" w14:textId="77777777" w:rsidR="00C550BB" w:rsidRPr="001E52A6" w:rsidRDefault="00C550BB" w:rsidP="001E52A6">
            <w:pPr>
              <w:autoSpaceDE w:val="0"/>
              <w:autoSpaceDN w:val="0"/>
              <w:adjustRightInd w:val="0"/>
              <w:jc w:val="center"/>
              <w:rPr>
                <w:color w:val="000000"/>
              </w:rPr>
            </w:pPr>
            <w:r w:rsidRPr="001E52A6">
              <w:rPr>
                <w:color w:val="000000"/>
              </w:rPr>
              <w:t>Diferença média (I-J)</w:t>
            </w:r>
          </w:p>
        </w:tc>
        <w:tc>
          <w:tcPr>
            <w:tcW w:w="976" w:type="pct"/>
            <w:tcBorders>
              <w:top w:val="single" w:sz="12" w:space="0" w:color="auto"/>
              <w:left w:val="single" w:sz="8" w:space="0" w:color="000000"/>
              <w:bottom w:val="single" w:sz="12" w:space="0" w:color="auto"/>
              <w:right w:val="nil"/>
            </w:tcBorders>
            <w:shd w:val="clear" w:color="auto" w:fill="FFFFFF"/>
            <w:vAlign w:val="center"/>
          </w:tcPr>
          <w:p w14:paraId="0913B4A2" w14:textId="77777777" w:rsidR="00C550BB" w:rsidRPr="001E52A6" w:rsidRDefault="00C550BB" w:rsidP="001E52A6">
            <w:pPr>
              <w:autoSpaceDE w:val="0"/>
              <w:autoSpaceDN w:val="0"/>
              <w:adjustRightInd w:val="0"/>
              <w:jc w:val="center"/>
              <w:rPr>
                <w:color w:val="000000"/>
              </w:rPr>
            </w:pPr>
            <w:proofErr w:type="spellStart"/>
            <w:r w:rsidRPr="001E52A6">
              <w:rPr>
                <w:color w:val="000000"/>
              </w:rPr>
              <w:t>Sig</w:t>
            </w:r>
            <w:proofErr w:type="spellEnd"/>
            <w:r w:rsidRPr="001E52A6">
              <w:rPr>
                <w:color w:val="000000"/>
              </w:rPr>
              <w:t>.</w:t>
            </w:r>
          </w:p>
        </w:tc>
      </w:tr>
      <w:tr w:rsidR="00C550BB" w:rsidRPr="001E52A6" w14:paraId="3162073E" w14:textId="77777777" w:rsidTr="00C550BB">
        <w:trPr>
          <w:gridBefore w:val="1"/>
          <w:wBefore w:w="10" w:type="pct"/>
          <w:cantSplit/>
        </w:trPr>
        <w:tc>
          <w:tcPr>
            <w:tcW w:w="1021" w:type="pct"/>
            <w:gridSpan w:val="3"/>
            <w:vMerge w:val="restart"/>
            <w:tcBorders>
              <w:top w:val="single" w:sz="12" w:space="0" w:color="auto"/>
              <w:left w:val="nil"/>
              <w:bottom w:val="nil"/>
            </w:tcBorders>
            <w:shd w:val="clear" w:color="auto" w:fill="FFFFFF"/>
            <w:vAlign w:val="center"/>
          </w:tcPr>
          <w:p w14:paraId="6FEECC6E" w14:textId="77777777" w:rsidR="00C550BB" w:rsidRPr="001E52A6" w:rsidRDefault="00C550BB" w:rsidP="001E52A6">
            <w:pPr>
              <w:autoSpaceDE w:val="0"/>
              <w:autoSpaceDN w:val="0"/>
              <w:adjustRightInd w:val="0"/>
              <w:jc w:val="center"/>
              <w:rPr>
                <w:color w:val="000000"/>
              </w:rPr>
            </w:pPr>
            <w:r w:rsidRPr="001E52A6">
              <w:rPr>
                <w:color w:val="000000"/>
              </w:rPr>
              <w:t>RS15</w:t>
            </w:r>
          </w:p>
        </w:tc>
        <w:tc>
          <w:tcPr>
            <w:tcW w:w="889" w:type="pct"/>
            <w:gridSpan w:val="3"/>
            <w:vMerge w:val="restart"/>
            <w:tcBorders>
              <w:top w:val="single" w:sz="12" w:space="0" w:color="auto"/>
              <w:bottom w:val="nil"/>
            </w:tcBorders>
            <w:shd w:val="clear" w:color="auto" w:fill="FFFFFF"/>
            <w:vAlign w:val="center"/>
          </w:tcPr>
          <w:p w14:paraId="3725964A" w14:textId="77777777" w:rsidR="00C550BB" w:rsidRPr="001E52A6" w:rsidRDefault="00C550BB" w:rsidP="001E52A6">
            <w:pPr>
              <w:autoSpaceDE w:val="0"/>
              <w:autoSpaceDN w:val="0"/>
              <w:adjustRightInd w:val="0"/>
              <w:jc w:val="center"/>
              <w:rPr>
                <w:color w:val="000000"/>
              </w:rPr>
            </w:pPr>
            <w:r w:rsidRPr="001E52A6">
              <w:rPr>
                <w:color w:val="000000"/>
              </w:rPr>
              <w:t>1,0</w:t>
            </w:r>
          </w:p>
        </w:tc>
        <w:tc>
          <w:tcPr>
            <w:tcW w:w="690" w:type="pct"/>
            <w:tcBorders>
              <w:top w:val="single" w:sz="12" w:space="0" w:color="auto"/>
              <w:bottom w:val="nil"/>
              <w:right w:val="single" w:sz="2" w:space="0" w:color="auto"/>
            </w:tcBorders>
            <w:shd w:val="clear" w:color="auto" w:fill="FFFFFF"/>
          </w:tcPr>
          <w:p w14:paraId="38037850" w14:textId="77777777" w:rsidR="00C550BB" w:rsidRPr="001E52A6" w:rsidRDefault="00C550BB" w:rsidP="001E52A6">
            <w:pPr>
              <w:autoSpaceDE w:val="0"/>
              <w:autoSpaceDN w:val="0"/>
              <w:adjustRightInd w:val="0"/>
              <w:jc w:val="center"/>
              <w:rPr>
                <w:color w:val="000000"/>
              </w:rPr>
            </w:pPr>
            <w:r w:rsidRPr="001E52A6">
              <w:rPr>
                <w:color w:val="000000"/>
              </w:rPr>
              <w:t>2,0</w:t>
            </w:r>
          </w:p>
        </w:tc>
        <w:tc>
          <w:tcPr>
            <w:tcW w:w="1414" w:type="pct"/>
            <w:gridSpan w:val="3"/>
            <w:tcBorders>
              <w:top w:val="single" w:sz="12" w:space="0" w:color="auto"/>
              <w:left w:val="single" w:sz="2" w:space="0" w:color="auto"/>
              <w:bottom w:val="nil"/>
            </w:tcBorders>
            <w:shd w:val="clear" w:color="auto" w:fill="FFFFFF"/>
            <w:vAlign w:val="center"/>
          </w:tcPr>
          <w:p w14:paraId="782B7052" w14:textId="77777777" w:rsidR="00C550BB" w:rsidRPr="001E52A6" w:rsidRDefault="00C550BB" w:rsidP="001E52A6">
            <w:pPr>
              <w:autoSpaceDE w:val="0"/>
              <w:autoSpaceDN w:val="0"/>
              <w:adjustRightInd w:val="0"/>
              <w:jc w:val="center"/>
              <w:rPr>
                <w:color w:val="000000"/>
              </w:rPr>
            </w:pPr>
            <w:r w:rsidRPr="001E52A6">
              <w:rPr>
                <w:color w:val="000000"/>
              </w:rPr>
              <w:t>-,23294000</w:t>
            </w:r>
          </w:p>
        </w:tc>
        <w:tc>
          <w:tcPr>
            <w:tcW w:w="976" w:type="pct"/>
            <w:tcBorders>
              <w:top w:val="single" w:sz="12" w:space="0" w:color="auto"/>
              <w:bottom w:val="nil"/>
              <w:right w:val="nil"/>
            </w:tcBorders>
            <w:shd w:val="clear" w:color="auto" w:fill="FFFFFF"/>
            <w:vAlign w:val="center"/>
          </w:tcPr>
          <w:p w14:paraId="35810322" w14:textId="77777777" w:rsidR="00C550BB" w:rsidRPr="001E52A6" w:rsidRDefault="00C550BB" w:rsidP="001E52A6">
            <w:pPr>
              <w:autoSpaceDE w:val="0"/>
              <w:autoSpaceDN w:val="0"/>
              <w:adjustRightInd w:val="0"/>
              <w:jc w:val="center"/>
              <w:rPr>
                <w:color w:val="000000"/>
              </w:rPr>
            </w:pPr>
            <w:r w:rsidRPr="001E52A6">
              <w:rPr>
                <w:color w:val="000000"/>
              </w:rPr>
              <w:t>,273</w:t>
            </w:r>
          </w:p>
        </w:tc>
      </w:tr>
      <w:tr w:rsidR="00C550BB" w:rsidRPr="001E52A6" w14:paraId="783A19E2" w14:textId="77777777" w:rsidTr="00C550BB">
        <w:trPr>
          <w:gridBefore w:val="1"/>
          <w:wBefore w:w="10" w:type="pct"/>
          <w:cantSplit/>
        </w:trPr>
        <w:tc>
          <w:tcPr>
            <w:tcW w:w="1021" w:type="pct"/>
            <w:gridSpan w:val="3"/>
            <w:vMerge/>
            <w:tcBorders>
              <w:top w:val="nil"/>
              <w:left w:val="nil"/>
              <w:bottom w:val="nil"/>
            </w:tcBorders>
            <w:shd w:val="clear" w:color="auto" w:fill="FFFFFF"/>
          </w:tcPr>
          <w:p w14:paraId="18BCB1D6" w14:textId="77777777" w:rsidR="00C550BB" w:rsidRPr="001E52A6" w:rsidRDefault="00C550BB" w:rsidP="001E52A6">
            <w:pPr>
              <w:autoSpaceDE w:val="0"/>
              <w:autoSpaceDN w:val="0"/>
              <w:adjustRightInd w:val="0"/>
              <w:jc w:val="center"/>
              <w:rPr>
                <w:color w:val="000000"/>
              </w:rPr>
            </w:pPr>
          </w:p>
        </w:tc>
        <w:tc>
          <w:tcPr>
            <w:tcW w:w="889" w:type="pct"/>
            <w:gridSpan w:val="3"/>
            <w:vMerge/>
            <w:tcBorders>
              <w:top w:val="nil"/>
              <w:bottom w:val="nil"/>
            </w:tcBorders>
            <w:shd w:val="clear" w:color="auto" w:fill="FFFFFF"/>
            <w:vAlign w:val="center"/>
          </w:tcPr>
          <w:p w14:paraId="19FF3031" w14:textId="77777777" w:rsidR="00C550BB" w:rsidRPr="001E52A6" w:rsidRDefault="00C550BB" w:rsidP="001E52A6">
            <w:pPr>
              <w:autoSpaceDE w:val="0"/>
              <w:autoSpaceDN w:val="0"/>
              <w:adjustRightInd w:val="0"/>
              <w:jc w:val="center"/>
              <w:rPr>
                <w:color w:val="000000"/>
              </w:rPr>
            </w:pPr>
          </w:p>
        </w:tc>
        <w:tc>
          <w:tcPr>
            <w:tcW w:w="690" w:type="pct"/>
            <w:tcBorders>
              <w:top w:val="nil"/>
              <w:bottom w:val="nil"/>
              <w:right w:val="single" w:sz="2" w:space="0" w:color="auto"/>
            </w:tcBorders>
            <w:shd w:val="clear" w:color="auto" w:fill="FFFFFF"/>
          </w:tcPr>
          <w:p w14:paraId="6DE88C48" w14:textId="77777777" w:rsidR="00C550BB" w:rsidRPr="001E52A6" w:rsidRDefault="00C550BB" w:rsidP="001E52A6">
            <w:pPr>
              <w:autoSpaceDE w:val="0"/>
              <w:autoSpaceDN w:val="0"/>
              <w:adjustRightInd w:val="0"/>
              <w:jc w:val="center"/>
              <w:rPr>
                <w:color w:val="000000"/>
              </w:rPr>
            </w:pPr>
            <w:r w:rsidRPr="001E52A6">
              <w:rPr>
                <w:color w:val="000000"/>
              </w:rPr>
              <w:t>3,0</w:t>
            </w:r>
          </w:p>
        </w:tc>
        <w:tc>
          <w:tcPr>
            <w:tcW w:w="1414" w:type="pct"/>
            <w:gridSpan w:val="3"/>
            <w:tcBorders>
              <w:top w:val="nil"/>
              <w:left w:val="single" w:sz="2" w:space="0" w:color="auto"/>
              <w:bottom w:val="nil"/>
            </w:tcBorders>
            <w:shd w:val="clear" w:color="auto" w:fill="FFFFFF"/>
            <w:vAlign w:val="center"/>
          </w:tcPr>
          <w:p w14:paraId="0D5AA71C" w14:textId="77777777" w:rsidR="00C550BB" w:rsidRPr="001E52A6" w:rsidRDefault="00C550BB" w:rsidP="001E52A6">
            <w:pPr>
              <w:autoSpaceDE w:val="0"/>
              <w:autoSpaceDN w:val="0"/>
              <w:adjustRightInd w:val="0"/>
              <w:jc w:val="center"/>
              <w:rPr>
                <w:color w:val="000000"/>
              </w:rPr>
            </w:pPr>
            <w:r w:rsidRPr="001E52A6">
              <w:rPr>
                <w:color w:val="000000"/>
              </w:rPr>
              <w:t>-,53938000</w:t>
            </w:r>
            <w:r w:rsidRPr="001E52A6">
              <w:rPr>
                <w:color w:val="000000"/>
                <w:vertAlign w:val="superscript"/>
              </w:rPr>
              <w:t>*</w:t>
            </w:r>
          </w:p>
        </w:tc>
        <w:tc>
          <w:tcPr>
            <w:tcW w:w="976" w:type="pct"/>
            <w:tcBorders>
              <w:top w:val="nil"/>
              <w:bottom w:val="nil"/>
              <w:right w:val="nil"/>
            </w:tcBorders>
            <w:shd w:val="clear" w:color="auto" w:fill="FFFFFF"/>
            <w:vAlign w:val="center"/>
          </w:tcPr>
          <w:p w14:paraId="69C9A7E0" w14:textId="77777777" w:rsidR="00C550BB" w:rsidRPr="001E52A6" w:rsidRDefault="00C550BB" w:rsidP="001E52A6">
            <w:pPr>
              <w:autoSpaceDE w:val="0"/>
              <w:autoSpaceDN w:val="0"/>
              <w:adjustRightInd w:val="0"/>
              <w:jc w:val="center"/>
              <w:rPr>
                <w:color w:val="000000"/>
              </w:rPr>
            </w:pPr>
            <w:r w:rsidRPr="001E52A6">
              <w:rPr>
                <w:color w:val="000000"/>
              </w:rPr>
              <w:t>,001</w:t>
            </w:r>
          </w:p>
        </w:tc>
      </w:tr>
      <w:tr w:rsidR="00C550BB" w:rsidRPr="001E52A6" w14:paraId="0FB8828F" w14:textId="77777777" w:rsidTr="00C550BB">
        <w:trPr>
          <w:gridBefore w:val="1"/>
          <w:wBefore w:w="10" w:type="pct"/>
          <w:cantSplit/>
        </w:trPr>
        <w:tc>
          <w:tcPr>
            <w:tcW w:w="1021" w:type="pct"/>
            <w:gridSpan w:val="3"/>
            <w:vMerge/>
            <w:tcBorders>
              <w:top w:val="nil"/>
              <w:left w:val="nil"/>
              <w:bottom w:val="nil"/>
            </w:tcBorders>
            <w:shd w:val="clear" w:color="auto" w:fill="FFFFFF"/>
          </w:tcPr>
          <w:p w14:paraId="67FFE750" w14:textId="77777777" w:rsidR="00C550BB" w:rsidRPr="001E52A6" w:rsidRDefault="00C550BB" w:rsidP="001E52A6">
            <w:pPr>
              <w:autoSpaceDE w:val="0"/>
              <w:autoSpaceDN w:val="0"/>
              <w:adjustRightInd w:val="0"/>
              <w:jc w:val="center"/>
              <w:rPr>
                <w:color w:val="000000"/>
              </w:rPr>
            </w:pPr>
          </w:p>
        </w:tc>
        <w:tc>
          <w:tcPr>
            <w:tcW w:w="889" w:type="pct"/>
            <w:gridSpan w:val="3"/>
            <w:vMerge w:val="restart"/>
            <w:tcBorders>
              <w:top w:val="nil"/>
              <w:bottom w:val="nil"/>
            </w:tcBorders>
            <w:shd w:val="clear" w:color="auto" w:fill="FFFFFF"/>
            <w:vAlign w:val="center"/>
          </w:tcPr>
          <w:p w14:paraId="5F59DDC6" w14:textId="77777777" w:rsidR="00C550BB" w:rsidRPr="001E52A6" w:rsidRDefault="00C550BB" w:rsidP="001E52A6">
            <w:pPr>
              <w:autoSpaceDE w:val="0"/>
              <w:autoSpaceDN w:val="0"/>
              <w:adjustRightInd w:val="0"/>
              <w:jc w:val="center"/>
              <w:rPr>
                <w:color w:val="000000"/>
              </w:rPr>
            </w:pPr>
            <w:r w:rsidRPr="001E52A6">
              <w:rPr>
                <w:color w:val="000000"/>
              </w:rPr>
              <w:t>2,0</w:t>
            </w:r>
          </w:p>
        </w:tc>
        <w:tc>
          <w:tcPr>
            <w:tcW w:w="690" w:type="pct"/>
            <w:tcBorders>
              <w:top w:val="nil"/>
              <w:bottom w:val="nil"/>
              <w:right w:val="single" w:sz="2" w:space="0" w:color="auto"/>
            </w:tcBorders>
            <w:shd w:val="clear" w:color="auto" w:fill="FFFFFF"/>
          </w:tcPr>
          <w:p w14:paraId="159DDC7C" w14:textId="77777777" w:rsidR="00C550BB" w:rsidRPr="001E52A6" w:rsidRDefault="00C550BB" w:rsidP="001E52A6">
            <w:pPr>
              <w:autoSpaceDE w:val="0"/>
              <w:autoSpaceDN w:val="0"/>
              <w:adjustRightInd w:val="0"/>
              <w:jc w:val="center"/>
              <w:rPr>
                <w:color w:val="000000"/>
              </w:rPr>
            </w:pPr>
            <w:r w:rsidRPr="001E52A6">
              <w:rPr>
                <w:color w:val="000000"/>
              </w:rPr>
              <w:t>1,0</w:t>
            </w:r>
          </w:p>
        </w:tc>
        <w:tc>
          <w:tcPr>
            <w:tcW w:w="1414" w:type="pct"/>
            <w:gridSpan w:val="3"/>
            <w:tcBorders>
              <w:top w:val="nil"/>
              <w:left w:val="single" w:sz="2" w:space="0" w:color="auto"/>
              <w:bottom w:val="nil"/>
            </w:tcBorders>
            <w:shd w:val="clear" w:color="auto" w:fill="FFFFFF"/>
            <w:vAlign w:val="center"/>
          </w:tcPr>
          <w:p w14:paraId="64203592" w14:textId="77777777" w:rsidR="00C550BB" w:rsidRPr="001E52A6" w:rsidRDefault="00C550BB" w:rsidP="001E52A6">
            <w:pPr>
              <w:autoSpaceDE w:val="0"/>
              <w:autoSpaceDN w:val="0"/>
              <w:adjustRightInd w:val="0"/>
              <w:jc w:val="center"/>
              <w:rPr>
                <w:color w:val="000000"/>
              </w:rPr>
            </w:pPr>
            <w:r w:rsidRPr="001E52A6">
              <w:rPr>
                <w:color w:val="000000"/>
              </w:rPr>
              <w:t>,23294000</w:t>
            </w:r>
          </w:p>
        </w:tc>
        <w:tc>
          <w:tcPr>
            <w:tcW w:w="976" w:type="pct"/>
            <w:tcBorders>
              <w:top w:val="nil"/>
              <w:bottom w:val="nil"/>
              <w:right w:val="nil"/>
            </w:tcBorders>
            <w:shd w:val="clear" w:color="auto" w:fill="FFFFFF"/>
            <w:vAlign w:val="center"/>
          </w:tcPr>
          <w:p w14:paraId="42B4088B" w14:textId="77777777" w:rsidR="00C550BB" w:rsidRPr="001E52A6" w:rsidRDefault="00C550BB" w:rsidP="001E52A6">
            <w:pPr>
              <w:autoSpaceDE w:val="0"/>
              <w:autoSpaceDN w:val="0"/>
              <w:adjustRightInd w:val="0"/>
              <w:jc w:val="center"/>
              <w:rPr>
                <w:color w:val="000000"/>
              </w:rPr>
            </w:pPr>
            <w:r w:rsidRPr="001E52A6">
              <w:rPr>
                <w:color w:val="000000"/>
              </w:rPr>
              <w:t>,273</w:t>
            </w:r>
          </w:p>
        </w:tc>
      </w:tr>
      <w:tr w:rsidR="00C550BB" w:rsidRPr="001E52A6" w14:paraId="64476DDE" w14:textId="77777777" w:rsidTr="00C550BB">
        <w:trPr>
          <w:gridBefore w:val="1"/>
          <w:wBefore w:w="10" w:type="pct"/>
          <w:cantSplit/>
        </w:trPr>
        <w:tc>
          <w:tcPr>
            <w:tcW w:w="1021" w:type="pct"/>
            <w:gridSpan w:val="3"/>
            <w:vMerge/>
            <w:tcBorders>
              <w:top w:val="nil"/>
              <w:left w:val="nil"/>
              <w:bottom w:val="nil"/>
            </w:tcBorders>
            <w:shd w:val="clear" w:color="auto" w:fill="FFFFFF"/>
          </w:tcPr>
          <w:p w14:paraId="3475550F" w14:textId="77777777" w:rsidR="00C550BB" w:rsidRPr="001E52A6" w:rsidRDefault="00C550BB" w:rsidP="001E52A6">
            <w:pPr>
              <w:autoSpaceDE w:val="0"/>
              <w:autoSpaceDN w:val="0"/>
              <w:adjustRightInd w:val="0"/>
              <w:jc w:val="center"/>
              <w:rPr>
                <w:color w:val="000000"/>
              </w:rPr>
            </w:pPr>
          </w:p>
        </w:tc>
        <w:tc>
          <w:tcPr>
            <w:tcW w:w="889" w:type="pct"/>
            <w:gridSpan w:val="3"/>
            <w:vMerge/>
            <w:tcBorders>
              <w:top w:val="nil"/>
              <w:bottom w:val="nil"/>
            </w:tcBorders>
            <w:shd w:val="clear" w:color="auto" w:fill="FFFFFF"/>
            <w:vAlign w:val="center"/>
          </w:tcPr>
          <w:p w14:paraId="144CE144" w14:textId="77777777" w:rsidR="00C550BB" w:rsidRPr="001E52A6" w:rsidRDefault="00C550BB" w:rsidP="001E52A6">
            <w:pPr>
              <w:autoSpaceDE w:val="0"/>
              <w:autoSpaceDN w:val="0"/>
              <w:adjustRightInd w:val="0"/>
              <w:jc w:val="center"/>
              <w:rPr>
                <w:color w:val="000000"/>
              </w:rPr>
            </w:pPr>
          </w:p>
        </w:tc>
        <w:tc>
          <w:tcPr>
            <w:tcW w:w="690" w:type="pct"/>
            <w:tcBorders>
              <w:top w:val="nil"/>
              <w:bottom w:val="nil"/>
              <w:right w:val="single" w:sz="2" w:space="0" w:color="auto"/>
            </w:tcBorders>
            <w:shd w:val="clear" w:color="auto" w:fill="FFFFFF"/>
          </w:tcPr>
          <w:p w14:paraId="646AA5BF" w14:textId="77777777" w:rsidR="00C550BB" w:rsidRPr="001E52A6" w:rsidRDefault="00C550BB" w:rsidP="001E52A6">
            <w:pPr>
              <w:autoSpaceDE w:val="0"/>
              <w:autoSpaceDN w:val="0"/>
              <w:adjustRightInd w:val="0"/>
              <w:jc w:val="center"/>
              <w:rPr>
                <w:color w:val="000000"/>
              </w:rPr>
            </w:pPr>
            <w:r w:rsidRPr="001E52A6">
              <w:rPr>
                <w:color w:val="000000"/>
              </w:rPr>
              <w:t>3,0</w:t>
            </w:r>
          </w:p>
        </w:tc>
        <w:tc>
          <w:tcPr>
            <w:tcW w:w="1414" w:type="pct"/>
            <w:gridSpan w:val="3"/>
            <w:tcBorders>
              <w:top w:val="nil"/>
              <w:left w:val="single" w:sz="2" w:space="0" w:color="auto"/>
              <w:bottom w:val="nil"/>
            </w:tcBorders>
            <w:shd w:val="clear" w:color="auto" w:fill="FFFFFF"/>
            <w:vAlign w:val="center"/>
          </w:tcPr>
          <w:p w14:paraId="6A658B7E" w14:textId="77777777" w:rsidR="00C550BB" w:rsidRPr="001E52A6" w:rsidRDefault="00C550BB" w:rsidP="001E52A6">
            <w:pPr>
              <w:autoSpaceDE w:val="0"/>
              <w:autoSpaceDN w:val="0"/>
              <w:adjustRightInd w:val="0"/>
              <w:jc w:val="center"/>
              <w:rPr>
                <w:color w:val="000000"/>
              </w:rPr>
            </w:pPr>
            <w:r w:rsidRPr="001E52A6">
              <w:rPr>
                <w:color w:val="000000"/>
              </w:rPr>
              <w:t>-,30644000</w:t>
            </w:r>
          </w:p>
        </w:tc>
        <w:tc>
          <w:tcPr>
            <w:tcW w:w="976" w:type="pct"/>
            <w:tcBorders>
              <w:top w:val="nil"/>
              <w:bottom w:val="nil"/>
              <w:right w:val="nil"/>
            </w:tcBorders>
            <w:shd w:val="clear" w:color="auto" w:fill="FFFFFF"/>
            <w:vAlign w:val="center"/>
          </w:tcPr>
          <w:p w14:paraId="54A54B52" w14:textId="77777777" w:rsidR="00C550BB" w:rsidRPr="001E52A6" w:rsidRDefault="00C550BB" w:rsidP="001E52A6">
            <w:pPr>
              <w:autoSpaceDE w:val="0"/>
              <w:autoSpaceDN w:val="0"/>
              <w:adjustRightInd w:val="0"/>
              <w:jc w:val="center"/>
              <w:rPr>
                <w:color w:val="000000"/>
              </w:rPr>
            </w:pPr>
            <w:r w:rsidRPr="001E52A6">
              <w:rPr>
                <w:color w:val="000000"/>
              </w:rPr>
              <w:t>,106</w:t>
            </w:r>
          </w:p>
        </w:tc>
      </w:tr>
      <w:tr w:rsidR="00C550BB" w:rsidRPr="001E52A6" w14:paraId="1EBC1124" w14:textId="77777777" w:rsidTr="00C550BB">
        <w:trPr>
          <w:gridBefore w:val="1"/>
          <w:wBefore w:w="10" w:type="pct"/>
          <w:cantSplit/>
        </w:trPr>
        <w:tc>
          <w:tcPr>
            <w:tcW w:w="1021" w:type="pct"/>
            <w:gridSpan w:val="3"/>
            <w:vMerge/>
            <w:tcBorders>
              <w:top w:val="nil"/>
              <w:left w:val="nil"/>
              <w:bottom w:val="nil"/>
            </w:tcBorders>
            <w:shd w:val="clear" w:color="auto" w:fill="FFFFFF"/>
          </w:tcPr>
          <w:p w14:paraId="234EB8C3" w14:textId="77777777" w:rsidR="00C550BB" w:rsidRPr="001E52A6" w:rsidRDefault="00C550BB" w:rsidP="001E52A6">
            <w:pPr>
              <w:autoSpaceDE w:val="0"/>
              <w:autoSpaceDN w:val="0"/>
              <w:adjustRightInd w:val="0"/>
              <w:jc w:val="center"/>
              <w:rPr>
                <w:color w:val="000000"/>
              </w:rPr>
            </w:pPr>
          </w:p>
        </w:tc>
        <w:tc>
          <w:tcPr>
            <w:tcW w:w="889" w:type="pct"/>
            <w:gridSpan w:val="3"/>
            <w:vMerge w:val="restart"/>
            <w:tcBorders>
              <w:top w:val="nil"/>
              <w:bottom w:val="nil"/>
            </w:tcBorders>
            <w:shd w:val="clear" w:color="auto" w:fill="FFFFFF"/>
            <w:vAlign w:val="center"/>
          </w:tcPr>
          <w:p w14:paraId="1E12E5E3" w14:textId="77777777" w:rsidR="00C550BB" w:rsidRPr="001E52A6" w:rsidRDefault="00C550BB" w:rsidP="001E52A6">
            <w:pPr>
              <w:autoSpaceDE w:val="0"/>
              <w:autoSpaceDN w:val="0"/>
              <w:adjustRightInd w:val="0"/>
              <w:jc w:val="center"/>
              <w:rPr>
                <w:color w:val="000000"/>
              </w:rPr>
            </w:pPr>
            <w:r w:rsidRPr="001E52A6">
              <w:rPr>
                <w:color w:val="000000"/>
              </w:rPr>
              <w:t>3,0</w:t>
            </w:r>
          </w:p>
        </w:tc>
        <w:tc>
          <w:tcPr>
            <w:tcW w:w="690" w:type="pct"/>
            <w:tcBorders>
              <w:top w:val="nil"/>
              <w:bottom w:val="nil"/>
              <w:right w:val="single" w:sz="2" w:space="0" w:color="auto"/>
            </w:tcBorders>
            <w:shd w:val="clear" w:color="auto" w:fill="FFFFFF"/>
          </w:tcPr>
          <w:p w14:paraId="5609EF29" w14:textId="77777777" w:rsidR="00C550BB" w:rsidRPr="001E52A6" w:rsidRDefault="00C550BB" w:rsidP="001E52A6">
            <w:pPr>
              <w:autoSpaceDE w:val="0"/>
              <w:autoSpaceDN w:val="0"/>
              <w:adjustRightInd w:val="0"/>
              <w:jc w:val="center"/>
              <w:rPr>
                <w:color w:val="000000"/>
              </w:rPr>
            </w:pPr>
            <w:r w:rsidRPr="001E52A6">
              <w:rPr>
                <w:color w:val="000000"/>
              </w:rPr>
              <w:t>1,0</w:t>
            </w:r>
          </w:p>
        </w:tc>
        <w:tc>
          <w:tcPr>
            <w:tcW w:w="1414" w:type="pct"/>
            <w:gridSpan w:val="3"/>
            <w:tcBorders>
              <w:top w:val="nil"/>
              <w:left w:val="single" w:sz="2" w:space="0" w:color="auto"/>
              <w:bottom w:val="nil"/>
            </w:tcBorders>
            <w:shd w:val="clear" w:color="auto" w:fill="FFFFFF"/>
            <w:vAlign w:val="center"/>
          </w:tcPr>
          <w:p w14:paraId="5628CC7D" w14:textId="77777777" w:rsidR="00C550BB" w:rsidRPr="001E52A6" w:rsidRDefault="00C550BB" w:rsidP="001E52A6">
            <w:pPr>
              <w:autoSpaceDE w:val="0"/>
              <w:autoSpaceDN w:val="0"/>
              <w:adjustRightInd w:val="0"/>
              <w:jc w:val="center"/>
              <w:rPr>
                <w:color w:val="000000"/>
              </w:rPr>
            </w:pPr>
            <w:r w:rsidRPr="001E52A6">
              <w:rPr>
                <w:color w:val="000000"/>
              </w:rPr>
              <w:t>,53938000</w:t>
            </w:r>
            <w:r w:rsidRPr="001E52A6">
              <w:rPr>
                <w:color w:val="000000"/>
                <w:vertAlign w:val="superscript"/>
              </w:rPr>
              <w:t>*</w:t>
            </w:r>
          </w:p>
        </w:tc>
        <w:tc>
          <w:tcPr>
            <w:tcW w:w="976" w:type="pct"/>
            <w:tcBorders>
              <w:top w:val="nil"/>
              <w:bottom w:val="nil"/>
              <w:right w:val="nil"/>
            </w:tcBorders>
            <w:shd w:val="clear" w:color="auto" w:fill="FFFFFF"/>
            <w:vAlign w:val="center"/>
          </w:tcPr>
          <w:p w14:paraId="7639B405" w14:textId="77777777" w:rsidR="00C550BB" w:rsidRPr="001E52A6" w:rsidRDefault="00C550BB" w:rsidP="001E52A6">
            <w:pPr>
              <w:autoSpaceDE w:val="0"/>
              <w:autoSpaceDN w:val="0"/>
              <w:adjustRightInd w:val="0"/>
              <w:jc w:val="center"/>
              <w:rPr>
                <w:color w:val="000000"/>
              </w:rPr>
            </w:pPr>
            <w:r w:rsidRPr="001E52A6">
              <w:rPr>
                <w:color w:val="000000"/>
              </w:rPr>
              <w:t>,001</w:t>
            </w:r>
          </w:p>
        </w:tc>
      </w:tr>
      <w:tr w:rsidR="00C550BB" w:rsidRPr="001E52A6" w14:paraId="5C08B8B7" w14:textId="77777777" w:rsidTr="00C550BB">
        <w:trPr>
          <w:gridBefore w:val="1"/>
          <w:wBefore w:w="10" w:type="pct"/>
          <w:cantSplit/>
          <w:trHeight w:val="354"/>
        </w:trPr>
        <w:tc>
          <w:tcPr>
            <w:tcW w:w="1021" w:type="pct"/>
            <w:gridSpan w:val="3"/>
            <w:vMerge/>
            <w:tcBorders>
              <w:top w:val="nil"/>
              <w:left w:val="nil"/>
              <w:bottom w:val="single" w:sz="18" w:space="0" w:color="auto"/>
            </w:tcBorders>
            <w:shd w:val="clear" w:color="auto" w:fill="FFFFFF"/>
          </w:tcPr>
          <w:p w14:paraId="2FEA4628" w14:textId="77777777" w:rsidR="00C550BB" w:rsidRPr="001E52A6" w:rsidRDefault="00C550BB" w:rsidP="001E52A6">
            <w:pPr>
              <w:autoSpaceDE w:val="0"/>
              <w:autoSpaceDN w:val="0"/>
              <w:adjustRightInd w:val="0"/>
              <w:jc w:val="center"/>
              <w:rPr>
                <w:color w:val="000000"/>
              </w:rPr>
            </w:pPr>
          </w:p>
        </w:tc>
        <w:tc>
          <w:tcPr>
            <w:tcW w:w="889" w:type="pct"/>
            <w:gridSpan w:val="3"/>
            <w:vMerge/>
            <w:tcBorders>
              <w:top w:val="nil"/>
              <w:bottom w:val="single" w:sz="18" w:space="0" w:color="auto"/>
            </w:tcBorders>
            <w:shd w:val="clear" w:color="auto" w:fill="FFFFFF"/>
          </w:tcPr>
          <w:p w14:paraId="49922939" w14:textId="77777777" w:rsidR="00C550BB" w:rsidRPr="001E52A6" w:rsidRDefault="00C550BB" w:rsidP="001E52A6">
            <w:pPr>
              <w:autoSpaceDE w:val="0"/>
              <w:autoSpaceDN w:val="0"/>
              <w:adjustRightInd w:val="0"/>
              <w:jc w:val="center"/>
              <w:rPr>
                <w:color w:val="000000"/>
              </w:rPr>
            </w:pPr>
          </w:p>
        </w:tc>
        <w:tc>
          <w:tcPr>
            <w:tcW w:w="690" w:type="pct"/>
            <w:tcBorders>
              <w:top w:val="nil"/>
              <w:bottom w:val="single" w:sz="18" w:space="0" w:color="auto"/>
              <w:right w:val="single" w:sz="2" w:space="0" w:color="auto"/>
            </w:tcBorders>
            <w:shd w:val="clear" w:color="auto" w:fill="FFFFFF"/>
          </w:tcPr>
          <w:p w14:paraId="07444E7F" w14:textId="77777777" w:rsidR="00C550BB" w:rsidRPr="001E52A6" w:rsidRDefault="00C550BB" w:rsidP="001E52A6">
            <w:pPr>
              <w:autoSpaceDE w:val="0"/>
              <w:autoSpaceDN w:val="0"/>
              <w:adjustRightInd w:val="0"/>
              <w:jc w:val="center"/>
              <w:rPr>
                <w:color w:val="000000"/>
              </w:rPr>
            </w:pPr>
            <w:r w:rsidRPr="001E52A6">
              <w:rPr>
                <w:color w:val="000000"/>
              </w:rPr>
              <w:t>2,0</w:t>
            </w:r>
          </w:p>
        </w:tc>
        <w:tc>
          <w:tcPr>
            <w:tcW w:w="1414" w:type="pct"/>
            <w:gridSpan w:val="3"/>
            <w:tcBorders>
              <w:top w:val="nil"/>
              <w:left w:val="single" w:sz="2" w:space="0" w:color="auto"/>
              <w:bottom w:val="single" w:sz="18" w:space="0" w:color="auto"/>
            </w:tcBorders>
            <w:shd w:val="clear" w:color="auto" w:fill="FFFFFF"/>
            <w:vAlign w:val="center"/>
          </w:tcPr>
          <w:p w14:paraId="628408FE" w14:textId="77777777" w:rsidR="00C550BB" w:rsidRPr="001E52A6" w:rsidRDefault="00C550BB" w:rsidP="001E52A6">
            <w:pPr>
              <w:autoSpaceDE w:val="0"/>
              <w:autoSpaceDN w:val="0"/>
              <w:adjustRightInd w:val="0"/>
              <w:jc w:val="center"/>
              <w:rPr>
                <w:color w:val="000000"/>
              </w:rPr>
            </w:pPr>
            <w:r w:rsidRPr="001E52A6">
              <w:rPr>
                <w:color w:val="000000"/>
              </w:rPr>
              <w:t>,30644000</w:t>
            </w:r>
          </w:p>
        </w:tc>
        <w:tc>
          <w:tcPr>
            <w:tcW w:w="976" w:type="pct"/>
            <w:tcBorders>
              <w:top w:val="nil"/>
              <w:bottom w:val="nil"/>
              <w:right w:val="nil"/>
            </w:tcBorders>
            <w:shd w:val="clear" w:color="auto" w:fill="FFFFFF"/>
            <w:vAlign w:val="center"/>
          </w:tcPr>
          <w:p w14:paraId="7E59F493" w14:textId="77777777" w:rsidR="00C550BB" w:rsidRPr="001E52A6" w:rsidRDefault="00C550BB" w:rsidP="001E52A6">
            <w:pPr>
              <w:autoSpaceDE w:val="0"/>
              <w:autoSpaceDN w:val="0"/>
              <w:adjustRightInd w:val="0"/>
              <w:jc w:val="center"/>
              <w:rPr>
                <w:color w:val="000000"/>
              </w:rPr>
            </w:pPr>
            <w:r w:rsidRPr="001E52A6">
              <w:rPr>
                <w:color w:val="000000"/>
              </w:rPr>
              <w:t>,106</w:t>
            </w:r>
          </w:p>
        </w:tc>
      </w:tr>
      <w:tr w:rsidR="00C550BB" w:rsidRPr="001E52A6" w14:paraId="7121DB2E" w14:textId="77777777" w:rsidTr="00C550BB">
        <w:trPr>
          <w:gridBefore w:val="1"/>
          <w:wBefore w:w="10" w:type="pct"/>
          <w:cantSplit/>
        </w:trPr>
        <w:tc>
          <w:tcPr>
            <w:tcW w:w="4990" w:type="pct"/>
            <w:gridSpan w:val="11"/>
            <w:tcBorders>
              <w:top w:val="single" w:sz="18" w:space="0" w:color="auto"/>
              <w:left w:val="nil"/>
              <w:bottom w:val="single" w:sz="18" w:space="0" w:color="auto"/>
              <w:right w:val="nil"/>
            </w:tcBorders>
            <w:shd w:val="clear" w:color="auto" w:fill="FFFFFF"/>
          </w:tcPr>
          <w:p w14:paraId="55A3347F" w14:textId="77777777" w:rsidR="00C550BB" w:rsidRPr="001E52A6" w:rsidRDefault="00C550BB" w:rsidP="001E52A6">
            <w:pPr>
              <w:autoSpaceDE w:val="0"/>
              <w:autoSpaceDN w:val="0"/>
              <w:adjustRightInd w:val="0"/>
              <w:jc w:val="center"/>
              <w:rPr>
                <w:b/>
                <w:color w:val="000000"/>
              </w:rPr>
            </w:pPr>
            <w:r w:rsidRPr="001E52A6">
              <w:rPr>
                <w:b/>
                <w:color w:val="000000"/>
              </w:rPr>
              <w:t>Risco Idiossincrático para a Dinamarca</w:t>
            </w:r>
          </w:p>
        </w:tc>
      </w:tr>
      <w:tr w:rsidR="00C550BB" w:rsidRPr="001E52A6" w14:paraId="45CE7E07" w14:textId="77777777" w:rsidTr="00C550BB">
        <w:trPr>
          <w:cantSplit/>
          <w:trHeight w:val="57"/>
        </w:trPr>
        <w:tc>
          <w:tcPr>
            <w:tcW w:w="1035" w:type="pct"/>
            <w:gridSpan w:val="5"/>
            <w:tcBorders>
              <w:top w:val="single" w:sz="18" w:space="0" w:color="auto"/>
              <w:left w:val="nil"/>
              <w:bottom w:val="single" w:sz="16" w:space="0" w:color="000000"/>
              <w:right w:val="single" w:sz="2" w:space="0" w:color="auto"/>
            </w:tcBorders>
            <w:shd w:val="clear" w:color="auto" w:fill="FFFFFF"/>
          </w:tcPr>
          <w:p w14:paraId="3AE254E5" w14:textId="77777777" w:rsidR="00C550BB" w:rsidRPr="001E52A6" w:rsidRDefault="00C550BB" w:rsidP="001E52A6">
            <w:pPr>
              <w:autoSpaceDE w:val="0"/>
              <w:autoSpaceDN w:val="0"/>
              <w:adjustRightInd w:val="0"/>
              <w:contextualSpacing/>
              <w:jc w:val="center"/>
            </w:pPr>
          </w:p>
        </w:tc>
        <w:tc>
          <w:tcPr>
            <w:tcW w:w="880" w:type="pct"/>
            <w:tcBorders>
              <w:top w:val="single" w:sz="18" w:space="0" w:color="auto"/>
              <w:left w:val="single" w:sz="2" w:space="0" w:color="auto"/>
              <w:bottom w:val="single" w:sz="12" w:space="0" w:color="auto"/>
            </w:tcBorders>
            <w:shd w:val="clear" w:color="auto" w:fill="FFFFFF"/>
            <w:vAlign w:val="center"/>
          </w:tcPr>
          <w:p w14:paraId="17DF9F4C" w14:textId="77777777" w:rsidR="00C550BB" w:rsidRPr="001E52A6" w:rsidRDefault="00C550BB" w:rsidP="001E52A6">
            <w:pPr>
              <w:autoSpaceDE w:val="0"/>
              <w:autoSpaceDN w:val="0"/>
              <w:adjustRightInd w:val="0"/>
              <w:contextualSpacing/>
              <w:jc w:val="center"/>
              <w:rPr>
                <w:color w:val="000000"/>
              </w:rPr>
            </w:pPr>
            <w:r w:rsidRPr="001E52A6">
              <w:rPr>
                <w:color w:val="000000"/>
              </w:rPr>
              <w:t>Σ Quadrados</w:t>
            </w:r>
          </w:p>
        </w:tc>
        <w:tc>
          <w:tcPr>
            <w:tcW w:w="742" w:type="pct"/>
            <w:gridSpan w:val="3"/>
            <w:tcBorders>
              <w:top w:val="single" w:sz="18" w:space="0" w:color="auto"/>
              <w:bottom w:val="single" w:sz="12" w:space="0" w:color="auto"/>
            </w:tcBorders>
            <w:shd w:val="clear" w:color="auto" w:fill="FFFFFF"/>
            <w:vAlign w:val="center"/>
          </w:tcPr>
          <w:p w14:paraId="78EEF2BC" w14:textId="77777777" w:rsidR="00C550BB" w:rsidRPr="001E52A6" w:rsidRDefault="00C550BB" w:rsidP="001E52A6">
            <w:pPr>
              <w:autoSpaceDE w:val="0"/>
              <w:autoSpaceDN w:val="0"/>
              <w:adjustRightInd w:val="0"/>
              <w:contextualSpacing/>
              <w:jc w:val="center"/>
              <w:rPr>
                <w:color w:val="000000"/>
              </w:rPr>
            </w:pPr>
            <w:proofErr w:type="spellStart"/>
            <w:r w:rsidRPr="001E52A6">
              <w:rPr>
                <w:color w:val="000000"/>
              </w:rPr>
              <w:t>df</w:t>
            </w:r>
            <w:proofErr w:type="spellEnd"/>
          </w:p>
        </w:tc>
        <w:tc>
          <w:tcPr>
            <w:tcW w:w="885" w:type="pct"/>
            <w:tcBorders>
              <w:top w:val="single" w:sz="18" w:space="0" w:color="auto"/>
              <w:bottom w:val="single" w:sz="12" w:space="0" w:color="auto"/>
            </w:tcBorders>
            <w:shd w:val="clear" w:color="auto" w:fill="FFFFFF"/>
            <w:vAlign w:val="center"/>
          </w:tcPr>
          <w:p w14:paraId="01E3051F" w14:textId="77777777" w:rsidR="00C550BB" w:rsidRPr="001E52A6" w:rsidRDefault="00C550BB" w:rsidP="001E52A6">
            <w:pPr>
              <w:autoSpaceDE w:val="0"/>
              <w:autoSpaceDN w:val="0"/>
              <w:adjustRightInd w:val="0"/>
              <w:contextualSpacing/>
              <w:jc w:val="center"/>
              <w:rPr>
                <w:color w:val="000000"/>
              </w:rPr>
            </w:pPr>
            <w:r w:rsidRPr="001E52A6">
              <w:rPr>
                <w:color w:val="000000"/>
              </w:rPr>
              <w:t>Quadrado Médio</w:t>
            </w:r>
          </w:p>
        </w:tc>
        <w:tc>
          <w:tcPr>
            <w:tcW w:w="482" w:type="pct"/>
            <w:tcBorders>
              <w:top w:val="single" w:sz="18" w:space="0" w:color="auto"/>
              <w:bottom w:val="single" w:sz="12" w:space="0" w:color="auto"/>
            </w:tcBorders>
            <w:shd w:val="clear" w:color="auto" w:fill="FFFFFF"/>
            <w:vAlign w:val="center"/>
          </w:tcPr>
          <w:p w14:paraId="7D481C3F" w14:textId="77777777" w:rsidR="00C550BB" w:rsidRPr="001E52A6" w:rsidRDefault="00C550BB" w:rsidP="001E52A6">
            <w:pPr>
              <w:autoSpaceDE w:val="0"/>
              <w:autoSpaceDN w:val="0"/>
              <w:adjustRightInd w:val="0"/>
              <w:contextualSpacing/>
              <w:jc w:val="center"/>
              <w:rPr>
                <w:color w:val="000000"/>
              </w:rPr>
            </w:pPr>
            <w:r w:rsidRPr="001E52A6">
              <w:rPr>
                <w:color w:val="000000"/>
              </w:rPr>
              <w:t>F</w:t>
            </w:r>
          </w:p>
        </w:tc>
        <w:tc>
          <w:tcPr>
            <w:tcW w:w="976" w:type="pct"/>
            <w:tcBorders>
              <w:top w:val="single" w:sz="18" w:space="0" w:color="auto"/>
              <w:bottom w:val="single" w:sz="12" w:space="0" w:color="auto"/>
              <w:right w:val="nil"/>
            </w:tcBorders>
            <w:shd w:val="clear" w:color="auto" w:fill="FFFFFF"/>
            <w:vAlign w:val="center"/>
          </w:tcPr>
          <w:p w14:paraId="5270A09D" w14:textId="77777777" w:rsidR="00C550BB" w:rsidRPr="001E52A6" w:rsidRDefault="00C550BB" w:rsidP="001E52A6">
            <w:pPr>
              <w:autoSpaceDE w:val="0"/>
              <w:autoSpaceDN w:val="0"/>
              <w:adjustRightInd w:val="0"/>
              <w:jc w:val="center"/>
              <w:rPr>
                <w:color w:val="000000"/>
              </w:rPr>
            </w:pPr>
            <w:proofErr w:type="spellStart"/>
            <w:r w:rsidRPr="001E52A6">
              <w:rPr>
                <w:color w:val="000000"/>
              </w:rPr>
              <w:t>Sig</w:t>
            </w:r>
            <w:proofErr w:type="spellEnd"/>
            <w:r w:rsidRPr="001E52A6">
              <w:rPr>
                <w:color w:val="000000"/>
              </w:rPr>
              <w:t>.</w:t>
            </w:r>
          </w:p>
        </w:tc>
      </w:tr>
      <w:tr w:rsidR="00C550BB" w:rsidRPr="001E52A6" w14:paraId="61BCB521" w14:textId="77777777" w:rsidTr="00C550BB">
        <w:trPr>
          <w:cantSplit/>
        </w:trPr>
        <w:tc>
          <w:tcPr>
            <w:tcW w:w="352" w:type="pct"/>
            <w:gridSpan w:val="2"/>
            <w:vMerge w:val="restart"/>
            <w:tcBorders>
              <w:top w:val="single" w:sz="12" w:space="0" w:color="auto"/>
              <w:left w:val="nil"/>
              <w:bottom w:val="nil"/>
              <w:right w:val="nil"/>
            </w:tcBorders>
            <w:shd w:val="clear" w:color="auto" w:fill="FFFFFF"/>
            <w:vAlign w:val="center"/>
          </w:tcPr>
          <w:p w14:paraId="1DC5A7F7" w14:textId="77777777" w:rsidR="00C550BB" w:rsidRPr="001E52A6" w:rsidRDefault="00C550BB" w:rsidP="001E52A6">
            <w:pPr>
              <w:autoSpaceDE w:val="0"/>
              <w:autoSpaceDN w:val="0"/>
              <w:adjustRightInd w:val="0"/>
              <w:jc w:val="center"/>
              <w:rPr>
                <w:color w:val="000000"/>
              </w:rPr>
            </w:pPr>
            <w:r w:rsidRPr="001E52A6">
              <w:rPr>
                <w:color w:val="000000"/>
              </w:rPr>
              <w:t>RI12</w:t>
            </w:r>
          </w:p>
        </w:tc>
        <w:tc>
          <w:tcPr>
            <w:tcW w:w="683" w:type="pct"/>
            <w:gridSpan w:val="3"/>
            <w:tcBorders>
              <w:top w:val="single" w:sz="12" w:space="0" w:color="auto"/>
              <w:left w:val="nil"/>
              <w:bottom w:val="nil"/>
              <w:right w:val="single" w:sz="2" w:space="0" w:color="auto"/>
            </w:tcBorders>
            <w:shd w:val="clear" w:color="auto" w:fill="FFFFFF"/>
            <w:vAlign w:val="center"/>
          </w:tcPr>
          <w:p w14:paraId="42C964E7"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0" w:type="pct"/>
            <w:tcBorders>
              <w:top w:val="single" w:sz="12" w:space="0" w:color="auto"/>
              <w:left w:val="single" w:sz="2" w:space="0" w:color="auto"/>
              <w:bottom w:val="nil"/>
            </w:tcBorders>
            <w:shd w:val="clear" w:color="auto" w:fill="FFFFFF"/>
          </w:tcPr>
          <w:p w14:paraId="4330D845" w14:textId="77777777" w:rsidR="00C550BB" w:rsidRPr="001E52A6" w:rsidRDefault="00C550BB" w:rsidP="001E52A6">
            <w:pPr>
              <w:autoSpaceDE w:val="0"/>
              <w:autoSpaceDN w:val="0"/>
              <w:adjustRightInd w:val="0"/>
              <w:jc w:val="center"/>
              <w:rPr>
                <w:color w:val="000000"/>
              </w:rPr>
            </w:pPr>
            <w:r w:rsidRPr="001E52A6">
              <w:rPr>
                <w:color w:val="000000"/>
              </w:rPr>
              <w:t>,000</w:t>
            </w:r>
          </w:p>
        </w:tc>
        <w:tc>
          <w:tcPr>
            <w:tcW w:w="742" w:type="pct"/>
            <w:gridSpan w:val="3"/>
            <w:tcBorders>
              <w:top w:val="single" w:sz="12" w:space="0" w:color="auto"/>
              <w:bottom w:val="nil"/>
            </w:tcBorders>
            <w:shd w:val="clear" w:color="auto" w:fill="FFFFFF"/>
          </w:tcPr>
          <w:p w14:paraId="43E5AD8D"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885" w:type="pct"/>
            <w:tcBorders>
              <w:top w:val="single" w:sz="12" w:space="0" w:color="auto"/>
              <w:bottom w:val="nil"/>
            </w:tcBorders>
            <w:shd w:val="clear" w:color="auto" w:fill="FFFFFF"/>
          </w:tcPr>
          <w:p w14:paraId="5D3FD5EF" w14:textId="77777777" w:rsidR="00C550BB" w:rsidRPr="001E52A6" w:rsidRDefault="00C550BB" w:rsidP="001E52A6">
            <w:pPr>
              <w:autoSpaceDE w:val="0"/>
              <w:autoSpaceDN w:val="0"/>
              <w:adjustRightInd w:val="0"/>
              <w:jc w:val="center"/>
              <w:rPr>
                <w:color w:val="000000"/>
              </w:rPr>
            </w:pPr>
            <w:r w:rsidRPr="001E52A6">
              <w:rPr>
                <w:color w:val="000000"/>
              </w:rPr>
              <w:t>,000</w:t>
            </w:r>
          </w:p>
        </w:tc>
        <w:tc>
          <w:tcPr>
            <w:tcW w:w="482" w:type="pct"/>
            <w:tcBorders>
              <w:top w:val="single" w:sz="12" w:space="0" w:color="auto"/>
              <w:bottom w:val="nil"/>
            </w:tcBorders>
            <w:shd w:val="clear" w:color="auto" w:fill="FFFFFF"/>
            <w:vAlign w:val="center"/>
          </w:tcPr>
          <w:p w14:paraId="74FF1840" w14:textId="77777777" w:rsidR="00C550BB" w:rsidRPr="001E52A6" w:rsidRDefault="00C550BB" w:rsidP="001E52A6">
            <w:pPr>
              <w:autoSpaceDE w:val="0"/>
              <w:autoSpaceDN w:val="0"/>
              <w:adjustRightInd w:val="0"/>
              <w:jc w:val="center"/>
              <w:rPr>
                <w:color w:val="000000"/>
              </w:rPr>
            </w:pPr>
            <w:r w:rsidRPr="001E52A6">
              <w:rPr>
                <w:color w:val="000000"/>
              </w:rPr>
              <w:t>,273</w:t>
            </w:r>
          </w:p>
        </w:tc>
        <w:tc>
          <w:tcPr>
            <w:tcW w:w="976" w:type="pct"/>
            <w:tcBorders>
              <w:top w:val="single" w:sz="12" w:space="0" w:color="auto"/>
              <w:bottom w:val="nil"/>
              <w:right w:val="nil"/>
            </w:tcBorders>
            <w:shd w:val="clear" w:color="auto" w:fill="FFFFFF"/>
          </w:tcPr>
          <w:p w14:paraId="795234B3" w14:textId="77777777" w:rsidR="00C550BB" w:rsidRPr="001E52A6" w:rsidRDefault="00C550BB" w:rsidP="001E52A6">
            <w:pPr>
              <w:autoSpaceDE w:val="0"/>
              <w:autoSpaceDN w:val="0"/>
              <w:adjustRightInd w:val="0"/>
              <w:jc w:val="center"/>
              <w:rPr>
                <w:color w:val="000000"/>
              </w:rPr>
            </w:pPr>
            <w:r w:rsidRPr="001E52A6">
              <w:rPr>
                <w:color w:val="000000"/>
              </w:rPr>
              <w:t>1,000</w:t>
            </w:r>
          </w:p>
        </w:tc>
      </w:tr>
      <w:tr w:rsidR="00C550BB" w:rsidRPr="001E52A6" w14:paraId="70D4408D" w14:textId="77777777" w:rsidTr="00C550BB">
        <w:trPr>
          <w:gridAfter w:val="1"/>
          <w:wAfter w:w="976" w:type="pct"/>
          <w:cantSplit/>
        </w:trPr>
        <w:tc>
          <w:tcPr>
            <w:tcW w:w="352" w:type="pct"/>
            <w:gridSpan w:val="2"/>
            <w:vMerge/>
            <w:tcBorders>
              <w:top w:val="single" w:sz="16" w:space="0" w:color="000000"/>
              <w:left w:val="nil"/>
              <w:bottom w:val="nil"/>
              <w:right w:val="nil"/>
            </w:tcBorders>
            <w:shd w:val="clear" w:color="auto" w:fill="FFFFFF"/>
            <w:vAlign w:val="center"/>
          </w:tcPr>
          <w:p w14:paraId="1F7DA7CE" w14:textId="77777777" w:rsidR="00C550BB" w:rsidRPr="001E52A6" w:rsidRDefault="00C550BB" w:rsidP="001E52A6">
            <w:pPr>
              <w:autoSpaceDE w:val="0"/>
              <w:autoSpaceDN w:val="0"/>
              <w:adjustRightInd w:val="0"/>
              <w:jc w:val="center"/>
              <w:rPr>
                <w:color w:val="000000"/>
              </w:rPr>
            </w:pPr>
          </w:p>
        </w:tc>
        <w:tc>
          <w:tcPr>
            <w:tcW w:w="683" w:type="pct"/>
            <w:gridSpan w:val="3"/>
            <w:tcBorders>
              <w:top w:val="nil"/>
              <w:left w:val="nil"/>
              <w:bottom w:val="nil"/>
              <w:right w:val="single" w:sz="2" w:space="0" w:color="auto"/>
            </w:tcBorders>
            <w:shd w:val="clear" w:color="auto" w:fill="FFFFFF"/>
            <w:vAlign w:val="center"/>
          </w:tcPr>
          <w:p w14:paraId="329B4422"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0" w:type="pct"/>
            <w:tcBorders>
              <w:top w:val="nil"/>
              <w:left w:val="single" w:sz="2" w:space="0" w:color="auto"/>
              <w:bottom w:val="nil"/>
            </w:tcBorders>
            <w:shd w:val="clear" w:color="auto" w:fill="FFFFFF"/>
          </w:tcPr>
          <w:p w14:paraId="09918BF8" w14:textId="77777777" w:rsidR="00C550BB" w:rsidRPr="001E52A6" w:rsidRDefault="00C550BB" w:rsidP="001E52A6">
            <w:pPr>
              <w:autoSpaceDE w:val="0"/>
              <w:autoSpaceDN w:val="0"/>
              <w:adjustRightInd w:val="0"/>
              <w:jc w:val="center"/>
              <w:rPr>
                <w:color w:val="000000"/>
              </w:rPr>
            </w:pPr>
            <w:r w:rsidRPr="001E52A6">
              <w:rPr>
                <w:color w:val="000000"/>
              </w:rPr>
              <w:t>,303</w:t>
            </w:r>
          </w:p>
        </w:tc>
        <w:tc>
          <w:tcPr>
            <w:tcW w:w="742" w:type="pct"/>
            <w:gridSpan w:val="3"/>
            <w:tcBorders>
              <w:top w:val="nil"/>
              <w:bottom w:val="nil"/>
            </w:tcBorders>
            <w:shd w:val="clear" w:color="auto" w:fill="FFFFFF"/>
          </w:tcPr>
          <w:p w14:paraId="2FB364BD"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885" w:type="pct"/>
            <w:tcBorders>
              <w:top w:val="nil"/>
              <w:bottom w:val="nil"/>
            </w:tcBorders>
            <w:shd w:val="clear" w:color="auto" w:fill="FFFFFF"/>
          </w:tcPr>
          <w:p w14:paraId="102C709E" w14:textId="77777777" w:rsidR="00C550BB" w:rsidRPr="001E52A6" w:rsidRDefault="00C550BB" w:rsidP="001E52A6">
            <w:pPr>
              <w:autoSpaceDE w:val="0"/>
              <w:autoSpaceDN w:val="0"/>
              <w:adjustRightInd w:val="0"/>
              <w:jc w:val="center"/>
              <w:rPr>
                <w:color w:val="000000"/>
              </w:rPr>
            </w:pPr>
            <w:r w:rsidRPr="001E52A6">
              <w:rPr>
                <w:color w:val="000000"/>
              </w:rPr>
              <w:t>,001</w:t>
            </w:r>
          </w:p>
        </w:tc>
        <w:tc>
          <w:tcPr>
            <w:tcW w:w="482" w:type="pct"/>
            <w:tcBorders>
              <w:top w:val="nil"/>
              <w:bottom w:val="nil"/>
            </w:tcBorders>
            <w:shd w:val="clear" w:color="auto" w:fill="FFFFFF"/>
            <w:vAlign w:val="center"/>
          </w:tcPr>
          <w:p w14:paraId="13E91B98" w14:textId="77777777" w:rsidR="00C550BB" w:rsidRPr="001E52A6" w:rsidRDefault="00C550BB" w:rsidP="001E52A6">
            <w:pPr>
              <w:autoSpaceDE w:val="0"/>
              <w:autoSpaceDN w:val="0"/>
              <w:adjustRightInd w:val="0"/>
              <w:jc w:val="center"/>
            </w:pPr>
            <w:r w:rsidRPr="001E52A6">
              <w:rPr>
                <w:color w:val="000000"/>
              </w:rPr>
              <w:t>,001</w:t>
            </w:r>
          </w:p>
        </w:tc>
      </w:tr>
      <w:tr w:rsidR="00C550BB" w:rsidRPr="001E52A6" w14:paraId="1257D86D" w14:textId="77777777" w:rsidTr="00C550BB">
        <w:trPr>
          <w:cantSplit/>
        </w:trPr>
        <w:tc>
          <w:tcPr>
            <w:tcW w:w="352" w:type="pct"/>
            <w:gridSpan w:val="2"/>
            <w:vMerge w:val="restart"/>
            <w:tcBorders>
              <w:top w:val="nil"/>
              <w:left w:val="nil"/>
              <w:bottom w:val="nil"/>
              <w:right w:val="nil"/>
            </w:tcBorders>
            <w:shd w:val="clear" w:color="auto" w:fill="FFFFFF"/>
            <w:vAlign w:val="center"/>
          </w:tcPr>
          <w:p w14:paraId="19BD531E" w14:textId="77777777" w:rsidR="00C550BB" w:rsidRPr="001E52A6" w:rsidRDefault="00C550BB" w:rsidP="001E52A6">
            <w:pPr>
              <w:autoSpaceDE w:val="0"/>
              <w:autoSpaceDN w:val="0"/>
              <w:adjustRightInd w:val="0"/>
              <w:jc w:val="center"/>
              <w:rPr>
                <w:color w:val="000000"/>
              </w:rPr>
            </w:pPr>
            <w:r w:rsidRPr="001E52A6">
              <w:rPr>
                <w:color w:val="000000"/>
              </w:rPr>
              <w:t>RI13</w:t>
            </w:r>
          </w:p>
        </w:tc>
        <w:tc>
          <w:tcPr>
            <w:tcW w:w="683" w:type="pct"/>
            <w:gridSpan w:val="3"/>
            <w:tcBorders>
              <w:top w:val="nil"/>
              <w:left w:val="nil"/>
              <w:bottom w:val="nil"/>
              <w:right w:val="single" w:sz="2" w:space="0" w:color="auto"/>
            </w:tcBorders>
            <w:shd w:val="clear" w:color="auto" w:fill="FFFFFF"/>
            <w:vAlign w:val="center"/>
          </w:tcPr>
          <w:p w14:paraId="0F2A5CF9"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0" w:type="pct"/>
            <w:tcBorders>
              <w:top w:val="nil"/>
              <w:left w:val="single" w:sz="2" w:space="0" w:color="auto"/>
              <w:bottom w:val="nil"/>
            </w:tcBorders>
            <w:shd w:val="clear" w:color="auto" w:fill="FFFFFF"/>
          </w:tcPr>
          <w:p w14:paraId="673D8356" w14:textId="77777777" w:rsidR="00C550BB" w:rsidRPr="001E52A6" w:rsidRDefault="00C550BB" w:rsidP="001E52A6">
            <w:pPr>
              <w:autoSpaceDE w:val="0"/>
              <w:autoSpaceDN w:val="0"/>
              <w:adjustRightInd w:val="0"/>
              <w:jc w:val="center"/>
              <w:rPr>
                <w:color w:val="000000"/>
              </w:rPr>
            </w:pPr>
            <w:r w:rsidRPr="001E52A6">
              <w:rPr>
                <w:color w:val="000000"/>
              </w:rPr>
              <w:t>,000</w:t>
            </w:r>
          </w:p>
        </w:tc>
        <w:tc>
          <w:tcPr>
            <w:tcW w:w="742" w:type="pct"/>
            <w:gridSpan w:val="3"/>
            <w:tcBorders>
              <w:top w:val="nil"/>
              <w:bottom w:val="nil"/>
            </w:tcBorders>
            <w:shd w:val="clear" w:color="auto" w:fill="FFFFFF"/>
          </w:tcPr>
          <w:p w14:paraId="3DE47400"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885" w:type="pct"/>
            <w:tcBorders>
              <w:top w:val="nil"/>
              <w:bottom w:val="nil"/>
            </w:tcBorders>
            <w:shd w:val="clear" w:color="auto" w:fill="FFFFFF"/>
          </w:tcPr>
          <w:p w14:paraId="00430436" w14:textId="77777777" w:rsidR="00C550BB" w:rsidRPr="001E52A6" w:rsidRDefault="00C550BB" w:rsidP="001E52A6">
            <w:pPr>
              <w:autoSpaceDE w:val="0"/>
              <w:autoSpaceDN w:val="0"/>
              <w:adjustRightInd w:val="0"/>
              <w:jc w:val="center"/>
              <w:rPr>
                <w:color w:val="000000"/>
              </w:rPr>
            </w:pPr>
            <w:r w:rsidRPr="001E52A6">
              <w:rPr>
                <w:color w:val="000000"/>
              </w:rPr>
              <w:t>,000</w:t>
            </w:r>
          </w:p>
        </w:tc>
        <w:tc>
          <w:tcPr>
            <w:tcW w:w="482" w:type="pct"/>
            <w:tcBorders>
              <w:top w:val="nil"/>
              <w:bottom w:val="nil"/>
            </w:tcBorders>
            <w:shd w:val="clear" w:color="auto" w:fill="FFFFFF"/>
            <w:vAlign w:val="center"/>
          </w:tcPr>
          <w:p w14:paraId="260547C9" w14:textId="77777777" w:rsidR="00C550BB" w:rsidRPr="001E52A6" w:rsidRDefault="00C550BB" w:rsidP="001E52A6">
            <w:pPr>
              <w:autoSpaceDE w:val="0"/>
              <w:autoSpaceDN w:val="0"/>
              <w:adjustRightInd w:val="0"/>
              <w:jc w:val="center"/>
              <w:rPr>
                <w:color w:val="000000"/>
              </w:rPr>
            </w:pPr>
            <w:r w:rsidRPr="001E52A6">
              <w:rPr>
                <w:color w:val="000000"/>
              </w:rPr>
              <w:t>,273</w:t>
            </w:r>
          </w:p>
        </w:tc>
        <w:tc>
          <w:tcPr>
            <w:tcW w:w="976" w:type="pct"/>
            <w:tcBorders>
              <w:top w:val="nil"/>
              <w:bottom w:val="nil"/>
              <w:right w:val="nil"/>
            </w:tcBorders>
            <w:shd w:val="clear" w:color="auto" w:fill="FFFFFF"/>
          </w:tcPr>
          <w:p w14:paraId="339FBE64" w14:textId="77777777" w:rsidR="00C550BB" w:rsidRPr="001E52A6" w:rsidRDefault="00C550BB" w:rsidP="001E52A6">
            <w:pPr>
              <w:autoSpaceDE w:val="0"/>
              <w:autoSpaceDN w:val="0"/>
              <w:adjustRightInd w:val="0"/>
              <w:jc w:val="center"/>
              <w:rPr>
                <w:color w:val="000000"/>
              </w:rPr>
            </w:pPr>
            <w:r w:rsidRPr="001E52A6">
              <w:rPr>
                <w:color w:val="000000"/>
              </w:rPr>
              <w:t>1,000</w:t>
            </w:r>
          </w:p>
        </w:tc>
      </w:tr>
      <w:tr w:rsidR="00C550BB" w:rsidRPr="001E52A6" w14:paraId="16DEA1BB" w14:textId="77777777" w:rsidTr="00C550BB">
        <w:trPr>
          <w:cantSplit/>
        </w:trPr>
        <w:tc>
          <w:tcPr>
            <w:tcW w:w="352" w:type="pct"/>
            <w:gridSpan w:val="2"/>
            <w:vMerge/>
            <w:tcBorders>
              <w:top w:val="nil"/>
              <w:left w:val="nil"/>
              <w:bottom w:val="nil"/>
              <w:right w:val="nil"/>
            </w:tcBorders>
            <w:shd w:val="clear" w:color="auto" w:fill="FFFFFF"/>
            <w:vAlign w:val="center"/>
          </w:tcPr>
          <w:p w14:paraId="4F1675C2" w14:textId="77777777" w:rsidR="00C550BB" w:rsidRPr="001E52A6" w:rsidRDefault="00C550BB" w:rsidP="001E52A6">
            <w:pPr>
              <w:autoSpaceDE w:val="0"/>
              <w:autoSpaceDN w:val="0"/>
              <w:adjustRightInd w:val="0"/>
              <w:jc w:val="center"/>
              <w:rPr>
                <w:color w:val="000000"/>
              </w:rPr>
            </w:pPr>
          </w:p>
        </w:tc>
        <w:tc>
          <w:tcPr>
            <w:tcW w:w="683" w:type="pct"/>
            <w:gridSpan w:val="3"/>
            <w:tcBorders>
              <w:top w:val="nil"/>
              <w:left w:val="nil"/>
              <w:bottom w:val="nil"/>
              <w:right w:val="single" w:sz="2" w:space="0" w:color="auto"/>
            </w:tcBorders>
            <w:shd w:val="clear" w:color="auto" w:fill="FFFFFF"/>
            <w:vAlign w:val="center"/>
          </w:tcPr>
          <w:p w14:paraId="2BB07B1B"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0" w:type="pct"/>
            <w:tcBorders>
              <w:top w:val="nil"/>
              <w:left w:val="single" w:sz="2" w:space="0" w:color="auto"/>
              <w:bottom w:val="nil"/>
            </w:tcBorders>
            <w:shd w:val="clear" w:color="auto" w:fill="FFFFFF"/>
          </w:tcPr>
          <w:p w14:paraId="2C6F764E" w14:textId="77777777" w:rsidR="00C550BB" w:rsidRPr="001E52A6" w:rsidRDefault="00C550BB" w:rsidP="001E52A6">
            <w:pPr>
              <w:autoSpaceDE w:val="0"/>
              <w:autoSpaceDN w:val="0"/>
              <w:adjustRightInd w:val="0"/>
              <w:jc w:val="center"/>
              <w:rPr>
                <w:color w:val="000000"/>
              </w:rPr>
            </w:pPr>
            <w:r w:rsidRPr="001E52A6">
              <w:rPr>
                <w:color w:val="000000"/>
              </w:rPr>
              <w:t>,625</w:t>
            </w:r>
          </w:p>
        </w:tc>
        <w:tc>
          <w:tcPr>
            <w:tcW w:w="742" w:type="pct"/>
            <w:gridSpan w:val="3"/>
            <w:tcBorders>
              <w:top w:val="nil"/>
              <w:bottom w:val="nil"/>
            </w:tcBorders>
            <w:shd w:val="clear" w:color="auto" w:fill="FFFFFF"/>
          </w:tcPr>
          <w:p w14:paraId="4B1A4A5A"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885" w:type="pct"/>
            <w:tcBorders>
              <w:top w:val="nil"/>
              <w:bottom w:val="nil"/>
            </w:tcBorders>
            <w:shd w:val="clear" w:color="auto" w:fill="FFFFFF"/>
          </w:tcPr>
          <w:p w14:paraId="4AA34B7E" w14:textId="77777777" w:rsidR="00C550BB" w:rsidRPr="001E52A6" w:rsidRDefault="00C550BB" w:rsidP="001E52A6">
            <w:pPr>
              <w:autoSpaceDE w:val="0"/>
              <w:autoSpaceDN w:val="0"/>
              <w:adjustRightInd w:val="0"/>
              <w:jc w:val="center"/>
              <w:rPr>
                <w:color w:val="000000"/>
              </w:rPr>
            </w:pPr>
            <w:r w:rsidRPr="001E52A6">
              <w:rPr>
                <w:color w:val="000000"/>
              </w:rPr>
              <w:t>,002</w:t>
            </w:r>
          </w:p>
        </w:tc>
        <w:tc>
          <w:tcPr>
            <w:tcW w:w="482" w:type="pct"/>
            <w:tcBorders>
              <w:top w:val="nil"/>
              <w:bottom w:val="nil"/>
            </w:tcBorders>
            <w:shd w:val="clear" w:color="auto" w:fill="FFFFFF"/>
            <w:vAlign w:val="center"/>
          </w:tcPr>
          <w:p w14:paraId="7593F0B8" w14:textId="77777777" w:rsidR="00C550BB" w:rsidRPr="001E52A6" w:rsidRDefault="00C550BB" w:rsidP="001E52A6">
            <w:pPr>
              <w:autoSpaceDE w:val="0"/>
              <w:autoSpaceDN w:val="0"/>
              <w:adjustRightInd w:val="0"/>
              <w:jc w:val="center"/>
            </w:pPr>
            <w:r w:rsidRPr="001E52A6">
              <w:rPr>
                <w:color w:val="000000"/>
              </w:rPr>
              <w:t>,106</w:t>
            </w:r>
          </w:p>
        </w:tc>
        <w:tc>
          <w:tcPr>
            <w:tcW w:w="976" w:type="pct"/>
            <w:tcBorders>
              <w:top w:val="nil"/>
              <w:bottom w:val="nil"/>
              <w:right w:val="nil"/>
            </w:tcBorders>
            <w:shd w:val="clear" w:color="auto" w:fill="FFFFFF"/>
          </w:tcPr>
          <w:p w14:paraId="4786BBC7" w14:textId="77777777" w:rsidR="00C550BB" w:rsidRPr="001E52A6" w:rsidRDefault="00C550BB" w:rsidP="001E52A6">
            <w:pPr>
              <w:autoSpaceDE w:val="0"/>
              <w:autoSpaceDN w:val="0"/>
              <w:adjustRightInd w:val="0"/>
              <w:jc w:val="center"/>
              <w:rPr>
                <w:color w:val="000000"/>
              </w:rPr>
            </w:pPr>
          </w:p>
        </w:tc>
      </w:tr>
      <w:tr w:rsidR="00C550BB" w:rsidRPr="001E52A6" w14:paraId="5EB71D4A" w14:textId="77777777" w:rsidTr="00C550BB">
        <w:trPr>
          <w:cantSplit/>
        </w:trPr>
        <w:tc>
          <w:tcPr>
            <w:tcW w:w="352" w:type="pct"/>
            <w:gridSpan w:val="2"/>
            <w:vMerge w:val="restart"/>
            <w:tcBorders>
              <w:top w:val="nil"/>
              <w:left w:val="nil"/>
              <w:bottom w:val="nil"/>
              <w:right w:val="nil"/>
            </w:tcBorders>
            <w:shd w:val="clear" w:color="auto" w:fill="FFFFFF"/>
            <w:vAlign w:val="center"/>
          </w:tcPr>
          <w:p w14:paraId="75EF2DA4" w14:textId="77777777" w:rsidR="00C550BB" w:rsidRPr="001E52A6" w:rsidRDefault="00C550BB" w:rsidP="001E52A6">
            <w:pPr>
              <w:autoSpaceDE w:val="0"/>
              <w:autoSpaceDN w:val="0"/>
              <w:adjustRightInd w:val="0"/>
              <w:jc w:val="center"/>
              <w:rPr>
                <w:color w:val="000000"/>
              </w:rPr>
            </w:pPr>
            <w:r w:rsidRPr="001E52A6">
              <w:rPr>
                <w:color w:val="000000"/>
              </w:rPr>
              <w:t>RI14</w:t>
            </w:r>
          </w:p>
        </w:tc>
        <w:tc>
          <w:tcPr>
            <w:tcW w:w="683" w:type="pct"/>
            <w:gridSpan w:val="3"/>
            <w:tcBorders>
              <w:top w:val="nil"/>
              <w:left w:val="nil"/>
              <w:bottom w:val="nil"/>
              <w:right w:val="single" w:sz="2" w:space="0" w:color="auto"/>
            </w:tcBorders>
            <w:shd w:val="clear" w:color="auto" w:fill="FFFFFF"/>
            <w:vAlign w:val="center"/>
          </w:tcPr>
          <w:p w14:paraId="73B6DAF2"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0" w:type="pct"/>
            <w:tcBorders>
              <w:top w:val="nil"/>
              <w:left w:val="single" w:sz="2" w:space="0" w:color="auto"/>
              <w:bottom w:val="nil"/>
            </w:tcBorders>
            <w:shd w:val="clear" w:color="auto" w:fill="FFFFFF"/>
          </w:tcPr>
          <w:p w14:paraId="48FA652F" w14:textId="77777777" w:rsidR="00C550BB" w:rsidRPr="001E52A6" w:rsidRDefault="00C550BB" w:rsidP="001E52A6">
            <w:pPr>
              <w:autoSpaceDE w:val="0"/>
              <w:autoSpaceDN w:val="0"/>
              <w:adjustRightInd w:val="0"/>
              <w:jc w:val="center"/>
              <w:rPr>
                <w:color w:val="000000"/>
              </w:rPr>
            </w:pPr>
            <w:r w:rsidRPr="001E52A6">
              <w:rPr>
                <w:color w:val="000000"/>
              </w:rPr>
              <w:t>,001</w:t>
            </w:r>
          </w:p>
        </w:tc>
        <w:tc>
          <w:tcPr>
            <w:tcW w:w="742" w:type="pct"/>
            <w:gridSpan w:val="3"/>
            <w:tcBorders>
              <w:top w:val="nil"/>
              <w:bottom w:val="nil"/>
            </w:tcBorders>
            <w:shd w:val="clear" w:color="auto" w:fill="FFFFFF"/>
          </w:tcPr>
          <w:p w14:paraId="49088BDF"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885" w:type="pct"/>
            <w:tcBorders>
              <w:top w:val="nil"/>
              <w:bottom w:val="nil"/>
            </w:tcBorders>
            <w:shd w:val="clear" w:color="auto" w:fill="FFFFFF"/>
          </w:tcPr>
          <w:p w14:paraId="67EAD502" w14:textId="77777777" w:rsidR="00C550BB" w:rsidRPr="001E52A6" w:rsidRDefault="00C550BB" w:rsidP="001E52A6">
            <w:pPr>
              <w:autoSpaceDE w:val="0"/>
              <w:autoSpaceDN w:val="0"/>
              <w:adjustRightInd w:val="0"/>
              <w:jc w:val="center"/>
              <w:rPr>
                <w:color w:val="000000"/>
              </w:rPr>
            </w:pPr>
            <w:r w:rsidRPr="001E52A6">
              <w:rPr>
                <w:color w:val="000000"/>
              </w:rPr>
              <w:t>,000</w:t>
            </w:r>
          </w:p>
        </w:tc>
        <w:tc>
          <w:tcPr>
            <w:tcW w:w="482" w:type="pct"/>
            <w:tcBorders>
              <w:top w:val="nil"/>
              <w:bottom w:val="nil"/>
            </w:tcBorders>
            <w:shd w:val="clear" w:color="auto" w:fill="FFFFFF"/>
            <w:vAlign w:val="center"/>
          </w:tcPr>
          <w:p w14:paraId="36FA9641" w14:textId="77777777" w:rsidR="00C550BB" w:rsidRPr="001E52A6" w:rsidRDefault="00C550BB" w:rsidP="001E52A6">
            <w:pPr>
              <w:autoSpaceDE w:val="0"/>
              <w:autoSpaceDN w:val="0"/>
              <w:adjustRightInd w:val="0"/>
              <w:jc w:val="center"/>
              <w:rPr>
                <w:color w:val="000000"/>
              </w:rPr>
            </w:pPr>
            <w:r w:rsidRPr="001E52A6">
              <w:rPr>
                <w:color w:val="000000"/>
              </w:rPr>
              <w:t>,001</w:t>
            </w:r>
          </w:p>
        </w:tc>
        <w:tc>
          <w:tcPr>
            <w:tcW w:w="976" w:type="pct"/>
            <w:tcBorders>
              <w:top w:val="nil"/>
              <w:bottom w:val="nil"/>
              <w:right w:val="nil"/>
            </w:tcBorders>
            <w:shd w:val="clear" w:color="auto" w:fill="FFFFFF"/>
          </w:tcPr>
          <w:p w14:paraId="4662FE00" w14:textId="77777777" w:rsidR="00C550BB" w:rsidRPr="001E52A6" w:rsidRDefault="00C550BB" w:rsidP="001E52A6">
            <w:pPr>
              <w:autoSpaceDE w:val="0"/>
              <w:autoSpaceDN w:val="0"/>
              <w:adjustRightInd w:val="0"/>
              <w:jc w:val="center"/>
              <w:rPr>
                <w:color w:val="000000"/>
              </w:rPr>
            </w:pPr>
            <w:r w:rsidRPr="001E52A6">
              <w:rPr>
                <w:color w:val="000000"/>
              </w:rPr>
              <w:t>,858</w:t>
            </w:r>
          </w:p>
        </w:tc>
      </w:tr>
      <w:tr w:rsidR="00C550BB" w:rsidRPr="001E52A6" w14:paraId="607BAD83" w14:textId="77777777" w:rsidTr="00C550BB">
        <w:trPr>
          <w:cantSplit/>
        </w:trPr>
        <w:tc>
          <w:tcPr>
            <w:tcW w:w="352" w:type="pct"/>
            <w:gridSpan w:val="2"/>
            <w:vMerge/>
            <w:tcBorders>
              <w:top w:val="nil"/>
              <w:left w:val="nil"/>
              <w:bottom w:val="nil"/>
              <w:right w:val="nil"/>
            </w:tcBorders>
            <w:shd w:val="clear" w:color="auto" w:fill="FFFFFF"/>
            <w:vAlign w:val="center"/>
          </w:tcPr>
          <w:p w14:paraId="31EB912D" w14:textId="77777777" w:rsidR="00C550BB" w:rsidRPr="001E52A6" w:rsidRDefault="00C550BB" w:rsidP="001E52A6">
            <w:pPr>
              <w:autoSpaceDE w:val="0"/>
              <w:autoSpaceDN w:val="0"/>
              <w:adjustRightInd w:val="0"/>
              <w:jc w:val="center"/>
              <w:rPr>
                <w:color w:val="000000"/>
              </w:rPr>
            </w:pPr>
          </w:p>
        </w:tc>
        <w:tc>
          <w:tcPr>
            <w:tcW w:w="683" w:type="pct"/>
            <w:gridSpan w:val="3"/>
            <w:tcBorders>
              <w:top w:val="nil"/>
              <w:left w:val="nil"/>
              <w:bottom w:val="nil"/>
              <w:right w:val="single" w:sz="2" w:space="0" w:color="auto"/>
            </w:tcBorders>
            <w:shd w:val="clear" w:color="auto" w:fill="FFFFFF"/>
            <w:vAlign w:val="center"/>
          </w:tcPr>
          <w:p w14:paraId="352D3767"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0" w:type="pct"/>
            <w:tcBorders>
              <w:top w:val="nil"/>
              <w:left w:val="single" w:sz="2" w:space="0" w:color="auto"/>
              <w:bottom w:val="nil"/>
            </w:tcBorders>
            <w:shd w:val="clear" w:color="auto" w:fill="FFFFFF"/>
          </w:tcPr>
          <w:p w14:paraId="22B32BE8" w14:textId="77777777" w:rsidR="00C550BB" w:rsidRPr="001E52A6" w:rsidRDefault="00C550BB" w:rsidP="001E52A6">
            <w:pPr>
              <w:autoSpaceDE w:val="0"/>
              <w:autoSpaceDN w:val="0"/>
              <w:adjustRightInd w:val="0"/>
              <w:jc w:val="center"/>
              <w:rPr>
                <w:color w:val="000000"/>
              </w:rPr>
            </w:pPr>
            <w:r w:rsidRPr="001E52A6">
              <w:rPr>
                <w:color w:val="000000"/>
              </w:rPr>
              <w:t>,607</w:t>
            </w:r>
          </w:p>
        </w:tc>
        <w:tc>
          <w:tcPr>
            <w:tcW w:w="742" w:type="pct"/>
            <w:gridSpan w:val="3"/>
            <w:tcBorders>
              <w:top w:val="nil"/>
              <w:bottom w:val="nil"/>
            </w:tcBorders>
            <w:shd w:val="clear" w:color="auto" w:fill="FFFFFF"/>
          </w:tcPr>
          <w:p w14:paraId="4EA833AE"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885" w:type="pct"/>
            <w:tcBorders>
              <w:top w:val="nil"/>
              <w:bottom w:val="nil"/>
            </w:tcBorders>
            <w:shd w:val="clear" w:color="auto" w:fill="FFFFFF"/>
          </w:tcPr>
          <w:p w14:paraId="25D3703B" w14:textId="77777777" w:rsidR="00C550BB" w:rsidRPr="001E52A6" w:rsidRDefault="00C550BB" w:rsidP="001E52A6">
            <w:pPr>
              <w:autoSpaceDE w:val="0"/>
              <w:autoSpaceDN w:val="0"/>
              <w:adjustRightInd w:val="0"/>
              <w:jc w:val="center"/>
              <w:rPr>
                <w:color w:val="000000"/>
              </w:rPr>
            </w:pPr>
            <w:r w:rsidRPr="001E52A6">
              <w:rPr>
                <w:color w:val="000000"/>
              </w:rPr>
              <w:t>,002</w:t>
            </w:r>
          </w:p>
        </w:tc>
        <w:tc>
          <w:tcPr>
            <w:tcW w:w="482" w:type="pct"/>
            <w:tcBorders>
              <w:top w:val="nil"/>
              <w:bottom w:val="nil"/>
            </w:tcBorders>
            <w:shd w:val="clear" w:color="auto" w:fill="FFFFFF"/>
            <w:vAlign w:val="center"/>
          </w:tcPr>
          <w:p w14:paraId="3B854EFE" w14:textId="77777777" w:rsidR="00C550BB" w:rsidRPr="001E52A6" w:rsidRDefault="00C550BB" w:rsidP="001E52A6">
            <w:pPr>
              <w:autoSpaceDE w:val="0"/>
              <w:autoSpaceDN w:val="0"/>
              <w:adjustRightInd w:val="0"/>
              <w:jc w:val="center"/>
            </w:pPr>
            <w:r w:rsidRPr="001E52A6">
              <w:rPr>
                <w:color w:val="000000"/>
              </w:rPr>
              <w:t>,106</w:t>
            </w:r>
          </w:p>
        </w:tc>
        <w:tc>
          <w:tcPr>
            <w:tcW w:w="976" w:type="pct"/>
            <w:tcBorders>
              <w:top w:val="nil"/>
              <w:bottom w:val="nil"/>
              <w:right w:val="nil"/>
            </w:tcBorders>
            <w:shd w:val="clear" w:color="auto" w:fill="FFFFFF"/>
          </w:tcPr>
          <w:p w14:paraId="04342BA9" w14:textId="77777777" w:rsidR="00C550BB" w:rsidRPr="001E52A6" w:rsidRDefault="00C550BB" w:rsidP="001E52A6">
            <w:pPr>
              <w:autoSpaceDE w:val="0"/>
              <w:autoSpaceDN w:val="0"/>
              <w:adjustRightInd w:val="0"/>
              <w:jc w:val="center"/>
              <w:rPr>
                <w:color w:val="000000"/>
              </w:rPr>
            </w:pPr>
          </w:p>
        </w:tc>
      </w:tr>
      <w:tr w:rsidR="00C550BB" w:rsidRPr="001E52A6" w14:paraId="5D8E7BC9" w14:textId="77777777" w:rsidTr="00C550BB">
        <w:trPr>
          <w:cantSplit/>
        </w:trPr>
        <w:tc>
          <w:tcPr>
            <w:tcW w:w="352" w:type="pct"/>
            <w:gridSpan w:val="2"/>
            <w:vMerge w:val="restart"/>
            <w:tcBorders>
              <w:top w:val="nil"/>
              <w:left w:val="nil"/>
              <w:bottom w:val="single" w:sz="16" w:space="0" w:color="000000"/>
              <w:right w:val="nil"/>
            </w:tcBorders>
            <w:shd w:val="clear" w:color="auto" w:fill="FFFFFF"/>
            <w:vAlign w:val="center"/>
          </w:tcPr>
          <w:p w14:paraId="03BC607F" w14:textId="77777777" w:rsidR="00C550BB" w:rsidRPr="001E52A6" w:rsidRDefault="00C550BB" w:rsidP="001E52A6">
            <w:pPr>
              <w:autoSpaceDE w:val="0"/>
              <w:autoSpaceDN w:val="0"/>
              <w:adjustRightInd w:val="0"/>
              <w:jc w:val="center"/>
              <w:rPr>
                <w:color w:val="000000"/>
              </w:rPr>
            </w:pPr>
            <w:r w:rsidRPr="001E52A6">
              <w:rPr>
                <w:color w:val="000000"/>
              </w:rPr>
              <w:t>RI15</w:t>
            </w:r>
          </w:p>
        </w:tc>
        <w:tc>
          <w:tcPr>
            <w:tcW w:w="683" w:type="pct"/>
            <w:gridSpan w:val="3"/>
            <w:tcBorders>
              <w:top w:val="nil"/>
              <w:left w:val="nil"/>
              <w:bottom w:val="nil"/>
              <w:right w:val="single" w:sz="2" w:space="0" w:color="auto"/>
            </w:tcBorders>
            <w:shd w:val="clear" w:color="auto" w:fill="FFFFFF"/>
            <w:vAlign w:val="center"/>
          </w:tcPr>
          <w:p w14:paraId="6CCE9CCF" w14:textId="77777777" w:rsidR="00C550BB" w:rsidRPr="001E52A6" w:rsidRDefault="00C550BB" w:rsidP="001E52A6">
            <w:pPr>
              <w:autoSpaceDE w:val="0"/>
              <w:autoSpaceDN w:val="0"/>
              <w:adjustRightInd w:val="0"/>
              <w:jc w:val="center"/>
              <w:rPr>
                <w:color w:val="000000"/>
              </w:rPr>
            </w:pPr>
            <w:r w:rsidRPr="001E52A6">
              <w:rPr>
                <w:color w:val="000000"/>
              </w:rPr>
              <w:t>Entre Grupos</w:t>
            </w:r>
          </w:p>
        </w:tc>
        <w:tc>
          <w:tcPr>
            <w:tcW w:w="880" w:type="pct"/>
            <w:tcBorders>
              <w:top w:val="nil"/>
              <w:left w:val="single" w:sz="2" w:space="0" w:color="auto"/>
              <w:bottom w:val="nil"/>
            </w:tcBorders>
            <w:shd w:val="clear" w:color="auto" w:fill="FFFFFF"/>
          </w:tcPr>
          <w:p w14:paraId="4D62A5A3" w14:textId="77777777" w:rsidR="00C550BB" w:rsidRPr="001E52A6" w:rsidRDefault="00C550BB" w:rsidP="001E52A6">
            <w:pPr>
              <w:autoSpaceDE w:val="0"/>
              <w:autoSpaceDN w:val="0"/>
              <w:adjustRightInd w:val="0"/>
              <w:jc w:val="center"/>
              <w:rPr>
                <w:color w:val="000000"/>
              </w:rPr>
            </w:pPr>
            <w:r w:rsidRPr="001E52A6">
              <w:rPr>
                <w:color w:val="000000"/>
              </w:rPr>
              <w:t>,002</w:t>
            </w:r>
          </w:p>
        </w:tc>
        <w:tc>
          <w:tcPr>
            <w:tcW w:w="742" w:type="pct"/>
            <w:gridSpan w:val="3"/>
            <w:tcBorders>
              <w:top w:val="nil"/>
              <w:bottom w:val="nil"/>
            </w:tcBorders>
            <w:shd w:val="clear" w:color="auto" w:fill="FFFFFF"/>
          </w:tcPr>
          <w:p w14:paraId="5C79428B" w14:textId="77777777" w:rsidR="00C550BB" w:rsidRPr="001E52A6" w:rsidRDefault="00C550BB" w:rsidP="001E52A6">
            <w:pPr>
              <w:autoSpaceDE w:val="0"/>
              <w:autoSpaceDN w:val="0"/>
              <w:adjustRightInd w:val="0"/>
              <w:jc w:val="center"/>
              <w:rPr>
                <w:color w:val="000000"/>
              </w:rPr>
            </w:pPr>
            <w:r w:rsidRPr="001E52A6">
              <w:rPr>
                <w:color w:val="000000"/>
              </w:rPr>
              <w:t>2</w:t>
            </w:r>
          </w:p>
        </w:tc>
        <w:tc>
          <w:tcPr>
            <w:tcW w:w="885" w:type="pct"/>
            <w:tcBorders>
              <w:top w:val="nil"/>
              <w:bottom w:val="nil"/>
            </w:tcBorders>
            <w:shd w:val="clear" w:color="auto" w:fill="FFFFFF"/>
          </w:tcPr>
          <w:p w14:paraId="32FAB0A7" w14:textId="77777777" w:rsidR="00C550BB" w:rsidRPr="001E52A6" w:rsidRDefault="00C550BB" w:rsidP="001E52A6">
            <w:pPr>
              <w:autoSpaceDE w:val="0"/>
              <w:autoSpaceDN w:val="0"/>
              <w:adjustRightInd w:val="0"/>
              <w:jc w:val="center"/>
              <w:rPr>
                <w:color w:val="000000"/>
              </w:rPr>
            </w:pPr>
            <w:r w:rsidRPr="001E52A6">
              <w:rPr>
                <w:color w:val="000000"/>
              </w:rPr>
              <w:t>,001</w:t>
            </w:r>
          </w:p>
        </w:tc>
        <w:tc>
          <w:tcPr>
            <w:tcW w:w="482" w:type="pct"/>
            <w:tcBorders>
              <w:top w:val="nil"/>
              <w:bottom w:val="nil"/>
            </w:tcBorders>
            <w:shd w:val="clear" w:color="auto" w:fill="FFFFFF"/>
            <w:vAlign w:val="center"/>
          </w:tcPr>
          <w:p w14:paraId="5657CE8F" w14:textId="77777777" w:rsidR="00C550BB" w:rsidRPr="001E52A6" w:rsidRDefault="00C550BB" w:rsidP="001E52A6">
            <w:pPr>
              <w:autoSpaceDE w:val="0"/>
              <w:autoSpaceDN w:val="0"/>
              <w:adjustRightInd w:val="0"/>
              <w:jc w:val="center"/>
              <w:rPr>
                <w:color w:val="000000"/>
              </w:rPr>
            </w:pPr>
            <w:proofErr w:type="spellStart"/>
            <w:r w:rsidRPr="001E52A6">
              <w:rPr>
                <w:color w:val="000000"/>
              </w:rPr>
              <w:t>Sig</w:t>
            </w:r>
            <w:proofErr w:type="spellEnd"/>
            <w:r w:rsidRPr="001E52A6">
              <w:rPr>
                <w:color w:val="000000"/>
              </w:rPr>
              <w:t>.</w:t>
            </w:r>
          </w:p>
        </w:tc>
        <w:tc>
          <w:tcPr>
            <w:tcW w:w="976" w:type="pct"/>
            <w:tcBorders>
              <w:top w:val="nil"/>
              <w:bottom w:val="nil"/>
              <w:right w:val="nil"/>
            </w:tcBorders>
            <w:shd w:val="clear" w:color="auto" w:fill="FFFFFF"/>
          </w:tcPr>
          <w:p w14:paraId="019C2044" w14:textId="77777777" w:rsidR="00C550BB" w:rsidRPr="001E52A6" w:rsidRDefault="00C550BB" w:rsidP="001E52A6">
            <w:pPr>
              <w:autoSpaceDE w:val="0"/>
              <w:autoSpaceDN w:val="0"/>
              <w:adjustRightInd w:val="0"/>
              <w:jc w:val="center"/>
              <w:rPr>
                <w:color w:val="000000"/>
              </w:rPr>
            </w:pPr>
            <w:r w:rsidRPr="001E52A6">
              <w:rPr>
                <w:color w:val="000000"/>
              </w:rPr>
              <w:t>,535</w:t>
            </w:r>
          </w:p>
        </w:tc>
      </w:tr>
      <w:tr w:rsidR="00C550BB" w:rsidRPr="001E52A6" w14:paraId="70F8C35E" w14:textId="77777777" w:rsidTr="00C550BB">
        <w:trPr>
          <w:cantSplit/>
        </w:trPr>
        <w:tc>
          <w:tcPr>
            <w:tcW w:w="352" w:type="pct"/>
            <w:gridSpan w:val="2"/>
            <w:vMerge/>
            <w:tcBorders>
              <w:top w:val="nil"/>
              <w:left w:val="nil"/>
              <w:bottom w:val="single" w:sz="18" w:space="0" w:color="auto"/>
              <w:right w:val="nil"/>
            </w:tcBorders>
            <w:shd w:val="clear" w:color="auto" w:fill="FFFFFF"/>
            <w:vAlign w:val="center"/>
          </w:tcPr>
          <w:p w14:paraId="3E2FB8DE" w14:textId="77777777" w:rsidR="00C550BB" w:rsidRPr="001E52A6" w:rsidRDefault="00C550BB" w:rsidP="001E52A6">
            <w:pPr>
              <w:autoSpaceDE w:val="0"/>
              <w:autoSpaceDN w:val="0"/>
              <w:adjustRightInd w:val="0"/>
              <w:jc w:val="center"/>
              <w:rPr>
                <w:color w:val="000000"/>
              </w:rPr>
            </w:pPr>
          </w:p>
        </w:tc>
        <w:tc>
          <w:tcPr>
            <w:tcW w:w="683" w:type="pct"/>
            <w:gridSpan w:val="3"/>
            <w:tcBorders>
              <w:top w:val="nil"/>
              <w:left w:val="nil"/>
              <w:bottom w:val="single" w:sz="18" w:space="0" w:color="auto"/>
              <w:right w:val="single" w:sz="2" w:space="0" w:color="auto"/>
            </w:tcBorders>
            <w:shd w:val="clear" w:color="auto" w:fill="FFFFFF"/>
            <w:vAlign w:val="center"/>
          </w:tcPr>
          <w:p w14:paraId="47D402B3" w14:textId="77777777" w:rsidR="00C550BB" w:rsidRPr="001E52A6" w:rsidRDefault="00C550BB" w:rsidP="001E52A6">
            <w:pPr>
              <w:autoSpaceDE w:val="0"/>
              <w:autoSpaceDN w:val="0"/>
              <w:adjustRightInd w:val="0"/>
              <w:jc w:val="center"/>
              <w:rPr>
                <w:color w:val="000000"/>
              </w:rPr>
            </w:pPr>
            <w:r w:rsidRPr="001E52A6">
              <w:rPr>
                <w:color w:val="000000"/>
              </w:rPr>
              <w:t>Nos grupos</w:t>
            </w:r>
          </w:p>
        </w:tc>
        <w:tc>
          <w:tcPr>
            <w:tcW w:w="880" w:type="pct"/>
            <w:tcBorders>
              <w:top w:val="nil"/>
              <w:left w:val="single" w:sz="2" w:space="0" w:color="auto"/>
              <w:bottom w:val="single" w:sz="18" w:space="0" w:color="auto"/>
            </w:tcBorders>
            <w:shd w:val="clear" w:color="auto" w:fill="FFFFFF"/>
          </w:tcPr>
          <w:p w14:paraId="2B787601" w14:textId="77777777" w:rsidR="00C550BB" w:rsidRPr="001E52A6" w:rsidRDefault="00C550BB" w:rsidP="001E52A6">
            <w:pPr>
              <w:autoSpaceDE w:val="0"/>
              <w:autoSpaceDN w:val="0"/>
              <w:adjustRightInd w:val="0"/>
              <w:jc w:val="center"/>
              <w:rPr>
                <w:color w:val="000000"/>
              </w:rPr>
            </w:pPr>
            <w:r w:rsidRPr="001E52A6">
              <w:rPr>
                <w:color w:val="000000"/>
              </w:rPr>
              <w:t>,365</w:t>
            </w:r>
          </w:p>
        </w:tc>
        <w:tc>
          <w:tcPr>
            <w:tcW w:w="742" w:type="pct"/>
            <w:gridSpan w:val="3"/>
            <w:tcBorders>
              <w:top w:val="nil"/>
              <w:bottom w:val="single" w:sz="18" w:space="0" w:color="auto"/>
            </w:tcBorders>
            <w:shd w:val="clear" w:color="auto" w:fill="FFFFFF"/>
          </w:tcPr>
          <w:p w14:paraId="4753CA32" w14:textId="77777777" w:rsidR="00C550BB" w:rsidRPr="001E52A6" w:rsidRDefault="00C550BB" w:rsidP="001E52A6">
            <w:pPr>
              <w:autoSpaceDE w:val="0"/>
              <w:autoSpaceDN w:val="0"/>
              <w:adjustRightInd w:val="0"/>
              <w:jc w:val="center"/>
              <w:rPr>
                <w:color w:val="000000"/>
              </w:rPr>
            </w:pPr>
            <w:r w:rsidRPr="001E52A6">
              <w:rPr>
                <w:color w:val="000000"/>
              </w:rPr>
              <w:t>297</w:t>
            </w:r>
          </w:p>
        </w:tc>
        <w:tc>
          <w:tcPr>
            <w:tcW w:w="885" w:type="pct"/>
            <w:tcBorders>
              <w:top w:val="nil"/>
              <w:bottom w:val="single" w:sz="18" w:space="0" w:color="auto"/>
            </w:tcBorders>
            <w:shd w:val="clear" w:color="auto" w:fill="FFFFFF"/>
          </w:tcPr>
          <w:p w14:paraId="7480C517" w14:textId="77777777" w:rsidR="00C550BB" w:rsidRPr="001E52A6" w:rsidRDefault="00C550BB" w:rsidP="001E52A6">
            <w:pPr>
              <w:autoSpaceDE w:val="0"/>
              <w:autoSpaceDN w:val="0"/>
              <w:adjustRightInd w:val="0"/>
              <w:jc w:val="center"/>
              <w:rPr>
                <w:color w:val="000000"/>
              </w:rPr>
            </w:pPr>
            <w:r w:rsidRPr="001E52A6">
              <w:rPr>
                <w:color w:val="000000"/>
              </w:rPr>
              <w:t>,001</w:t>
            </w:r>
          </w:p>
        </w:tc>
        <w:tc>
          <w:tcPr>
            <w:tcW w:w="482" w:type="pct"/>
            <w:tcBorders>
              <w:top w:val="nil"/>
              <w:bottom w:val="single" w:sz="18" w:space="0" w:color="auto"/>
            </w:tcBorders>
            <w:shd w:val="clear" w:color="auto" w:fill="FFFFFF"/>
            <w:vAlign w:val="center"/>
          </w:tcPr>
          <w:p w14:paraId="0B15F6E6" w14:textId="77777777" w:rsidR="00C550BB" w:rsidRPr="001E52A6" w:rsidRDefault="00C550BB" w:rsidP="001E52A6">
            <w:pPr>
              <w:autoSpaceDE w:val="0"/>
              <w:autoSpaceDN w:val="0"/>
              <w:adjustRightInd w:val="0"/>
              <w:jc w:val="center"/>
            </w:pPr>
            <w:r w:rsidRPr="001E52A6">
              <w:rPr>
                <w:color w:val="000000"/>
              </w:rPr>
              <w:t>,273</w:t>
            </w:r>
          </w:p>
        </w:tc>
        <w:tc>
          <w:tcPr>
            <w:tcW w:w="976" w:type="pct"/>
            <w:tcBorders>
              <w:top w:val="nil"/>
              <w:bottom w:val="single" w:sz="18" w:space="0" w:color="auto"/>
              <w:right w:val="nil"/>
            </w:tcBorders>
            <w:shd w:val="clear" w:color="auto" w:fill="FFFFFF"/>
          </w:tcPr>
          <w:p w14:paraId="64AD8CA0" w14:textId="77777777" w:rsidR="00C550BB" w:rsidRPr="001E52A6" w:rsidRDefault="00C550BB" w:rsidP="001E52A6">
            <w:pPr>
              <w:autoSpaceDE w:val="0"/>
              <w:autoSpaceDN w:val="0"/>
              <w:adjustRightInd w:val="0"/>
              <w:jc w:val="center"/>
              <w:rPr>
                <w:color w:val="000000"/>
              </w:rPr>
            </w:pPr>
          </w:p>
        </w:tc>
      </w:tr>
    </w:tbl>
    <w:p w14:paraId="126BE6E9" w14:textId="77777777" w:rsidR="00C550BB" w:rsidRPr="00C550BB" w:rsidRDefault="00C550BB" w:rsidP="00C550BB">
      <w:pPr>
        <w:jc w:val="both"/>
        <w:rPr>
          <w:szCs w:val="24"/>
        </w:rPr>
      </w:pPr>
      <w:r w:rsidRPr="00C550BB">
        <w:rPr>
          <w:szCs w:val="24"/>
        </w:rPr>
        <w:t>Fonte: Dados da pesquisa</w:t>
      </w:r>
    </w:p>
    <w:p w14:paraId="50863290" w14:textId="77777777" w:rsidR="00C550BB" w:rsidRPr="00C550BB" w:rsidRDefault="00C550BB" w:rsidP="00C550BB">
      <w:pPr>
        <w:jc w:val="both"/>
        <w:rPr>
          <w:sz w:val="24"/>
          <w:szCs w:val="24"/>
        </w:rPr>
      </w:pPr>
    </w:p>
    <w:p w14:paraId="474EA7D0" w14:textId="77777777" w:rsidR="00C550BB" w:rsidRPr="00C550BB" w:rsidRDefault="00C550BB" w:rsidP="00C550BB">
      <w:pPr>
        <w:ind w:firstLine="709"/>
        <w:jc w:val="both"/>
        <w:rPr>
          <w:sz w:val="24"/>
          <w:szCs w:val="24"/>
        </w:rPr>
      </w:pPr>
      <w:r w:rsidRPr="00C550BB">
        <w:rPr>
          <w:sz w:val="24"/>
          <w:szCs w:val="24"/>
        </w:rPr>
        <w:t xml:space="preserve">De acordo com o teste ANOVA, os riscos sistêmicos para a Dinamarca somente se fazem estatisticamente diferentes a partir de 2014 à nível de 0,1 e somente no ano de 2015 à nível de 0,01, demonstrando que nos outros anos de acordo com a estatísticas os dados são semelhantes. O teste de </w:t>
      </w:r>
      <w:proofErr w:type="spellStart"/>
      <w:r w:rsidRPr="00C550BB">
        <w:rPr>
          <w:sz w:val="24"/>
          <w:szCs w:val="24"/>
        </w:rPr>
        <w:t>Scheffe</w:t>
      </w:r>
      <w:proofErr w:type="spellEnd"/>
      <w:r w:rsidRPr="00C550BB">
        <w:rPr>
          <w:sz w:val="24"/>
          <w:szCs w:val="24"/>
        </w:rPr>
        <w:t xml:space="preserve"> indica que se assemelha com ambas as partes a seleção dois, nas quais foram usadas a taxa americana, e a taxa com maior disparidade foi entre o grupo um e o três, o que se faz relevante uma vez que se expressão as mais distintas taxas, a taxa brasileira, instavelmente alta e a taxa dinamarquesa, estrategicamente negativa. Tal analise, por meio de ambos os testes descritos confirmam os resultados discutidos nas analise descritiva.</w:t>
      </w:r>
    </w:p>
    <w:p w14:paraId="2F88A6D0" w14:textId="77777777" w:rsidR="00C550BB" w:rsidRPr="00C550BB" w:rsidRDefault="00C550BB" w:rsidP="00C550BB">
      <w:pPr>
        <w:ind w:firstLine="709"/>
        <w:jc w:val="both"/>
        <w:rPr>
          <w:sz w:val="24"/>
          <w:szCs w:val="24"/>
        </w:rPr>
      </w:pPr>
      <w:r w:rsidRPr="00C550BB">
        <w:rPr>
          <w:sz w:val="24"/>
          <w:szCs w:val="24"/>
        </w:rPr>
        <w:t xml:space="preserve">O teste ANOVA indica que o risco idiossincrático assim como na análise descritiva sub explorada deste para o Brasil, não possui em nenhum dos quatro anos em estudo diferença estatisticamente significante entre os grupos, assim não é apresentado o teste de </w:t>
      </w:r>
      <w:proofErr w:type="spellStart"/>
      <w:r w:rsidRPr="00C550BB">
        <w:rPr>
          <w:sz w:val="24"/>
          <w:szCs w:val="24"/>
        </w:rPr>
        <w:t>Scheffe</w:t>
      </w:r>
      <w:proofErr w:type="spellEnd"/>
      <w:r w:rsidRPr="00C550BB">
        <w:rPr>
          <w:sz w:val="24"/>
          <w:szCs w:val="24"/>
        </w:rPr>
        <w:t xml:space="preserve">. Tal ocorrido indica, como já inferido, que as taxas fazem jus a definição livre de risco e se fazem constante quanto a estimação do risco particular das empresas brasileiras. A tabela 5 aborda os mesmos testes (ANOVA e </w:t>
      </w:r>
      <w:proofErr w:type="spellStart"/>
      <w:r w:rsidRPr="00C550BB">
        <w:rPr>
          <w:sz w:val="24"/>
          <w:szCs w:val="24"/>
        </w:rPr>
        <w:t>Scheffe</w:t>
      </w:r>
      <w:proofErr w:type="spellEnd"/>
      <w:r w:rsidRPr="00C550BB">
        <w:rPr>
          <w:sz w:val="24"/>
          <w:szCs w:val="24"/>
        </w:rPr>
        <w:t xml:space="preserve">) para o Brasil. </w:t>
      </w:r>
    </w:p>
    <w:p w14:paraId="287441A5" w14:textId="77777777" w:rsidR="00C550BB" w:rsidRPr="00C550BB" w:rsidRDefault="00C550BB" w:rsidP="00C550BB">
      <w:pPr>
        <w:autoSpaceDE w:val="0"/>
        <w:autoSpaceDN w:val="0"/>
        <w:adjustRightInd w:val="0"/>
        <w:jc w:val="both"/>
        <w:rPr>
          <w:sz w:val="24"/>
          <w:szCs w:val="24"/>
        </w:rPr>
      </w:pPr>
    </w:p>
    <w:p w14:paraId="20660BA9" w14:textId="5C954280" w:rsidR="00C550BB" w:rsidRPr="00C550BB" w:rsidRDefault="00C550BB" w:rsidP="00C550BB">
      <w:pPr>
        <w:autoSpaceDE w:val="0"/>
        <w:autoSpaceDN w:val="0"/>
        <w:adjustRightInd w:val="0"/>
        <w:jc w:val="both"/>
        <w:rPr>
          <w:b/>
          <w:sz w:val="24"/>
          <w:szCs w:val="24"/>
        </w:rPr>
      </w:pPr>
      <w:r w:rsidRPr="00C550BB">
        <w:rPr>
          <w:b/>
          <w:sz w:val="24"/>
          <w:szCs w:val="24"/>
        </w:rPr>
        <w:t xml:space="preserve">Tabela 5 - ANOVA e teste de </w:t>
      </w:r>
      <w:proofErr w:type="spellStart"/>
      <w:r w:rsidRPr="00C550BB">
        <w:rPr>
          <w:b/>
          <w:sz w:val="24"/>
          <w:szCs w:val="24"/>
        </w:rPr>
        <w:t>Scheffe</w:t>
      </w:r>
      <w:proofErr w:type="spellEnd"/>
      <w:r w:rsidRPr="00C550BB">
        <w:rPr>
          <w:b/>
          <w:sz w:val="24"/>
          <w:szCs w:val="24"/>
        </w:rPr>
        <w:t xml:space="preserve"> dos Riscos Sistêmico e Idiossincrático para o Brasil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7"/>
        <w:gridCol w:w="620"/>
        <w:gridCol w:w="208"/>
        <w:gridCol w:w="1550"/>
        <w:gridCol w:w="7"/>
        <w:gridCol w:w="1517"/>
        <w:gridCol w:w="1209"/>
        <w:gridCol w:w="1659"/>
        <w:gridCol w:w="1066"/>
        <w:gridCol w:w="1186"/>
        <w:gridCol w:w="13"/>
        <w:gridCol w:w="13"/>
      </w:tblGrid>
      <w:tr w:rsidR="00C550BB" w:rsidRPr="00C550BB" w14:paraId="1A537457" w14:textId="77777777" w:rsidTr="00C550BB">
        <w:trPr>
          <w:gridBefore w:val="1"/>
          <w:gridAfter w:val="2"/>
          <w:wBefore w:w="9" w:type="pct"/>
          <w:wAfter w:w="14" w:type="pct"/>
          <w:cantSplit/>
          <w:trHeight w:val="20"/>
        </w:trPr>
        <w:tc>
          <w:tcPr>
            <w:tcW w:w="4977" w:type="pct"/>
            <w:gridSpan w:val="9"/>
            <w:tcBorders>
              <w:top w:val="single" w:sz="16" w:space="0" w:color="000000"/>
              <w:left w:val="nil"/>
              <w:bottom w:val="single" w:sz="16" w:space="0" w:color="000000"/>
              <w:right w:val="nil"/>
            </w:tcBorders>
            <w:shd w:val="clear" w:color="auto" w:fill="FFFFFF"/>
            <w:vAlign w:val="center"/>
          </w:tcPr>
          <w:p w14:paraId="05DA148F" w14:textId="3D86D0E0" w:rsidR="00C550BB" w:rsidRPr="00C550BB" w:rsidRDefault="00C550BB" w:rsidP="001E52A6">
            <w:pPr>
              <w:autoSpaceDE w:val="0"/>
              <w:autoSpaceDN w:val="0"/>
              <w:adjustRightInd w:val="0"/>
              <w:jc w:val="center"/>
              <w:rPr>
                <w:b/>
                <w:color w:val="000000"/>
              </w:rPr>
            </w:pPr>
            <w:r w:rsidRPr="00C550BB">
              <w:rPr>
                <w:b/>
                <w:color w:val="000000"/>
              </w:rPr>
              <w:t>Risco Sistêmico para o Brasil</w:t>
            </w:r>
          </w:p>
        </w:tc>
      </w:tr>
      <w:tr w:rsidR="00C550BB" w:rsidRPr="00C550BB" w14:paraId="43C66DEA" w14:textId="77777777" w:rsidTr="00C550BB">
        <w:trPr>
          <w:gridBefore w:val="1"/>
          <w:gridAfter w:val="2"/>
          <w:wBefore w:w="9" w:type="pct"/>
          <w:wAfter w:w="14" w:type="pct"/>
          <w:cantSplit/>
          <w:trHeight w:val="20"/>
        </w:trPr>
        <w:tc>
          <w:tcPr>
            <w:tcW w:w="1312" w:type="pct"/>
            <w:gridSpan w:val="3"/>
            <w:tcBorders>
              <w:top w:val="single" w:sz="16" w:space="0" w:color="000000"/>
              <w:left w:val="nil"/>
              <w:bottom w:val="single" w:sz="16" w:space="0" w:color="000000"/>
              <w:right w:val="nil"/>
            </w:tcBorders>
            <w:shd w:val="clear" w:color="auto" w:fill="FFFFFF"/>
            <w:vAlign w:val="center"/>
          </w:tcPr>
          <w:p w14:paraId="0EA2DE89" w14:textId="77777777" w:rsidR="00C550BB" w:rsidRPr="00C550BB" w:rsidRDefault="00C550BB" w:rsidP="001E52A6">
            <w:pPr>
              <w:autoSpaceDE w:val="0"/>
              <w:autoSpaceDN w:val="0"/>
              <w:adjustRightInd w:val="0"/>
              <w:jc w:val="center"/>
            </w:pPr>
          </w:p>
        </w:tc>
        <w:tc>
          <w:tcPr>
            <w:tcW w:w="841" w:type="pct"/>
            <w:gridSpan w:val="2"/>
            <w:tcBorders>
              <w:top w:val="single" w:sz="16" w:space="0" w:color="000000"/>
              <w:left w:val="single" w:sz="16" w:space="0" w:color="000000"/>
              <w:bottom w:val="single" w:sz="12" w:space="0" w:color="auto"/>
            </w:tcBorders>
            <w:shd w:val="clear" w:color="auto" w:fill="FFFFFF"/>
            <w:vAlign w:val="center"/>
          </w:tcPr>
          <w:p w14:paraId="193FF8B3" w14:textId="77777777" w:rsidR="00C550BB" w:rsidRPr="00C550BB" w:rsidRDefault="00C550BB" w:rsidP="001E52A6">
            <w:pPr>
              <w:autoSpaceDE w:val="0"/>
              <w:autoSpaceDN w:val="0"/>
              <w:adjustRightInd w:val="0"/>
              <w:jc w:val="center"/>
              <w:rPr>
                <w:color w:val="000000"/>
              </w:rPr>
            </w:pPr>
            <w:r w:rsidRPr="00C550BB">
              <w:rPr>
                <w:color w:val="000000"/>
              </w:rPr>
              <w:t>Σ Quadrados</w:t>
            </w:r>
          </w:p>
        </w:tc>
        <w:tc>
          <w:tcPr>
            <w:tcW w:w="667" w:type="pct"/>
            <w:tcBorders>
              <w:top w:val="single" w:sz="16" w:space="0" w:color="000000"/>
              <w:bottom w:val="single" w:sz="12" w:space="0" w:color="auto"/>
            </w:tcBorders>
            <w:shd w:val="clear" w:color="auto" w:fill="FFFFFF"/>
            <w:vAlign w:val="center"/>
          </w:tcPr>
          <w:p w14:paraId="4634B714" w14:textId="77777777" w:rsidR="00C550BB" w:rsidRPr="00C550BB" w:rsidRDefault="00C550BB" w:rsidP="001E52A6">
            <w:pPr>
              <w:autoSpaceDE w:val="0"/>
              <w:autoSpaceDN w:val="0"/>
              <w:adjustRightInd w:val="0"/>
              <w:jc w:val="center"/>
              <w:rPr>
                <w:color w:val="000000"/>
              </w:rPr>
            </w:pPr>
            <w:proofErr w:type="spellStart"/>
            <w:r w:rsidRPr="00C550BB">
              <w:rPr>
                <w:color w:val="000000"/>
              </w:rPr>
              <w:t>df</w:t>
            </w:r>
            <w:proofErr w:type="spellEnd"/>
          </w:p>
        </w:tc>
        <w:tc>
          <w:tcPr>
            <w:tcW w:w="915" w:type="pct"/>
            <w:tcBorders>
              <w:top w:val="single" w:sz="16" w:space="0" w:color="000000"/>
              <w:bottom w:val="single" w:sz="12" w:space="0" w:color="auto"/>
            </w:tcBorders>
            <w:shd w:val="clear" w:color="auto" w:fill="FFFFFF"/>
            <w:vAlign w:val="center"/>
          </w:tcPr>
          <w:p w14:paraId="6F60621D" w14:textId="77777777" w:rsidR="00C550BB" w:rsidRPr="00C550BB" w:rsidRDefault="00C550BB" w:rsidP="001E52A6">
            <w:pPr>
              <w:autoSpaceDE w:val="0"/>
              <w:autoSpaceDN w:val="0"/>
              <w:adjustRightInd w:val="0"/>
              <w:jc w:val="center"/>
              <w:rPr>
                <w:color w:val="000000"/>
              </w:rPr>
            </w:pPr>
            <w:r w:rsidRPr="00C550BB">
              <w:rPr>
                <w:color w:val="000000"/>
              </w:rPr>
              <w:t>Quadrado Médio</w:t>
            </w:r>
          </w:p>
        </w:tc>
        <w:tc>
          <w:tcPr>
            <w:tcW w:w="588" w:type="pct"/>
            <w:tcBorders>
              <w:top w:val="single" w:sz="16" w:space="0" w:color="000000"/>
              <w:bottom w:val="single" w:sz="12" w:space="0" w:color="auto"/>
            </w:tcBorders>
            <w:shd w:val="clear" w:color="auto" w:fill="FFFFFF"/>
            <w:vAlign w:val="center"/>
          </w:tcPr>
          <w:p w14:paraId="5FA0E94B" w14:textId="77777777" w:rsidR="00C550BB" w:rsidRPr="00C550BB" w:rsidRDefault="00C550BB" w:rsidP="001E52A6">
            <w:pPr>
              <w:autoSpaceDE w:val="0"/>
              <w:autoSpaceDN w:val="0"/>
              <w:adjustRightInd w:val="0"/>
              <w:jc w:val="center"/>
              <w:rPr>
                <w:color w:val="000000"/>
              </w:rPr>
            </w:pPr>
            <w:r w:rsidRPr="00C550BB">
              <w:rPr>
                <w:color w:val="000000"/>
              </w:rPr>
              <w:t>F</w:t>
            </w:r>
          </w:p>
        </w:tc>
        <w:tc>
          <w:tcPr>
            <w:tcW w:w="654" w:type="pct"/>
            <w:tcBorders>
              <w:top w:val="single" w:sz="16" w:space="0" w:color="000000"/>
              <w:bottom w:val="single" w:sz="16" w:space="0" w:color="000000"/>
              <w:right w:val="nil"/>
            </w:tcBorders>
            <w:shd w:val="clear" w:color="auto" w:fill="FFFFFF"/>
            <w:vAlign w:val="center"/>
          </w:tcPr>
          <w:p w14:paraId="3B22DEB4" w14:textId="77777777" w:rsidR="00C550BB" w:rsidRPr="00C550BB" w:rsidRDefault="00C550BB" w:rsidP="001E52A6">
            <w:pPr>
              <w:autoSpaceDE w:val="0"/>
              <w:autoSpaceDN w:val="0"/>
              <w:adjustRightInd w:val="0"/>
              <w:jc w:val="center"/>
              <w:rPr>
                <w:color w:val="000000"/>
              </w:rPr>
            </w:pPr>
            <w:proofErr w:type="spellStart"/>
            <w:r w:rsidRPr="00C550BB">
              <w:rPr>
                <w:color w:val="000000"/>
              </w:rPr>
              <w:t>Sig</w:t>
            </w:r>
            <w:proofErr w:type="spellEnd"/>
            <w:r w:rsidRPr="00C550BB">
              <w:rPr>
                <w:color w:val="000000"/>
              </w:rPr>
              <w:t>.</w:t>
            </w:r>
          </w:p>
        </w:tc>
      </w:tr>
      <w:tr w:rsidR="00C550BB" w:rsidRPr="00C550BB" w14:paraId="6FDE3F21" w14:textId="77777777" w:rsidTr="00C550BB">
        <w:trPr>
          <w:gridBefore w:val="1"/>
          <w:gridAfter w:val="2"/>
          <w:wBefore w:w="9" w:type="pct"/>
          <w:wAfter w:w="14" w:type="pct"/>
          <w:cantSplit/>
          <w:trHeight w:val="20"/>
        </w:trPr>
        <w:tc>
          <w:tcPr>
            <w:tcW w:w="457" w:type="pct"/>
            <w:gridSpan w:val="2"/>
            <w:vMerge w:val="restart"/>
            <w:tcBorders>
              <w:top w:val="single" w:sz="16" w:space="0" w:color="000000"/>
              <w:left w:val="nil"/>
              <w:bottom w:val="nil"/>
              <w:right w:val="nil"/>
            </w:tcBorders>
            <w:shd w:val="clear" w:color="auto" w:fill="FFFFFF"/>
            <w:vAlign w:val="center"/>
          </w:tcPr>
          <w:p w14:paraId="2E7391A3" w14:textId="77777777" w:rsidR="00C550BB" w:rsidRPr="00C550BB" w:rsidRDefault="00C550BB" w:rsidP="001E52A6">
            <w:pPr>
              <w:autoSpaceDE w:val="0"/>
              <w:autoSpaceDN w:val="0"/>
              <w:adjustRightInd w:val="0"/>
              <w:jc w:val="center"/>
              <w:rPr>
                <w:color w:val="000000"/>
              </w:rPr>
            </w:pPr>
            <w:r w:rsidRPr="00C550BB">
              <w:rPr>
                <w:color w:val="000000"/>
              </w:rPr>
              <w:t>RS12</w:t>
            </w:r>
          </w:p>
        </w:tc>
        <w:tc>
          <w:tcPr>
            <w:tcW w:w="855" w:type="pct"/>
            <w:tcBorders>
              <w:top w:val="single" w:sz="12" w:space="0" w:color="auto"/>
              <w:left w:val="nil"/>
              <w:bottom w:val="nil"/>
              <w:right w:val="single" w:sz="8" w:space="0" w:color="auto"/>
            </w:tcBorders>
            <w:shd w:val="clear" w:color="auto" w:fill="FFFFFF"/>
            <w:vAlign w:val="center"/>
          </w:tcPr>
          <w:p w14:paraId="22A6D5B6"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41" w:type="pct"/>
            <w:gridSpan w:val="2"/>
            <w:tcBorders>
              <w:top w:val="single" w:sz="12" w:space="0" w:color="auto"/>
              <w:left w:val="single" w:sz="8" w:space="0" w:color="auto"/>
              <w:bottom w:val="nil"/>
            </w:tcBorders>
            <w:shd w:val="clear" w:color="auto" w:fill="FFFFFF"/>
          </w:tcPr>
          <w:p w14:paraId="75616322" w14:textId="77777777" w:rsidR="00C550BB" w:rsidRPr="00C550BB" w:rsidRDefault="00C550BB" w:rsidP="001E52A6">
            <w:pPr>
              <w:autoSpaceDE w:val="0"/>
              <w:autoSpaceDN w:val="0"/>
              <w:adjustRightInd w:val="0"/>
              <w:jc w:val="center"/>
              <w:rPr>
                <w:color w:val="000000"/>
              </w:rPr>
            </w:pPr>
            <w:r w:rsidRPr="00C550BB">
              <w:rPr>
                <w:color w:val="000000"/>
              </w:rPr>
              <w:t>,028</w:t>
            </w:r>
          </w:p>
        </w:tc>
        <w:tc>
          <w:tcPr>
            <w:tcW w:w="667" w:type="pct"/>
            <w:tcBorders>
              <w:top w:val="single" w:sz="12" w:space="0" w:color="auto"/>
              <w:bottom w:val="nil"/>
            </w:tcBorders>
            <w:shd w:val="clear" w:color="auto" w:fill="FFFFFF"/>
          </w:tcPr>
          <w:p w14:paraId="3424FC26"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single" w:sz="12" w:space="0" w:color="auto"/>
              <w:bottom w:val="nil"/>
            </w:tcBorders>
            <w:shd w:val="clear" w:color="auto" w:fill="FFFFFF"/>
          </w:tcPr>
          <w:p w14:paraId="09EA0DC2" w14:textId="77777777" w:rsidR="00C550BB" w:rsidRPr="00C550BB" w:rsidRDefault="00C550BB" w:rsidP="001E52A6">
            <w:pPr>
              <w:autoSpaceDE w:val="0"/>
              <w:autoSpaceDN w:val="0"/>
              <w:adjustRightInd w:val="0"/>
              <w:jc w:val="center"/>
              <w:rPr>
                <w:color w:val="000000"/>
              </w:rPr>
            </w:pPr>
            <w:r w:rsidRPr="00C550BB">
              <w:rPr>
                <w:color w:val="000000"/>
              </w:rPr>
              <w:t>,014</w:t>
            </w:r>
          </w:p>
        </w:tc>
        <w:tc>
          <w:tcPr>
            <w:tcW w:w="588" w:type="pct"/>
            <w:tcBorders>
              <w:top w:val="single" w:sz="12" w:space="0" w:color="auto"/>
              <w:bottom w:val="nil"/>
            </w:tcBorders>
            <w:shd w:val="clear" w:color="auto" w:fill="FFFFFF"/>
          </w:tcPr>
          <w:p w14:paraId="731E77AE" w14:textId="77777777" w:rsidR="00C550BB" w:rsidRPr="00C550BB" w:rsidRDefault="00C550BB" w:rsidP="001E52A6">
            <w:pPr>
              <w:autoSpaceDE w:val="0"/>
              <w:autoSpaceDN w:val="0"/>
              <w:adjustRightInd w:val="0"/>
              <w:jc w:val="center"/>
              <w:rPr>
                <w:color w:val="000000"/>
              </w:rPr>
            </w:pPr>
            <w:r w:rsidRPr="00C550BB">
              <w:rPr>
                <w:color w:val="000000"/>
              </w:rPr>
              <w:t>,004</w:t>
            </w:r>
          </w:p>
        </w:tc>
        <w:tc>
          <w:tcPr>
            <w:tcW w:w="654" w:type="pct"/>
            <w:tcBorders>
              <w:top w:val="single" w:sz="16" w:space="0" w:color="000000"/>
              <w:bottom w:val="nil"/>
              <w:right w:val="nil"/>
            </w:tcBorders>
            <w:shd w:val="clear" w:color="auto" w:fill="FFFFFF"/>
          </w:tcPr>
          <w:p w14:paraId="72E254DB" w14:textId="77777777" w:rsidR="00C550BB" w:rsidRPr="00C550BB" w:rsidRDefault="00C550BB" w:rsidP="001E52A6">
            <w:pPr>
              <w:autoSpaceDE w:val="0"/>
              <w:autoSpaceDN w:val="0"/>
              <w:adjustRightInd w:val="0"/>
              <w:jc w:val="center"/>
              <w:rPr>
                <w:color w:val="000000"/>
              </w:rPr>
            </w:pPr>
            <w:r w:rsidRPr="00C550BB">
              <w:rPr>
                <w:color w:val="000000"/>
              </w:rPr>
              <w:t>,996</w:t>
            </w:r>
          </w:p>
        </w:tc>
      </w:tr>
      <w:tr w:rsidR="00C550BB" w:rsidRPr="00C550BB" w14:paraId="7727276D" w14:textId="77777777" w:rsidTr="00C550BB">
        <w:trPr>
          <w:gridBefore w:val="1"/>
          <w:gridAfter w:val="3"/>
          <w:wBefore w:w="9" w:type="pct"/>
          <w:wAfter w:w="668" w:type="pct"/>
          <w:cantSplit/>
          <w:trHeight w:val="20"/>
        </w:trPr>
        <w:tc>
          <w:tcPr>
            <w:tcW w:w="457" w:type="pct"/>
            <w:gridSpan w:val="2"/>
            <w:vMerge/>
            <w:tcBorders>
              <w:top w:val="single" w:sz="16" w:space="0" w:color="000000"/>
              <w:left w:val="nil"/>
              <w:bottom w:val="nil"/>
              <w:right w:val="nil"/>
            </w:tcBorders>
            <w:shd w:val="clear" w:color="auto" w:fill="FFFFFF"/>
            <w:vAlign w:val="center"/>
          </w:tcPr>
          <w:p w14:paraId="3C28D2A5" w14:textId="77777777" w:rsidR="00C550BB" w:rsidRPr="00C550BB" w:rsidRDefault="00C550BB" w:rsidP="001E52A6">
            <w:pPr>
              <w:autoSpaceDE w:val="0"/>
              <w:autoSpaceDN w:val="0"/>
              <w:adjustRightInd w:val="0"/>
              <w:jc w:val="center"/>
              <w:rPr>
                <w:color w:val="000000"/>
              </w:rPr>
            </w:pPr>
          </w:p>
        </w:tc>
        <w:tc>
          <w:tcPr>
            <w:tcW w:w="855" w:type="pct"/>
            <w:tcBorders>
              <w:top w:val="nil"/>
              <w:left w:val="nil"/>
              <w:bottom w:val="nil"/>
              <w:right w:val="single" w:sz="8" w:space="0" w:color="auto"/>
            </w:tcBorders>
            <w:shd w:val="clear" w:color="auto" w:fill="FFFFFF"/>
            <w:vAlign w:val="center"/>
          </w:tcPr>
          <w:p w14:paraId="0525CEF3"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41" w:type="pct"/>
            <w:gridSpan w:val="2"/>
            <w:tcBorders>
              <w:top w:val="nil"/>
              <w:left w:val="single" w:sz="8" w:space="0" w:color="auto"/>
              <w:bottom w:val="nil"/>
            </w:tcBorders>
            <w:shd w:val="clear" w:color="auto" w:fill="FFFFFF"/>
          </w:tcPr>
          <w:p w14:paraId="1680ECF0" w14:textId="77777777" w:rsidR="00C550BB" w:rsidRPr="00C550BB" w:rsidRDefault="00C550BB" w:rsidP="001E52A6">
            <w:pPr>
              <w:autoSpaceDE w:val="0"/>
              <w:autoSpaceDN w:val="0"/>
              <w:adjustRightInd w:val="0"/>
              <w:jc w:val="center"/>
              <w:rPr>
                <w:color w:val="000000"/>
              </w:rPr>
            </w:pPr>
            <w:r w:rsidRPr="00C550BB">
              <w:rPr>
                <w:color w:val="000000"/>
              </w:rPr>
              <w:t>1177,092</w:t>
            </w:r>
          </w:p>
        </w:tc>
        <w:tc>
          <w:tcPr>
            <w:tcW w:w="667" w:type="pct"/>
            <w:tcBorders>
              <w:top w:val="nil"/>
              <w:bottom w:val="nil"/>
            </w:tcBorders>
            <w:shd w:val="clear" w:color="auto" w:fill="FFFFFF"/>
          </w:tcPr>
          <w:p w14:paraId="6B0E708D"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2400C85C" w14:textId="77777777" w:rsidR="00C550BB" w:rsidRPr="00C550BB" w:rsidRDefault="00C550BB" w:rsidP="001E52A6">
            <w:pPr>
              <w:autoSpaceDE w:val="0"/>
              <w:autoSpaceDN w:val="0"/>
              <w:adjustRightInd w:val="0"/>
              <w:jc w:val="center"/>
              <w:rPr>
                <w:color w:val="000000"/>
              </w:rPr>
            </w:pPr>
            <w:r w:rsidRPr="00C550BB">
              <w:rPr>
                <w:color w:val="000000"/>
              </w:rPr>
              <w:t>3,963</w:t>
            </w:r>
          </w:p>
        </w:tc>
        <w:tc>
          <w:tcPr>
            <w:tcW w:w="588" w:type="pct"/>
            <w:tcBorders>
              <w:top w:val="nil"/>
              <w:bottom w:val="nil"/>
            </w:tcBorders>
            <w:shd w:val="clear" w:color="auto" w:fill="FFFFFF"/>
          </w:tcPr>
          <w:p w14:paraId="4D134411" w14:textId="77777777" w:rsidR="00C550BB" w:rsidRPr="00C550BB" w:rsidRDefault="00C550BB" w:rsidP="001E52A6">
            <w:pPr>
              <w:autoSpaceDE w:val="0"/>
              <w:autoSpaceDN w:val="0"/>
              <w:adjustRightInd w:val="0"/>
              <w:jc w:val="center"/>
            </w:pPr>
          </w:p>
        </w:tc>
      </w:tr>
      <w:tr w:rsidR="00C550BB" w:rsidRPr="00C550BB" w14:paraId="6702EEE7" w14:textId="77777777" w:rsidTr="00C550BB">
        <w:trPr>
          <w:gridBefore w:val="1"/>
          <w:gridAfter w:val="2"/>
          <w:wBefore w:w="9" w:type="pct"/>
          <w:wAfter w:w="14" w:type="pct"/>
          <w:cantSplit/>
          <w:trHeight w:val="20"/>
        </w:trPr>
        <w:tc>
          <w:tcPr>
            <w:tcW w:w="457" w:type="pct"/>
            <w:gridSpan w:val="2"/>
            <w:vMerge w:val="restart"/>
            <w:tcBorders>
              <w:top w:val="nil"/>
              <w:left w:val="nil"/>
              <w:bottom w:val="nil"/>
              <w:right w:val="nil"/>
            </w:tcBorders>
            <w:shd w:val="clear" w:color="auto" w:fill="FFFFFF"/>
            <w:vAlign w:val="center"/>
          </w:tcPr>
          <w:p w14:paraId="342065FA" w14:textId="77777777" w:rsidR="00C550BB" w:rsidRPr="00C550BB" w:rsidRDefault="00C550BB" w:rsidP="001E52A6">
            <w:pPr>
              <w:autoSpaceDE w:val="0"/>
              <w:autoSpaceDN w:val="0"/>
              <w:adjustRightInd w:val="0"/>
              <w:jc w:val="center"/>
              <w:rPr>
                <w:color w:val="000000"/>
              </w:rPr>
            </w:pPr>
            <w:r w:rsidRPr="00C550BB">
              <w:rPr>
                <w:color w:val="000000"/>
              </w:rPr>
              <w:t>RS13</w:t>
            </w:r>
          </w:p>
        </w:tc>
        <w:tc>
          <w:tcPr>
            <w:tcW w:w="855" w:type="pct"/>
            <w:tcBorders>
              <w:top w:val="nil"/>
              <w:left w:val="nil"/>
              <w:bottom w:val="nil"/>
              <w:right w:val="single" w:sz="8" w:space="0" w:color="auto"/>
            </w:tcBorders>
            <w:shd w:val="clear" w:color="auto" w:fill="FFFFFF"/>
            <w:vAlign w:val="center"/>
          </w:tcPr>
          <w:p w14:paraId="59F4F884"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41" w:type="pct"/>
            <w:gridSpan w:val="2"/>
            <w:tcBorders>
              <w:top w:val="nil"/>
              <w:left w:val="single" w:sz="8" w:space="0" w:color="auto"/>
              <w:bottom w:val="nil"/>
            </w:tcBorders>
            <w:shd w:val="clear" w:color="auto" w:fill="FFFFFF"/>
          </w:tcPr>
          <w:p w14:paraId="25EED1D9" w14:textId="77777777" w:rsidR="00C550BB" w:rsidRPr="00C550BB" w:rsidRDefault="00C550BB" w:rsidP="001E52A6">
            <w:pPr>
              <w:autoSpaceDE w:val="0"/>
              <w:autoSpaceDN w:val="0"/>
              <w:adjustRightInd w:val="0"/>
              <w:jc w:val="center"/>
              <w:rPr>
                <w:color w:val="000000"/>
              </w:rPr>
            </w:pPr>
            <w:r w:rsidRPr="00C550BB">
              <w:rPr>
                <w:color w:val="000000"/>
              </w:rPr>
              <w:t>,007</w:t>
            </w:r>
          </w:p>
        </w:tc>
        <w:tc>
          <w:tcPr>
            <w:tcW w:w="667" w:type="pct"/>
            <w:tcBorders>
              <w:top w:val="nil"/>
              <w:bottom w:val="nil"/>
            </w:tcBorders>
            <w:shd w:val="clear" w:color="auto" w:fill="FFFFFF"/>
          </w:tcPr>
          <w:p w14:paraId="55F528E7"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392F132A" w14:textId="77777777" w:rsidR="00C550BB" w:rsidRPr="00C550BB" w:rsidRDefault="00C550BB" w:rsidP="001E52A6">
            <w:pPr>
              <w:autoSpaceDE w:val="0"/>
              <w:autoSpaceDN w:val="0"/>
              <w:adjustRightInd w:val="0"/>
              <w:jc w:val="center"/>
              <w:rPr>
                <w:color w:val="000000"/>
              </w:rPr>
            </w:pPr>
            <w:r w:rsidRPr="00C550BB">
              <w:rPr>
                <w:color w:val="000000"/>
              </w:rPr>
              <w:t>,004</w:t>
            </w:r>
          </w:p>
        </w:tc>
        <w:tc>
          <w:tcPr>
            <w:tcW w:w="588" w:type="pct"/>
            <w:tcBorders>
              <w:top w:val="nil"/>
              <w:bottom w:val="nil"/>
            </w:tcBorders>
            <w:shd w:val="clear" w:color="auto" w:fill="FFFFFF"/>
          </w:tcPr>
          <w:p w14:paraId="5DFF05A7" w14:textId="77777777" w:rsidR="00C550BB" w:rsidRPr="00C550BB" w:rsidRDefault="00C550BB" w:rsidP="001E52A6">
            <w:pPr>
              <w:autoSpaceDE w:val="0"/>
              <w:autoSpaceDN w:val="0"/>
              <w:adjustRightInd w:val="0"/>
              <w:jc w:val="center"/>
              <w:rPr>
                <w:color w:val="000000"/>
              </w:rPr>
            </w:pPr>
            <w:r w:rsidRPr="00C550BB">
              <w:rPr>
                <w:color w:val="000000"/>
              </w:rPr>
              <w:t>,008</w:t>
            </w:r>
          </w:p>
        </w:tc>
        <w:tc>
          <w:tcPr>
            <w:tcW w:w="654" w:type="pct"/>
            <w:tcBorders>
              <w:top w:val="nil"/>
              <w:bottom w:val="nil"/>
              <w:right w:val="nil"/>
            </w:tcBorders>
            <w:shd w:val="clear" w:color="auto" w:fill="FFFFFF"/>
          </w:tcPr>
          <w:p w14:paraId="1B88B7E1" w14:textId="77777777" w:rsidR="00C550BB" w:rsidRPr="00C550BB" w:rsidRDefault="00C550BB" w:rsidP="001E52A6">
            <w:pPr>
              <w:autoSpaceDE w:val="0"/>
              <w:autoSpaceDN w:val="0"/>
              <w:adjustRightInd w:val="0"/>
              <w:jc w:val="center"/>
              <w:rPr>
                <w:color w:val="000000"/>
              </w:rPr>
            </w:pPr>
            <w:r w:rsidRPr="00C550BB">
              <w:rPr>
                <w:color w:val="000000"/>
              </w:rPr>
              <w:t>,992</w:t>
            </w:r>
          </w:p>
        </w:tc>
      </w:tr>
      <w:tr w:rsidR="00C550BB" w:rsidRPr="00C550BB" w14:paraId="26761B3D" w14:textId="77777777" w:rsidTr="00C550BB">
        <w:trPr>
          <w:gridBefore w:val="1"/>
          <w:gridAfter w:val="3"/>
          <w:wBefore w:w="9" w:type="pct"/>
          <w:wAfter w:w="668" w:type="pct"/>
          <w:cantSplit/>
          <w:trHeight w:val="20"/>
        </w:trPr>
        <w:tc>
          <w:tcPr>
            <w:tcW w:w="457" w:type="pct"/>
            <w:gridSpan w:val="2"/>
            <w:vMerge/>
            <w:tcBorders>
              <w:top w:val="nil"/>
              <w:left w:val="nil"/>
              <w:bottom w:val="nil"/>
              <w:right w:val="nil"/>
            </w:tcBorders>
            <w:shd w:val="clear" w:color="auto" w:fill="FFFFFF"/>
            <w:vAlign w:val="center"/>
          </w:tcPr>
          <w:p w14:paraId="76940EA6" w14:textId="77777777" w:rsidR="00C550BB" w:rsidRPr="00C550BB" w:rsidRDefault="00C550BB" w:rsidP="001E52A6">
            <w:pPr>
              <w:autoSpaceDE w:val="0"/>
              <w:autoSpaceDN w:val="0"/>
              <w:adjustRightInd w:val="0"/>
              <w:jc w:val="center"/>
              <w:rPr>
                <w:color w:val="000000"/>
              </w:rPr>
            </w:pPr>
          </w:p>
        </w:tc>
        <w:tc>
          <w:tcPr>
            <w:tcW w:w="855" w:type="pct"/>
            <w:tcBorders>
              <w:top w:val="nil"/>
              <w:left w:val="nil"/>
              <w:bottom w:val="nil"/>
              <w:right w:val="single" w:sz="8" w:space="0" w:color="auto"/>
            </w:tcBorders>
            <w:shd w:val="clear" w:color="auto" w:fill="FFFFFF"/>
            <w:vAlign w:val="center"/>
          </w:tcPr>
          <w:p w14:paraId="2902E460"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41" w:type="pct"/>
            <w:gridSpan w:val="2"/>
            <w:tcBorders>
              <w:top w:val="nil"/>
              <w:left w:val="single" w:sz="8" w:space="0" w:color="auto"/>
              <w:bottom w:val="nil"/>
            </w:tcBorders>
            <w:shd w:val="clear" w:color="auto" w:fill="FFFFFF"/>
          </w:tcPr>
          <w:p w14:paraId="6F000A45" w14:textId="77777777" w:rsidR="00C550BB" w:rsidRPr="00C550BB" w:rsidRDefault="00C550BB" w:rsidP="001E52A6">
            <w:pPr>
              <w:autoSpaceDE w:val="0"/>
              <w:autoSpaceDN w:val="0"/>
              <w:adjustRightInd w:val="0"/>
              <w:jc w:val="center"/>
              <w:rPr>
                <w:color w:val="000000"/>
              </w:rPr>
            </w:pPr>
            <w:r w:rsidRPr="00C550BB">
              <w:rPr>
                <w:color w:val="000000"/>
              </w:rPr>
              <w:t>136,950</w:t>
            </w:r>
          </w:p>
        </w:tc>
        <w:tc>
          <w:tcPr>
            <w:tcW w:w="667" w:type="pct"/>
            <w:tcBorders>
              <w:top w:val="nil"/>
              <w:bottom w:val="nil"/>
            </w:tcBorders>
            <w:shd w:val="clear" w:color="auto" w:fill="FFFFFF"/>
          </w:tcPr>
          <w:p w14:paraId="6F96D946"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091A34F7" w14:textId="77777777" w:rsidR="00C550BB" w:rsidRPr="00C550BB" w:rsidRDefault="00C550BB" w:rsidP="001E52A6">
            <w:pPr>
              <w:autoSpaceDE w:val="0"/>
              <w:autoSpaceDN w:val="0"/>
              <w:adjustRightInd w:val="0"/>
              <w:jc w:val="center"/>
              <w:rPr>
                <w:color w:val="000000"/>
              </w:rPr>
            </w:pPr>
            <w:r w:rsidRPr="00C550BB">
              <w:rPr>
                <w:color w:val="000000"/>
              </w:rPr>
              <w:t>,461</w:t>
            </w:r>
          </w:p>
        </w:tc>
        <w:tc>
          <w:tcPr>
            <w:tcW w:w="588" w:type="pct"/>
            <w:tcBorders>
              <w:top w:val="nil"/>
              <w:bottom w:val="nil"/>
            </w:tcBorders>
            <w:shd w:val="clear" w:color="auto" w:fill="FFFFFF"/>
          </w:tcPr>
          <w:p w14:paraId="4D6E95D0" w14:textId="77777777" w:rsidR="00C550BB" w:rsidRPr="00C550BB" w:rsidRDefault="00C550BB" w:rsidP="001E52A6">
            <w:pPr>
              <w:autoSpaceDE w:val="0"/>
              <w:autoSpaceDN w:val="0"/>
              <w:adjustRightInd w:val="0"/>
              <w:jc w:val="center"/>
            </w:pPr>
          </w:p>
        </w:tc>
      </w:tr>
      <w:tr w:rsidR="00C550BB" w:rsidRPr="00C550BB" w14:paraId="7A15B3BA" w14:textId="77777777" w:rsidTr="00C550BB">
        <w:trPr>
          <w:gridBefore w:val="1"/>
          <w:gridAfter w:val="2"/>
          <w:wBefore w:w="9" w:type="pct"/>
          <w:wAfter w:w="14" w:type="pct"/>
          <w:cantSplit/>
          <w:trHeight w:val="20"/>
        </w:trPr>
        <w:tc>
          <w:tcPr>
            <w:tcW w:w="457" w:type="pct"/>
            <w:gridSpan w:val="2"/>
            <w:vMerge w:val="restart"/>
            <w:tcBorders>
              <w:top w:val="nil"/>
              <w:left w:val="nil"/>
              <w:bottom w:val="nil"/>
              <w:right w:val="nil"/>
            </w:tcBorders>
            <w:shd w:val="clear" w:color="auto" w:fill="FFFFFF"/>
            <w:vAlign w:val="center"/>
          </w:tcPr>
          <w:p w14:paraId="1BFFC25D" w14:textId="77777777" w:rsidR="00C550BB" w:rsidRPr="00C550BB" w:rsidRDefault="00C550BB" w:rsidP="001E52A6">
            <w:pPr>
              <w:autoSpaceDE w:val="0"/>
              <w:autoSpaceDN w:val="0"/>
              <w:adjustRightInd w:val="0"/>
              <w:jc w:val="center"/>
              <w:rPr>
                <w:color w:val="000000"/>
              </w:rPr>
            </w:pPr>
            <w:r w:rsidRPr="00C550BB">
              <w:rPr>
                <w:color w:val="000000"/>
              </w:rPr>
              <w:t>RS14</w:t>
            </w:r>
          </w:p>
        </w:tc>
        <w:tc>
          <w:tcPr>
            <w:tcW w:w="855" w:type="pct"/>
            <w:tcBorders>
              <w:top w:val="nil"/>
              <w:left w:val="nil"/>
              <w:bottom w:val="nil"/>
              <w:right w:val="single" w:sz="8" w:space="0" w:color="auto"/>
            </w:tcBorders>
            <w:shd w:val="clear" w:color="auto" w:fill="FFFFFF"/>
            <w:vAlign w:val="center"/>
          </w:tcPr>
          <w:p w14:paraId="3DD01D09"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41" w:type="pct"/>
            <w:gridSpan w:val="2"/>
            <w:tcBorders>
              <w:top w:val="nil"/>
              <w:left w:val="single" w:sz="8" w:space="0" w:color="auto"/>
              <w:bottom w:val="nil"/>
            </w:tcBorders>
            <w:shd w:val="clear" w:color="auto" w:fill="FFFFFF"/>
          </w:tcPr>
          <w:p w14:paraId="73F6C566" w14:textId="77777777" w:rsidR="00C550BB" w:rsidRPr="00C550BB" w:rsidRDefault="00C550BB" w:rsidP="001E52A6">
            <w:pPr>
              <w:autoSpaceDE w:val="0"/>
              <w:autoSpaceDN w:val="0"/>
              <w:adjustRightInd w:val="0"/>
              <w:jc w:val="center"/>
              <w:rPr>
                <w:color w:val="000000"/>
              </w:rPr>
            </w:pPr>
            <w:r w:rsidRPr="00C550BB">
              <w:rPr>
                <w:color w:val="000000"/>
              </w:rPr>
              <w:t>11,109</w:t>
            </w:r>
          </w:p>
        </w:tc>
        <w:tc>
          <w:tcPr>
            <w:tcW w:w="667" w:type="pct"/>
            <w:tcBorders>
              <w:top w:val="nil"/>
              <w:bottom w:val="nil"/>
            </w:tcBorders>
            <w:shd w:val="clear" w:color="auto" w:fill="FFFFFF"/>
          </w:tcPr>
          <w:p w14:paraId="5CFFBFCE"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5A6E3573" w14:textId="77777777" w:rsidR="00C550BB" w:rsidRPr="00C550BB" w:rsidRDefault="00C550BB" w:rsidP="001E52A6">
            <w:pPr>
              <w:autoSpaceDE w:val="0"/>
              <w:autoSpaceDN w:val="0"/>
              <w:adjustRightInd w:val="0"/>
              <w:jc w:val="center"/>
              <w:rPr>
                <w:color w:val="000000"/>
              </w:rPr>
            </w:pPr>
            <w:r w:rsidRPr="00C550BB">
              <w:rPr>
                <w:color w:val="000000"/>
              </w:rPr>
              <w:t>5,555</w:t>
            </w:r>
          </w:p>
        </w:tc>
        <w:tc>
          <w:tcPr>
            <w:tcW w:w="588" w:type="pct"/>
            <w:tcBorders>
              <w:top w:val="nil"/>
              <w:bottom w:val="nil"/>
            </w:tcBorders>
            <w:shd w:val="clear" w:color="auto" w:fill="FFFFFF"/>
          </w:tcPr>
          <w:p w14:paraId="51056108" w14:textId="77777777" w:rsidR="00C550BB" w:rsidRPr="00C550BB" w:rsidRDefault="00C550BB" w:rsidP="001E52A6">
            <w:pPr>
              <w:autoSpaceDE w:val="0"/>
              <w:autoSpaceDN w:val="0"/>
              <w:adjustRightInd w:val="0"/>
              <w:jc w:val="center"/>
              <w:rPr>
                <w:color w:val="000000"/>
              </w:rPr>
            </w:pPr>
            <w:r w:rsidRPr="00C550BB">
              <w:rPr>
                <w:color w:val="000000"/>
              </w:rPr>
              <w:t>15,834</w:t>
            </w:r>
          </w:p>
        </w:tc>
        <w:tc>
          <w:tcPr>
            <w:tcW w:w="654" w:type="pct"/>
            <w:tcBorders>
              <w:top w:val="nil"/>
              <w:bottom w:val="nil"/>
              <w:right w:val="nil"/>
            </w:tcBorders>
            <w:shd w:val="clear" w:color="auto" w:fill="FFFFFF"/>
          </w:tcPr>
          <w:p w14:paraId="56684B18"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0DC85939" w14:textId="77777777" w:rsidTr="00C550BB">
        <w:trPr>
          <w:gridBefore w:val="1"/>
          <w:gridAfter w:val="3"/>
          <w:wBefore w:w="9" w:type="pct"/>
          <w:wAfter w:w="668" w:type="pct"/>
          <w:cantSplit/>
          <w:trHeight w:val="20"/>
        </w:trPr>
        <w:tc>
          <w:tcPr>
            <w:tcW w:w="457" w:type="pct"/>
            <w:gridSpan w:val="2"/>
            <w:vMerge/>
            <w:tcBorders>
              <w:top w:val="nil"/>
              <w:left w:val="nil"/>
              <w:bottom w:val="nil"/>
              <w:right w:val="nil"/>
            </w:tcBorders>
            <w:shd w:val="clear" w:color="auto" w:fill="FFFFFF"/>
            <w:vAlign w:val="center"/>
          </w:tcPr>
          <w:p w14:paraId="2D9CE8DF" w14:textId="77777777" w:rsidR="00C550BB" w:rsidRPr="00C550BB" w:rsidRDefault="00C550BB" w:rsidP="001E52A6">
            <w:pPr>
              <w:autoSpaceDE w:val="0"/>
              <w:autoSpaceDN w:val="0"/>
              <w:adjustRightInd w:val="0"/>
              <w:jc w:val="center"/>
              <w:rPr>
                <w:color w:val="000000"/>
              </w:rPr>
            </w:pPr>
          </w:p>
        </w:tc>
        <w:tc>
          <w:tcPr>
            <w:tcW w:w="855" w:type="pct"/>
            <w:tcBorders>
              <w:top w:val="nil"/>
              <w:left w:val="nil"/>
              <w:bottom w:val="nil"/>
              <w:right w:val="single" w:sz="8" w:space="0" w:color="auto"/>
            </w:tcBorders>
            <w:shd w:val="clear" w:color="auto" w:fill="FFFFFF"/>
            <w:vAlign w:val="center"/>
          </w:tcPr>
          <w:p w14:paraId="779E880D"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41" w:type="pct"/>
            <w:gridSpan w:val="2"/>
            <w:tcBorders>
              <w:top w:val="nil"/>
              <w:left w:val="single" w:sz="8" w:space="0" w:color="auto"/>
              <w:bottom w:val="nil"/>
            </w:tcBorders>
            <w:shd w:val="clear" w:color="auto" w:fill="FFFFFF"/>
          </w:tcPr>
          <w:p w14:paraId="17D66126" w14:textId="77777777" w:rsidR="00C550BB" w:rsidRPr="00C550BB" w:rsidRDefault="00C550BB" w:rsidP="001E52A6">
            <w:pPr>
              <w:autoSpaceDE w:val="0"/>
              <w:autoSpaceDN w:val="0"/>
              <w:adjustRightInd w:val="0"/>
              <w:jc w:val="center"/>
              <w:rPr>
                <w:color w:val="000000"/>
              </w:rPr>
            </w:pPr>
            <w:r w:rsidRPr="00C550BB">
              <w:rPr>
                <w:color w:val="000000"/>
              </w:rPr>
              <w:t>104,187</w:t>
            </w:r>
          </w:p>
        </w:tc>
        <w:tc>
          <w:tcPr>
            <w:tcW w:w="667" w:type="pct"/>
            <w:tcBorders>
              <w:top w:val="nil"/>
              <w:bottom w:val="nil"/>
            </w:tcBorders>
            <w:shd w:val="clear" w:color="auto" w:fill="FFFFFF"/>
          </w:tcPr>
          <w:p w14:paraId="16599D30"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06EFFEA0" w14:textId="77777777" w:rsidR="00C550BB" w:rsidRPr="00C550BB" w:rsidRDefault="00C550BB" w:rsidP="001E52A6">
            <w:pPr>
              <w:autoSpaceDE w:val="0"/>
              <w:autoSpaceDN w:val="0"/>
              <w:adjustRightInd w:val="0"/>
              <w:jc w:val="center"/>
              <w:rPr>
                <w:color w:val="000000"/>
              </w:rPr>
            </w:pPr>
            <w:r w:rsidRPr="00C550BB">
              <w:rPr>
                <w:color w:val="000000"/>
              </w:rPr>
              <w:t>,351</w:t>
            </w:r>
          </w:p>
        </w:tc>
        <w:tc>
          <w:tcPr>
            <w:tcW w:w="588" w:type="pct"/>
            <w:tcBorders>
              <w:top w:val="nil"/>
              <w:bottom w:val="nil"/>
            </w:tcBorders>
            <w:shd w:val="clear" w:color="auto" w:fill="FFFFFF"/>
          </w:tcPr>
          <w:p w14:paraId="4007FED7" w14:textId="77777777" w:rsidR="00C550BB" w:rsidRPr="00C550BB" w:rsidRDefault="00C550BB" w:rsidP="001E52A6">
            <w:pPr>
              <w:autoSpaceDE w:val="0"/>
              <w:autoSpaceDN w:val="0"/>
              <w:adjustRightInd w:val="0"/>
              <w:jc w:val="center"/>
            </w:pPr>
          </w:p>
        </w:tc>
      </w:tr>
      <w:tr w:rsidR="00C550BB" w:rsidRPr="00C550BB" w14:paraId="228B8630" w14:textId="77777777" w:rsidTr="00C550BB">
        <w:trPr>
          <w:gridBefore w:val="1"/>
          <w:gridAfter w:val="2"/>
          <w:wBefore w:w="9" w:type="pct"/>
          <w:wAfter w:w="14" w:type="pct"/>
          <w:cantSplit/>
          <w:trHeight w:val="20"/>
        </w:trPr>
        <w:tc>
          <w:tcPr>
            <w:tcW w:w="457" w:type="pct"/>
            <w:gridSpan w:val="2"/>
            <w:vMerge w:val="restart"/>
            <w:tcBorders>
              <w:top w:val="nil"/>
              <w:left w:val="nil"/>
              <w:bottom w:val="nil"/>
              <w:right w:val="nil"/>
            </w:tcBorders>
            <w:shd w:val="clear" w:color="auto" w:fill="FFFFFF"/>
            <w:vAlign w:val="center"/>
          </w:tcPr>
          <w:p w14:paraId="5A138E63" w14:textId="77777777" w:rsidR="00C550BB" w:rsidRPr="00C550BB" w:rsidRDefault="00C550BB" w:rsidP="001E52A6">
            <w:pPr>
              <w:autoSpaceDE w:val="0"/>
              <w:autoSpaceDN w:val="0"/>
              <w:adjustRightInd w:val="0"/>
              <w:jc w:val="center"/>
              <w:rPr>
                <w:color w:val="000000"/>
              </w:rPr>
            </w:pPr>
            <w:r w:rsidRPr="00C550BB">
              <w:rPr>
                <w:color w:val="000000"/>
              </w:rPr>
              <w:lastRenderedPageBreak/>
              <w:t>RS15</w:t>
            </w:r>
          </w:p>
        </w:tc>
        <w:tc>
          <w:tcPr>
            <w:tcW w:w="855" w:type="pct"/>
            <w:tcBorders>
              <w:top w:val="nil"/>
              <w:left w:val="nil"/>
              <w:bottom w:val="nil"/>
              <w:right w:val="single" w:sz="8" w:space="0" w:color="auto"/>
            </w:tcBorders>
            <w:shd w:val="clear" w:color="auto" w:fill="FFFFFF"/>
            <w:vAlign w:val="center"/>
          </w:tcPr>
          <w:p w14:paraId="3B4A4C06"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41" w:type="pct"/>
            <w:gridSpan w:val="2"/>
            <w:tcBorders>
              <w:top w:val="nil"/>
              <w:left w:val="single" w:sz="8" w:space="0" w:color="auto"/>
              <w:bottom w:val="nil"/>
            </w:tcBorders>
            <w:shd w:val="clear" w:color="auto" w:fill="FFFFFF"/>
          </w:tcPr>
          <w:p w14:paraId="2C5356C6" w14:textId="77777777" w:rsidR="00C550BB" w:rsidRPr="00C550BB" w:rsidRDefault="00C550BB" w:rsidP="001E52A6">
            <w:pPr>
              <w:autoSpaceDE w:val="0"/>
              <w:autoSpaceDN w:val="0"/>
              <w:adjustRightInd w:val="0"/>
              <w:jc w:val="center"/>
              <w:rPr>
                <w:color w:val="000000"/>
              </w:rPr>
            </w:pPr>
            <w:r w:rsidRPr="00C550BB">
              <w:rPr>
                <w:color w:val="000000"/>
              </w:rPr>
              <w:t>9,101</w:t>
            </w:r>
          </w:p>
        </w:tc>
        <w:tc>
          <w:tcPr>
            <w:tcW w:w="667" w:type="pct"/>
            <w:tcBorders>
              <w:top w:val="nil"/>
              <w:bottom w:val="nil"/>
            </w:tcBorders>
            <w:shd w:val="clear" w:color="auto" w:fill="FFFFFF"/>
          </w:tcPr>
          <w:p w14:paraId="1434C68B"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47B18974" w14:textId="77777777" w:rsidR="00C550BB" w:rsidRPr="00C550BB" w:rsidRDefault="00C550BB" w:rsidP="001E52A6">
            <w:pPr>
              <w:autoSpaceDE w:val="0"/>
              <w:autoSpaceDN w:val="0"/>
              <w:adjustRightInd w:val="0"/>
              <w:jc w:val="center"/>
              <w:rPr>
                <w:color w:val="000000"/>
              </w:rPr>
            </w:pPr>
            <w:r w:rsidRPr="00C550BB">
              <w:rPr>
                <w:color w:val="000000"/>
              </w:rPr>
              <w:t>4,550</w:t>
            </w:r>
          </w:p>
        </w:tc>
        <w:tc>
          <w:tcPr>
            <w:tcW w:w="588" w:type="pct"/>
            <w:tcBorders>
              <w:top w:val="nil"/>
              <w:bottom w:val="nil"/>
            </w:tcBorders>
            <w:shd w:val="clear" w:color="auto" w:fill="FFFFFF"/>
          </w:tcPr>
          <w:p w14:paraId="00F30182" w14:textId="77777777" w:rsidR="00C550BB" w:rsidRPr="00C550BB" w:rsidRDefault="00C550BB" w:rsidP="001E52A6">
            <w:pPr>
              <w:autoSpaceDE w:val="0"/>
              <w:autoSpaceDN w:val="0"/>
              <w:adjustRightInd w:val="0"/>
              <w:jc w:val="center"/>
              <w:rPr>
                <w:color w:val="000000"/>
              </w:rPr>
            </w:pPr>
            <w:r w:rsidRPr="00C550BB">
              <w:rPr>
                <w:color w:val="000000"/>
              </w:rPr>
              <w:t>22,552</w:t>
            </w:r>
          </w:p>
        </w:tc>
        <w:tc>
          <w:tcPr>
            <w:tcW w:w="654" w:type="pct"/>
            <w:tcBorders>
              <w:top w:val="nil"/>
              <w:bottom w:val="nil"/>
              <w:right w:val="nil"/>
            </w:tcBorders>
            <w:shd w:val="clear" w:color="auto" w:fill="FFFFFF"/>
          </w:tcPr>
          <w:p w14:paraId="058D8DF4"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55F9D051" w14:textId="77777777" w:rsidTr="00C550BB">
        <w:trPr>
          <w:gridBefore w:val="1"/>
          <w:gridAfter w:val="3"/>
          <w:wBefore w:w="9" w:type="pct"/>
          <w:wAfter w:w="668" w:type="pct"/>
          <w:cantSplit/>
          <w:trHeight w:val="20"/>
        </w:trPr>
        <w:tc>
          <w:tcPr>
            <w:tcW w:w="457" w:type="pct"/>
            <w:gridSpan w:val="2"/>
            <w:vMerge/>
            <w:tcBorders>
              <w:top w:val="nil"/>
              <w:left w:val="nil"/>
              <w:bottom w:val="nil"/>
              <w:right w:val="nil"/>
            </w:tcBorders>
            <w:shd w:val="clear" w:color="auto" w:fill="FFFFFF"/>
            <w:vAlign w:val="center"/>
          </w:tcPr>
          <w:p w14:paraId="5DA7956B" w14:textId="77777777" w:rsidR="00C550BB" w:rsidRPr="00C550BB" w:rsidRDefault="00C550BB" w:rsidP="001E52A6">
            <w:pPr>
              <w:autoSpaceDE w:val="0"/>
              <w:autoSpaceDN w:val="0"/>
              <w:adjustRightInd w:val="0"/>
              <w:jc w:val="center"/>
              <w:rPr>
                <w:color w:val="000000"/>
              </w:rPr>
            </w:pPr>
          </w:p>
        </w:tc>
        <w:tc>
          <w:tcPr>
            <w:tcW w:w="855" w:type="pct"/>
            <w:tcBorders>
              <w:top w:val="nil"/>
              <w:left w:val="nil"/>
              <w:bottom w:val="nil"/>
              <w:right w:val="single" w:sz="8" w:space="0" w:color="auto"/>
            </w:tcBorders>
            <w:shd w:val="clear" w:color="auto" w:fill="FFFFFF"/>
            <w:vAlign w:val="center"/>
          </w:tcPr>
          <w:p w14:paraId="011C0A58"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41" w:type="pct"/>
            <w:gridSpan w:val="2"/>
            <w:tcBorders>
              <w:top w:val="nil"/>
              <w:left w:val="single" w:sz="8" w:space="0" w:color="auto"/>
              <w:bottom w:val="nil"/>
            </w:tcBorders>
            <w:shd w:val="clear" w:color="auto" w:fill="FFFFFF"/>
          </w:tcPr>
          <w:p w14:paraId="2BC5934F" w14:textId="77777777" w:rsidR="00C550BB" w:rsidRPr="00C550BB" w:rsidRDefault="00C550BB" w:rsidP="001E52A6">
            <w:pPr>
              <w:autoSpaceDE w:val="0"/>
              <w:autoSpaceDN w:val="0"/>
              <w:adjustRightInd w:val="0"/>
              <w:jc w:val="center"/>
              <w:rPr>
                <w:color w:val="000000"/>
              </w:rPr>
            </w:pPr>
            <w:r w:rsidRPr="00C550BB">
              <w:rPr>
                <w:color w:val="000000"/>
              </w:rPr>
              <w:t>59,928</w:t>
            </w:r>
          </w:p>
        </w:tc>
        <w:tc>
          <w:tcPr>
            <w:tcW w:w="667" w:type="pct"/>
            <w:tcBorders>
              <w:top w:val="nil"/>
              <w:bottom w:val="nil"/>
            </w:tcBorders>
            <w:shd w:val="clear" w:color="auto" w:fill="FFFFFF"/>
          </w:tcPr>
          <w:p w14:paraId="55B10029"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02600EA9" w14:textId="77777777" w:rsidR="00C550BB" w:rsidRPr="00C550BB" w:rsidRDefault="00C550BB" w:rsidP="001E52A6">
            <w:pPr>
              <w:autoSpaceDE w:val="0"/>
              <w:autoSpaceDN w:val="0"/>
              <w:adjustRightInd w:val="0"/>
              <w:jc w:val="center"/>
              <w:rPr>
                <w:color w:val="000000"/>
              </w:rPr>
            </w:pPr>
            <w:r w:rsidRPr="00C550BB">
              <w:rPr>
                <w:color w:val="000000"/>
              </w:rPr>
              <w:t>,202</w:t>
            </w:r>
          </w:p>
        </w:tc>
        <w:tc>
          <w:tcPr>
            <w:tcW w:w="588" w:type="pct"/>
            <w:tcBorders>
              <w:top w:val="nil"/>
              <w:bottom w:val="nil"/>
            </w:tcBorders>
            <w:shd w:val="clear" w:color="auto" w:fill="FFFFFF"/>
          </w:tcPr>
          <w:p w14:paraId="3A1F1873" w14:textId="77777777" w:rsidR="00C550BB" w:rsidRPr="00C550BB" w:rsidRDefault="00C550BB" w:rsidP="001E52A6">
            <w:pPr>
              <w:autoSpaceDE w:val="0"/>
              <w:autoSpaceDN w:val="0"/>
              <w:adjustRightInd w:val="0"/>
              <w:jc w:val="center"/>
            </w:pPr>
          </w:p>
        </w:tc>
      </w:tr>
      <w:tr w:rsidR="00C550BB" w:rsidRPr="00C550BB" w14:paraId="64EBBE83" w14:textId="77777777" w:rsidTr="00C550BB">
        <w:trPr>
          <w:gridBefore w:val="1"/>
          <w:wBefore w:w="9" w:type="pct"/>
          <w:cantSplit/>
        </w:trPr>
        <w:tc>
          <w:tcPr>
            <w:tcW w:w="1316" w:type="pct"/>
            <w:gridSpan w:val="4"/>
            <w:tcBorders>
              <w:top w:val="single" w:sz="12" w:space="0" w:color="auto"/>
              <w:left w:val="nil"/>
              <w:bottom w:val="single" w:sz="12" w:space="0" w:color="auto"/>
              <w:right w:val="single" w:sz="8" w:space="0" w:color="000000"/>
            </w:tcBorders>
            <w:shd w:val="clear" w:color="auto" w:fill="FFFFFF"/>
          </w:tcPr>
          <w:p w14:paraId="6BB98A6A" w14:textId="77777777" w:rsidR="00C550BB" w:rsidRPr="00C550BB" w:rsidRDefault="00C550BB" w:rsidP="001E52A6">
            <w:pPr>
              <w:autoSpaceDE w:val="0"/>
              <w:autoSpaceDN w:val="0"/>
              <w:adjustRightInd w:val="0"/>
              <w:jc w:val="center"/>
              <w:rPr>
                <w:color w:val="000000"/>
              </w:rPr>
            </w:pPr>
            <w:r w:rsidRPr="00C550BB">
              <w:rPr>
                <w:color w:val="000000"/>
              </w:rPr>
              <w:t>Variável dependente</w:t>
            </w:r>
          </w:p>
        </w:tc>
        <w:tc>
          <w:tcPr>
            <w:tcW w:w="837" w:type="pct"/>
            <w:tcBorders>
              <w:top w:val="single" w:sz="12" w:space="0" w:color="auto"/>
              <w:left w:val="single" w:sz="8" w:space="0" w:color="000000"/>
              <w:bottom w:val="single" w:sz="12" w:space="0" w:color="auto"/>
              <w:right w:val="single" w:sz="8" w:space="0" w:color="000000"/>
            </w:tcBorders>
            <w:shd w:val="clear" w:color="auto" w:fill="FFFFFF"/>
          </w:tcPr>
          <w:p w14:paraId="4800004A" w14:textId="77777777" w:rsidR="00C550BB" w:rsidRPr="00C550BB" w:rsidRDefault="00C550BB" w:rsidP="001E52A6">
            <w:pPr>
              <w:autoSpaceDE w:val="0"/>
              <w:autoSpaceDN w:val="0"/>
              <w:adjustRightInd w:val="0"/>
              <w:jc w:val="center"/>
              <w:rPr>
                <w:color w:val="000000"/>
              </w:rPr>
            </w:pPr>
            <w:r w:rsidRPr="00C550BB">
              <w:rPr>
                <w:color w:val="000000"/>
              </w:rPr>
              <w:t>(I) Seleção</w:t>
            </w:r>
          </w:p>
        </w:tc>
        <w:tc>
          <w:tcPr>
            <w:tcW w:w="667" w:type="pct"/>
            <w:tcBorders>
              <w:top w:val="single" w:sz="12" w:space="0" w:color="auto"/>
              <w:left w:val="single" w:sz="8" w:space="0" w:color="000000"/>
              <w:bottom w:val="single" w:sz="12" w:space="0" w:color="auto"/>
              <w:right w:val="single" w:sz="2" w:space="0" w:color="auto"/>
            </w:tcBorders>
            <w:shd w:val="clear" w:color="auto" w:fill="FFFFFF"/>
          </w:tcPr>
          <w:p w14:paraId="4317F36B" w14:textId="77777777" w:rsidR="00C550BB" w:rsidRPr="00C550BB" w:rsidRDefault="00C550BB" w:rsidP="001E52A6">
            <w:pPr>
              <w:autoSpaceDE w:val="0"/>
              <w:autoSpaceDN w:val="0"/>
              <w:adjustRightInd w:val="0"/>
              <w:jc w:val="center"/>
              <w:rPr>
                <w:color w:val="000000"/>
              </w:rPr>
            </w:pPr>
            <w:r w:rsidRPr="00C550BB">
              <w:rPr>
                <w:color w:val="000000"/>
              </w:rPr>
              <w:t>(J) Seleção</w:t>
            </w:r>
          </w:p>
        </w:tc>
        <w:tc>
          <w:tcPr>
            <w:tcW w:w="1503" w:type="pct"/>
            <w:gridSpan w:val="2"/>
            <w:tcBorders>
              <w:top w:val="single" w:sz="12" w:space="0" w:color="auto"/>
              <w:left w:val="single" w:sz="2" w:space="0" w:color="auto"/>
              <w:bottom w:val="single" w:sz="12" w:space="0" w:color="auto"/>
              <w:right w:val="single" w:sz="8" w:space="0" w:color="000000"/>
            </w:tcBorders>
            <w:shd w:val="clear" w:color="auto" w:fill="FFFFFF"/>
            <w:vAlign w:val="center"/>
          </w:tcPr>
          <w:p w14:paraId="08E2363A" w14:textId="77777777" w:rsidR="00C550BB" w:rsidRPr="00C550BB" w:rsidRDefault="00C550BB" w:rsidP="001E52A6">
            <w:pPr>
              <w:autoSpaceDE w:val="0"/>
              <w:autoSpaceDN w:val="0"/>
              <w:adjustRightInd w:val="0"/>
              <w:jc w:val="center"/>
              <w:rPr>
                <w:color w:val="000000"/>
              </w:rPr>
            </w:pPr>
            <w:r w:rsidRPr="00C550BB">
              <w:rPr>
                <w:color w:val="000000"/>
              </w:rPr>
              <w:t>Diferença média (I-J)</w:t>
            </w:r>
          </w:p>
        </w:tc>
        <w:tc>
          <w:tcPr>
            <w:tcW w:w="668" w:type="pct"/>
            <w:gridSpan w:val="3"/>
            <w:tcBorders>
              <w:top w:val="single" w:sz="12" w:space="0" w:color="auto"/>
              <w:left w:val="single" w:sz="8" w:space="0" w:color="000000"/>
              <w:bottom w:val="single" w:sz="12" w:space="0" w:color="auto"/>
              <w:right w:val="nil"/>
            </w:tcBorders>
            <w:shd w:val="clear" w:color="auto" w:fill="FFFFFF"/>
            <w:vAlign w:val="center"/>
          </w:tcPr>
          <w:p w14:paraId="69470730" w14:textId="77777777" w:rsidR="00C550BB" w:rsidRPr="00C550BB" w:rsidRDefault="00C550BB" w:rsidP="001E52A6">
            <w:pPr>
              <w:autoSpaceDE w:val="0"/>
              <w:autoSpaceDN w:val="0"/>
              <w:adjustRightInd w:val="0"/>
              <w:jc w:val="center"/>
              <w:rPr>
                <w:color w:val="000000"/>
              </w:rPr>
            </w:pPr>
            <w:proofErr w:type="spellStart"/>
            <w:r w:rsidRPr="00C550BB">
              <w:rPr>
                <w:color w:val="000000"/>
              </w:rPr>
              <w:t>Sig</w:t>
            </w:r>
            <w:proofErr w:type="spellEnd"/>
            <w:r w:rsidRPr="00C550BB">
              <w:rPr>
                <w:color w:val="000000"/>
              </w:rPr>
              <w:t>.</w:t>
            </w:r>
          </w:p>
        </w:tc>
      </w:tr>
      <w:tr w:rsidR="00C550BB" w:rsidRPr="00C550BB" w14:paraId="4658781F" w14:textId="77777777" w:rsidTr="00C550BB">
        <w:trPr>
          <w:gridBefore w:val="1"/>
          <w:gridAfter w:val="1"/>
          <w:wBefore w:w="9" w:type="pct"/>
          <w:wAfter w:w="7" w:type="pct"/>
          <w:cantSplit/>
          <w:trHeight w:val="20"/>
        </w:trPr>
        <w:tc>
          <w:tcPr>
            <w:tcW w:w="1316" w:type="pct"/>
            <w:gridSpan w:val="4"/>
            <w:vMerge w:val="restart"/>
            <w:tcBorders>
              <w:top w:val="single" w:sz="12" w:space="0" w:color="auto"/>
              <w:left w:val="nil"/>
              <w:bottom w:val="nil"/>
            </w:tcBorders>
            <w:shd w:val="clear" w:color="auto" w:fill="FFFFFF"/>
            <w:vAlign w:val="center"/>
          </w:tcPr>
          <w:p w14:paraId="42F88E04" w14:textId="77777777" w:rsidR="00C550BB" w:rsidRPr="00C550BB" w:rsidRDefault="00C550BB" w:rsidP="001E52A6">
            <w:pPr>
              <w:autoSpaceDE w:val="0"/>
              <w:autoSpaceDN w:val="0"/>
              <w:adjustRightInd w:val="0"/>
              <w:jc w:val="center"/>
              <w:rPr>
                <w:color w:val="000000"/>
              </w:rPr>
            </w:pPr>
            <w:r w:rsidRPr="00C550BB">
              <w:rPr>
                <w:color w:val="000000"/>
              </w:rPr>
              <w:t>RS14</w:t>
            </w:r>
          </w:p>
        </w:tc>
        <w:tc>
          <w:tcPr>
            <w:tcW w:w="837" w:type="pct"/>
            <w:vMerge w:val="restart"/>
            <w:tcBorders>
              <w:top w:val="single" w:sz="12" w:space="0" w:color="auto"/>
              <w:bottom w:val="nil"/>
            </w:tcBorders>
            <w:shd w:val="clear" w:color="auto" w:fill="FFFFFF"/>
            <w:vAlign w:val="center"/>
          </w:tcPr>
          <w:p w14:paraId="546D14E8"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667" w:type="pct"/>
            <w:tcBorders>
              <w:top w:val="single" w:sz="12" w:space="0" w:color="auto"/>
              <w:bottom w:val="nil"/>
              <w:right w:val="single" w:sz="8" w:space="0" w:color="auto"/>
            </w:tcBorders>
            <w:shd w:val="clear" w:color="auto" w:fill="FFFFFF"/>
          </w:tcPr>
          <w:p w14:paraId="77C7DFDF"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single" w:sz="12" w:space="0" w:color="auto"/>
              <w:left w:val="single" w:sz="8" w:space="0" w:color="auto"/>
              <w:bottom w:val="nil"/>
            </w:tcBorders>
            <w:shd w:val="clear" w:color="auto" w:fill="FFFFFF"/>
            <w:vAlign w:val="center"/>
          </w:tcPr>
          <w:p w14:paraId="49E454D0" w14:textId="77777777" w:rsidR="00C550BB" w:rsidRPr="00C550BB" w:rsidRDefault="00C550BB" w:rsidP="001E52A6">
            <w:pPr>
              <w:autoSpaceDE w:val="0"/>
              <w:autoSpaceDN w:val="0"/>
              <w:adjustRightInd w:val="0"/>
              <w:jc w:val="center"/>
              <w:rPr>
                <w:color w:val="000000"/>
              </w:rPr>
            </w:pPr>
            <w:r w:rsidRPr="00C550BB">
              <w:rPr>
                <w:color w:val="000000"/>
              </w:rPr>
              <w:t>,40960800</w:t>
            </w:r>
            <w:r w:rsidRPr="00C550BB">
              <w:rPr>
                <w:color w:val="000000"/>
                <w:vertAlign w:val="superscript"/>
              </w:rPr>
              <w:t>*</w:t>
            </w:r>
          </w:p>
        </w:tc>
        <w:tc>
          <w:tcPr>
            <w:tcW w:w="661" w:type="pct"/>
            <w:gridSpan w:val="2"/>
            <w:tcBorders>
              <w:top w:val="single" w:sz="12" w:space="0" w:color="auto"/>
              <w:bottom w:val="nil"/>
              <w:right w:val="nil"/>
            </w:tcBorders>
            <w:shd w:val="clear" w:color="auto" w:fill="FFFFFF"/>
            <w:vAlign w:val="center"/>
          </w:tcPr>
          <w:p w14:paraId="5796917E"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5ACD2F8D"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vAlign w:val="center"/>
          </w:tcPr>
          <w:p w14:paraId="4B0525F0"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1F8D3883"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8" w:space="0" w:color="auto"/>
            </w:tcBorders>
            <w:shd w:val="clear" w:color="auto" w:fill="FFFFFF"/>
          </w:tcPr>
          <w:p w14:paraId="07BDC8A5"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8" w:space="0" w:color="auto"/>
              <w:bottom w:val="nil"/>
            </w:tcBorders>
            <w:shd w:val="clear" w:color="auto" w:fill="FFFFFF"/>
            <w:vAlign w:val="center"/>
          </w:tcPr>
          <w:p w14:paraId="16C70742" w14:textId="77777777" w:rsidR="00C550BB" w:rsidRPr="00C550BB" w:rsidRDefault="00C550BB" w:rsidP="001E52A6">
            <w:pPr>
              <w:autoSpaceDE w:val="0"/>
              <w:autoSpaceDN w:val="0"/>
              <w:adjustRightInd w:val="0"/>
              <w:jc w:val="center"/>
              <w:rPr>
                <w:color w:val="000000"/>
              </w:rPr>
            </w:pPr>
            <w:r w:rsidRPr="00C550BB">
              <w:rPr>
                <w:color w:val="000000"/>
              </w:rPr>
              <w:t>,40680000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6C6E33FC"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25EEDCEE"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vAlign w:val="center"/>
          </w:tcPr>
          <w:p w14:paraId="0CA6085F"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589BD750"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667" w:type="pct"/>
            <w:tcBorders>
              <w:top w:val="nil"/>
              <w:bottom w:val="nil"/>
              <w:right w:val="single" w:sz="8" w:space="0" w:color="auto"/>
            </w:tcBorders>
            <w:shd w:val="clear" w:color="auto" w:fill="FFFFFF"/>
          </w:tcPr>
          <w:p w14:paraId="6D9FF7BE"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8" w:space="0" w:color="auto"/>
              <w:bottom w:val="nil"/>
            </w:tcBorders>
            <w:shd w:val="clear" w:color="auto" w:fill="FFFFFF"/>
            <w:vAlign w:val="center"/>
          </w:tcPr>
          <w:p w14:paraId="2CF03281" w14:textId="77777777" w:rsidR="00C550BB" w:rsidRPr="00C550BB" w:rsidRDefault="00C550BB" w:rsidP="001E52A6">
            <w:pPr>
              <w:autoSpaceDE w:val="0"/>
              <w:autoSpaceDN w:val="0"/>
              <w:adjustRightInd w:val="0"/>
              <w:jc w:val="center"/>
              <w:rPr>
                <w:color w:val="000000"/>
              </w:rPr>
            </w:pPr>
            <w:r w:rsidRPr="00C550BB">
              <w:rPr>
                <w:color w:val="000000"/>
              </w:rPr>
              <w:t>-,40960800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15CE49B8"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49445171"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vAlign w:val="center"/>
          </w:tcPr>
          <w:p w14:paraId="579E5C11"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713EEE8F"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8" w:space="0" w:color="auto"/>
            </w:tcBorders>
            <w:shd w:val="clear" w:color="auto" w:fill="FFFFFF"/>
          </w:tcPr>
          <w:p w14:paraId="1652E3DB"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8" w:space="0" w:color="auto"/>
              <w:bottom w:val="nil"/>
            </w:tcBorders>
            <w:shd w:val="clear" w:color="auto" w:fill="FFFFFF"/>
            <w:vAlign w:val="center"/>
          </w:tcPr>
          <w:p w14:paraId="04FBFE70" w14:textId="77777777" w:rsidR="00C550BB" w:rsidRPr="00C550BB" w:rsidRDefault="00C550BB" w:rsidP="001E52A6">
            <w:pPr>
              <w:autoSpaceDE w:val="0"/>
              <w:autoSpaceDN w:val="0"/>
              <w:adjustRightInd w:val="0"/>
              <w:jc w:val="center"/>
              <w:rPr>
                <w:color w:val="000000"/>
              </w:rPr>
            </w:pPr>
            <w:r w:rsidRPr="00C550BB">
              <w:rPr>
                <w:color w:val="000000"/>
              </w:rPr>
              <w:t>-,00280800</w:t>
            </w:r>
          </w:p>
        </w:tc>
        <w:tc>
          <w:tcPr>
            <w:tcW w:w="661" w:type="pct"/>
            <w:gridSpan w:val="2"/>
            <w:tcBorders>
              <w:top w:val="nil"/>
              <w:bottom w:val="nil"/>
              <w:right w:val="nil"/>
            </w:tcBorders>
            <w:shd w:val="clear" w:color="auto" w:fill="FFFFFF"/>
            <w:vAlign w:val="center"/>
          </w:tcPr>
          <w:p w14:paraId="525CB2CD" w14:textId="77777777" w:rsidR="00C550BB" w:rsidRPr="00C550BB" w:rsidRDefault="00C550BB" w:rsidP="001E52A6">
            <w:pPr>
              <w:autoSpaceDE w:val="0"/>
              <w:autoSpaceDN w:val="0"/>
              <w:adjustRightInd w:val="0"/>
              <w:jc w:val="center"/>
              <w:rPr>
                <w:color w:val="000000"/>
              </w:rPr>
            </w:pPr>
            <w:r w:rsidRPr="00C550BB">
              <w:rPr>
                <w:color w:val="000000"/>
              </w:rPr>
              <w:t>,999</w:t>
            </w:r>
          </w:p>
        </w:tc>
      </w:tr>
      <w:tr w:rsidR="00C550BB" w:rsidRPr="00C550BB" w14:paraId="6EE9979D"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vAlign w:val="center"/>
          </w:tcPr>
          <w:p w14:paraId="5CF53643"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462F9CDA"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667" w:type="pct"/>
            <w:tcBorders>
              <w:top w:val="nil"/>
              <w:bottom w:val="nil"/>
              <w:right w:val="single" w:sz="8" w:space="0" w:color="auto"/>
            </w:tcBorders>
            <w:shd w:val="clear" w:color="auto" w:fill="FFFFFF"/>
          </w:tcPr>
          <w:p w14:paraId="2BA14258"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8" w:space="0" w:color="auto"/>
              <w:bottom w:val="nil"/>
            </w:tcBorders>
            <w:shd w:val="clear" w:color="auto" w:fill="FFFFFF"/>
            <w:vAlign w:val="center"/>
          </w:tcPr>
          <w:p w14:paraId="647AFA11" w14:textId="77777777" w:rsidR="00C550BB" w:rsidRPr="00C550BB" w:rsidRDefault="00C550BB" w:rsidP="001E52A6">
            <w:pPr>
              <w:autoSpaceDE w:val="0"/>
              <w:autoSpaceDN w:val="0"/>
              <w:adjustRightInd w:val="0"/>
              <w:jc w:val="center"/>
              <w:rPr>
                <w:color w:val="000000"/>
              </w:rPr>
            </w:pPr>
            <w:r w:rsidRPr="00C550BB">
              <w:rPr>
                <w:color w:val="000000"/>
              </w:rPr>
              <w:t>-,40680000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5CD83EAF"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7CAACEA0"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vAlign w:val="center"/>
          </w:tcPr>
          <w:p w14:paraId="126A4C49"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12FD55E1"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8" w:space="0" w:color="auto"/>
            </w:tcBorders>
            <w:shd w:val="clear" w:color="auto" w:fill="FFFFFF"/>
          </w:tcPr>
          <w:p w14:paraId="1BD4458C"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nil"/>
              <w:left w:val="single" w:sz="8" w:space="0" w:color="auto"/>
              <w:bottom w:val="nil"/>
            </w:tcBorders>
            <w:shd w:val="clear" w:color="auto" w:fill="FFFFFF"/>
            <w:vAlign w:val="center"/>
          </w:tcPr>
          <w:p w14:paraId="397CD72A" w14:textId="77777777" w:rsidR="00C550BB" w:rsidRPr="00C550BB" w:rsidRDefault="00C550BB" w:rsidP="001E52A6">
            <w:pPr>
              <w:autoSpaceDE w:val="0"/>
              <w:autoSpaceDN w:val="0"/>
              <w:adjustRightInd w:val="0"/>
              <w:jc w:val="center"/>
              <w:rPr>
                <w:color w:val="000000"/>
              </w:rPr>
            </w:pPr>
            <w:r w:rsidRPr="00C550BB">
              <w:rPr>
                <w:color w:val="000000"/>
              </w:rPr>
              <w:t>,00280800</w:t>
            </w:r>
          </w:p>
        </w:tc>
        <w:tc>
          <w:tcPr>
            <w:tcW w:w="661" w:type="pct"/>
            <w:gridSpan w:val="2"/>
            <w:tcBorders>
              <w:top w:val="nil"/>
              <w:bottom w:val="nil"/>
              <w:right w:val="nil"/>
            </w:tcBorders>
            <w:shd w:val="clear" w:color="auto" w:fill="FFFFFF"/>
            <w:vAlign w:val="center"/>
          </w:tcPr>
          <w:p w14:paraId="05572ECB" w14:textId="77777777" w:rsidR="00C550BB" w:rsidRPr="00C550BB" w:rsidRDefault="00C550BB" w:rsidP="001E52A6">
            <w:pPr>
              <w:autoSpaceDE w:val="0"/>
              <w:autoSpaceDN w:val="0"/>
              <w:adjustRightInd w:val="0"/>
              <w:jc w:val="center"/>
              <w:rPr>
                <w:color w:val="000000"/>
              </w:rPr>
            </w:pPr>
            <w:r w:rsidRPr="00C550BB">
              <w:rPr>
                <w:color w:val="000000"/>
              </w:rPr>
              <w:t>,999</w:t>
            </w:r>
          </w:p>
        </w:tc>
      </w:tr>
      <w:tr w:rsidR="00C550BB" w:rsidRPr="00C550BB" w14:paraId="167CCBF6" w14:textId="77777777" w:rsidTr="00C550BB">
        <w:trPr>
          <w:gridBefore w:val="1"/>
          <w:gridAfter w:val="1"/>
          <w:wBefore w:w="9" w:type="pct"/>
          <w:wAfter w:w="7" w:type="pct"/>
          <w:cantSplit/>
          <w:trHeight w:val="20"/>
        </w:trPr>
        <w:tc>
          <w:tcPr>
            <w:tcW w:w="1316" w:type="pct"/>
            <w:gridSpan w:val="4"/>
            <w:vMerge w:val="restart"/>
            <w:tcBorders>
              <w:top w:val="nil"/>
              <w:left w:val="nil"/>
              <w:bottom w:val="nil"/>
            </w:tcBorders>
            <w:shd w:val="clear" w:color="auto" w:fill="FFFFFF"/>
            <w:vAlign w:val="center"/>
          </w:tcPr>
          <w:p w14:paraId="3FC5C8C3" w14:textId="77777777" w:rsidR="00C550BB" w:rsidRPr="00C550BB" w:rsidRDefault="00C550BB" w:rsidP="001E52A6">
            <w:pPr>
              <w:autoSpaceDE w:val="0"/>
              <w:autoSpaceDN w:val="0"/>
              <w:adjustRightInd w:val="0"/>
              <w:jc w:val="center"/>
              <w:rPr>
                <w:color w:val="000000"/>
              </w:rPr>
            </w:pPr>
            <w:r w:rsidRPr="00C550BB">
              <w:rPr>
                <w:color w:val="000000"/>
              </w:rPr>
              <w:t>RS15</w:t>
            </w:r>
          </w:p>
        </w:tc>
        <w:tc>
          <w:tcPr>
            <w:tcW w:w="837" w:type="pct"/>
            <w:vMerge w:val="restart"/>
            <w:tcBorders>
              <w:top w:val="nil"/>
              <w:bottom w:val="nil"/>
            </w:tcBorders>
            <w:shd w:val="clear" w:color="auto" w:fill="FFFFFF"/>
            <w:vAlign w:val="center"/>
          </w:tcPr>
          <w:p w14:paraId="21B3A567"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667" w:type="pct"/>
            <w:tcBorders>
              <w:top w:val="nil"/>
              <w:bottom w:val="nil"/>
              <w:right w:val="single" w:sz="8" w:space="0" w:color="auto"/>
            </w:tcBorders>
            <w:shd w:val="clear" w:color="auto" w:fill="FFFFFF"/>
          </w:tcPr>
          <w:p w14:paraId="03DD1B9E"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nil"/>
              <w:left w:val="single" w:sz="8" w:space="0" w:color="auto"/>
              <w:bottom w:val="nil"/>
            </w:tcBorders>
            <w:shd w:val="clear" w:color="auto" w:fill="FFFFFF"/>
            <w:vAlign w:val="center"/>
          </w:tcPr>
          <w:p w14:paraId="54791C8B" w14:textId="77777777" w:rsidR="00C550BB" w:rsidRPr="00C550BB" w:rsidRDefault="00C550BB" w:rsidP="001E52A6">
            <w:pPr>
              <w:autoSpaceDE w:val="0"/>
              <w:autoSpaceDN w:val="0"/>
              <w:adjustRightInd w:val="0"/>
              <w:jc w:val="center"/>
              <w:rPr>
                <w:color w:val="000000"/>
              </w:rPr>
            </w:pPr>
            <w:r w:rsidRPr="00C550BB">
              <w:rPr>
                <w:color w:val="000000"/>
              </w:rPr>
              <w:t>,12045000</w:t>
            </w:r>
          </w:p>
        </w:tc>
        <w:tc>
          <w:tcPr>
            <w:tcW w:w="661" w:type="pct"/>
            <w:gridSpan w:val="2"/>
            <w:tcBorders>
              <w:top w:val="nil"/>
              <w:bottom w:val="nil"/>
              <w:right w:val="nil"/>
            </w:tcBorders>
            <w:shd w:val="clear" w:color="auto" w:fill="FFFFFF"/>
            <w:vAlign w:val="center"/>
          </w:tcPr>
          <w:p w14:paraId="4548D76A" w14:textId="77777777" w:rsidR="00C550BB" w:rsidRPr="00C550BB" w:rsidRDefault="00C550BB" w:rsidP="001E52A6">
            <w:pPr>
              <w:autoSpaceDE w:val="0"/>
              <w:autoSpaceDN w:val="0"/>
              <w:adjustRightInd w:val="0"/>
              <w:jc w:val="center"/>
              <w:rPr>
                <w:color w:val="000000"/>
              </w:rPr>
            </w:pPr>
            <w:r w:rsidRPr="00C550BB">
              <w:rPr>
                <w:color w:val="000000"/>
              </w:rPr>
              <w:t>,168</w:t>
            </w:r>
          </w:p>
        </w:tc>
      </w:tr>
      <w:tr w:rsidR="00C550BB" w:rsidRPr="00C550BB" w14:paraId="05E74877"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tcPr>
          <w:p w14:paraId="4CA956A9"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176E7760"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8" w:space="0" w:color="auto"/>
            </w:tcBorders>
            <w:shd w:val="clear" w:color="auto" w:fill="FFFFFF"/>
          </w:tcPr>
          <w:p w14:paraId="03E65986"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8" w:space="0" w:color="auto"/>
              <w:bottom w:val="nil"/>
            </w:tcBorders>
            <w:shd w:val="clear" w:color="auto" w:fill="FFFFFF"/>
            <w:vAlign w:val="center"/>
          </w:tcPr>
          <w:p w14:paraId="37050D46" w14:textId="77777777" w:rsidR="00C550BB" w:rsidRPr="00C550BB" w:rsidRDefault="00C550BB" w:rsidP="001E52A6">
            <w:pPr>
              <w:autoSpaceDE w:val="0"/>
              <w:autoSpaceDN w:val="0"/>
              <w:adjustRightInd w:val="0"/>
              <w:jc w:val="center"/>
              <w:rPr>
                <w:color w:val="000000"/>
              </w:rPr>
            </w:pPr>
            <w:r w:rsidRPr="00C550BB">
              <w:rPr>
                <w:color w:val="000000"/>
              </w:rPr>
              <w:t>,41467000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57DAF49E"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26D58D71"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tcPr>
          <w:p w14:paraId="14D3A266"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1609DA21"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667" w:type="pct"/>
            <w:tcBorders>
              <w:top w:val="nil"/>
              <w:bottom w:val="nil"/>
              <w:right w:val="single" w:sz="8" w:space="0" w:color="auto"/>
            </w:tcBorders>
            <w:shd w:val="clear" w:color="auto" w:fill="FFFFFF"/>
          </w:tcPr>
          <w:p w14:paraId="1301EAE0"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8" w:space="0" w:color="auto"/>
              <w:bottom w:val="nil"/>
            </w:tcBorders>
            <w:shd w:val="clear" w:color="auto" w:fill="FFFFFF"/>
            <w:vAlign w:val="center"/>
          </w:tcPr>
          <w:p w14:paraId="4B9C4068" w14:textId="77777777" w:rsidR="00C550BB" w:rsidRPr="00C550BB" w:rsidRDefault="00C550BB" w:rsidP="001E52A6">
            <w:pPr>
              <w:autoSpaceDE w:val="0"/>
              <w:autoSpaceDN w:val="0"/>
              <w:adjustRightInd w:val="0"/>
              <w:jc w:val="center"/>
              <w:rPr>
                <w:color w:val="000000"/>
              </w:rPr>
            </w:pPr>
            <w:r w:rsidRPr="00C550BB">
              <w:rPr>
                <w:color w:val="000000"/>
              </w:rPr>
              <w:t>-,12045000</w:t>
            </w:r>
          </w:p>
        </w:tc>
        <w:tc>
          <w:tcPr>
            <w:tcW w:w="661" w:type="pct"/>
            <w:gridSpan w:val="2"/>
            <w:tcBorders>
              <w:top w:val="nil"/>
              <w:bottom w:val="nil"/>
              <w:right w:val="nil"/>
            </w:tcBorders>
            <w:shd w:val="clear" w:color="auto" w:fill="FFFFFF"/>
            <w:vAlign w:val="center"/>
          </w:tcPr>
          <w:p w14:paraId="445FB5FD" w14:textId="77777777" w:rsidR="00C550BB" w:rsidRPr="00C550BB" w:rsidRDefault="00C550BB" w:rsidP="001E52A6">
            <w:pPr>
              <w:autoSpaceDE w:val="0"/>
              <w:autoSpaceDN w:val="0"/>
              <w:adjustRightInd w:val="0"/>
              <w:jc w:val="center"/>
              <w:rPr>
                <w:color w:val="000000"/>
              </w:rPr>
            </w:pPr>
            <w:r w:rsidRPr="00C550BB">
              <w:rPr>
                <w:color w:val="000000"/>
              </w:rPr>
              <w:t>,168</w:t>
            </w:r>
          </w:p>
        </w:tc>
      </w:tr>
      <w:tr w:rsidR="00C550BB" w:rsidRPr="00C550BB" w14:paraId="2FB010EA"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tcPr>
          <w:p w14:paraId="699FFC6B"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39A382F1"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8" w:space="0" w:color="auto"/>
            </w:tcBorders>
            <w:shd w:val="clear" w:color="auto" w:fill="FFFFFF"/>
          </w:tcPr>
          <w:p w14:paraId="50E32ADF"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8" w:space="0" w:color="auto"/>
              <w:bottom w:val="nil"/>
            </w:tcBorders>
            <w:shd w:val="clear" w:color="auto" w:fill="FFFFFF"/>
            <w:vAlign w:val="center"/>
          </w:tcPr>
          <w:p w14:paraId="35F08641" w14:textId="77777777" w:rsidR="00C550BB" w:rsidRPr="00C550BB" w:rsidRDefault="00C550BB" w:rsidP="001E52A6">
            <w:pPr>
              <w:autoSpaceDE w:val="0"/>
              <w:autoSpaceDN w:val="0"/>
              <w:adjustRightInd w:val="0"/>
              <w:jc w:val="center"/>
              <w:rPr>
                <w:color w:val="000000"/>
              </w:rPr>
            </w:pPr>
            <w:r w:rsidRPr="00C550BB">
              <w:rPr>
                <w:color w:val="000000"/>
              </w:rPr>
              <w:t>,29422000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675B2BE6"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2D8728ED" w14:textId="77777777" w:rsidTr="00C550BB">
        <w:trPr>
          <w:gridBefore w:val="1"/>
          <w:gridAfter w:val="1"/>
          <w:wBefore w:w="9" w:type="pct"/>
          <w:wAfter w:w="7" w:type="pct"/>
          <w:cantSplit/>
          <w:trHeight w:val="20"/>
        </w:trPr>
        <w:tc>
          <w:tcPr>
            <w:tcW w:w="1316" w:type="pct"/>
            <w:gridSpan w:val="4"/>
            <w:vMerge/>
            <w:tcBorders>
              <w:top w:val="nil"/>
              <w:left w:val="nil"/>
              <w:bottom w:val="nil"/>
            </w:tcBorders>
            <w:shd w:val="clear" w:color="auto" w:fill="FFFFFF"/>
          </w:tcPr>
          <w:p w14:paraId="1085AC3D"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732D61B8"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667" w:type="pct"/>
            <w:tcBorders>
              <w:top w:val="nil"/>
              <w:bottom w:val="nil"/>
              <w:right w:val="single" w:sz="8" w:space="0" w:color="auto"/>
            </w:tcBorders>
            <w:shd w:val="clear" w:color="auto" w:fill="FFFFFF"/>
          </w:tcPr>
          <w:p w14:paraId="2F0ACD93"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8" w:space="0" w:color="auto"/>
              <w:bottom w:val="nil"/>
            </w:tcBorders>
            <w:shd w:val="clear" w:color="auto" w:fill="FFFFFF"/>
            <w:vAlign w:val="center"/>
          </w:tcPr>
          <w:p w14:paraId="4C7D5273" w14:textId="77777777" w:rsidR="00C550BB" w:rsidRPr="00C550BB" w:rsidRDefault="00C550BB" w:rsidP="001E52A6">
            <w:pPr>
              <w:autoSpaceDE w:val="0"/>
              <w:autoSpaceDN w:val="0"/>
              <w:adjustRightInd w:val="0"/>
              <w:jc w:val="center"/>
              <w:rPr>
                <w:color w:val="000000"/>
              </w:rPr>
            </w:pPr>
            <w:r w:rsidRPr="00C550BB">
              <w:rPr>
                <w:color w:val="000000"/>
              </w:rPr>
              <w:t>-,41467000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7ED0DBA4"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113BBD5A" w14:textId="77777777" w:rsidTr="00C550BB">
        <w:trPr>
          <w:gridBefore w:val="1"/>
          <w:gridAfter w:val="1"/>
          <w:wBefore w:w="9" w:type="pct"/>
          <w:wAfter w:w="7" w:type="pct"/>
          <w:cantSplit/>
          <w:trHeight w:val="20"/>
        </w:trPr>
        <w:tc>
          <w:tcPr>
            <w:tcW w:w="1316" w:type="pct"/>
            <w:gridSpan w:val="4"/>
            <w:vMerge/>
            <w:tcBorders>
              <w:top w:val="nil"/>
              <w:left w:val="nil"/>
              <w:bottom w:val="single" w:sz="18" w:space="0" w:color="auto"/>
            </w:tcBorders>
            <w:shd w:val="clear" w:color="auto" w:fill="FFFFFF"/>
          </w:tcPr>
          <w:p w14:paraId="3539D9CD"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single" w:sz="18" w:space="0" w:color="auto"/>
            </w:tcBorders>
            <w:shd w:val="clear" w:color="auto" w:fill="FFFFFF"/>
          </w:tcPr>
          <w:p w14:paraId="07654ED0" w14:textId="77777777" w:rsidR="00C550BB" w:rsidRPr="00C550BB" w:rsidRDefault="00C550BB" w:rsidP="001E52A6">
            <w:pPr>
              <w:autoSpaceDE w:val="0"/>
              <w:autoSpaceDN w:val="0"/>
              <w:adjustRightInd w:val="0"/>
              <w:jc w:val="center"/>
              <w:rPr>
                <w:color w:val="000000"/>
              </w:rPr>
            </w:pPr>
          </w:p>
        </w:tc>
        <w:tc>
          <w:tcPr>
            <w:tcW w:w="667" w:type="pct"/>
            <w:tcBorders>
              <w:top w:val="nil"/>
              <w:bottom w:val="single" w:sz="18" w:space="0" w:color="auto"/>
              <w:right w:val="single" w:sz="8" w:space="0" w:color="auto"/>
            </w:tcBorders>
            <w:shd w:val="clear" w:color="auto" w:fill="FFFFFF"/>
          </w:tcPr>
          <w:p w14:paraId="548D4406"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nil"/>
              <w:left w:val="single" w:sz="8" w:space="0" w:color="auto"/>
              <w:bottom w:val="single" w:sz="18" w:space="0" w:color="auto"/>
            </w:tcBorders>
            <w:shd w:val="clear" w:color="auto" w:fill="FFFFFF"/>
            <w:vAlign w:val="center"/>
          </w:tcPr>
          <w:p w14:paraId="4A777870" w14:textId="77777777" w:rsidR="00C550BB" w:rsidRPr="00C550BB" w:rsidRDefault="00C550BB" w:rsidP="001E52A6">
            <w:pPr>
              <w:autoSpaceDE w:val="0"/>
              <w:autoSpaceDN w:val="0"/>
              <w:adjustRightInd w:val="0"/>
              <w:jc w:val="center"/>
              <w:rPr>
                <w:color w:val="000000"/>
              </w:rPr>
            </w:pPr>
            <w:r w:rsidRPr="00C550BB">
              <w:rPr>
                <w:color w:val="000000"/>
              </w:rPr>
              <w:t>-,29422000</w:t>
            </w:r>
            <w:r w:rsidRPr="00C550BB">
              <w:rPr>
                <w:color w:val="000000"/>
                <w:vertAlign w:val="superscript"/>
              </w:rPr>
              <w:t>*</w:t>
            </w:r>
          </w:p>
        </w:tc>
        <w:tc>
          <w:tcPr>
            <w:tcW w:w="661" w:type="pct"/>
            <w:gridSpan w:val="2"/>
            <w:tcBorders>
              <w:top w:val="nil"/>
              <w:bottom w:val="nil"/>
              <w:right w:val="nil"/>
            </w:tcBorders>
            <w:shd w:val="clear" w:color="auto" w:fill="FFFFFF"/>
            <w:vAlign w:val="center"/>
          </w:tcPr>
          <w:p w14:paraId="64544DDB" w14:textId="77777777" w:rsidR="00C550BB" w:rsidRPr="00C550BB" w:rsidRDefault="00C550BB" w:rsidP="001E52A6">
            <w:pPr>
              <w:autoSpaceDE w:val="0"/>
              <w:autoSpaceDN w:val="0"/>
              <w:adjustRightInd w:val="0"/>
              <w:jc w:val="center"/>
              <w:rPr>
                <w:color w:val="000000"/>
              </w:rPr>
            </w:pPr>
            <w:r w:rsidRPr="00C550BB">
              <w:rPr>
                <w:color w:val="000000"/>
              </w:rPr>
              <w:t>,000</w:t>
            </w:r>
          </w:p>
        </w:tc>
      </w:tr>
      <w:tr w:rsidR="00C550BB" w:rsidRPr="00C550BB" w14:paraId="7DB9AC8C" w14:textId="77777777" w:rsidTr="00C550BB">
        <w:trPr>
          <w:gridBefore w:val="1"/>
          <w:gridAfter w:val="1"/>
          <w:wBefore w:w="9" w:type="pct"/>
          <w:wAfter w:w="7" w:type="pct"/>
          <w:cantSplit/>
          <w:trHeight w:val="20"/>
        </w:trPr>
        <w:tc>
          <w:tcPr>
            <w:tcW w:w="4984" w:type="pct"/>
            <w:gridSpan w:val="10"/>
            <w:tcBorders>
              <w:top w:val="single" w:sz="18" w:space="0" w:color="auto"/>
              <w:left w:val="nil"/>
              <w:bottom w:val="single" w:sz="12" w:space="0" w:color="auto"/>
              <w:right w:val="nil"/>
            </w:tcBorders>
            <w:shd w:val="clear" w:color="auto" w:fill="FFFFFF"/>
          </w:tcPr>
          <w:p w14:paraId="3BDBE3A9" w14:textId="77777777" w:rsidR="00C550BB" w:rsidRPr="00C550BB" w:rsidRDefault="00C550BB" w:rsidP="001E52A6">
            <w:pPr>
              <w:autoSpaceDE w:val="0"/>
              <w:autoSpaceDN w:val="0"/>
              <w:adjustRightInd w:val="0"/>
              <w:jc w:val="center"/>
              <w:rPr>
                <w:b/>
                <w:color w:val="000000"/>
              </w:rPr>
            </w:pPr>
            <w:r w:rsidRPr="00C550BB">
              <w:rPr>
                <w:b/>
                <w:color w:val="000000"/>
              </w:rPr>
              <w:t>Risco Idiossincrático para o Brasil</w:t>
            </w:r>
          </w:p>
        </w:tc>
      </w:tr>
      <w:tr w:rsidR="00C550BB" w:rsidRPr="00C550BB" w14:paraId="7051D196" w14:textId="77777777" w:rsidTr="00C550BB">
        <w:trPr>
          <w:cantSplit/>
          <w:trHeight w:val="170"/>
        </w:trPr>
        <w:tc>
          <w:tcPr>
            <w:tcW w:w="1325" w:type="pct"/>
            <w:gridSpan w:val="5"/>
            <w:tcBorders>
              <w:top w:val="single" w:sz="18" w:space="0" w:color="auto"/>
              <w:left w:val="nil"/>
              <w:bottom w:val="single" w:sz="16" w:space="0" w:color="000000"/>
              <w:right w:val="single" w:sz="2" w:space="0" w:color="auto"/>
            </w:tcBorders>
            <w:shd w:val="clear" w:color="auto" w:fill="FFFFFF"/>
          </w:tcPr>
          <w:p w14:paraId="571D751D" w14:textId="77777777" w:rsidR="00C550BB" w:rsidRPr="00C550BB" w:rsidRDefault="00C550BB" w:rsidP="001E52A6">
            <w:pPr>
              <w:autoSpaceDE w:val="0"/>
              <w:autoSpaceDN w:val="0"/>
              <w:adjustRightInd w:val="0"/>
              <w:jc w:val="center"/>
            </w:pPr>
          </w:p>
        </w:tc>
        <w:tc>
          <w:tcPr>
            <w:tcW w:w="837" w:type="pct"/>
            <w:tcBorders>
              <w:top w:val="single" w:sz="18" w:space="0" w:color="auto"/>
              <w:left w:val="single" w:sz="2" w:space="0" w:color="auto"/>
              <w:bottom w:val="single" w:sz="12" w:space="0" w:color="auto"/>
            </w:tcBorders>
            <w:shd w:val="clear" w:color="auto" w:fill="FFFFFF"/>
          </w:tcPr>
          <w:p w14:paraId="2022B5ED" w14:textId="77777777" w:rsidR="00C550BB" w:rsidRPr="00C550BB" w:rsidRDefault="00C550BB" w:rsidP="001E52A6">
            <w:pPr>
              <w:autoSpaceDE w:val="0"/>
              <w:autoSpaceDN w:val="0"/>
              <w:adjustRightInd w:val="0"/>
              <w:jc w:val="center"/>
              <w:rPr>
                <w:color w:val="000000"/>
              </w:rPr>
            </w:pPr>
            <w:r w:rsidRPr="00C550BB">
              <w:rPr>
                <w:color w:val="000000"/>
              </w:rPr>
              <w:t>Σ Quadrados</w:t>
            </w:r>
          </w:p>
        </w:tc>
        <w:tc>
          <w:tcPr>
            <w:tcW w:w="667" w:type="pct"/>
            <w:tcBorders>
              <w:top w:val="single" w:sz="18" w:space="0" w:color="auto"/>
              <w:bottom w:val="single" w:sz="12" w:space="0" w:color="auto"/>
            </w:tcBorders>
            <w:shd w:val="clear" w:color="auto" w:fill="FFFFFF"/>
          </w:tcPr>
          <w:p w14:paraId="6EA9F726" w14:textId="77777777" w:rsidR="00C550BB" w:rsidRPr="00C550BB" w:rsidRDefault="00C550BB" w:rsidP="001E52A6">
            <w:pPr>
              <w:autoSpaceDE w:val="0"/>
              <w:autoSpaceDN w:val="0"/>
              <w:adjustRightInd w:val="0"/>
              <w:jc w:val="center"/>
              <w:rPr>
                <w:color w:val="000000"/>
              </w:rPr>
            </w:pPr>
            <w:proofErr w:type="spellStart"/>
            <w:r w:rsidRPr="00C550BB">
              <w:rPr>
                <w:color w:val="000000"/>
              </w:rPr>
              <w:t>df</w:t>
            </w:r>
            <w:proofErr w:type="spellEnd"/>
          </w:p>
        </w:tc>
        <w:tc>
          <w:tcPr>
            <w:tcW w:w="915" w:type="pct"/>
            <w:tcBorders>
              <w:top w:val="single" w:sz="18" w:space="0" w:color="auto"/>
              <w:bottom w:val="single" w:sz="12" w:space="0" w:color="auto"/>
            </w:tcBorders>
            <w:shd w:val="clear" w:color="auto" w:fill="FFFFFF"/>
          </w:tcPr>
          <w:p w14:paraId="097B5389" w14:textId="77777777" w:rsidR="00C550BB" w:rsidRPr="00C550BB" w:rsidRDefault="00C550BB" w:rsidP="001E52A6">
            <w:pPr>
              <w:autoSpaceDE w:val="0"/>
              <w:autoSpaceDN w:val="0"/>
              <w:adjustRightInd w:val="0"/>
              <w:jc w:val="center"/>
              <w:rPr>
                <w:color w:val="000000"/>
              </w:rPr>
            </w:pPr>
            <w:r w:rsidRPr="00C550BB">
              <w:rPr>
                <w:color w:val="000000"/>
              </w:rPr>
              <w:t>Quadrado Médio</w:t>
            </w:r>
          </w:p>
        </w:tc>
        <w:tc>
          <w:tcPr>
            <w:tcW w:w="588" w:type="pct"/>
            <w:tcBorders>
              <w:top w:val="single" w:sz="18" w:space="0" w:color="auto"/>
              <w:bottom w:val="single" w:sz="12" w:space="0" w:color="auto"/>
            </w:tcBorders>
            <w:shd w:val="clear" w:color="auto" w:fill="FFFFFF"/>
          </w:tcPr>
          <w:p w14:paraId="5B406371" w14:textId="77777777" w:rsidR="00C550BB" w:rsidRPr="00C550BB" w:rsidRDefault="00C550BB" w:rsidP="001E52A6">
            <w:pPr>
              <w:autoSpaceDE w:val="0"/>
              <w:autoSpaceDN w:val="0"/>
              <w:adjustRightInd w:val="0"/>
              <w:jc w:val="center"/>
              <w:rPr>
                <w:color w:val="000000"/>
              </w:rPr>
            </w:pPr>
            <w:r w:rsidRPr="00C550BB">
              <w:rPr>
                <w:color w:val="000000"/>
              </w:rPr>
              <w:t>F</w:t>
            </w:r>
          </w:p>
        </w:tc>
        <w:tc>
          <w:tcPr>
            <w:tcW w:w="668" w:type="pct"/>
            <w:gridSpan w:val="3"/>
            <w:tcBorders>
              <w:top w:val="single" w:sz="18" w:space="0" w:color="auto"/>
              <w:bottom w:val="single" w:sz="12" w:space="0" w:color="auto"/>
              <w:right w:val="nil"/>
            </w:tcBorders>
            <w:shd w:val="clear" w:color="auto" w:fill="FFFFFF"/>
          </w:tcPr>
          <w:p w14:paraId="5033DA7D" w14:textId="77777777" w:rsidR="00C550BB" w:rsidRPr="00C550BB" w:rsidRDefault="00C550BB" w:rsidP="001E52A6">
            <w:pPr>
              <w:autoSpaceDE w:val="0"/>
              <w:autoSpaceDN w:val="0"/>
              <w:adjustRightInd w:val="0"/>
              <w:jc w:val="center"/>
              <w:rPr>
                <w:color w:val="000000"/>
              </w:rPr>
            </w:pPr>
            <w:proofErr w:type="spellStart"/>
            <w:r w:rsidRPr="00C550BB">
              <w:rPr>
                <w:color w:val="000000"/>
              </w:rPr>
              <w:t>Sig</w:t>
            </w:r>
            <w:proofErr w:type="spellEnd"/>
            <w:r w:rsidRPr="00C550BB">
              <w:rPr>
                <w:color w:val="000000"/>
              </w:rPr>
              <w:t>.</w:t>
            </w:r>
          </w:p>
        </w:tc>
      </w:tr>
      <w:tr w:rsidR="00C550BB" w:rsidRPr="00C550BB" w14:paraId="3C37440E" w14:textId="77777777" w:rsidTr="00C550BB">
        <w:trPr>
          <w:cantSplit/>
          <w:trHeight w:val="57"/>
        </w:trPr>
        <w:tc>
          <w:tcPr>
            <w:tcW w:w="351" w:type="pct"/>
            <w:gridSpan w:val="2"/>
            <w:vMerge w:val="restart"/>
            <w:tcBorders>
              <w:top w:val="single" w:sz="12" w:space="0" w:color="auto"/>
              <w:left w:val="nil"/>
              <w:bottom w:val="nil"/>
              <w:right w:val="nil"/>
            </w:tcBorders>
            <w:shd w:val="clear" w:color="auto" w:fill="FFFFFF"/>
            <w:vAlign w:val="center"/>
          </w:tcPr>
          <w:p w14:paraId="0DE26214" w14:textId="77777777" w:rsidR="00C550BB" w:rsidRPr="00C550BB" w:rsidRDefault="00C550BB" w:rsidP="001E52A6">
            <w:pPr>
              <w:autoSpaceDE w:val="0"/>
              <w:autoSpaceDN w:val="0"/>
              <w:adjustRightInd w:val="0"/>
              <w:jc w:val="center"/>
              <w:rPr>
                <w:color w:val="000000"/>
              </w:rPr>
            </w:pPr>
            <w:r w:rsidRPr="00C550BB">
              <w:rPr>
                <w:color w:val="000000"/>
              </w:rPr>
              <w:t>RI12</w:t>
            </w:r>
          </w:p>
        </w:tc>
        <w:tc>
          <w:tcPr>
            <w:tcW w:w="974" w:type="pct"/>
            <w:gridSpan w:val="3"/>
            <w:tcBorders>
              <w:top w:val="single" w:sz="12" w:space="0" w:color="auto"/>
              <w:left w:val="nil"/>
              <w:bottom w:val="nil"/>
              <w:right w:val="single" w:sz="2" w:space="0" w:color="auto"/>
            </w:tcBorders>
            <w:shd w:val="clear" w:color="auto" w:fill="FFFFFF"/>
            <w:vAlign w:val="center"/>
          </w:tcPr>
          <w:p w14:paraId="40D95309"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37" w:type="pct"/>
            <w:tcBorders>
              <w:top w:val="single" w:sz="12" w:space="0" w:color="auto"/>
              <w:left w:val="single" w:sz="2" w:space="0" w:color="auto"/>
              <w:bottom w:val="nil"/>
            </w:tcBorders>
            <w:shd w:val="clear" w:color="auto" w:fill="FFFFFF"/>
          </w:tcPr>
          <w:p w14:paraId="6C535BD4" w14:textId="77777777" w:rsidR="00C550BB" w:rsidRPr="00C550BB" w:rsidRDefault="00C550BB" w:rsidP="001E52A6">
            <w:pPr>
              <w:autoSpaceDE w:val="0"/>
              <w:autoSpaceDN w:val="0"/>
              <w:adjustRightInd w:val="0"/>
              <w:jc w:val="center"/>
              <w:rPr>
                <w:color w:val="000000"/>
              </w:rPr>
            </w:pPr>
            <w:r w:rsidRPr="00C550BB">
              <w:rPr>
                <w:color w:val="000000"/>
              </w:rPr>
              <w:t>,076</w:t>
            </w:r>
          </w:p>
        </w:tc>
        <w:tc>
          <w:tcPr>
            <w:tcW w:w="667" w:type="pct"/>
            <w:tcBorders>
              <w:top w:val="single" w:sz="12" w:space="0" w:color="auto"/>
              <w:bottom w:val="nil"/>
            </w:tcBorders>
            <w:shd w:val="clear" w:color="auto" w:fill="FFFFFF"/>
          </w:tcPr>
          <w:p w14:paraId="54F6D2DE"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single" w:sz="12" w:space="0" w:color="auto"/>
              <w:bottom w:val="nil"/>
            </w:tcBorders>
            <w:shd w:val="clear" w:color="auto" w:fill="FFFFFF"/>
          </w:tcPr>
          <w:p w14:paraId="1C047C6C" w14:textId="77777777" w:rsidR="00C550BB" w:rsidRPr="00C550BB" w:rsidRDefault="00C550BB" w:rsidP="001E52A6">
            <w:pPr>
              <w:autoSpaceDE w:val="0"/>
              <w:autoSpaceDN w:val="0"/>
              <w:adjustRightInd w:val="0"/>
              <w:jc w:val="center"/>
              <w:rPr>
                <w:color w:val="000000"/>
              </w:rPr>
            </w:pPr>
            <w:r w:rsidRPr="00C550BB">
              <w:rPr>
                <w:color w:val="000000"/>
              </w:rPr>
              <w:t>,038</w:t>
            </w:r>
          </w:p>
        </w:tc>
        <w:tc>
          <w:tcPr>
            <w:tcW w:w="588" w:type="pct"/>
            <w:tcBorders>
              <w:top w:val="single" w:sz="12" w:space="0" w:color="auto"/>
              <w:bottom w:val="nil"/>
            </w:tcBorders>
            <w:shd w:val="clear" w:color="auto" w:fill="FFFFFF"/>
          </w:tcPr>
          <w:p w14:paraId="7325F2AE" w14:textId="77777777" w:rsidR="00C550BB" w:rsidRPr="00C550BB" w:rsidRDefault="00C550BB" w:rsidP="001E52A6">
            <w:pPr>
              <w:autoSpaceDE w:val="0"/>
              <w:autoSpaceDN w:val="0"/>
              <w:adjustRightInd w:val="0"/>
              <w:jc w:val="center"/>
              <w:rPr>
                <w:color w:val="000000"/>
              </w:rPr>
            </w:pPr>
            <w:r w:rsidRPr="00C550BB">
              <w:rPr>
                <w:color w:val="000000"/>
              </w:rPr>
              <w:t>5,302</w:t>
            </w:r>
          </w:p>
        </w:tc>
        <w:tc>
          <w:tcPr>
            <w:tcW w:w="668" w:type="pct"/>
            <w:gridSpan w:val="3"/>
            <w:tcBorders>
              <w:top w:val="single" w:sz="12" w:space="0" w:color="auto"/>
              <w:bottom w:val="nil"/>
              <w:right w:val="nil"/>
            </w:tcBorders>
            <w:shd w:val="clear" w:color="auto" w:fill="FFFFFF"/>
          </w:tcPr>
          <w:p w14:paraId="11DBE6F0" w14:textId="77777777" w:rsidR="00C550BB" w:rsidRPr="00C550BB" w:rsidRDefault="00C550BB" w:rsidP="001E52A6">
            <w:pPr>
              <w:autoSpaceDE w:val="0"/>
              <w:autoSpaceDN w:val="0"/>
              <w:adjustRightInd w:val="0"/>
              <w:jc w:val="center"/>
              <w:rPr>
                <w:color w:val="000000"/>
              </w:rPr>
            </w:pPr>
            <w:r w:rsidRPr="00C550BB">
              <w:rPr>
                <w:color w:val="000000"/>
              </w:rPr>
              <w:t>,005</w:t>
            </w:r>
          </w:p>
        </w:tc>
      </w:tr>
      <w:tr w:rsidR="00C550BB" w:rsidRPr="00C550BB" w14:paraId="7542F5A9" w14:textId="77777777" w:rsidTr="00C550BB">
        <w:trPr>
          <w:gridAfter w:val="3"/>
          <w:wAfter w:w="668" w:type="pct"/>
          <w:cantSplit/>
          <w:trHeight w:val="57"/>
        </w:trPr>
        <w:tc>
          <w:tcPr>
            <w:tcW w:w="351" w:type="pct"/>
            <w:gridSpan w:val="2"/>
            <w:vMerge/>
            <w:tcBorders>
              <w:top w:val="single" w:sz="16" w:space="0" w:color="000000"/>
              <w:left w:val="nil"/>
              <w:bottom w:val="nil"/>
              <w:right w:val="nil"/>
            </w:tcBorders>
            <w:shd w:val="clear" w:color="auto" w:fill="FFFFFF"/>
            <w:vAlign w:val="center"/>
          </w:tcPr>
          <w:p w14:paraId="2F3A8FC6" w14:textId="77777777" w:rsidR="00C550BB" w:rsidRPr="00C550BB" w:rsidRDefault="00C550BB" w:rsidP="001E52A6">
            <w:pPr>
              <w:autoSpaceDE w:val="0"/>
              <w:autoSpaceDN w:val="0"/>
              <w:adjustRightInd w:val="0"/>
              <w:jc w:val="center"/>
              <w:rPr>
                <w:color w:val="000000"/>
              </w:rPr>
            </w:pPr>
          </w:p>
        </w:tc>
        <w:tc>
          <w:tcPr>
            <w:tcW w:w="974" w:type="pct"/>
            <w:gridSpan w:val="3"/>
            <w:tcBorders>
              <w:top w:val="nil"/>
              <w:left w:val="nil"/>
              <w:bottom w:val="nil"/>
              <w:right w:val="single" w:sz="2" w:space="0" w:color="auto"/>
            </w:tcBorders>
            <w:shd w:val="clear" w:color="auto" w:fill="FFFFFF"/>
            <w:vAlign w:val="center"/>
          </w:tcPr>
          <w:p w14:paraId="74AA6BBA"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37" w:type="pct"/>
            <w:tcBorders>
              <w:top w:val="nil"/>
              <w:left w:val="single" w:sz="2" w:space="0" w:color="auto"/>
              <w:bottom w:val="nil"/>
            </w:tcBorders>
            <w:shd w:val="clear" w:color="auto" w:fill="FFFFFF"/>
          </w:tcPr>
          <w:p w14:paraId="48F3C5BE" w14:textId="77777777" w:rsidR="00C550BB" w:rsidRPr="00C550BB" w:rsidRDefault="00C550BB" w:rsidP="001E52A6">
            <w:pPr>
              <w:autoSpaceDE w:val="0"/>
              <w:autoSpaceDN w:val="0"/>
              <w:adjustRightInd w:val="0"/>
              <w:jc w:val="center"/>
              <w:rPr>
                <w:color w:val="000000"/>
              </w:rPr>
            </w:pPr>
            <w:r w:rsidRPr="00C550BB">
              <w:rPr>
                <w:color w:val="000000"/>
              </w:rPr>
              <w:t>2,118</w:t>
            </w:r>
          </w:p>
        </w:tc>
        <w:tc>
          <w:tcPr>
            <w:tcW w:w="667" w:type="pct"/>
            <w:tcBorders>
              <w:top w:val="nil"/>
              <w:bottom w:val="nil"/>
            </w:tcBorders>
            <w:shd w:val="clear" w:color="auto" w:fill="FFFFFF"/>
          </w:tcPr>
          <w:p w14:paraId="4AF5D793"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545BFC2A" w14:textId="77777777" w:rsidR="00C550BB" w:rsidRPr="00C550BB" w:rsidRDefault="00C550BB" w:rsidP="001E52A6">
            <w:pPr>
              <w:autoSpaceDE w:val="0"/>
              <w:autoSpaceDN w:val="0"/>
              <w:adjustRightInd w:val="0"/>
              <w:jc w:val="center"/>
              <w:rPr>
                <w:color w:val="000000"/>
              </w:rPr>
            </w:pPr>
            <w:r w:rsidRPr="00C550BB">
              <w:rPr>
                <w:color w:val="000000"/>
              </w:rPr>
              <w:t>,007</w:t>
            </w:r>
          </w:p>
        </w:tc>
        <w:tc>
          <w:tcPr>
            <w:tcW w:w="588" w:type="pct"/>
            <w:tcBorders>
              <w:top w:val="nil"/>
              <w:bottom w:val="nil"/>
            </w:tcBorders>
            <w:shd w:val="clear" w:color="auto" w:fill="FFFFFF"/>
          </w:tcPr>
          <w:p w14:paraId="67E5C853" w14:textId="77777777" w:rsidR="00C550BB" w:rsidRPr="00C550BB" w:rsidRDefault="00C550BB" w:rsidP="001E52A6">
            <w:pPr>
              <w:autoSpaceDE w:val="0"/>
              <w:autoSpaceDN w:val="0"/>
              <w:adjustRightInd w:val="0"/>
              <w:jc w:val="center"/>
              <w:rPr>
                <w:color w:val="000000"/>
              </w:rPr>
            </w:pPr>
          </w:p>
        </w:tc>
      </w:tr>
      <w:tr w:rsidR="00C550BB" w:rsidRPr="00C550BB" w14:paraId="4211C019" w14:textId="77777777" w:rsidTr="00C550BB">
        <w:trPr>
          <w:cantSplit/>
          <w:trHeight w:val="57"/>
        </w:trPr>
        <w:tc>
          <w:tcPr>
            <w:tcW w:w="351" w:type="pct"/>
            <w:gridSpan w:val="2"/>
            <w:vMerge w:val="restart"/>
            <w:tcBorders>
              <w:top w:val="nil"/>
              <w:left w:val="nil"/>
              <w:bottom w:val="nil"/>
              <w:right w:val="nil"/>
            </w:tcBorders>
            <w:shd w:val="clear" w:color="auto" w:fill="FFFFFF"/>
            <w:vAlign w:val="center"/>
          </w:tcPr>
          <w:p w14:paraId="24D7489C" w14:textId="77777777" w:rsidR="00C550BB" w:rsidRPr="00C550BB" w:rsidRDefault="00C550BB" w:rsidP="001E52A6">
            <w:pPr>
              <w:autoSpaceDE w:val="0"/>
              <w:autoSpaceDN w:val="0"/>
              <w:adjustRightInd w:val="0"/>
              <w:jc w:val="center"/>
              <w:rPr>
                <w:color w:val="000000"/>
              </w:rPr>
            </w:pPr>
            <w:r w:rsidRPr="00C550BB">
              <w:rPr>
                <w:color w:val="000000"/>
              </w:rPr>
              <w:t>RI13</w:t>
            </w:r>
          </w:p>
        </w:tc>
        <w:tc>
          <w:tcPr>
            <w:tcW w:w="974" w:type="pct"/>
            <w:gridSpan w:val="3"/>
            <w:tcBorders>
              <w:top w:val="nil"/>
              <w:left w:val="nil"/>
              <w:bottom w:val="nil"/>
              <w:right w:val="single" w:sz="2" w:space="0" w:color="auto"/>
            </w:tcBorders>
            <w:shd w:val="clear" w:color="auto" w:fill="FFFFFF"/>
            <w:vAlign w:val="center"/>
          </w:tcPr>
          <w:p w14:paraId="72095805"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37" w:type="pct"/>
            <w:tcBorders>
              <w:top w:val="nil"/>
              <w:left w:val="single" w:sz="2" w:space="0" w:color="auto"/>
              <w:bottom w:val="nil"/>
            </w:tcBorders>
            <w:shd w:val="clear" w:color="auto" w:fill="FFFFFF"/>
          </w:tcPr>
          <w:p w14:paraId="6B829F5D" w14:textId="77777777" w:rsidR="00C550BB" w:rsidRPr="00C550BB" w:rsidRDefault="00C550BB" w:rsidP="001E52A6">
            <w:pPr>
              <w:autoSpaceDE w:val="0"/>
              <w:autoSpaceDN w:val="0"/>
              <w:adjustRightInd w:val="0"/>
              <w:jc w:val="center"/>
              <w:rPr>
                <w:color w:val="000000"/>
              </w:rPr>
            </w:pPr>
            <w:r w:rsidRPr="00C550BB">
              <w:rPr>
                <w:color w:val="000000"/>
              </w:rPr>
              <w:t>,000</w:t>
            </w:r>
          </w:p>
        </w:tc>
        <w:tc>
          <w:tcPr>
            <w:tcW w:w="667" w:type="pct"/>
            <w:tcBorders>
              <w:top w:val="nil"/>
              <w:bottom w:val="nil"/>
            </w:tcBorders>
            <w:shd w:val="clear" w:color="auto" w:fill="FFFFFF"/>
          </w:tcPr>
          <w:p w14:paraId="0D28B431"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6D956396" w14:textId="77777777" w:rsidR="00C550BB" w:rsidRPr="00C550BB" w:rsidRDefault="00C550BB" w:rsidP="001E52A6">
            <w:pPr>
              <w:autoSpaceDE w:val="0"/>
              <w:autoSpaceDN w:val="0"/>
              <w:adjustRightInd w:val="0"/>
              <w:jc w:val="center"/>
              <w:rPr>
                <w:color w:val="000000"/>
              </w:rPr>
            </w:pPr>
            <w:r w:rsidRPr="00C550BB">
              <w:rPr>
                <w:color w:val="000000"/>
              </w:rPr>
              <w:t>,000</w:t>
            </w:r>
          </w:p>
        </w:tc>
        <w:tc>
          <w:tcPr>
            <w:tcW w:w="588" w:type="pct"/>
            <w:tcBorders>
              <w:top w:val="nil"/>
              <w:bottom w:val="nil"/>
            </w:tcBorders>
            <w:shd w:val="clear" w:color="auto" w:fill="FFFFFF"/>
          </w:tcPr>
          <w:p w14:paraId="171A5CA4" w14:textId="77777777" w:rsidR="00C550BB" w:rsidRPr="00C550BB" w:rsidRDefault="00C550BB" w:rsidP="001E52A6">
            <w:pPr>
              <w:autoSpaceDE w:val="0"/>
              <w:autoSpaceDN w:val="0"/>
              <w:adjustRightInd w:val="0"/>
              <w:jc w:val="center"/>
              <w:rPr>
                <w:color w:val="000000"/>
              </w:rPr>
            </w:pPr>
            <w:r w:rsidRPr="00C550BB">
              <w:rPr>
                <w:color w:val="000000"/>
              </w:rPr>
              <w:t>,000</w:t>
            </w:r>
          </w:p>
        </w:tc>
        <w:tc>
          <w:tcPr>
            <w:tcW w:w="668" w:type="pct"/>
            <w:gridSpan w:val="3"/>
            <w:tcBorders>
              <w:top w:val="nil"/>
              <w:bottom w:val="nil"/>
              <w:right w:val="nil"/>
            </w:tcBorders>
            <w:shd w:val="clear" w:color="auto" w:fill="FFFFFF"/>
          </w:tcPr>
          <w:p w14:paraId="6960CFD3" w14:textId="77777777" w:rsidR="00C550BB" w:rsidRPr="00C550BB" w:rsidRDefault="00C550BB" w:rsidP="001E52A6">
            <w:pPr>
              <w:autoSpaceDE w:val="0"/>
              <w:autoSpaceDN w:val="0"/>
              <w:adjustRightInd w:val="0"/>
              <w:jc w:val="center"/>
              <w:rPr>
                <w:color w:val="000000"/>
              </w:rPr>
            </w:pPr>
            <w:r w:rsidRPr="00C550BB">
              <w:rPr>
                <w:color w:val="000000"/>
              </w:rPr>
              <w:t>1,000</w:t>
            </w:r>
          </w:p>
        </w:tc>
      </w:tr>
      <w:tr w:rsidR="00C550BB" w:rsidRPr="00C550BB" w14:paraId="4825E298" w14:textId="77777777" w:rsidTr="00C550BB">
        <w:trPr>
          <w:gridAfter w:val="3"/>
          <w:wAfter w:w="668" w:type="pct"/>
          <w:cantSplit/>
          <w:trHeight w:val="57"/>
        </w:trPr>
        <w:tc>
          <w:tcPr>
            <w:tcW w:w="351" w:type="pct"/>
            <w:gridSpan w:val="2"/>
            <w:vMerge/>
            <w:tcBorders>
              <w:top w:val="nil"/>
              <w:left w:val="nil"/>
              <w:bottom w:val="nil"/>
              <w:right w:val="nil"/>
            </w:tcBorders>
            <w:shd w:val="clear" w:color="auto" w:fill="FFFFFF"/>
            <w:vAlign w:val="center"/>
          </w:tcPr>
          <w:p w14:paraId="3E034EE2" w14:textId="77777777" w:rsidR="00C550BB" w:rsidRPr="00C550BB" w:rsidRDefault="00C550BB" w:rsidP="001E52A6">
            <w:pPr>
              <w:autoSpaceDE w:val="0"/>
              <w:autoSpaceDN w:val="0"/>
              <w:adjustRightInd w:val="0"/>
              <w:jc w:val="center"/>
              <w:rPr>
                <w:color w:val="000000"/>
              </w:rPr>
            </w:pPr>
          </w:p>
        </w:tc>
        <w:tc>
          <w:tcPr>
            <w:tcW w:w="974" w:type="pct"/>
            <w:gridSpan w:val="3"/>
            <w:tcBorders>
              <w:top w:val="nil"/>
              <w:left w:val="nil"/>
              <w:bottom w:val="nil"/>
              <w:right w:val="single" w:sz="2" w:space="0" w:color="auto"/>
            </w:tcBorders>
            <w:shd w:val="clear" w:color="auto" w:fill="FFFFFF"/>
            <w:vAlign w:val="center"/>
          </w:tcPr>
          <w:p w14:paraId="1FF5F8BD"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37" w:type="pct"/>
            <w:tcBorders>
              <w:top w:val="nil"/>
              <w:left w:val="single" w:sz="2" w:space="0" w:color="auto"/>
              <w:bottom w:val="nil"/>
            </w:tcBorders>
            <w:shd w:val="clear" w:color="auto" w:fill="FFFFFF"/>
          </w:tcPr>
          <w:p w14:paraId="3A542CD3" w14:textId="77777777" w:rsidR="00C550BB" w:rsidRPr="00C550BB" w:rsidRDefault="00C550BB" w:rsidP="001E52A6">
            <w:pPr>
              <w:autoSpaceDE w:val="0"/>
              <w:autoSpaceDN w:val="0"/>
              <w:adjustRightInd w:val="0"/>
              <w:jc w:val="center"/>
              <w:rPr>
                <w:color w:val="000000"/>
              </w:rPr>
            </w:pPr>
            <w:r w:rsidRPr="00C550BB">
              <w:rPr>
                <w:color w:val="000000"/>
              </w:rPr>
              <w:t>3,288</w:t>
            </w:r>
          </w:p>
        </w:tc>
        <w:tc>
          <w:tcPr>
            <w:tcW w:w="667" w:type="pct"/>
            <w:tcBorders>
              <w:top w:val="nil"/>
              <w:bottom w:val="nil"/>
            </w:tcBorders>
            <w:shd w:val="clear" w:color="auto" w:fill="FFFFFF"/>
          </w:tcPr>
          <w:p w14:paraId="4A485D0A"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55261FEC" w14:textId="77777777" w:rsidR="00C550BB" w:rsidRPr="00C550BB" w:rsidRDefault="00C550BB" w:rsidP="001E52A6">
            <w:pPr>
              <w:autoSpaceDE w:val="0"/>
              <w:autoSpaceDN w:val="0"/>
              <w:adjustRightInd w:val="0"/>
              <w:jc w:val="center"/>
              <w:rPr>
                <w:color w:val="000000"/>
              </w:rPr>
            </w:pPr>
            <w:r w:rsidRPr="00C550BB">
              <w:rPr>
                <w:color w:val="000000"/>
              </w:rPr>
              <w:t>,011</w:t>
            </w:r>
          </w:p>
        </w:tc>
        <w:tc>
          <w:tcPr>
            <w:tcW w:w="588" w:type="pct"/>
            <w:tcBorders>
              <w:top w:val="nil"/>
              <w:bottom w:val="nil"/>
            </w:tcBorders>
            <w:shd w:val="clear" w:color="auto" w:fill="FFFFFF"/>
          </w:tcPr>
          <w:p w14:paraId="32A39207" w14:textId="77777777" w:rsidR="00C550BB" w:rsidRPr="00C550BB" w:rsidRDefault="00C550BB" w:rsidP="001E52A6">
            <w:pPr>
              <w:autoSpaceDE w:val="0"/>
              <w:autoSpaceDN w:val="0"/>
              <w:adjustRightInd w:val="0"/>
              <w:jc w:val="center"/>
              <w:rPr>
                <w:color w:val="000000"/>
              </w:rPr>
            </w:pPr>
          </w:p>
        </w:tc>
      </w:tr>
      <w:tr w:rsidR="00C550BB" w:rsidRPr="00C550BB" w14:paraId="0D0D9189" w14:textId="77777777" w:rsidTr="00C550BB">
        <w:trPr>
          <w:cantSplit/>
          <w:trHeight w:val="57"/>
        </w:trPr>
        <w:tc>
          <w:tcPr>
            <w:tcW w:w="351" w:type="pct"/>
            <w:gridSpan w:val="2"/>
            <w:vMerge w:val="restart"/>
            <w:tcBorders>
              <w:top w:val="nil"/>
              <w:left w:val="nil"/>
              <w:bottom w:val="nil"/>
              <w:right w:val="nil"/>
            </w:tcBorders>
            <w:shd w:val="clear" w:color="auto" w:fill="FFFFFF"/>
            <w:vAlign w:val="center"/>
          </w:tcPr>
          <w:p w14:paraId="7072C911" w14:textId="77777777" w:rsidR="00C550BB" w:rsidRPr="00C550BB" w:rsidRDefault="00C550BB" w:rsidP="001E52A6">
            <w:pPr>
              <w:autoSpaceDE w:val="0"/>
              <w:autoSpaceDN w:val="0"/>
              <w:adjustRightInd w:val="0"/>
              <w:jc w:val="center"/>
              <w:rPr>
                <w:color w:val="000000"/>
              </w:rPr>
            </w:pPr>
            <w:r w:rsidRPr="00C550BB">
              <w:rPr>
                <w:color w:val="000000"/>
              </w:rPr>
              <w:t>RI14</w:t>
            </w:r>
          </w:p>
        </w:tc>
        <w:tc>
          <w:tcPr>
            <w:tcW w:w="974" w:type="pct"/>
            <w:gridSpan w:val="3"/>
            <w:tcBorders>
              <w:top w:val="nil"/>
              <w:left w:val="nil"/>
              <w:bottom w:val="nil"/>
              <w:right w:val="single" w:sz="2" w:space="0" w:color="auto"/>
            </w:tcBorders>
            <w:shd w:val="clear" w:color="auto" w:fill="FFFFFF"/>
            <w:vAlign w:val="center"/>
          </w:tcPr>
          <w:p w14:paraId="7E9887EF"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37" w:type="pct"/>
            <w:tcBorders>
              <w:top w:val="nil"/>
              <w:left w:val="single" w:sz="2" w:space="0" w:color="auto"/>
              <w:bottom w:val="nil"/>
            </w:tcBorders>
            <w:shd w:val="clear" w:color="auto" w:fill="FFFFFF"/>
          </w:tcPr>
          <w:p w14:paraId="3CA3D848" w14:textId="77777777" w:rsidR="00C550BB" w:rsidRPr="00C550BB" w:rsidRDefault="00C550BB" w:rsidP="001E52A6">
            <w:pPr>
              <w:autoSpaceDE w:val="0"/>
              <w:autoSpaceDN w:val="0"/>
              <w:adjustRightInd w:val="0"/>
              <w:jc w:val="center"/>
              <w:rPr>
                <w:color w:val="000000"/>
              </w:rPr>
            </w:pPr>
            <w:r w:rsidRPr="00C550BB">
              <w:rPr>
                <w:color w:val="000000"/>
              </w:rPr>
              <w:t>,002</w:t>
            </w:r>
          </w:p>
        </w:tc>
        <w:tc>
          <w:tcPr>
            <w:tcW w:w="667" w:type="pct"/>
            <w:tcBorders>
              <w:top w:val="nil"/>
              <w:bottom w:val="nil"/>
            </w:tcBorders>
            <w:shd w:val="clear" w:color="auto" w:fill="FFFFFF"/>
          </w:tcPr>
          <w:p w14:paraId="74AD10C1"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2E68AAB5" w14:textId="77777777" w:rsidR="00C550BB" w:rsidRPr="00C550BB" w:rsidRDefault="00C550BB" w:rsidP="001E52A6">
            <w:pPr>
              <w:autoSpaceDE w:val="0"/>
              <w:autoSpaceDN w:val="0"/>
              <w:adjustRightInd w:val="0"/>
              <w:jc w:val="center"/>
              <w:rPr>
                <w:color w:val="000000"/>
              </w:rPr>
            </w:pPr>
            <w:r w:rsidRPr="00C550BB">
              <w:rPr>
                <w:color w:val="000000"/>
              </w:rPr>
              <w:t>,001</w:t>
            </w:r>
          </w:p>
        </w:tc>
        <w:tc>
          <w:tcPr>
            <w:tcW w:w="588" w:type="pct"/>
            <w:tcBorders>
              <w:top w:val="nil"/>
              <w:bottom w:val="nil"/>
            </w:tcBorders>
            <w:shd w:val="clear" w:color="auto" w:fill="FFFFFF"/>
          </w:tcPr>
          <w:p w14:paraId="0069BF7E" w14:textId="77777777" w:rsidR="00C550BB" w:rsidRPr="00C550BB" w:rsidRDefault="00C550BB" w:rsidP="001E52A6">
            <w:pPr>
              <w:autoSpaceDE w:val="0"/>
              <w:autoSpaceDN w:val="0"/>
              <w:adjustRightInd w:val="0"/>
              <w:jc w:val="center"/>
              <w:rPr>
                <w:color w:val="000000"/>
              </w:rPr>
            </w:pPr>
            <w:r w:rsidRPr="00C550BB">
              <w:rPr>
                <w:color w:val="000000"/>
              </w:rPr>
              <w:t>,072</w:t>
            </w:r>
          </w:p>
        </w:tc>
        <w:tc>
          <w:tcPr>
            <w:tcW w:w="668" w:type="pct"/>
            <w:gridSpan w:val="3"/>
            <w:tcBorders>
              <w:top w:val="nil"/>
              <w:bottom w:val="nil"/>
              <w:right w:val="nil"/>
            </w:tcBorders>
            <w:shd w:val="clear" w:color="auto" w:fill="FFFFFF"/>
          </w:tcPr>
          <w:p w14:paraId="73E4012A" w14:textId="77777777" w:rsidR="00C550BB" w:rsidRPr="00C550BB" w:rsidRDefault="00C550BB" w:rsidP="001E52A6">
            <w:pPr>
              <w:autoSpaceDE w:val="0"/>
              <w:autoSpaceDN w:val="0"/>
              <w:adjustRightInd w:val="0"/>
              <w:jc w:val="center"/>
              <w:rPr>
                <w:color w:val="000000"/>
              </w:rPr>
            </w:pPr>
            <w:r w:rsidRPr="00C550BB">
              <w:rPr>
                <w:color w:val="000000"/>
              </w:rPr>
              <w:t>,930</w:t>
            </w:r>
          </w:p>
        </w:tc>
      </w:tr>
      <w:tr w:rsidR="00C550BB" w:rsidRPr="00C550BB" w14:paraId="55F3946D" w14:textId="77777777" w:rsidTr="00C550BB">
        <w:trPr>
          <w:gridAfter w:val="3"/>
          <w:wAfter w:w="668" w:type="pct"/>
          <w:cantSplit/>
          <w:trHeight w:val="57"/>
        </w:trPr>
        <w:tc>
          <w:tcPr>
            <w:tcW w:w="351" w:type="pct"/>
            <w:gridSpan w:val="2"/>
            <w:vMerge/>
            <w:tcBorders>
              <w:top w:val="nil"/>
              <w:left w:val="nil"/>
              <w:bottom w:val="nil"/>
              <w:right w:val="nil"/>
            </w:tcBorders>
            <w:shd w:val="clear" w:color="auto" w:fill="FFFFFF"/>
            <w:vAlign w:val="center"/>
          </w:tcPr>
          <w:p w14:paraId="5C94FE93" w14:textId="77777777" w:rsidR="00C550BB" w:rsidRPr="00C550BB" w:rsidRDefault="00C550BB" w:rsidP="001E52A6">
            <w:pPr>
              <w:autoSpaceDE w:val="0"/>
              <w:autoSpaceDN w:val="0"/>
              <w:adjustRightInd w:val="0"/>
              <w:jc w:val="center"/>
              <w:rPr>
                <w:color w:val="000000"/>
              </w:rPr>
            </w:pPr>
          </w:p>
        </w:tc>
        <w:tc>
          <w:tcPr>
            <w:tcW w:w="974" w:type="pct"/>
            <w:gridSpan w:val="3"/>
            <w:tcBorders>
              <w:top w:val="nil"/>
              <w:left w:val="nil"/>
              <w:bottom w:val="nil"/>
              <w:right w:val="single" w:sz="2" w:space="0" w:color="auto"/>
            </w:tcBorders>
            <w:shd w:val="clear" w:color="auto" w:fill="FFFFFF"/>
            <w:vAlign w:val="center"/>
          </w:tcPr>
          <w:p w14:paraId="5AF72405"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37" w:type="pct"/>
            <w:tcBorders>
              <w:top w:val="nil"/>
              <w:left w:val="single" w:sz="2" w:space="0" w:color="auto"/>
              <w:bottom w:val="nil"/>
            </w:tcBorders>
            <w:shd w:val="clear" w:color="auto" w:fill="FFFFFF"/>
          </w:tcPr>
          <w:p w14:paraId="562DACC1" w14:textId="77777777" w:rsidR="00C550BB" w:rsidRPr="00C550BB" w:rsidRDefault="00C550BB" w:rsidP="001E52A6">
            <w:pPr>
              <w:autoSpaceDE w:val="0"/>
              <w:autoSpaceDN w:val="0"/>
              <w:adjustRightInd w:val="0"/>
              <w:jc w:val="center"/>
              <w:rPr>
                <w:color w:val="000000"/>
              </w:rPr>
            </w:pPr>
            <w:r w:rsidRPr="00C550BB">
              <w:rPr>
                <w:color w:val="000000"/>
              </w:rPr>
              <w:t>4,522</w:t>
            </w:r>
          </w:p>
        </w:tc>
        <w:tc>
          <w:tcPr>
            <w:tcW w:w="667" w:type="pct"/>
            <w:tcBorders>
              <w:top w:val="nil"/>
              <w:bottom w:val="nil"/>
            </w:tcBorders>
            <w:shd w:val="clear" w:color="auto" w:fill="FFFFFF"/>
          </w:tcPr>
          <w:p w14:paraId="31495942"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nil"/>
            </w:tcBorders>
            <w:shd w:val="clear" w:color="auto" w:fill="FFFFFF"/>
          </w:tcPr>
          <w:p w14:paraId="65F1F717" w14:textId="77777777" w:rsidR="00C550BB" w:rsidRPr="00C550BB" w:rsidRDefault="00C550BB" w:rsidP="001E52A6">
            <w:pPr>
              <w:autoSpaceDE w:val="0"/>
              <w:autoSpaceDN w:val="0"/>
              <w:adjustRightInd w:val="0"/>
              <w:jc w:val="center"/>
              <w:rPr>
                <w:color w:val="000000"/>
              </w:rPr>
            </w:pPr>
            <w:r w:rsidRPr="00C550BB">
              <w:rPr>
                <w:color w:val="000000"/>
              </w:rPr>
              <w:t>,015</w:t>
            </w:r>
          </w:p>
        </w:tc>
        <w:tc>
          <w:tcPr>
            <w:tcW w:w="588" w:type="pct"/>
            <w:tcBorders>
              <w:top w:val="nil"/>
              <w:bottom w:val="nil"/>
            </w:tcBorders>
            <w:shd w:val="clear" w:color="auto" w:fill="FFFFFF"/>
          </w:tcPr>
          <w:p w14:paraId="0EA11D74" w14:textId="77777777" w:rsidR="00C550BB" w:rsidRPr="00C550BB" w:rsidRDefault="00C550BB" w:rsidP="001E52A6">
            <w:pPr>
              <w:autoSpaceDE w:val="0"/>
              <w:autoSpaceDN w:val="0"/>
              <w:adjustRightInd w:val="0"/>
              <w:jc w:val="center"/>
              <w:rPr>
                <w:color w:val="000000"/>
              </w:rPr>
            </w:pPr>
          </w:p>
        </w:tc>
      </w:tr>
      <w:tr w:rsidR="00C550BB" w:rsidRPr="00C550BB" w14:paraId="28110445" w14:textId="77777777" w:rsidTr="00C550BB">
        <w:trPr>
          <w:cantSplit/>
          <w:trHeight w:val="57"/>
        </w:trPr>
        <w:tc>
          <w:tcPr>
            <w:tcW w:w="351" w:type="pct"/>
            <w:gridSpan w:val="2"/>
            <w:vMerge w:val="restart"/>
            <w:tcBorders>
              <w:top w:val="nil"/>
              <w:left w:val="nil"/>
              <w:bottom w:val="single" w:sz="16" w:space="0" w:color="000000"/>
              <w:right w:val="nil"/>
            </w:tcBorders>
            <w:shd w:val="clear" w:color="auto" w:fill="FFFFFF"/>
            <w:vAlign w:val="center"/>
          </w:tcPr>
          <w:p w14:paraId="7C91F6A8" w14:textId="77777777" w:rsidR="00C550BB" w:rsidRPr="00C550BB" w:rsidRDefault="00C550BB" w:rsidP="001E52A6">
            <w:pPr>
              <w:autoSpaceDE w:val="0"/>
              <w:autoSpaceDN w:val="0"/>
              <w:adjustRightInd w:val="0"/>
              <w:jc w:val="center"/>
              <w:rPr>
                <w:color w:val="000000"/>
              </w:rPr>
            </w:pPr>
            <w:r w:rsidRPr="00C550BB">
              <w:rPr>
                <w:color w:val="000000"/>
              </w:rPr>
              <w:t>RI15</w:t>
            </w:r>
          </w:p>
        </w:tc>
        <w:tc>
          <w:tcPr>
            <w:tcW w:w="974" w:type="pct"/>
            <w:gridSpan w:val="3"/>
            <w:tcBorders>
              <w:top w:val="nil"/>
              <w:left w:val="nil"/>
              <w:bottom w:val="nil"/>
              <w:right w:val="single" w:sz="2" w:space="0" w:color="auto"/>
            </w:tcBorders>
            <w:shd w:val="clear" w:color="auto" w:fill="FFFFFF"/>
            <w:vAlign w:val="center"/>
          </w:tcPr>
          <w:p w14:paraId="06B07BCD" w14:textId="77777777" w:rsidR="00C550BB" w:rsidRPr="00C550BB" w:rsidRDefault="00C550BB" w:rsidP="001E52A6">
            <w:pPr>
              <w:autoSpaceDE w:val="0"/>
              <w:autoSpaceDN w:val="0"/>
              <w:adjustRightInd w:val="0"/>
              <w:jc w:val="center"/>
              <w:rPr>
                <w:color w:val="000000"/>
              </w:rPr>
            </w:pPr>
            <w:r w:rsidRPr="00C550BB">
              <w:rPr>
                <w:color w:val="000000"/>
              </w:rPr>
              <w:t>Entre Grupos</w:t>
            </w:r>
          </w:p>
        </w:tc>
        <w:tc>
          <w:tcPr>
            <w:tcW w:w="837" w:type="pct"/>
            <w:tcBorders>
              <w:top w:val="nil"/>
              <w:left w:val="single" w:sz="2" w:space="0" w:color="auto"/>
              <w:bottom w:val="nil"/>
            </w:tcBorders>
            <w:shd w:val="clear" w:color="auto" w:fill="FFFFFF"/>
          </w:tcPr>
          <w:p w14:paraId="3B8A292F" w14:textId="77777777" w:rsidR="00C550BB" w:rsidRPr="00C550BB" w:rsidRDefault="00C550BB" w:rsidP="001E52A6">
            <w:pPr>
              <w:autoSpaceDE w:val="0"/>
              <w:autoSpaceDN w:val="0"/>
              <w:adjustRightInd w:val="0"/>
              <w:jc w:val="center"/>
              <w:rPr>
                <w:color w:val="000000"/>
              </w:rPr>
            </w:pPr>
            <w:r w:rsidRPr="00C550BB">
              <w:rPr>
                <w:color w:val="000000"/>
              </w:rPr>
              <w:t>,007</w:t>
            </w:r>
          </w:p>
        </w:tc>
        <w:tc>
          <w:tcPr>
            <w:tcW w:w="667" w:type="pct"/>
            <w:tcBorders>
              <w:top w:val="nil"/>
              <w:bottom w:val="nil"/>
            </w:tcBorders>
            <w:shd w:val="clear" w:color="auto" w:fill="FFFFFF"/>
          </w:tcPr>
          <w:p w14:paraId="3E5AD561" w14:textId="77777777" w:rsidR="00C550BB" w:rsidRPr="00C550BB" w:rsidRDefault="00C550BB" w:rsidP="001E52A6">
            <w:pPr>
              <w:autoSpaceDE w:val="0"/>
              <w:autoSpaceDN w:val="0"/>
              <w:adjustRightInd w:val="0"/>
              <w:jc w:val="center"/>
              <w:rPr>
                <w:color w:val="000000"/>
              </w:rPr>
            </w:pPr>
            <w:r w:rsidRPr="00C550BB">
              <w:rPr>
                <w:color w:val="000000"/>
              </w:rPr>
              <w:t>2</w:t>
            </w:r>
          </w:p>
        </w:tc>
        <w:tc>
          <w:tcPr>
            <w:tcW w:w="915" w:type="pct"/>
            <w:tcBorders>
              <w:top w:val="nil"/>
              <w:bottom w:val="nil"/>
            </w:tcBorders>
            <w:shd w:val="clear" w:color="auto" w:fill="FFFFFF"/>
          </w:tcPr>
          <w:p w14:paraId="3DB8B3E5" w14:textId="77777777" w:rsidR="00C550BB" w:rsidRPr="00C550BB" w:rsidRDefault="00C550BB" w:rsidP="001E52A6">
            <w:pPr>
              <w:autoSpaceDE w:val="0"/>
              <w:autoSpaceDN w:val="0"/>
              <w:adjustRightInd w:val="0"/>
              <w:jc w:val="center"/>
              <w:rPr>
                <w:color w:val="000000"/>
              </w:rPr>
            </w:pPr>
            <w:r w:rsidRPr="00C550BB">
              <w:rPr>
                <w:color w:val="000000"/>
              </w:rPr>
              <w:t>,003</w:t>
            </w:r>
          </w:p>
        </w:tc>
        <w:tc>
          <w:tcPr>
            <w:tcW w:w="588" w:type="pct"/>
            <w:tcBorders>
              <w:top w:val="nil"/>
              <w:bottom w:val="nil"/>
            </w:tcBorders>
            <w:shd w:val="clear" w:color="auto" w:fill="FFFFFF"/>
          </w:tcPr>
          <w:p w14:paraId="71DA20DE" w14:textId="77777777" w:rsidR="00C550BB" w:rsidRPr="00C550BB" w:rsidRDefault="00C550BB" w:rsidP="001E52A6">
            <w:pPr>
              <w:autoSpaceDE w:val="0"/>
              <w:autoSpaceDN w:val="0"/>
              <w:adjustRightInd w:val="0"/>
              <w:jc w:val="center"/>
              <w:rPr>
                <w:color w:val="000000"/>
              </w:rPr>
            </w:pPr>
            <w:r w:rsidRPr="00C550BB">
              <w:rPr>
                <w:color w:val="000000"/>
              </w:rPr>
              <w:t>,319</w:t>
            </w:r>
          </w:p>
        </w:tc>
        <w:tc>
          <w:tcPr>
            <w:tcW w:w="668" w:type="pct"/>
            <w:gridSpan w:val="3"/>
            <w:tcBorders>
              <w:top w:val="nil"/>
              <w:bottom w:val="nil"/>
              <w:right w:val="nil"/>
            </w:tcBorders>
            <w:shd w:val="clear" w:color="auto" w:fill="FFFFFF"/>
          </w:tcPr>
          <w:p w14:paraId="582BEC31" w14:textId="77777777" w:rsidR="00C550BB" w:rsidRPr="00C550BB" w:rsidRDefault="00C550BB" w:rsidP="001E52A6">
            <w:pPr>
              <w:autoSpaceDE w:val="0"/>
              <w:autoSpaceDN w:val="0"/>
              <w:adjustRightInd w:val="0"/>
              <w:jc w:val="center"/>
              <w:rPr>
                <w:color w:val="000000"/>
              </w:rPr>
            </w:pPr>
            <w:r w:rsidRPr="00C550BB">
              <w:rPr>
                <w:color w:val="000000"/>
              </w:rPr>
              <w:t>,727</w:t>
            </w:r>
          </w:p>
        </w:tc>
      </w:tr>
      <w:tr w:rsidR="00C550BB" w:rsidRPr="00C550BB" w14:paraId="20D08F62" w14:textId="77777777" w:rsidTr="00C550BB">
        <w:trPr>
          <w:cantSplit/>
          <w:trHeight w:val="57"/>
        </w:trPr>
        <w:tc>
          <w:tcPr>
            <w:tcW w:w="351" w:type="pct"/>
            <w:gridSpan w:val="2"/>
            <w:vMerge/>
            <w:tcBorders>
              <w:top w:val="nil"/>
              <w:left w:val="nil"/>
              <w:bottom w:val="single" w:sz="12" w:space="0" w:color="auto"/>
              <w:right w:val="nil"/>
            </w:tcBorders>
            <w:shd w:val="clear" w:color="auto" w:fill="FFFFFF"/>
            <w:vAlign w:val="center"/>
          </w:tcPr>
          <w:p w14:paraId="2FDD9732" w14:textId="77777777" w:rsidR="00C550BB" w:rsidRPr="00C550BB" w:rsidRDefault="00C550BB" w:rsidP="001E52A6">
            <w:pPr>
              <w:autoSpaceDE w:val="0"/>
              <w:autoSpaceDN w:val="0"/>
              <w:adjustRightInd w:val="0"/>
              <w:jc w:val="center"/>
              <w:rPr>
                <w:color w:val="000000"/>
              </w:rPr>
            </w:pPr>
          </w:p>
        </w:tc>
        <w:tc>
          <w:tcPr>
            <w:tcW w:w="974" w:type="pct"/>
            <w:gridSpan w:val="3"/>
            <w:tcBorders>
              <w:top w:val="nil"/>
              <w:left w:val="nil"/>
              <w:bottom w:val="single" w:sz="12" w:space="0" w:color="auto"/>
              <w:right w:val="single" w:sz="2" w:space="0" w:color="auto"/>
            </w:tcBorders>
            <w:shd w:val="clear" w:color="auto" w:fill="FFFFFF"/>
            <w:vAlign w:val="center"/>
          </w:tcPr>
          <w:p w14:paraId="62FE219E" w14:textId="77777777" w:rsidR="00C550BB" w:rsidRPr="00C550BB" w:rsidRDefault="00C550BB" w:rsidP="001E52A6">
            <w:pPr>
              <w:autoSpaceDE w:val="0"/>
              <w:autoSpaceDN w:val="0"/>
              <w:adjustRightInd w:val="0"/>
              <w:jc w:val="center"/>
              <w:rPr>
                <w:color w:val="000000"/>
              </w:rPr>
            </w:pPr>
            <w:r w:rsidRPr="00C550BB">
              <w:rPr>
                <w:color w:val="000000"/>
              </w:rPr>
              <w:t>Nos grupos</w:t>
            </w:r>
          </w:p>
        </w:tc>
        <w:tc>
          <w:tcPr>
            <w:tcW w:w="837" w:type="pct"/>
            <w:tcBorders>
              <w:top w:val="nil"/>
              <w:left w:val="single" w:sz="2" w:space="0" w:color="auto"/>
              <w:bottom w:val="single" w:sz="12" w:space="0" w:color="auto"/>
            </w:tcBorders>
            <w:shd w:val="clear" w:color="auto" w:fill="FFFFFF"/>
          </w:tcPr>
          <w:p w14:paraId="4A5C9D0A" w14:textId="77777777" w:rsidR="00C550BB" w:rsidRPr="00C550BB" w:rsidRDefault="00C550BB" w:rsidP="001E52A6">
            <w:pPr>
              <w:autoSpaceDE w:val="0"/>
              <w:autoSpaceDN w:val="0"/>
              <w:adjustRightInd w:val="0"/>
              <w:jc w:val="center"/>
              <w:rPr>
                <w:color w:val="000000"/>
              </w:rPr>
            </w:pPr>
            <w:r w:rsidRPr="00C550BB">
              <w:rPr>
                <w:color w:val="000000"/>
              </w:rPr>
              <w:t>3,085</w:t>
            </w:r>
          </w:p>
        </w:tc>
        <w:tc>
          <w:tcPr>
            <w:tcW w:w="667" w:type="pct"/>
            <w:tcBorders>
              <w:top w:val="nil"/>
              <w:bottom w:val="single" w:sz="12" w:space="0" w:color="auto"/>
            </w:tcBorders>
            <w:shd w:val="clear" w:color="auto" w:fill="FFFFFF"/>
          </w:tcPr>
          <w:p w14:paraId="5E015F06" w14:textId="77777777" w:rsidR="00C550BB" w:rsidRPr="00C550BB" w:rsidRDefault="00C550BB" w:rsidP="001E52A6">
            <w:pPr>
              <w:autoSpaceDE w:val="0"/>
              <w:autoSpaceDN w:val="0"/>
              <w:adjustRightInd w:val="0"/>
              <w:jc w:val="center"/>
              <w:rPr>
                <w:color w:val="000000"/>
              </w:rPr>
            </w:pPr>
            <w:r w:rsidRPr="00C550BB">
              <w:rPr>
                <w:color w:val="000000"/>
              </w:rPr>
              <w:t>297</w:t>
            </w:r>
          </w:p>
        </w:tc>
        <w:tc>
          <w:tcPr>
            <w:tcW w:w="915" w:type="pct"/>
            <w:tcBorders>
              <w:top w:val="nil"/>
              <w:bottom w:val="single" w:sz="12" w:space="0" w:color="auto"/>
            </w:tcBorders>
            <w:shd w:val="clear" w:color="auto" w:fill="FFFFFF"/>
          </w:tcPr>
          <w:p w14:paraId="75A75393" w14:textId="77777777" w:rsidR="00C550BB" w:rsidRPr="00C550BB" w:rsidRDefault="00C550BB" w:rsidP="001E52A6">
            <w:pPr>
              <w:autoSpaceDE w:val="0"/>
              <w:autoSpaceDN w:val="0"/>
              <w:adjustRightInd w:val="0"/>
              <w:jc w:val="center"/>
              <w:rPr>
                <w:color w:val="000000"/>
              </w:rPr>
            </w:pPr>
            <w:r w:rsidRPr="00C550BB">
              <w:rPr>
                <w:color w:val="000000"/>
              </w:rPr>
              <w:t>,010</w:t>
            </w:r>
          </w:p>
        </w:tc>
        <w:tc>
          <w:tcPr>
            <w:tcW w:w="588" w:type="pct"/>
            <w:tcBorders>
              <w:top w:val="nil"/>
              <w:bottom w:val="single" w:sz="12" w:space="0" w:color="auto"/>
            </w:tcBorders>
            <w:shd w:val="clear" w:color="auto" w:fill="FFFFFF"/>
          </w:tcPr>
          <w:p w14:paraId="2F3E2BE9" w14:textId="77777777" w:rsidR="00C550BB" w:rsidRPr="00C550BB" w:rsidRDefault="00C550BB" w:rsidP="001E52A6">
            <w:pPr>
              <w:autoSpaceDE w:val="0"/>
              <w:autoSpaceDN w:val="0"/>
              <w:adjustRightInd w:val="0"/>
              <w:jc w:val="center"/>
              <w:rPr>
                <w:color w:val="000000"/>
              </w:rPr>
            </w:pPr>
          </w:p>
        </w:tc>
        <w:tc>
          <w:tcPr>
            <w:tcW w:w="668" w:type="pct"/>
            <w:gridSpan w:val="3"/>
            <w:tcBorders>
              <w:top w:val="nil"/>
              <w:bottom w:val="single" w:sz="12" w:space="0" w:color="auto"/>
              <w:right w:val="nil"/>
            </w:tcBorders>
            <w:shd w:val="clear" w:color="auto" w:fill="FFFFFF"/>
          </w:tcPr>
          <w:p w14:paraId="7F2746B5" w14:textId="77777777" w:rsidR="00C550BB" w:rsidRPr="00C550BB" w:rsidRDefault="00C550BB" w:rsidP="001E52A6">
            <w:pPr>
              <w:autoSpaceDE w:val="0"/>
              <w:autoSpaceDN w:val="0"/>
              <w:adjustRightInd w:val="0"/>
              <w:jc w:val="center"/>
              <w:rPr>
                <w:color w:val="000000"/>
              </w:rPr>
            </w:pPr>
          </w:p>
        </w:tc>
      </w:tr>
      <w:tr w:rsidR="00C550BB" w:rsidRPr="00C550BB" w14:paraId="7806D3B7" w14:textId="77777777" w:rsidTr="00C550BB">
        <w:trPr>
          <w:cantSplit/>
        </w:trPr>
        <w:tc>
          <w:tcPr>
            <w:tcW w:w="1325" w:type="pct"/>
            <w:gridSpan w:val="5"/>
            <w:tcBorders>
              <w:top w:val="single" w:sz="12" w:space="0" w:color="auto"/>
              <w:left w:val="nil"/>
              <w:bottom w:val="single" w:sz="12" w:space="0" w:color="auto"/>
              <w:right w:val="single" w:sz="8" w:space="0" w:color="000000"/>
            </w:tcBorders>
            <w:shd w:val="clear" w:color="auto" w:fill="FFFFFF"/>
          </w:tcPr>
          <w:p w14:paraId="7C195F5D" w14:textId="77777777" w:rsidR="00C550BB" w:rsidRPr="00C550BB" w:rsidRDefault="00C550BB" w:rsidP="001E52A6">
            <w:pPr>
              <w:autoSpaceDE w:val="0"/>
              <w:autoSpaceDN w:val="0"/>
              <w:adjustRightInd w:val="0"/>
              <w:jc w:val="center"/>
              <w:rPr>
                <w:color w:val="000000"/>
              </w:rPr>
            </w:pPr>
            <w:r w:rsidRPr="00C550BB">
              <w:rPr>
                <w:color w:val="000000"/>
              </w:rPr>
              <w:t>Variável dependente</w:t>
            </w:r>
          </w:p>
        </w:tc>
        <w:tc>
          <w:tcPr>
            <w:tcW w:w="837" w:type="pct"/>
            <w:tcBorders>
              <w:top w:val="single" w:sz="12" w:space="0" w:color="auto"/>
              <w:left w:val="single" w:sz="8" w:space="0" w:color="000000"/>
              <w:bottom w:val="single" w:sz="12" w:space="0" w:color="auto"/>
              <w:right w:val="single" w:sz="8" w:space="0" w:color="000000"/>
            </w:tcBorders>
            <w:shd w:val="clear" w:color="auto" w:fill="FFFFFF"/>
          </w:tcPr>
          <w:p w14:paraId="746C7EE6" w14:textId="77777777" w:rsidR="00C550BB" w:rsidRPr="00C550BB" w:rsidRDefault="00C550BB" w:rsidP="001E52A6">
            <w:pPr>
              <w:autoSpaceDE w:val="0"/>
              <w:autoSpaceDN w:val="0"/>
              <w:adjustRightInd w:val="0"/>
              <w:jc w:val="center"/>
              <w:rPr>
                <w:color w:val="000000"/>
              </w:rPr>
            </w:pPr>
            <w:r w:rsidRPr="00C550BB">
              <w:rPr>
                <w:color w:val="000000"/>
              </w:rPr>
              <w:t>(I) Seleção</w:t>
            </w:r>
          </w:p>
        </w:tc>
        <w:tc>
          <w:tcPr>
            <w:tcW w:w="667" w:type="pct"/>
            <w:tcBorders>
              <w:top w:val="single" w:sz="12" w:space="0" w:color="auto"/>
              <w:left w:val="single" w:sz="8" w:space="0" w:color="000000"/>
              <w:bottom w:val="single" w:sz="12" w:space="0" w:color="auto"/>
              <w:right w:val="single" w:sz="2" w:space="0" w:color="auto"/>
            </w:tcBorders>
            <w:shd w:val="clear" w:color="auto" w:fill="FFFFFF"/>
          </w:tcPr>
          <w:p w14:paraId="014D312C" w14:textId="77777777" w:rsidR="00C550BB" w:rsidRPr="00C550BB" w:rsidRDefault="00C550BB" w:rsidP="001E52A6">
            <w:pPr>
              <w:autoSpaceDE w:val="0"/>
              <w:autoSpaceDN w:val="0"/>
              <w:adjustRightInd w:val="0"/>
              <w:jc w:val="center"/>
              <w:rPr>
                <w:color w:val="000000"/>
              </w:rPr>
            </w:pPr>
            <w:r w:rsidRPr="00C550BB">
              <w:rPr>
                <w:color w:val="000000"/>
              </w:rPr>
              <w:t>(J) Seleção</w:t>
            </w:r>
          </w:p>
        </w:tc>
        <w:tc>
          <w:tcPr>
            <w:tcW w:w="1503" w:type="pct"/>
            <w:gridSpan w:val="2"/>
            <w:tcBorders>
              <w:top w:val="single" w:sz="12" w:space="0" w:color="auto"/>
              <w:left w:val="single" w:sz="2" w:space="0" w:color="auto"/>
              <w:bottom w:val="single" w:sz="12" w:space="0" w:color="auto"/>
              <w:right w:val="single" w:sz="8" w:space="0" w:color="000000"/>
            </w:tcBorders>
            <w:shd w:val="clear" w:color="auto" w:fill="FFFFFF"/>
            <w:vAlign w:val="center"/>
          </w:tcPr>
          <w:p w14:paraId="096422F4" w14:textId="77777777" w:rsidR="00C550BB" w:rsidRPr="00C550BB" w:rsidRDefault="00C550BB" w:rsidP="001E52A6">
            <w:pPr>
              <w:autoSpaceDE w:val="0"/>
              <w:autoSpaceDN w:val="0"/>
              <w:adjustRightInd w:val="0"/>
              <w:jc w:val="center"/>
              <w:rPr>
                <w:color w:val="000000"/>
              </w:rPr>
            </w:pPr>
            <w:r w:rsidRPr="00C550BB">
              <w:rPr>
                <w:color w:val="000000"/>
              </w:rPr>
              <w:t>Diferença média (I-J)</w:t>
            </w:r>
          </w:p>
        </w:tc>
        <w:tc>
          <w:tcPr>
            <w:tcW w:w="668" w:type="pct"/>
            <w:gridSpan w:val="3"/>
            <w:tcBorders>
              <w:top w:val="single" w:sz="12" w:space="0" w:color="auto"/>
              <w:left w:val="single" w:sz="8" w:space="0" w:color="000000"/>
              <w:bottom w:val="single" w:sz="12" w:space="0" w:color="auto"/>
              <w:right w:val="nil"/>
            </w:tcBorders>
            <w:shd w:val="clear" w:color="auto" w:fill="FFFFFF"/>
            <w:vAlign w:val="center"/>
          </w:tcPr>
          <w:p w14:paraId="619DA66F" w14:textId="77777777" w:rsidR="00C550BB" w:rsidRPr="00C550BB" w:rsidRDefault="00C550BB" w:rsidP="001E52A6">
            <w:pPr>
              <w:autoSpaceDE w:val="0"/>
              <w:autoSpaceDN w:val="0"/>
              <w:adjustRightInd w:val="0"/>
              <w:jc w:val="center"/>
              <w:rPr>
                <w:color w:val="000000"/>
              </w:rPr>
            </w:pPr>
            <w:proofErr w:type="spellStart"/>
            <w:r w:rsidRPr="00C550BB">
              <w:rPr>
                <w:color w:val="000000"/>
              </w:rPr>
              <w:t>Sig</w:t>
            </w:r>
            <w:proofErr w:type="spellEnd"/>
            <w:r w:rsidRPr="00C550BB">
              <w:rPr>
                <w:color w:val="000000"/>
              </w:rPr>
              <w:t>.</w:t>
            </w:r>
          </w:p>
        </w:tc>
      </w:tr>
      <w:tr w:rsidR="00C550BB" w:rsidRPr="00C550BB" w14:paraId="5999BB7E" w14:textId="77777777" w:rsidTr="00C550BB">
        <w:trPr>
          <w:cantSplit/>
        </w:trPr>
        <w:tc>
          <w:tcPr>
            <w:tcW w:w="1325" w:type="pct"/>
            <w:gridSpan w:val="5"/>
            <w:vMerge w:val="restart"/>
            <w:tcBorders>
              <w:top w:val="single" w:sz="12" w:space="0" w:color="auto"/>
              <w:left w:val="nil"/>
              <w:bottom w:val="nil"/>
            </w:tcBorders>
            <w:shd w:val="clear" w:color="auto" w:fill="FFFFFF"/>
            <w:vAlign w:val="center"/>
          </w:tcPr>
          <w:p w14:paraId="38F4FE7B" w14:textId="77777777" w:rsidR="00C550BB" w:rsidRPr="00C550BB" w:rsidRDefault="00C550BB" w:rsidP="001E52A6">
            <w:pPr>
              <w:autoSpaceDE w:val="0"/>
              <w:autoSpaceDN w:val="0"/>
              <w:adjustRightInd w:val="0"/>
              <w:jc w:val="center"/>
              <w:rPr>
                <w:color w:val="000000"/>
              </w:rPr>
            </w:pPr>
            <w:r w:rsidRPr="00C550BB">
              <w:rPr>
                <w:color w:val="000000"/>
              </w:rPr>
              <w:t>RI12</w:t>
            </w:r>
          </w:p>
        </w:tc>
        <w:tc>
          <w:tcPr>
            <w:tcW w:w="837" w:type="pct"/>
            <w:vMerge w:val="restart"/>
            <w:tcBorders>
              <w:top w:val="single" w:sz="12" w:space="0" w:color="auto"/>
              <w:bottom w:val="nil"/>
            </w:tcBorders>
            <w:shd w:val="clear" w:color="auto" w:fill="FFFFFF"/>
            <w:vAlign w:val="center"/>
          </w:tcPr>
          <w:p w14:paraId="29D376D9"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667" w:type="pct"/>
            <w:tcBorders>
              <w:top w:val="single" w:sz="12" w:space="0" w:color="auto"/>
              <w:bottom w:val="nil"/>
              <w:right w:val="single" w:sz="2" w:space="0" w:color="auto"/>
            </w:tcBorders>
            <w:shd w:val="clear" w:color="auto" w:fill="FFFFFF"/>
          </w:tcPr>
          <w:p w14:paraId="30832538"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single" w:sz="12" w:space="0" w:color="auto"/>
              <w:left w:val="single" w:sz="2" w:space="0" w:color="auto"/>
              <w:bottom w:val="nil"/>
            </w:tcBorders>
            <w:shd w:val="clear" w:color="auto" w:fill="FFFFFF"/>
            <w:vAlign w:val="center"/>
          </w:tcPr>
          <w:p w14:paraId="3237ACA3" w14:textId="77777777" w:rsidR="00C550BB" w:rsidRPr="00C550BB" w:rsidRDefault="00C550BB" w:rsidP="001E52A6">
            <w:pPr>
              <w:autoSpaceDE w:val="0"/>
              <w:autoSpaceDN w:val="0"/>
              <w:adjustRightInd w:val="0"/>
              <w:jc w:val="center"/>
              <w:rPr>
                <w:color w:val="000000"/>
              </w:rPr>
            </w:pPr>
            <w:r w:rsidRPr="00C550BB">
              <w:rPr>
                <w:color w:val="000000"/>
              </w:rPr>
              <w:t>,03368281</w:t>
            </w:r>
            <w:r w:rsidRPr="00C550BB">
              <w:rPr>
                <w:color w:val="000000"/>
                <w:vertAlign w:val="superscript"/>
              </w:rPr>
              <w:t>*</w:t>
            </w:r>
          </w:p>
        </w:tc>
        <w:tc>
          <w:tcPr>
            <w:tcW w:w="668" w:type="pct"/>
            <w:gridSpan w:val="3"/>
            <w:tcBorders>
              <w:top w:val="single" w:sz="12" w:space="0" w:color="auto"/>
              <w:bottom w:val="nil"/>
              <w:right w:val="nil"/>
            </w:tcBorders>
            <w:shd w:val="clear" w:color="auto" w:fill="FFFFFF"/>
            <w:vAlign w:val="center"/>
          </w:tcPr>
          <w:p w14:paraId="1CE6B425" w14:textId="77777777" w:rsidR="00C550BB" w:rsidRPr="00C550BB" w:rsidRDefault="00C550BB" w:rsidP="001E52A6">
            <w:pPr>
              <w:autoSpaceDE w:val="0"/>
              <w:autoSpaceDN w:val="0"/>
              <w:adjustRightInd w:val="0"/>
              <w:jc w:val="center"/>
              <w:rPr>
                <w:color w:val="000000"/>
              </w:rPr>
            </w:pPr>
            <w:r w:rsidRPr="00C550BB">
              <w:rPr>
                <w:color w:val="000000"/>
              </w:rPr>
              <w:t>,020</w:t>
            </w:r>
          </w:p>
        </w:tc>
      </w:tr>
      <w:tr w:rsidR="00C550BB" w:rsidRPr="00C550BB" w14:paraId="5E2C6422" w14:textId="77777777" w:rsidTr="00C550BB">
        <w:trPr>
          <w:cantSplit/>
        </w:trPr>
        <w:tc>
          <w:tcPr>
            <w:tcW w:w="1325" w:type="pct"/>
            <w:gridSpan w:val="5"/>
            <w:vMerge/>
            <w:tcBorders>
              <w:top w:val="nil"/>
              <w:left w:val="nil"/>
              <w:bottom w:val="nil"/>
            </w:tcBorders>
            <w:shd w:val="clear" w:color="auto" w:fill="FFFFFF"/>
          </w:tcPr>
          <w:p w14:paraId="79BAB89F"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0B49A287"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2" w:space="0" w:color="auto"/>
            </w:tcBorders>
            <w:shd w:val="clear" w:color="auto" w:fill="FFFFFF"/>
          </w:tcPr>
          <w:p w14:paraId="22ECC4C6"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2" w:space="0" w:color="auto"/>
              <w:bottom w:val="nil"/>
            </w:tcBorders>
            <w:shd w:val="clear" w:color="auto" w:fill="FFFFFF"/>
            <w:vAlign w:val="center"/>
          </w:tcPr>
          <w:p w14:paraId="7045AE74" w14:textId="77777777" w:rsidR="00C550BB" w:rsidRPr="00C550BB" w:rsidRDefault="00C550BB" w:rsidP="001E52A6">
            <w:pPr>
              <w:autoSpaceDE w:val="0"/>
              <w:autoSpaceDN w:val="0"/>
              <w:adjustRightInd w:val="0"/>
              <w:jc w:val="center"/>
              <w:rPr>
                <w:color w:val="000000"/>
              </w:rPr>
            </w:pPr>
            <w:r w:rsidRPr="00C550BB">
              <w:rPr>
                <w:color w:val="000000"/>
              </w:rPr>
              <w:t>,03368281</w:t>
            </w:r>
            <w:r w:rsidRPr="00C550BB">
              <w:rPr>
                <w:color w:val="000000"/>
                <w:vertAlign w:val="superscript"/>
              </w:rPr>
              <w:t>*</w:t>
            </w:r>
          </w:p>
        </w:tc>
        <w:tc>
          <w:tcPr>
            <w:tcW w:w="668" w:type="pct"/>
            <w:gridSpan w:val="3"/>
            <w:tcBorders>
              <w:top w:val="nil"/>
              <w:bottom w:val="nil"/>
              <w:right w:val="nil"/>
            </w:tcBorders>
            <w:shd w:val="clear" w:color="auto" w:fill="FFFFFF"/>
            <w:vAlign w:val="center"/>
          </w:tcPr>
          <w:p w14:paraId="3C427FC4" w14:textId="77777777" w:rsidR="00C550BB" w:rsidRPr="00C550BB" w:rsidRDefault="00C550BB" w:rsidP="001E52A6">
            <w:pPr>
              <w:autoSpaceDE w:val="0"/>
              <w:autoSpaceDN w:val="0"/>
              <w:adjustRightInd w:val="0"/>
              <w:jc w:val="center"/>
              <w:rPr>
                <w:color w:val="000000"/>
              </w:rPr>
            </w:pPr>
            <w:r w:rsidRPr="00C550BB">
              <w:rPr>
                <w:color w:val="000000"/>
              </w:rPr>
              <w:t>,020</w:t>
            </w:r>
          </w:p>
        </w:tc>
      </w:tr>
      <w:tr w:rsidR="00C550BB" w:rsidRPr="00C550BB" w14:paraId="6B690600" w14:textId="77777777" w:rsidTr="00C550BB">
        <w:trPr>
          <w:cantSplit/>
        </w:trPr>
        <w:tc>
          <w:tcPr>
            <w:tcW w:w="1325" w:type="pct"/>
            <w:gridSpan w:val="5"/>
            <w:vMerge/>
            <w:tcBorders>
              <w:top w:val="nil"/>
              <w:left w:val="nil"/>
              <w:bottom w:val="nil"/>
            </w:tcBorders>
            <w:shd w:val="clear" w:color="auto" w:fill="FFFFFF"/>
          </w:tcPr>
          <w:p w14:paraId="680A55B3"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6F869CB3"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667" w:type="pct"/>
            <w:tcBorders>
              <w:top w:val="nil"/>
              <w:bottom w:val="nil"/>
              <w:right w:val="single" w:sz="2" w:space="0" w:color="auto"/>
            </w:tcBorders>
            <w:shd w:val="clear" w:color="auto" w:fill="FFFFFF"/>
          </w:tcPr>
          <w:p w14:paraId="1A3675B7"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2" w:space="0" w:color="auto"/>
              <w:bottom w:val="nil"/>
            </w:tcBorders>
            <w:shd w:val="clear" w:color="auto" w:fill="FFFFFF"/>
            <w:vAlign w:val="center"/>
          </w:tcPr>
          <w:p w14:paraId="364EBC88" w14:textId="77777777" w:rsidR="00C550BB" w:rsidRPr="00C550BB" w:rsidRDefault="00C550BB" w:rsidP="001E52A6">
            <w:pPr>
              <w:autoSpaceDE w:val="0"/>
              <w:autoSpaceDN w:val="0"/>
              <w:adjustRightInd w:val="0"/>
              <w:jc w:val="center"/>
              <w:rPr>
                <w:color w:val="000000"/>
              </w:rPr>
            </w:pPr>
            <w:r w:rsidRPr="00C550BB">
              <w:rPr>
                <w:color w:val="000000"/>
              </w:rPr>
              <w:t>-,03368281</w:t>
            </w:r>
            <w:r w:rsidRPr="00C550BB">
              <w:rPr>
                <w:color w:val="000000"/>
                <w:vertAlign w:val="superscript"/>
              </w:rPr>
              <w:t>*</w:t>
            </w:r>
          </w:p>
        </w:tc>
        <w:tc>
          <w:tcPr>
            <w:tcW w:w="668" w:type="pct"/>
            <w:gridSpan w:val="3"/>
            <w:tcBorders>
              <w:top w:val="nil"/>
              <w:bottom w:val="nil"/>
              <w:right w:val="nil"/>
            </w:tcBorders>
            <w:shd w:val="clear" w:color="auto" w:fill="FFFFFF"/>
            <w:vAlign w:val="center"/>
          </w:tcPr>
          <w:p w14:paraId="05A37916" w14:textId="77777777" w:rsidR="00C550BB" w:rsidRPr="00C550BB" w:rsidRDefault="00C550BB" w:rsidP="001E52A6">
            <w:pPr>
              <w:autoSpaceDE w:val="0"/>
              <w:autoSpaceDN w:val="0"/>
              <w:adjustRightInd w:val="0"/>
              <w:jc w:val="center"/>
              <w:rPr>
                <w:color w:val="000000"/>
              </w:rPr>
            </w:pPr>
            <w:r w:rsidRPr="00C550BB">
              <w:rPr>
                <w:color w:val="000000"/>
              </w:rPr>
              <w:t>,020</w:t>
            </w:r>
          </w:p>
        </w:tc>
      </w:tr>
      <w:tr w:rsidR="00C550BB" w:rsidRPr="00C550BB" w14:paraId="13040C1C" w14:textId="77777777" w:rsidTr="00C550BB">
        <w:trPr>
          <w:cantSplit/>
        </w:trPr>
        <w:tc>
          <w:tcPr>
            <w:tcW w:w="1325" w:type="pct"/>
            <w:gridSpan w:val="5"/>
            <w:vMerge/>
            <w:tcBorders>
              <w:top w:val="nil"/>
              <w:left w:val="nil"/>
              <w:bottom w:val="nil"/>
            </w:tcBorders>
            <w:shd w:val="clear" w:color="auto" w:fill="FFFFFF"/>
          </w:tcPr>
          <w:p w14:paraId="37181301"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nil"/>
            </w:tcBorders>
            <w:shd w:val="clear" w:color="auto" w:fill="FFFFFF"/>
            <w:vAlign w:val="center"/>
          </w:tcPr>
          <w:p w14:paraId="319DE182" w14:textId="77777777" w:rsidR="00C550BB" w:rsidRPr="00C550BB" w:rsidRDefault="00C550BB" w:rsidP="001E52A6">
            <w:pPr>
              <w:autoSpaceDE w:val="0"/>
              <w:autoSpaceDN w:val="0"/>
              <w:adjustRightInd w:val="0"/>
              <w:jc w:val="center"/>
              <w:rPr>
                <w:color w:val="000000"/>
              </w:rPr>
            </w:pPr>
          </w:p>
        </w:tc>
        <w:tc>
          <w:tcPr>
            <w:tcW w:w="667" w:type="pct"/>
            <w:tcBorders>
              <w:top w:val="nil"/>
              <w:bottom w:val="nil"/>
              <w:right w:val="single" w:sz="2" w:space="0" w:color="auto"/>
            </w:tcBorders>
            <w:shd w:val="clear" w:color="auto" w:fill="FFFFFF"/>
          </w:tcPr>
          <w:p w14:paraId="10E11165"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1503" w:type="pct"/>
            <w:gridSpan w:val="2"/>
            <w:tcBorders>
              <w:top w:val="nil"/>
              <w:left w:val="single" w:sz="2" w:space="0" w:color="auto"/>
              <w:bottom w:val="nil"/>
            </w:tcBorders>
            <w:shd w:val="clear" w:color="auto" w:fill="FFFFFF"/>
            <w:vAlign w:val="center"/>
          </w:tcPr>
          <w:p w14:paraId="25650903" w14:textId="77777777" w:rsidR="00C550BB" w:rsidRPr="00C550BB" w:rsidRDefault="00C550BB" w:rsidP="001E52A6">
            <w:pPr>
              <w:autoSpaceDE w:val="0"/>
              <w:autoSpaceDN w:val="0"/>
              <w:adjustRightInd w:val="0"/>
              <w:jc w:val="center"/>
              <w:rPr>
                <w:color w:val="000000"/>
              </w:rPr>
            </w:pPr>
            <w:r w:rsidRPr="00C550BB">
              <w:rPr>
                <w:color w:val="000000"/>
              </w:rPr>
              <w:t>,00000000</w:t>
            </w:r>
          </w:p>
        </w:tc>
        <w:tc>
          <w:tcPr>
            <w:tcW w:w="668" w:type="pct"/>
            <w:gridSpan w:val="3"/>
            <w:tcBorders>
              <w:top w:val="nil"/>
              <w:bottom w:val="nil"/>
              <w:right w:val="nil"/>
            </w:tcBorders>
            <w:shd w:val="clear" w:color="auto" w:fill="FFFFFF"/>
            <w:vAlign w:val="center"/>
          </w:tcPr>
          <w:p w14:paraId="30179035" w14:textId="77777777" w:rsidR="00C550BB" w:rsidRPr="00C550BB" w:rsidRDefault="00C550BB" w:rsidP="001E52A6">
            <w:pPr>
              <w:autoSpaceDE w:val="0"/>
              <w:autoSpaceDN w:val="0"/>
              <w:adjustRightInd w:val="0"/>
              <w:jc w:val="center"/>
              <w:rPr>
                <w:color w:val="000000"/>
              </w:rPr>
            </w:pPr>
            <w:r w:rsidRPr="00C550BB">
              <w:rPr>
                <w:color w:val="000000"/>
              </w:rPr>
              <w:t>1,000</w:t>
            </w:r>
          </w:p>
        </w:tc>
      </w:tr>
      <w:tr w:rsidR="00C550BB" w:rsidRPr="00C550BB" w14:paraId="687F0EB2" w14:textId="77777777" w:rsidTr="00C550BB">
        <w:trPr>
          <w:cantSplit/>
        </w:trPr>
        <w:tc>
          <w:tcPr>
            <w:tcW w:w="1325" w:type="pct"/>
            <w:gridSpan w:val="5"/>
            <w:vMerge/>
            <w:tcBorders>
              <w:top w:val="nil"/>
              <w:left w:val="nil"/>
              <w:bottom w:val="nil"/>
            </w:tcBorders>
            <w:shd w:val="clear" w:color="auto" w:fill="FFFFFF"/>
          </w:tcPr>
          <w:p w14:paraId="1D515342" w14:textId="77777777" w:rsidR="00C550BB" w:rsidRPr="00C550BB" w:rsidRDefault="00C550BB" w:rsidP="001E52A6">
            <w:pPr>
              <w:autoSpaceDE w:val="0"/>
              <w:autoSpaceDN w:val="0"/>
              <w:adjustRightInd w:val="0"/>
              <w:jc w:val="center"/>
              <w:rPr>
                <w:color w:val="000000"/>
              </w:rPr>
            </w:pPr>
          </w:p>
        </w:tc>
        <w:tc>
          <w:tcPr>
            <w:tcW w:w="837" w:type="pct"/>
            <w:vMerge w:val="restart"/>
            <w:tcBorders>
              <w:top w:val="nil"/>
              <w:bottom w:val="nil"/>
            </w:tcBorders>
            <w:shd w:val="clear" w:color="auto" w:fill="FFFFFF"/>
            <w:vAlign w:val="center"/>
          </w:tcPr>
          <w:p w14:paraId="53F3D096" w14:textId="77777777" w:rsidR="00C550BB" w:rsidRPr="00C550BB" w:rsidRDefault="00C550BB" w:rsidP="001E52A6">
            <w:pPr>
              <w:autoSpaceDE w:val="0"/>
              <w:autoSpaceDN w:val="0"/>
              <w:adjustRightInd w:val="0"/>
              <w:jc w:val="center"/>
              <w:rPr>
                <w:color w:val="000000"/>
              </w:rPr>
            </w:pPr>
            <w:r w:rsidRPr="00C550BB">
              <w:rPr>
                <w:color w:val="000000"/>
              </w:rPr>
              <w:t>3,0</w:t>
            </w:r>
          </w:p>
        </w:tc>
        <w:tc>
          <w:tcPr>
            <w:tcW w:w="667" w:type="pct"/>
            <w:tcBorders>
              <w:top w:val="nil"/>
              <w:bottom w:val="nil"/>
              <w:right w:val="single" w:sz="2" w:space="0" w:color="auto"/>
            </w:tcBorders>
            <w:shd w:val="clear" w:color="auto" w:fill="FFFFFF"/>
          </w:tcPr>
          <w:p w14:paraId="4B95DA84" w14:textId="77777777" w:rsidR="00C550BB" w:rsidRPr="00C550BB" w:rsidRDefault="00C550BB" w:rsidP="001E52A6">
            <w:pPr>
              <w:autoSpaceDE w:val="0"/>
              <w:autoSpaceDN w:val="0"/>
              <w:adjustRightInd w:val="0"/>
              <w:jc w:val="center"/>
              <w:rPr>
                <w:color w:val="000000"/>
              </w:rPr>
            </w:pPr>
            <w:r w:rsidRPr="00C550BB">
              <w:rPr>
                <w:color w:val="000000"/>
              </w:rPr>
              <w:t>1,0</w:t>
            </w:r>
          </w:p>
        </w:tc>
        <w:tc>
          <w:tcPr>
            <w:tcW w:w="1503" w:type="pct"/>
            <w:gridSpan w:val="2"/>
            <w:tcBorders>
              <w:top w:val="nil"/>
              <w:left w:val="single" w:sz="2" w:space="0" w:color="auto"/>
              <w:bottom w:val="nil"/>
            </w:tcBorders>
            <w:shd w:val="clear" w:color="auto" w:fill="FFFFFF"/>
            <w:vAlign w:val="center"/>
          </w:tcPr>
          <w:p w14:paraId="4EECD37E" w14:textId="77777777" w:rsidR="00C550BB" w:rsidRPr="00C550BB" w:rsidRDefault="00C550BB" w:rsidP="001E52A6">
            <w:pPr>
              <w:autoSpaceDE w:val="0"/>
              <w:autoSpaceDN w:val="0"/>
              <w:adjustRightInd w:val="0"/>
              <w:jc w:val="center"/>
              <w:rPr>
                <w:color w:val="000000"/>
              </w:rPr>
            </w:pPr>
            <w:r w:rsidRPr="00C550BB">
              <w:rPr>
                <w:color w:val="000000"/>
              </w:rPr>
              <w:t>-,03368281</w:t>
            </w:r>
            <w:r w:rsidRPr="00C550BB">
              <w:rPr>
                <w:color w:val="000000"/>
                <w:vertAlign w:val="superscript"/>
              </w:rPr>
              <w:t>*</w:t>
            </w:r>
          </w:p>
        </w:tc>
        <w:tc>
          <w:tcPr>
            <w:tcW w:w="668" w:type="pct"/>
            <w:gridSpan w:val="3"/>
            <w:tcBorders>
              <w:top w:val="nil"/>
              <w:bottom w:val="nil"/>
              <w:right w:val="nil"/>
            </w:tcBorders>
            <w:shd w:val="clear" w:color="auto" w:fill="FFFFFF"/>
            <w:vAlign w:val="center"/>
          </w:tcPr>
          <w:p w14:paraId="6E7A64EF" w14:textId="77777777" w:rsidR="00C550BB" w:rsidRPr="00C550BB" w:rsidRDefault="00C550BB" w:rsidP="001E52A6">
            <w:pPr>
              <w:autoSpaceDE w:val="0"/>
              <w:autoSpaceDN w:val="0"/>
              <w:adjustRightInd w:val="0"/>
              <w:jc w:val="center"/>
              <w:rPr>
                <w:color w:val="000000"/>
              </w:rPr>
            </w:pPr>
            <w:r w:rsidRPr="00C550BB">
              <w:rPr>
                <w:color w:val="000000"/>
              </w:rPr>
              <w:t>,020</w:t>
            </w:r>
          </w:p>
        </w:tc>
      </w:tr>
      <w:tr w:rsidR="00C550BB" w:rsidRPr="00C550BB" w14:paraId="0134EAD0" w14:textId="77777777" w:rsidTr="00C550BB">
        <w:trPr>
          <w:cantSplit/>
        </w:trPr>
        <w:tc>
          <w:tcPr>
            <w:tcW w:w="1325" w:type="pct"/>
            <w:gridSpan w:val="5"/>
            <w:vMerge/>
            <w:tcBorders>
              <w:top w:val="nil"/>
              <w:left w:val="nil"/>
              <w:bottom w:val="single" w:sz="18" w:space="0" w:color="auto"/>
            </w:tcBorders>
            <w:shd w:val="clear" w:color="auto" w:fill="FFFFFF"/>
          </w:tcPr>
          <w:p w14:paraId="6D63B5D4" w14:textId="77777777" w:rsidR="00C550BB" w:rsidRPr="00C550BB" w:rsidRDefault="00C550BB" w:rsidP="001E52A6">
            <w:pPr>
              <w:autoSpaceDE w:val="0"/>
              <w:autoSpaceDN w:val="0"/>
              <w:adjustRightInd w:val="0"/>
              <w:jc w:val="center"/>
              <w:rPr>
                <w:color w:val="000000"/>
              </w:rPr>
            </w:pPr>
          </w:p>
        </w:tc>
        <w:tc>
          <w:tcPr>
            <w:tcW w:w="837" w:type="pct"/>
            <w:vMerge/>
            <w:tcBorders>
              <w:top w:val="nil"/>
              <w:bottom w:val="single" w:sz="18" w:space="0" w:color="auto"/>
            </w:tcBorders>
            <w:shd w:val="clear" w:color="auto" w:fill="FFFFFF"/>
          </w:tcPr>
          <w:p w14:paraId="254366D3" w14:textId="77777777" w:rsidR="00C550BB" w:rsidRPr="00C550BB" w:rsidRDefault="00C550BB" w:rsidP="001E52A6">
            <w:pPr>
              <w:autoSpaceDE w:val="0"/>
              <w:autoSpaceDN w:val="0"/>
              <w:adjustRightInd w:val="0"/>
              <w:jc w:val="center"/>
              <w:rPr>
                <w:color w:val="000000"/>
              </w:rPr>
            </w:pPr>
          </w:p>
        </w:tc>
        <w:tc>
          <w:tcPr>
            <w:tcW w:w="667" w:type="pct"/>
            <w:tcBorders>
              <w:top w:val="nil"/>
              <w:bottom w:val="single" w:sz="18" w:space="0" w:color="auto"/>
              <w:right w:val="single" w:sz="2" w:space="0" w:color="auto"/>
            </w:tcBorders>
            <w:shd w:val="clear" w:color="auto" w:fill="FFFFFF"/>
          </w:tcPr>
          <w:p w14:paraId="25CC7A34" w14:textId="77777777" w:rsidR="00C550BB" w:rsidRPr="00C550BB" w:rsidRDefault="00C550BB" w:rsidP="001E52A6">
            <w:pPr>
              <w:autoSpaceDE w:val="0"/>
              <w:autoSpaceDN w:val="0"/>
              <w:adjustRightInd w:val="0"/>
              <w:jc w:val="center"/>
              <w:rPr>
                <w:color w:val="000000"/>
              </w:rPr>
            </w:pPr>
            <w:r w:rsidRPr="00C550BB">
              <w:rPr>
                <w:color w:val="000000"/>
              </w:rPr>
              <w:t>2,0</w:t>
            </w:r>
          </w:p>
        </w:tc>
        <w:tc>
          <w:tcPr>
            <w:tcW w:w="1503" w:type="pct"/>
            <w:gridSpan w:val="2"/>
            <w:tcBorders>
              <w:top w:val="nil"/>
              <w:left w:val="single" w:sz="2" w:space="0" w:color="auto"/>
              <w:bottom w:val="single" w:sz="18" w:space="0" w:color="auto"/>
            </w:tcBorders>
            <w:shd w:val="clear" w:color="auto" w:fill="FFFFFF"/>
            <w:vAlign w:val="center"/>
          </w:tcPr>
          <w:p w14:paraId="3078F6A8" w14:textId="77777777" w:rsidR="00C550BB" w:rsidRPr="00C550BB" w:rsidRDefault="00C550BB" w:rsidP="001E52A6">
            <w:pPr>
              <w:autoSpaceDE w:val="0"/>
              <w:autoSpaceDN w:val="0"/>
              <w:adjustRightInd w:val="0"/>
              <w:jc w:val="center"/>
              <w:rPr>
                <w:color w:val="000000"/>
              </w:rPr>
            </w:pPr>
            <w:r w:rsidRPr="00C550BB">
              <w:rPr>
                <w:color w:val="000000"/>
              </w:rPr>
              <w:t>,00000000</w:t>
            </w:r>
          </w:p>
        </w:tc>
        <w:tc>
          <w:tcPr>
            <w:tcW w:w="668" w:type="pct"/>
            <w:gridSpan w:val="3"/>
            <w:tcBorders>
              <w:top w:val="nil"/>
              <w:bottom w:val="single" w:sz="18" w:space="0" w:color="auto"/>
              <w:right w:val="nil"/>
            </w:tcBorders>
            <w:shd w:val="clear" w:color="auto" w:fill="FFFFFF"/>
            <w:vAlign w:val="center"/>
          </w:tcPr>
          <w:p w14:paraId="2B9B55BD" w14:textId="77777777" w:rsidR="00C550BB" w:rsidRPr="00C550BB" w:rsidRDefault="00C550BB" w:rsidP="001E52A6">
            <w:pPr>
              <w:autoSpaceDE w:val="0"/>
              <w:autoSpaceDN w:val="0"/>
              <w:adjustRightInd w:val="0"/>
              <w:jc w:val="center"/>
              <w:rPr>
                <w:color w:val="000000"/>
              </w:rPr>
            </w:pPr>
            <w:r w:rsidRPr="00C550BB">
              <w:rPr>
                <w:color w:val="000000"/>
              </w:rPr>
              <w:t>1,000</w:t>
            </w:r>
          </w:p>
        </w:tc>
      </w:tr>
    </w:tbl>
    <w:p w14:paraId="6620D50C" w14:textId="77777777" w:rsidR="00C550BB" w:rsidRPr="00C550BB" w:rsidRDefault="00C550BB" w:rsidP="00C550BB">
      <w:pPr>
        <w:jc w:val="both"/>
        <w:rPr>
          <w:szCs w:val="24"/>
        </w:rPr>
      </w:pPr>
      <w:r w:rsidRPr="00C550BB">
        <w:rPr>
          <w:szCs w:val="24"/>
        </w:rPr>
        <w:t>Fonte: Dados da pesquisa</w:t>
      </w:r>
    </w:p>
    <w:p w14:paraId="149A2300" w14:textId="77777777" w:rsidR="00C550BB" w:rsidRPr="00C550BB" w:rsidRDefault="00C550BB" w:rsidP="00C550BB">
      <w:pPr>
        <w:autoSpaceDE w:val="0"/>
        <w:autoSpaceDN w:val="0"/>
        <w:adjustRightInd w:val="0"/>
        <w:spacing w:line="400" w:lineRule="atLeast"/>
        <w:jc w:val="both"/>
        <w:rPr>
          <w:sz w:val="24"/>
          <w:szCs w:val="24"/>
        </w:rPr>
      </w:pPr>
    </w:p>
    <w:p w14:paraId="783D7CAE" w14:textId="77777777" w:rsidR="00C550BB" w:rsidRPr="00C550BB" w:rsidRDefault="00C550BB" w:rsidP="00C550BB">
      <w:pPr>
        <w:ind w:firstLine="709"/>
        <w:jc w:val="both"/>
        <w:rPr>
          <w:sz w:val="24"/>
          <w:szCs w:val="24"/>
        </w:rPr>
      </w:pPr>
      <w:r w:rsidRPr="00C550BB">
        <w:rPr>
          <w:sz w:val="24"/>
          <w:szCs w:val="24"/>
        </w:rPr>
        <w:t xml:space="preserve">O teste ANOVA apresenta que os riscos sistêmicos para o Brasil somente se fazem estatisticamente diferentes nos anos de 2014 e 2015, demonstrando que nos dois primeiros anos amostrais as médias são semelhantes. Tais anos iniciais obtiveram na análise descritiva médias díspares, porém com grande desvio-padrão, o que explica a não semelhança na análise, pode ser algum valor extremamente alto ou baixo que influenciou o valor da média, mas que em suma, e desconsiderando valores extremos, as médias são semelhantes. O teste de </w:t>
      </w:r>
      <w:proofErr w:type="spellStart"/>
      <w:r w:rsidRPr="00C550BB">
        <w:rPr>
          <w:sz w:val="24"/>
          <w:szCs w:val="24"/>
        </w:rPr>
        <w:t>Scheffe</w:t>
      </w:r>
      <w:proofErr w:type="spellEnd"/>
      <w:r w:rsidRPr="00C550BB">
        <w:rPr>
          <w:sz w:val="24"/>
          <w:szCs w:val="24"/>
        </w:rPr>
        <w:t xml:space="preserve"> explica que no ano de 2014 a seleção 1 é a mais discrepante das demais seleções, está referente à taxa do país, no caso o Brasil, e, por conseguinte indica uma semelhança das taxas dinamarquesa e americana neste período. Já o mesmo teste no ano 2015 demonstra uma disparidade por parte da seleção 3 com as demais seleções, está que representa a taxa do país oposto analisado, ou seja, a taxa dinamarquesa, indicando que neste ano nas empresas brasileiras a Dinamarca teve a taxa que mais se distanciou da adequada. </w:t>
      </w:r>
    </w:p>
    <w:p w14:paraId="69E51C90" w14:textId="77777777" w:rsidR="00C550BB" w:rsidRPr="00C550BB" w:rsidRDefault="00C550BB" w:rsidP="00C550BB">
      <w:pPr>
        <w:ind w:firstLine="709"/>
        <w:jc w:val="both"/>
        <w:rPr>
          <w:sz w:val="24"/>
          <w:szCs w:val="24"/>
        </w:rPr>
      </w:pPr>
      <w:r w:rsidRPr="00C550BB">
        <w:rPr>
          <w:sz w:val="24"/>
          <w:szCs w:val="24"/>
        </w:rPr>
        <w:t xml:space="preserve">O teste ANOVA indica que o risco idiossincrático possui média diferente estatisticamente significante apenas no ano de 2012, o qual demonstrava leve disparidade nas estatísticas descritivas supra exploradas, porém demonstrando não possuir tão leveza ao analisado de acordo com o ANOVA. O teste de </w:t>
      </w:r>
      <w:proofErr w:type="spellStart"/>
      <w:r w:rsidRPr="00C550BB">
        <w:rPr>
          <w:sz w:val="24"/>
          <w:szCs w:val="24"/>
        </w:rPr>
        <w:t>Scheffe</w:t>
      </w:r>
      <w:proofErr w:type="spellEnd"/>
      <w:r w:rsidRPr="00C550BB">
        <w:rPr>
          <w:sz w:val="24"/>
          <w:szCs w:val="24"/>
        </w:rPr>
        <w:t xml:space="preserve"> indica que a disparidade da media advém da seleção 1, que é a taxa do próprio país, no caso a taxa brasileira, que se diferencia das demais, possuindo maiores valores médios para o risco idiossincrático no ano de 2012, os demais anos não possui diferença estatisticamente significativa. Tais analises corroboram e complementam as já discutidas anteriormente de forma descritiva.</w:t>
      </w:r>
    </w:p>
    <w:p w14:paraId="4690A120" w14:textId="34426428" w:rsidR="00C550BB" w:rsidRDefault="00C550BB" w:rsidP="00C550BB">
      <w:pPr>
        <w:ind w:firstLine="709"/>
        <w:jc w:val="both"/>
        <w:rPr>
          <w:sz w:val="24"/>
          <w:szCs w:val="24"/>
        </w:rPr>
      </w:pPr>
      <w:r w:rsidRPr="00C550BB">
        <w:rPr>
          <w:sz w:val="24"/>
          <w:szCs w:val="24"/>
        </w:rPr>
        <w:lastRenderedPageBreak/>
        <w:t xml:space="preserve">A figura 2 tem como intuito exibir a evolução bem como a análise já realizada de forma mais visível, simplificada e resumida, assim apresenta-se o gráfico dos riscos sistêmicos e idiossincráticos em todo o período amostral de acordo com as médias para cada diferença de taxa ocorrida. </w:t>
      </w:r>
    </w:p>
    <w:p w14:paraId="7807FD02" w14:textId="77777777" w:rsidR="001E52A6" w:rsidRPr="00C550BB" w:rsidRDefault="001E52A6" w:rsidP="00C550BB">
      <w:pPr>
        <w:ind w:firstLine="709"/>
        <w:jc w:val="both"/>
        <w:rPr>
          <w:sz w:val="24"/>
          <w:szCs w:val="24"/>
        </w:rPr>
      </w:pPr>
    </w:p>
    <w:p w14:paraId="350ACB10" w14:textId="61FBB961" w:rsidR="00C550BB" w:rsidRPr="00C550BB" w:rsidRDefault="00C550BB" w:rsidP="00C550BB">
      <w:pPr>
        <w:autoSpaceDE w:val="0"/>
        <w:autoSpaceDN w:val="0"/>
        <w:adjustRightInd w:val="0"/>
        <w:jc w:val="both"/>
        <w:rPr>
          <w:sz w:val="24"/>
          <w:szCs w:val="24"/>
        </w:rPr>
      </w:pPr>
      <w:r w:rsidRPr="003177BC">
        <w:rPr>
          <w:b/>
          <w:sz w:val="24"/>
          <w:szCs w:val="24"/>
        </w:rPr>
        <w:t>Figura 2</w:t>
      </w:r>
      <w:r w:rsidRPr="00C550BB">
        <w:rPr>
          <w:sz w:val="24"/>
          <w:szCs w:val="24"/>
        </w:rPr>
        <w:t xml:space="preserve"> </w:t>
      </w:r>
      <w:r>
        <w:rPr>
          <w:sz w:val="24"/>
          <w:szCs w:val="24"/>
        </w:rPr>
        <w:t xml:space="preserve">- </w:t>
      </w:r>
      <w:r w:rsidRPr="00C550BB">
        <w:rPr>
          <w:b/>
          <w:sz w:val="24"/>
          <w:szCs w:val="24"/>
        </w:rPr>
        <w:t xml:space="preserve">Gráfico dos riscos Sistêmicos e Idiossincráticos do Brasil e Dinamarca com as taxas brasileira, dinamarquesa e americana no período de 2012 </w:t>
      </w:r>
      <w:r w:rsidR="003177BC" w:rsidRPr="00C550BB">
        <w:rPr>
          <w:b/>
          <w:sz w:val="24"/>
          <w:szCs w:val="24"/>
        </w:rPr>
        <w:t>a</w:t>
      </w:r>
      <w:r w:rsidRPr="00C550BB">
        <w:rPr>
          <w:b/>
          <w:sz w:val="24"/>
          <w:szCs w:val="24"/>
        </w:rPr>
        <w:t xml:space="preserve"> 2015</w:t>
      </w:r>
      <w:r w:rsidRPr="00C550BB">
        <w:rPr>
          <w:noProof/>
          <w:sz w:val="24"/>
          <w:szCs w:val="24"/>
        </w:rPr>
        <w:drawing>
          <wp:inline distT="0" distB="0" distL="0" distR="0" wp14:anchorId="6354F36F" wp14:editId="2BAA0303">
            <wp:extent cx="5124450" cy="4283932"/>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0628" cy="4289096"/>
                    </a:xfrm>
                    <a:prstGeom prst="rect">
                      <a:avLst/>
                    </a:prstGeom>
                    <a:noFill/>
                    <a:ln>
                      <a:noFill/>
                    </a:ln>
                  </pic:spPr>
                </pic:pic>
              </a:graphicData>
            </a:graphic>
          </wp:inline>
        </w:drawing>
      </w:r>
    </w:p>
    <w:p w14:paraId="7A1CF6A2" w14:textId="77777777" w:rsidR="00C550BB" w:rsidRPr="00C550BB" w:rsidRDefault="00C550BB" w:rsidP="00C550BB">
      <w:pPr>
        <w:jc w:val="both"/>
        <w:rPr>
          <w:szCs w:val="24"/>
        </w:rPr>
      </w:pPr>
      <w:r w:rsidRPr="00C550BB">
        <w:rPr>
          <w:szCs w:val="24"/>
        </w:rPr>
        <w:t>Fonte: Dados da pesquisa</w:t>
      </w:r>
    </w:p>
    <w:p w14:paraId="442E8C2E" w14:textId="77777777" w:rsidR="00C550BB" w:rsidRPr="00C550BB" w:rsidRDefault="00C550BB" w:rsidP="00C550BB">
      <w:pPr>
        <w:autoSpaceDE w:val="0"/>
        <w:autoSpaceDN w:val="0"/>
        <w:adjustRightInd w:val="0"/>
        <w:jc w:val="both"/>
        <w:rPr>
          <w:sz w:val="24"/>
          <w:szCs w:val="24"/>
        </w:rPr>
      </w:pPr>
    </w:p>
    <w:p w14:paraId="48C486C5" w14:textId="77777777" w:rsidR="00C550BB" w:rsidRPr="00C550BB" w:rsidRDefault="00C550BB" w:rsidP="00C550BB">
      <w:pPr>
        <w:ind w:firstLine="709"/>
        <w:jc w:val="both"/>
        <w:rPr>
          <w:sz w:val="24"/>
          <w:szCs w:val="24"/>
        </w:rPr>
      </w:pPr>
      <w:r w:rsidRPr="00C550BB">
        <w:rPr>
          <w:sz w:val="24"/>
          <w:szCs w:val="24"/>
        </w:rPr>
        <w:t xml:space="preserve">Observa-se visivelmente nos gráficos que o risco sistêmico é impactado de forma mais intensa pelas variações da taxa livre de risco, para os dois países em análise, indicando que os mercados sofrem maiores turbulências ao trabalhar com taxas diferentes das próprias. Já o risco idiossincrático por estar ligado aos acontecimentos internos à empresa é impactado de forma quase imperceptível pelas flutuações das taxas, tendo sua discrepância visível e já comentada no decorrer da análise no ano de 2012 para o Brasil com a taxa nacional do mesmo. </w:t>
      </w:r>
    </w:p>
    <w:p w14:paraId="75E1CB71" w14:textId="384C28D3" w:rsidR="00C550BB" w:rsidRPr="00C550BB" w:rsidRDefault="00C550BB" w:rsidP="00C550BB">
      <w:pPr>
        <w:ind w:firstLine="709"/>
        <w:jc w:val="both"/>
        <w:rPr>
          <w:sz w:val="24"/>
          <w:szCs w:val="24"/>
        </w:rPr>
      </w:pPr>
      <w:r w:rsidRPr="00C550BB">
        <w:rPr>
          <w:sz w:val="24"/>
          <w:szCs w:val="24"/>
        </w:rPr>
        <w:t xml:space="preserve">O risco sistêmico em sua incumbência possui variações instigantes, tendo quanto ao Brasil a taxa Dinamarquesa sempre acima das taxas américas e brasileiras que possuem grande semelhança no gráfico, porem as três seguindo a mesma tendência ao fim. E quanto a Dinamarca as três taxas iniciam juntas o gráfico, sendo análogas, porém percebe-se o distanciamento gradual ao passar dos anos da média com a taxa dinamarquesa, as taxas brasileiras e americanas continuam análogas pelos primeiros três anos da amostra e somente se distanciam no último ano de investigação. </w:t>
      </w:r>
    </w:p>
    <w:p w14:paraId="1D471D66" w14:textId="4881D81A" w:rsidR="00C550BB" w:rsidRPr="00C550BB" w:rsidRDefault="00C550BB" w:rsidP="00C550BB">
      <w:pPr>
        <w:pStyle w:val="Ttulo1"/>
        <w:jc w:val="both"/>
        <w:rPr>
          <w:rFonts w:cs="Times New Roman"/>
          <w:szCs w:val="24"/>
        </w:rPr>
      </w:pPr>
      <w:r w:rsidRPr="00C550BB">
        <w:rPr>
          <w:rFonts w:cs="Times New Roman"/>
          <w:szCs w:val="24"/>
        </w:rPr>
        <w:t xml:space="preserve">CONSIDERAÇÕES FINAIS </w:t>
      </w:r>
    </w:p>
    <w:p w14:paraId="05AEA62F" w14:textId="182A1000" w:rsidR="00557CE8" w:rsidRPr="00C550BB" w:rsidRDefault="00C550BB" w:rsidP="00557CE8">
      <w:pPr>
        <w:ind w:firstLine="709"/>
        <w:jc w:val="both"/>
        <w:rPr>
          <w:sz w:val="24"/>
          <w:szCs w:val="24"/>
        </w:rPr>
      </w:pPr>
      <w:r w:rsidRPr="00C550BB">
        <w:rPr>
          <w:sz w:val="24"/>
          <w:szCs w:val="24"/>
        </w:rPr>
        <w:t xml:space="preserve">A investigação desenvolvida objetivou verificar o efeito da taxa livre de risco sobre os riscos sistêmicos e idiossincráticos em países desenvolvidos e emergentes. Para alcance da meta </w:t>
      </w:r>
      <w:r w:rsidRPr="00C550BB">
        <w:rPr>
          <w:sz w:val="24"/>
          <w:szCs w:val="24"/>
        </w:rPr>
        <w:lastRenderedPageBreak/>
        <w:t xml:space="preserve">de pesquisa utilizou-se o CAPM de 3-Fatores de Fama e </w:t>
      </w:r>
      <w:proofErr w:type="spellStart"/>
      <w:r w:rsidRPr="00C550BB">
        <w:rPr>
          <w:sz w:val="24"/>
          <w:szCs w:val="24"/>
        </w:rPr>
        <w:t>French</w:t>
      </w:r>
      <w:proofErr w:type="spellEnd"/>
      <w:r w:rsidRPr="00C550BB">
        <w:rPr>
          <w:sz w:val="24"/>
          <w:szCs w:val="24"/>
        </w:rPr>
        <w:t xml:space="preserve"> (1993) para estimação dos riscos sistêmicos e idiossincráticos, </w:t>
      </w:r>
      <w:r w:rsidR="001E52A6">
        <w:rPr>
          <w:sz w:val="24"/>
          <w:szCs w:val="24"/>
        </w:rPr>
        <w:t>realizado para as empresas brasileiras e dinamarquesas da amostra de pesquisa</w:t>
      </w:r>
      <w:r w:rsidRPr="00C550BB">
        <w:rPr>
          <w:sz w:val="24"/>
          <w:szCs w:val="24"/>
        </w:rPr>
        <w:t xml:space="preserve">, com </w:t>
      </w:r>
      <w:r w:rsidR="001E52A6">
        <w:rPr>
          <w:sz w:val="24"/>
          <w:szCs w:val="24"/>
        </w:rPr>
        <w:t xml:space="preserve">teste de </w:t>
      </w:r>
      <w:r w:rsidRPr="00C550BB">
        <w:rPr>
          <w:sz w:val="24"/>
          <w:szCs w:val="24"/>
        </w:rPr>
        <w:t>três diferentes taxas livre</w:t>
      </w:r>
      <w:r w:rsidR="001E52A6">
        <w:rPr>
          <w:sz w:val="24"/>
          <w:szCs w:val="24"/>
        </w:rPr>
        <w:t>s de risco. Estas taxas de teste foram as taxas livres de risco brasileira, dinamarquesa e americana</w:t>
      </w:r>
      <w:r w:rsidRPr="00C550BB">
        <w:rPr>
          <w:sz w:val="24"/>
          <w:szCs w:val="24"/>
        </w:rPr>
        <w:t xml:space="preserve">, </w:t>
      </w:r>
      <w:r w:rsidR="001E52A6">
        <w:rPr>
          <w:sz w:val="24"/>
          <w:szCs w:val="24"/>
        </w:rPr>
        <w:t xml:space="preserve">para tanto </w:t>
      </w:r>
      <w:r w:rsidRPr="00C550BB">
        <w:rPr>
          <w:sz w:val="24"/>
          <w:szCs w:val="24"/>
        </w:rPr>
        <w:t xml:space="preserve">foram calculadas 2400 </w:t>
      </w:r>
      <w:r w:rsidR="001E52A6">
        <w:rPr>
          <w:sz w:val="24"/>
          <w:szCs w:val="24"/>
        </w:rPr>
        <w:t xml:space="preserve">estimações do modelo regressivo do CAPM 3-fatoees, estas </w:t>
      </w:r>
      <w:r w:rsidRPr="00C550BB">
        <w:rPr>
          <w:sz w:val="24"/>
          <w:szCs w:val="24"/>
        </w:rPr>
        <w:t>por empresa e por ano</w:t>
      </w:r>
      <w:r w:rsidR="001E52A6">
        <w:rPr>
          <w:sz w:val="24"/>
          <w:szCs w:val="24"/>
        </w:rPr>
        <w:t>,</w:t>
      </w:r>
      <w:r w:rsidRPr="00C550BB">
        <w:rPr>
          <w:sz w:val="24"/>
          <w:szCs w:val="24"/>
        </w:rPr>
        <w:t xml:space="preserve"> para </w:t>
      </w:r>
      <w:r w:rsidR="001E52A6">
        <w:rPr>
          <w:sz w:val="24"/>
          <w:szCs w:val="24"/>
        </w:rPr>
        <w:t xml:space="preserve">no </w:t>
      </w:r>
      <w:r w:rsidRPr="00C550BB">
        <w:rPr>
          <w:sz w:val="24"/>
          <w:szCs w:val="24"/>
        </w:rPr>
        <w:t xml:space="preserve">fim </w:t>
      </w:r>
      <w:r w:rsidR="001E52A6">
        <w:rPr>
          <w:sz w:val="24"/>
          <w:szCs w:val="24"/>
        </w:rPr>
        <w:t xml:space="preserve">alcançar </w:t>
      </w:r>
      <w:r w:rsidRPr="00C550BB">
        <w:rPr>
          <w:sz w:val="24"/>
          <w:szCs w:val="24"/>
        </w:rPr>
        <w:t xml:space="preserve">os resultados da pesquisa. </w:t>
      </w:r>
    </w:p>
    <w:p w14:paraId="14265BD6" w14:textId="29FCC1D5" w:rsidR="001E52A6" w:rsidRPr="00C550BB" w:rsidRDefault="00C550BB" w:rsidP="001E52A6">
      <w:pPr>
        <w:ind w:firstLine="709"/>
        <w:jc w:val="both"/>
        <w:rPr>
          <w:sz w:val="24"/>
          <w:szCs w:val="24"/>
        </w:rPr>
      </w:pPr>
      <w:r w:rsidRPr="00C550BB">
        <w:rPr>
          <w:sz w:val="24"/>
          <w:szCs w:val="24"/>
        </w:rPr>
        <w:t xml:space="preserve">Obtém-se de forma geral da investigação realizada, sem entrar em méritos particulares de cada analise ou ano de pesquisa, que as semelhanças nas estimativas dos riscos sistêmicos e idiossincrático para as três taxas em estudo é altamente </w:t>
      </w:r>
      <w:r w:rsidR="001E52A6">
        <w:rPr>
          <w:sz w:val="24"/>
          <w:szCs w:val="24"/>
        </w:rPr>
        <w:t>relevante</w:t>
      </w:r>
      <w:r w:rsidRPr="00C550BB">
        <w:rPr>
          <w:sz w:val="24"/>
          <w:szCs w:val="24"/>
        </w:rPr>
        <w:t>, visto que com tais resultados, poder-se-á inferir certa confiança nas taxas nacionais de cada pais como representativi</w:t>
      </w:r>
      <w:r w:rsidR="001E52A6">
        <w:rPr>
          <w:sz w:val="24"/>
          <w:szCs w:val="24"/>
        </w:rPr>
        <w:t>dade de uma taxa livre de risco</w:t>
      </w:r>
      <w:r w:rsidRPr="00C550BB">
        <w:rPr>
          <w:sz w:val="24"/>
          <w:szCs w:val="24"/>
        </w:rPr>
        <w:t>. Destaca-se ainda que entre os dois riscos analisados e com gran</w:t>
      </w:r>
      <w:r w:rsidR="001E52A6">
        <w:rPr>
          <w:sz w:val="24"/>
          <w:szCs w:val="24"/>
        </w:rPr>
        <w:t>de diferença na sensibilidade das</w:t>
      </w:r>
      <w:r w:rsidRPr="00C550BB">
        <w:rPr>
          <w:sz w:val="24"/>
          <w:szCs w:val="24"/>
        </w:rPr>
        <w:t xml:space="preserve"> mudanças, o risco sistêmico teve </w:t>
      </w:r>
      <w:r w:rsidR="001E52A6">
        <w:rPr>
          <w:sz w:val="24"/>
          <w:szCs w:val="24"/>
        </w:rPr>
        <w:t xml:space="preserve">um </w:t>
      </w:r>
      <w:r w:rsidRPr="00C550BB">
        <w:rPr>
          <w:sz w:val="24"/>
          <w:szCs w:val="24"/>
        </w:rPr>
        <w:t xml:space="preserve">impacto maior </w:t>
      </w:r>
      <w:r w:rsidR="001E52A6">
        <w:rPr>
          <w:sz w:val="24"/>
          <w:szCs w:val="24"/>
        </w:rPr>
        <w:t>das taxas livres de risco do que o</w:t>
      </w:r>
      <w:r w:rsidRPr="00C550BB">
        <w:rPr>
          <w:sz w:val="24"/>
          <w:szCs w:val="24"/>
        </w:rPr>
        <w:t xml:space="preserve"> risco idiossincrático. Indicando maior impacto mercadológico e menor particular e intrínseco às empresas ao variar a taxa de livre de juros. </w:t>
      </w:r>
    </w:p>
    <w:p w14:paraId="20B488F3" w14:textId="66859636" w:rsidR="00557CE8" w:rsidRPr="00ED3CF6" w:rsidRDefault="00557CE8" w:rsidP="00AD62C2">
      <w:pPr>
        <w:ind w:firstLine="709"/>
        <w:jc w:val="both"/>
        <w:rPr>
          <w:sz w:val="24"/>
          <w:szCs w:val="24"/>
        </w:rPr>
      </w:pPr>
      <w:r>
        <w:rPr>
          <w:sz w:val="24"/>
          <w:szCs w:val="24"/>
        </w:rPr>
        <w:t xml:space="preserve">Conclui-se de posse dos resultados </w:t>
      </w:r>
      <w:r w:rsidR="00ED3CF6">
        <w:rPr>
          <w:sz w:val="24"/>
          <w:szCs w:val="24"/>
        </w:rPr>
        <w:t xml:space="preserve">que o efeito da taxa livre de risco sobre o risco sistêmico e idiossincrático não varia de forma relevante dependendo se o país é emergente ou desenvolvido. Sendo que as variações das taxas entre os países da amostra não foram diferentes de forma significativa, indicando que as taxas nacionais de cada país podem ser usadas como </w:t>
      </w:r>
      <w:r w:rsidR="00ED3CF6" w:rsidRPr="00ED3CF6">
        <w:rPr>
          <w:i/>
          <w:sz w:val="24"/>
          <w:szCs w:val="24"/>
        </w:rPr>
        <w:t>proxy</w:t>
      </w:r>
      <w:r w:rsidR="00ED3CF6">
        <w:rPr>
          <w:i/>
          <w:sz w:val="24"/>
          <w:szCs w:val="24"/>
        </w:rPr>
        <w:t xml:space="preserve"> </w:t>
      </w:r>
      <w:r w:rsidR="00ED3CF6">
        <w:rPr>
          <w:sz w:val="24"/>
          <w:szCs w:val="24"/>
        </w:rPr>
        <w:t xml:space="preserve">para taxas livre de risco, e também que indiferente dos países e das taxas, as estimações são semelhantes, tanto para o risco sistêmico quanto para o risco idiossincrático. Assim infere-se que as precificações de ativos nos mercados de capitais não apresentam grandes vieses de estimação por conta da </w:t>
      </w:r>
      <w:r w:rsidR="00ED3CF6" w:rsidRPr="00ED3CF6">
        <w:rPr>
          <w:i/>
          <w:sz w:val="24"/>
          <w:szCs w:val="24"/>
        </w:rPr>
        <w:t>proxy</w:t>
      </w:r>
      <w:r w:rsidR="00ED3CF6">
        <w:rPr>
          <w:sz w:val="24"/>
          <w:szCs w:val="24"/>
        </w:rPr>
        <w:t xml:space="preserve"> utilizada como livre de risco, e que em tais transações o uso da taxa nacional como livre de risco não acarreta em erro de mensuração. </w:t>
      </w:r>
    </w:p>
    <w:p w14:paraId="5F5E7429" w14:textId="60A11C86" w:rsidR="00C550BB" w:rsidRPr="00C550BB" w:rsidRDefault="00C550BB" w:rsidP="00AD62C2">
      <w:pPr>
        <w:ind w:firstLine="709"/>
        <w:jc w:val="both"/>
        <w:rPr>
          <w:sz w:val="24"/>
          <w:szCs w:val="24"/>
        </w:rPr>
      </w:pPr>
      <w:r w:rsidRPr="00C550BB">
        <w:rPr>
          <w:sz w:val="24"/>
          <w:szCs w:val="24"/>
        </w:rPr>
        <w:t>Tal acontecimento se evidencia com o teste ANOVA e</w:t>
      </w:r>
      <w:r w:rsidR="001E52A6">
        <w:rPr>
          <w:sz w:val="24"/>
          <w:szCs w:val="24"/>
        </w:rPr>
        <w:t xml:space="preserve"> o teste de </w:t>
      </w:r>
      <w:proofErr w:type="spellStart"/>
      <w:r w:rsidR="001E52A6">
        <w:rPr>
          <w:sz w:val="24"/>
          <w:szCs w:val="24"/>
        </w:rPr>
        <w:t>Scheffe</w:t>
      </w:r>
      <w:proofErr w:type="spellEnd"/>
      <w:r w:rsidR="001E52A6">
        <w:rPr>
          <w:sz w:val="24"/>
          <w:szCs w:val="24"/>
        </w:rPr>
        <w:t xml:space="preserve"> que encontram diferença estatística em três anos do risco sistêmico, enquanto </w:t>
      </w:r>
      <w:r w:rsidRPr="00C550BB">
        <w:rPr>
          <w:sz w:val="24"/>
          <w:szCs w:val="24"/>
        </w:rPr>
        <w:t xml:space="preserve">o risco idiossincrático </w:t>
      </w:r>
      <w:r w:rsidR="001E52A6">
        <w:rPr>
          <w:sz w:val="24"/>
          <w:szCs w:val="24"/>
        </w:rPr>
        <w:t xml:space="preserve">possui </w:t>
      </w:r>
      <w:r w:rsidRPr="00C550BB">
        <w:rPr>
          <w:sz w:val="24"/>
          <w:szCs w:val="24"/>
        </w:rPr>
        <w:t>somente um</w:t>
      </w:r>
      <w:r w:rsidR="001E52A6">
        <w:rPr>
          <w:sz w:val="24"/>
          <w:szCs w:val="24"/>
        </w:rPr>
        <w:t xml:space="preserve"> ano </w:t>
      </w:r>
      <w:r w:rsidRPr="00C550BB">
        <w:rPr>
          <w:sz w:val="24"/>
          <w:szCs w:val="24"/>
        </w:rPr>
        <w:t xml:space="preserve">diferença </w:t>
      </w:r>
      <w:r w:rsidR="001E52A6">
        <w:rPr>
          <w:sz w:val="24"/>
          <w:szCs w:val="24"/>
        </w:rPr>
        <w:t>significativa</w:t>
      </w:r>
      <w:r w:rsidRPr="00C550BB">
        <w:rPr>
          <w:sz w:val="24"/>
          <w:szCs w:val="24"/>
        </w:rPr>
        <w:t>. Conclui-se assim que as taxas negativas e positivas, instáveis e estáveis, de países desenvolvido</w:t>
      </w:r>
      <w:r w:rsidR="00AD62C2">
        <w:rPr>
          <w:sz w:val="24"/>
          <w:szCs w:val="24"/>
        </w:rPr>
        <w:t>s e emergente, possuem diferenças, porém ess</w:t>
      </w:r>
      <w:r w:rsidRPr="00C550BB">
        <w:rPr>
          <w:sz w:val="24"/>
          <w:szCs w:val="24"/>
        </w:rPr>
        <w:t>a</w:t>
      </w:r>
      <w:r w:rsidR="00AD62C2">
        <w:rPr>
          <w:sz w:val="24"/>
          <w:szCs w:val="24"/>
        </w:rPr>
        <w:t>s</w:t>
      </w:r>
      <w:r w:rsidRPr="00C550BB">
        <w:rPr>
          <w:sz w:val="24"/>
          <w:szCs w:val="24"/>
        </w:rPr>
        <w:t xml:space="preserve"> </w:t>
      </w:r>
      <w:r w:rsidR="00AD62C2">
        <w:rPr>
          <w:sz w:val="24"/>
          <w:szCs w:val="24"/>
        </w:rPr>
        <w:t xml:space="preserve">não </w:t>
      </w:r>
      <w:r w:rsidRPr="00C550BB">
        <w:rPr>
          <w:sz w:val="24"/>
          <w:szCs w:val="24"/>
        </w:rPr>
        <w:t>impacta</w:t>
      </w:r>
      <w:r w:rsidR="00AD62C2">
        <w:rPr>
          <w:sz w:val="24"/>
          <w:szCs w:val="24"/>
        </w:rPr>
        <w:t xml:space="preserve">m de forma significante a estimação dos riscos e retorno das ações para as empresas da amostra. Uma vez que o impacto no risco idiossincrático ocorre de forma tão tempestiva o mesmo nem </w:t>
      </w:r>
      <w:r w:rsidRPr="00C550BB">
        <w:rPr>
          <w:sz w:val="24"/>
          <w:szCs w:val="24"/>
        </w:rPr>
        <w:t xml:space="preserve">merece referência, </w:t>
      </w:r>
      <w:r w:rsidR="00AD62C2">
        <w:rPr>
          <w:sz w:val="24"/>
          <w:szCs w:val="24"/>
        </w:rPr>
        <w:t xml:space="preserve">porém instiga maiores </w:t>
      </w:r>
      <w:r w:rsidRPr="00C550BB">
        <w:rPr>
          <w:sz w:val="24"/>
          <w:szCs w:val="24"/>
        </w:rPr>
        <w:t xml:space="preserve">investigações </w:t>
      </w:r>
      <w:r w:rsidR="00AD62C2">
        <w:rPr>
          <w:sz w:val="24"/>
          <w:szCs w:val="24"/>
        </w:rPr>
        <w:t>que</w:t>
      </w:r>
      <w:r w:rsidRPr="00C550BB">
        <w:rPr>
          <w:sz w:val="24"/>
          <w:szCs w:val="24"/>
        </w:rPr>
        <w:t xml:space="preserve"> </w:t>
      </w:r>
      <w:r w:rsidR="00AD62C2">
        <w:rPr>
          <w:sz w:val="24"/>
          <w:szCs w:val="24"/>
        </w:rPr>
        <w:t xml:space="preserve">estudem fatores explicativos do risco idiossincrático. </w:t>
      </w:r>
      <w:r w:rsidRPr="00C550BB">
        <w:rPr>
          <w:sz w:val="24"/>
          <w:szCs w:val="24"/>
        </w:rPr>
        <w:t xml:space="preserve"> </w:t>
      </w:r>
    </w:p>
    <w:p w14:paraId="459B44AD" w14:textId="641C5961" w:rsidR="00C550BB" w:rsidRPr="00C550BB" w:rsidRDefault="00C550BB" w:rsidP="00C550BB">
      <w:pPr>
        <w:ind w:firstLine="709"/>
        <w:jc w:val="both"/>
        <w:rPr>
          <w:sz w:val="24"/>
          <w:szCs w:val="24"/>
        </w:rPr>
      </w:pPr>
      <w:r w:rsidRPr="00C550BB">
        <w:rPr>
          <w:sz w:val="24"/>
          <w:szCs w:val="24"/>
        </w:rPr>
        <w:t>A investigação realizada no presente estudo visa contribuir para os usuários externos da informação c</w:t>
      </w:r>
      <w:r w:rsidR="00AD62C2">
        <w:rPr>
          <w:sz w:val="24"/>
          <w:szCs w:val="24"/>
        </w:rPr>
        <w:t>ontábil e financeira</w:t>
      </w:r>
      <w:r w:rsidRPr="00C550BB">
        <w:rPr>
          <w:sz w:val="24"/>
          <w:szCs w:val="24"/>
        </w:rPr>
        <w:t>, ao identificar qual o impacto de diferentes taxas livre</w:t>
      </w:r>
      <w:r w:rsidR="00AD62C2">
        <w:rPr>
          <w:sz w:val="24"/>
          <w:szCs w:val="24"/>
        </w:rPr>
        <w:t>s</w:t>
      </w:r>
      <w:r w:rsidRPr="00C550BB">
        <w:rPr>
          <w:sz w:val="24"/>
          <w:szCs w:val="24"/>
        </w:rPr>
        <w:t xml:space="preserve"> de </w:t>
      </w:r>
      <w:r w:rsidR="00AD62C2">
        <w:rPr>
          <w:sz w:val="24"/>
          <w:szCs w:val="24"/>
        </w:rPr>
        <w:t>risco</w:t>
      </w:r>
      <w:r w:rsidRPr="00C550BB">
        <w:rPr>
          <w:sz w:val="24"/>
          <w:szCs w:val="24"/>
        </w:rPr>
        <w:t xml:space="preserve"> nos riscos sistêmicos e idiossincráticos, os dois principais riscos precificados no portfólio de investidores. O estudo apresenta diferencial ao analisar a temática do risco idiossincrático no Brasil, por ser tema de pouco aprofundamento teórico na literatura nacional, ao estudar de forma mais evidente o risco sistêmico e ainda por investigar as taxas livre de risco, que tem papel altamente importante nos modelos de precificação de ativos financeiros, e que</w:t>
      </w:r>
      <w:r w:rsidR="00AD62C2">
        <w:rPr>
          <w:sz w:val="24"/>
          <w:szCs w:val="24"/>
        </w:rPr>
        <w:t xml:space="preserve"> possui raras investigações</w:t>
      </w:r>
      <w:r w:rsidRPr="00C550BB">
        <w:rPr>
          <w:sz w:val="24"/>
          <w:szCs w:val="24"/>
        </w:rPr>
        <w:t>. Contribui</w:t>
      </w:r>
      <w:r w:rsidR="00AD62C2">
        <w:rPr>
          <w:sz w:val="24"/>
          <w:szCs w:val="24"/>
        </w:rPr>
        <w:t>-se ao</w:t>
      </w:r>
      <w:r w:rsidRPr="00C550BB">
        <w:rPr>
          <w:sz w:val="24"/>
          <w:szCs w:val="24"/>
        </w:rPr>
        <w:t xml:space="preserve"> ampliar </w:t>
      </w:r>
      <w:r w:rsidR="00AD62C2">
        <w:rPr>
          <w:sz w:val="24"/>
          <w:szCs w:val="24"/>
        </w:rPr>
        <w:t>a literatura sobre a taxa livre de risco e os riscos sistêmico e</w:t>
      </w:r>
      <w:r w:rsidRPr="00C550BB">
        <w:rPr>
          <w:sz w:val="24"/>
          <w:szCs w:val="24"/>
        </w:rPr>
        <w:t xml:space="preserve"> idiossincrático. </w:t>
      </w:r>
    </w:p>
    <w:p w14:paraId="70A67D62" w14:textId="4B94D268" w:rsidR="00C550BB" w:rsidRPr="00C550BB" w:rsidRDefault="00C550BB" w:rsidP="00C550BB">
      <w:pPr>
        <w:ind w:firstLine="709"/>
        <w:jc w:val="both"/>
        <w:rPr>
          <w:sz w:val="24"/>
          <w:szCs w:val="24"/>
        </w:rPr>
      </w:pPr>
      <w:r w:rsidRPr="00C550BB">
        <w:rPr>
          <w:sz w:val="24"/>
          <w:szCs w:val="24"/>
        </w:rPr>
        <w:t xml:space="preserve">Pesquisas futuras podem </w:t>
      </w:r>
      <w:r w:rsidR="00AD62C2">
        <w:rPr>
          <w:sz w:val="24"/>
          <w:szCs w:val="24"/>
        </w:rPr>
        <w:t>replicar o presente estudo com diferente amostra, estas</w:t>
      </w:r>
      <w:r w:rsidRPr="00C550BB">
        <w:rPr>
          <w:sz w:val="24"/>
          <w:szCs w:val="24"/>
        </w:rPr>
        <w:t xml:space="preserve"> de empresas de pequeno ou médio porte, empresa</w:t>
      </w:r>
      <w:r w:rsidR="00AD62C2">
        <w:rPr>
          <w:sz w:val="24"/>
          <w:szCs w:val="24"/>
        </w:rPr>
        <w:t>s</w:t>
      </w:r>
      <w:r w:rsidRPr="00C550BB">
        <w:rPr>
          <w:sz w:val="24"/>
          <w:szCs w:val="24"/>
        </w:rPr>
        <w:t xml:space="preserve"> que pertencem à algum índice</w:t>
      </w:r>
      <w:r w:rsidR="00AD62C2">
        <w:rPr>
          <w:sz w:val="24"/>
          <w:szCs w:val="24"/>
        </w:rPr>
        <w:t xml:space="preserve">. Pesquisas que utilizem </w:t>
      </w:r>
      <w:r w:rsidRPr="00C550BB">
        <w:rPr>
          <w:sz w:val="24"/>
          <w:szCs w:val="24"/>
        </w:rPr>
        <w:t>outras metodologias para estimação do risco idiossincrático e sistêmico, como series temporais, modelo 1-Fator, modelo de 5-Fatores, entre outras metodologias presente na literatura</w:t>
      </w:r>
      <w:r w:rsidR="00AD62C2">
        <w:rPr>
          <w:sz w:val="24"/>
          <w:szCs w:val="24"/>
        </w:rPr>
        <w:t>, também são relevantes para a confirmação dos resultados</w:t>
      </w:r>
      <w:r w:rsidRPr="00C550BB">
        <w:rPr>
          <w:sz w:val="24"/>
          <w:szCs w:val="24"/>
        </w:rPr>
        <w:t xml:space="preserve">. Poder-se-á ainda realizar pesquisas em espaço temporal diferente, englobando estudos longitudinais ou estudos com intervalo temporal segmentado de acordo com alguma característica econômica ou de acordo com o ambiente do mercado de capitais. </w:t>
      </w:r>
    </w:p>
    <w:p w14:paraId="3E24FEF4" w14:textId="77777777" w:rsidR="00C550BB" w:rsidRPr="00C550BB" w:rsidRDefault="00C550BB" w:rsidP="00C550BB">
      <w:pPr>
        <w:jc w:val="both"/>
        <w:rPr>
          <w:sz w:val="24"/>
          <w:szCs w:val="24"/>
        </w:rPr>
      </w:pPr>
    </w:p>
    <w:p w14:paraId="2C55B547" w14:textId="77777777" w:rsidR="00C550BB" w:rsidRPr="00C550BB" w:rsidRDefault="00C550BB" w:rsidP="00C550BB">
      <w:pPr>
        <w:jc w:val="both"/>
        <w:rPr>
          <w:b/>
          <w:sz w:val="24"/>
          <w:szCs w:val="24"/>
        </w:rPr>
      </w:pPr>
      <w:r w:rsidRPr="00C550BB">
        <w:rPr>
          <w:b/>
          <w:sz w:val="24"/>
          <w:szCs w:val="24"/>
        </w:rPr>
        <w:t xml:space="preserve">REFERÊNCIAS </w:t>
      </w:r>
    </w:p>
    <w:p w14:paraId="0CC66574" w14:textId="77777777" w:rsidR="00C550BB" w:rsidRPr="00603E9D" w:rsidRDefault="00C550BB" w:rsidP="00ED3CF6">
      <w:pPr>
        <w:spacing w:before="80" w:after="60"/>
        <w:jc w:val="both"/>
        <w:rPr>
          <w:color w:val="000000" w:themeColor="text1"/>
          <w:sz w:val="24"/>
          <w:szCs w:val="24"/>
          <w:shd w:val="clear" w:color="auto" w:fill="FFFFFF"/>
          <w:lang w:val="en-US"/>
        </w:rPr>
      </w:pPr>
      <w:r w:rsidRPr="00603E9D">
        <w:rPr>
          <w:color w:val="000000" w:themeColor="text1"/>
          <w:sz w:val="24"/>
          <w:szCs w:val="24"/>
          <w:shd w:val="clear" w:color="auto" w:fill="FFFFFF"/>
        </w:rPr>
        <w:lastRenderedPageBreak/>
        <w:t>Abou-</w:t>
      </w:r>
      <w:proofErr w:type="spellStart"/>
      <w:r w:rsidRPr="00603E9D">
        <w:rPr>
          <w:color w:val="000000" w:themeColor="text1"/>
          <w:sz w:val="24"/>
          <w:szCs w:val="24"/>
          <w:shd w:val="clear" w:color="auto" w:fill="FFFFFF"/>
        </w:rPr>
        <w:t>Zaid</w:t>
      </w:r>
      <w:proofErr w:type="spellEnd"/>
      <w:r w:rsidRPr="00603E9D">
        <w:rPr>
          <w:color w:val="000000" w:themeColor="text1"/>
          <w:sz w:val="24"/>
          <w:szCs w:val="24"/>
          <w:shd w:val="clear" w:color="auto" w:fill="FFFFFF"/>
        </w:rPr>
        <w:t xml:space="preserve">, A. S. (2011). </w:t>
      </w:r>
      <w:proofErr w:type="spellStart"/>
      <w:r w:rsidRPr="00603E9D">
        <w:rPr>
          <w:color w:val="000000" w:themeColor="text1"/>
          <w:sz w:val="24"/>
          <w:szCs w:val="24"/>
          <w:shd w:val="clear" w:color="auto" w:fill="FFFFFF"/>
        </w:rPr>
        <w:t>Volatility</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spillover</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effects</w:t>
      </w:r>
      <w:proofErr w:type="spellEnd"/>
      <w:r w:rsidRPr="00603E9D">
        <w:rPr>
          <w:color w:val="000000" w:themeColor="text1"/>
          <w:sz w:val="24"/>
          <w:szCs w:val="24"/>
          <w:shd w:val="clear" w:color="auto" w:fill="FFFFFF"/>
        </w:rPr>
        <w:t xml:space="preserve"> in </w:t>
      </w:r>
      <w:proofErr w:type="spellStart"/>
      <w:r w:rsidRPr="00603E9D">
        <w:rPr>
          <w:color w:val="000000" w:themeColor="text1"/>
          <w:sz w:val="24"/>
          <w:szCs w:val="24"/>
          <w:shd w:val="clear" w:color="auto" w:fill="FFFFFF"/>
        </w:rPr>
        <w:t>emerging</w:t>
      </w:r>
      <w:proofErr w:type="spellEnd"/>
      <w:r w:rsidRPr="00603E9D">
        <w:rPr>
          <w:color w:val="000000" w:themeColor="text1"/>
          <w:sz w:val="24"/>
          <w:szCs w:val="24"/>
          <w:shd w:val="clear" w:color="auto" w:fill="FFFFFF"/>
        </w:rPr>
        <w:t xml:space="preserve"> MENA stock </w:t>
      </w:r>
      <w:proofErr w:type="spellStart"/>
      <w:r w:rsidRPr="00603E9D">
        <w:rPr>
          <w:color w:val="000000" w:themeColor="text1"/>
          <w:sz w:val="24"/>
          <w:szCs w:val="24"/>
          <w:shd w:val="clear" w:color="auto" w:fill="FFFFFF"/>
        </w:rPr>
        <w:t>markets</w:t>
      </w:r>
      <w:proofErr w:type="spellEnd"/>
      <w:r w:rsidRPr="00603E9D">
        <w:rPr>
          <w:color w:val="000000" w:themeColor="text1"/>
          <w:sz w:val="24"/>
          <w:szCs w:val="24"/>
          <w:shd w:val="clear" w:color="auto" w:fill="FFFFFF"/>
        </w:rPr>
        <w:t>.</w:t>
      </w:r>
      <w:r w:rsidRPr="00603E9D">
        <w:rPr>
          <w:rStyle w:val="apple-converted-space"/>
          <w:color w:val="000000" w:themeColor="text1"/>
          <w:sz w:val="24"/>
          <w:szCs w:val="24"/>
          <w:shd w:val="clear" w:color="auto" w:fill="FFFFFF"/>
        </w:rPr>
        <w:t> </w:t>
      </w:r>
      <w:proofErr w:type="spellStart"/>
      <w:r w:rsidRPr="00603E9D">
        <w:rPr>
          <w:i/>
          <w:iCs/>
          <w:color w:val="000000" w:themeColor="text1"/>
          <w:sz w:val="24"/>
          <w:szCs w:val="24"/>
          <w:shd w:val="clear" w:color="auto" w:fill="FFFFFF"/>
        </w:rPr>
        <w:t>Review</w:t>
      </w:r>
      <w:proofErr w:type="spellEnd"/>
      <w:r w:rsidRPr="00603E9D">
        <w:rPr>
          <w:i/>
          <w:iCs/>
          <w:color w:val="000000" w:themeColor="text1"/>
          <w:sz w:val="24"/>
          <w:szCs w:val="24"/>
          <w:shd w:val="clear" w:color="auto" w:fill="FFFFFF"/>
        </w:rPr>
        <w:t xml:space="preserve"> </w:t>
      </w:r>
      <w:proofErr w:type="spellStart"/>
      <w:r w:rsidRPr="00603E9D">
        <w:rPr>
          <w:i/>
          <w:iCs/>
          <w:color w:val="000000" w:themeColor="text1"/>
          <w:sz w:val="24"/>
          <w:szCs w:val="24"/>
          <w:shd w:val="clear" w:color="auto" w:fill="FFFFFF"/>
        </w:rPr>
        <w:t>of</w:t>
      </w:r>
      <w:proofErr w:type="spellEnd"/>
      <w:r w:rsidRPr="00603E9D">
        <w:rPr>
          <w:i/>
          <w:iCs/>
          <w:color w:val="000000" w:themeColor="text1"/>
          <w:sz w:val="24"/>
          <w:szCs w:val="24"/>
          <w:shd w:val="clear" w:color="auto" w:fill="FFFFFF"/>
        </w:rPr>
        <w:t xml:space="preserve"> </w:t>
      </w:r>
      <w:proofErr w:type="spellStart"/>
      <w:r w:rsidRPr="00603E9D">
        <w:rPr>
          <w:i/>
          <w:iCs/>
          <w:color w:val="000000" w:themeColor="text1"/>
          <w:sz w:val="24"/>
          <w:szCs w:val="24"/>
          <w:shd w:val="clear" w:color="auto" w:fill="FFFFFF"/>
        </w:rPr>
        <w:t>Applied</w:t>
      </w:r>
      <w:proofErr w:type="spellEnd"/>
      <w:r w:rsidRPr="00603E9D">
        <w:rPr>
          <w:i/>
          <w:iCs/>
          <w:color w:val="000000" w:themeColor="text1"/>
          <w:sz w:val="24"/>
          <w:szCs w:val="24"/>
          <w:shd w:val="clear" w:color="auto" w:fill="FFFFFF"/>
        </w:rPr>
        <w:t xml:space="preserve"> </w:t>
      </w:r>
      <w:proofErr w:type="spellStart"/>
      <w:r w:rsidRPr="00603E9D">
        <w:rPr>
          <w:i/>
          <w:iCs/>
          <w:color w:val="000000" w:themeColor="text1"/>
          <w:sz w:val="24"/>
          <w:szCs w:val="24"/>
          <w:shd w:val="clear" w:color="auto" w:fill="FFFFFF"/>
        </w:rPr>
        <w:t>Economics</w:t>
      </w:r>
      <w:proofErr w:type="spellEnd"/>
      <w:r w:rsidRPr="00603E9D">
        <w:rPr>
          <w:color w:val="000000" w:themeColor="text1"/>
          <w:sz w:val="24"/>
          <w:szCs w:val="24"/>
          <w:shd w:val="clear" w:color="auto" w:fill="FFFFFF"/>
        </w:rPr>
        <w:t>,</w:t>
      </w:r>
      <w:r w:rsidRPr="00603E9D">
        <w:rPr>
          <w:rStyle w:val="apple-converted-space"/>
          <w:color w:val="000000" w:themeColor="text1"/>
          <w:sz w:val="24"/>
          <w:szCs w:val="24"/>
          <w:shd w:val="clear" w:color="auto" w:fill="FFFFFF"/>
        </w:rPr>
        <w:t> </w:t>
      </w:r>
      <w:r w:rsidRPr="00603E9D">
        <w:rPr>
          <w:i/>
          <w:iCs/>
          <w:color w:val="000000" w:themeColor="text1"/>
          <w:sz w:val="24"/>
          <w:szCs w:val="24"/>
          <w:shd w:val="clear" w:color="auto" w:fill="FFFFFF"/>
        </w:rPr>
        <w:t>7</w:t>
      </w:r>
      <w:r w:rsidRPr="00603E9D">
        <w:rPr>
          <w:color w:val="000000" w:themeColor="text1"/>
          <w:sz w:val="24"/>
          <w:szCs w:val="24"/>
          <w:shd w:val="clear" w:color="auto" w:fill="FFFFFF"/>
        </w:rPr>
        <w:t>(1-2).</w:t>
      </w:r>
      <w:r w:rsidRPr="00603E9D">
        <w:rPr>
          <w:color w:val="000000" w:themeColor="text1"/>
          <w:sz w:val="24"/>
          <w:szCs w:val="24"/>
          <w:shd w:val="clear" w:color="auto" w:fill="FFFFFF"/>
          <w:lang w:val="en-US"/>
        </w:rPr>
        <w:t xml:space="preserve"> </w:t>
      </w:r>
    </w:p>
    <w:p w14:paraId="322ED30E" w14:textId="1093E8EC"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 xml:space="preserve">Ameer, R. (2009). Value-relevance of </w:t>
      </w:r>
      <w:r w:rsidR="00AD62C2" w:rsidRPr="00603E9D">
        <w:rPr>
          <w:color w:val="000000" w:themeColor="text1"/>
          <w:sz w:val="24"/>
          <w:szCs w:val="24"/>
          <w:shd w:val="clear" w:color="auto" w:fill="FFFFFF"/>
          <w:lang w:val="en-US"/>
        </w:rPr>
        <w:t>foreign exchange</w:t>
      </w:r>
      <w:r w:rsidRPr="00603E9D">
        <w:rPr>
          <w:color w:val="000000" w:themeColor="text1"/>
          <w:sz w:val="24"/>
          <w:szCs w:val="24"/>
          <w:shd w:val="clear" w:color="auto" w:fill="FFFFFF"/>
          <w:lang w:val="en-US"/>
        </w:rPr>
        <w:t xml:space="preserve"> and interest-rate derivatives disclosure: The case of Malaysian firms.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The Journal of Risk Finance</w:t>
      </w:r>
      <w:r w:rsidRPr="00603E9D">
        <w:rPr>
          <w:color w:val="000000" w:themeColor="text1"/>
          <w:sz w:val="24"/>
          <w:szCs w:val="24"/>
          <w:shd w:val="clear" w:color="auto" w:fill="FFFFFF"/>
          <w:lang w:val="en-US"/>
        </w:rPr>
        <w:t>, 10(1), 78-90.</w:t>
      </w:r>
    </w:p>
    <w:p w14:paraId="4963979A"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lang w:val="en-US"/>
        </w:rPr>
        <w:t>Angelidis</w:t>
      </w:r>
      <w:proofErr w:type="spellEnd"/>
      <w:r w:rsidRPr="00603E9D">
        <w:rPr>
          <w:color w:val="000000" w:themeColor="text1"/>
          <w:sz w:val="24"/>
          <w:szCs w:val="24"/>
          <w:shd w:val="clear" w:color="auto" w:fill="FFFFFF"/>
          <w:lang w:val="en-US"/>
        </w:rPr>
        <w:t>, T. (2010). Idiosyncratic risk in emerging markets.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Financial Review</w:t>
      </w:r>
      <w:r w:rsidRPr="00603E9D">
        <w:rPr>
          <w:color w:val="000000" w:themeColor="text1"/>
          <w:sz w:val="24"/>
          <w:szCs w:val="24"/>
          <w:shd w:val="clear" w:color="auto" w:fill="FFFFFF"/>
          <w:lang w:val="en-US"/>
        </w:rPr>
        <w:t>, 45(4), 1053-1078.</w:t>
      </w:r>
    </w:p>
    <w:p w14:paraId="0CBBCEC8"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rPr>
        <w:t>Araújo, E. A. T., Oliveira, V. D. C. &amp; Castro Silva, W. A. (2012). CAPM em estudos brasileiros: Uma análise da pesquisa. </w:t>
      </w:r>
      <w:r w:rsidRPr="00603E9D">
        <w:rPr>
          <w:i/>
          <w:color w:val="000000" w:themeColor="text1"/>
          <w:sz w:val="24"/>
          <w:szCs w:val="24"/>
        </w:rPr>
        <w:t>Revista de Contabilidade e organizações</w:t>
      </w:r>
      <w:r w:rsidRPr="00603E9D">
        <w:rPr>
          <w:color w:val="000000" w:themeColor="text1"/>
          <w:sz w:val="24"/>
          <w:szCs w:val="24"/>
        </w:rPr>
        <w:t>, 6(15), 95-122.</w:t>
      </w:r>
    </w:p>
    <w:p w14:paraId="1BF88E59" w14:textId="77777777" w:rsidR="00C550BB" w:rsidRPr="00603E9D" w:rsidRDefault="00C550BB" w:rsidP="00ED3CF6">
      <w:pPr>
        <w:spacing w:after="60"/>
        <w:jc w:val="both"/>
        <w:rPr>
          <w:color w:val="000000" w:themeColor="text1"/>
          <w:sz w:val="24"/>
          <w:szCs w:val="24"/>
          <w:shd w:val="clear" w:color="auto" w:fill="FFFFFF"/>
        </w:rPr>
      </w:pPr>
      <w:r w:rsidRPr="00603E9D">
        <w:rPr>
          <w:color w:val="000000" w:themeColor="text1"/>
          <w:sz w:val="24"/>
          <w:szCs w:val="24"/>
          <w:shd w:val="clear" w:color="auto" w:fill="FFFFFF"/>
        </w:rPr>
        <w:t xml:space="preserve">Bali, T. G., </w:t>
      </w:r>
      <w:proofErr w:type="spellStart"/>
      <w:r w:rsidRPr="00603E9D">
        <w:rPr>
          <w:color w:val="000000" w:themeColor="text1"/>
          <w:sz w:val="24"/>
          <w:szCs w:val="24"/>
          <w:shd w:val="clear" w:color="auto" w:fill="FFFFFF"/>
        </w:rPr>
        <w:t>Cakici</w:t>
      </w:r>
      <w:proofErr w:type="spellEnd"/>
      <w:r w:rsidRPr="00603E9D">
        <w:rPr>
          <w:color w:val="000000" w:themeColor="text1"/>
          <w:sz w:val="24"/>
          <w:szCs w:val="24"/>
          <w:shd w:val="clear" w:color="auto" w:fill="FFFFFF"/>
        </w:rPr>
        <w:t xml:space="preserve">, N. &amp; Levy, H. (2008). A </w:t>
      </w:r>
      <w:proofErr w:type="spellStart"/>
      <w:r w:rsidRPr="00603E9D">
        <w:rPr>
          <w:color w:val="000000" w:themeColor="text1"/>
          <w:sz w:val="24"/>
          <w:szCs w:val="24"/>
          <w:shd w:val="clear" w:color="auto" w:fill="FFFFFF"/>
        </w:rPr>
        <w:t>model-independent</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measure</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of</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aggregate</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idiosyncratic</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risk</w:t>
      </w:r>
      <w:proofErr w:type="spellEnd"/>
      <w:r w:rsidRPr="00603E9D">
        <w:rPr>
          <w:color w:val="000000" w:themeColor="text1"/>
          <w:sz w:val="24"/>
          <w:szCs w:val="24"/>
          <w:shd w:val="clear" w:color="auto" w:fill="FFFFFF"/>
        </w:rPr>
        <w:t>.</w:t>
      </w:r>
      <w:r w:rsidRPr="00603E9D">
        <w:rPr>
          <w:rStyle w:val="apple-converted-space"/>
          <w:color w:val="000000" w:themeColor="text1"/>
          <w:sz w:val="24"/>
          <w:szCs w:val="24"/>
          <w:shd w:val="clear" w:color="auto" w:fill="FFFFFF"/>
        </w:rPr>
        <w:t> </w:t>
      </w:r>
      <w:proofErr w:type="spellStart"/>
      <w:r w:rsidRPr="00603E9D">
        <w:rPr>
          <w:bCs/>
          <w:i/>
          <w:color w:val="000000" w:themeColor="text1"/>
          <w:sz w:val="24"/>
          <w:szCs w:val="24"/>
          <w:shd w:val="clear" w:color="auto" w:fill="FFFFFF"/>
        </w:rPr>
        <w:t>Journal</w:t>
      </w:r>
      <w:proofErr w:type="spellEnd"/>
      <w:r w:rsidRPr="00603E9D">
        <w:rPr>
          <w:bCs/>
          <w:i/>
          <w:color w:val="000000" w:themeColor="text1"/>
          <w:sz w:val="24"/>
          <w:szCs w:val="24"/>
          <w:shd w:val="clear" w:color="auto" w:fill="FFFFFF"/>
        </w:rPr>
        <w:t xml:space="preserve"> </w:t>
      </w:r>
      <w:proofErr w:type="spellStart"/>
      <w:r w:rsidRPr="00603E9D">
        <w:rPr>
          <w:bCs/>
          <w:i/>
          <w:color w:val="000000" w:themeColor="text1"/>
          <w:sz w:val="24"/>
          <w:szCs w:val="24"/>
          <w:shd w:val="clear" w:color="auto" w:fill="FFFFFF"/>
        </w:rPr>
        <w:t>of</w:t>
      </w:r>
      <w:proofErr w:type="spellEnd"/>
      <w:r w:rsidRPr="00603E9D">
        <w:rPr>
          <w:bCs/>
          <w:i/>
          <w:color w:val="000000" w:themeColor="text1"/>
          <w:sz w:val="24"/>
          <w:szCs w:val="24"/>
          <w:shd w:val="clear" w:color="auto" w:fill="FFFFFF"/>
        </w:rPr>
        <w:t xml:space="preserve"> </w:t>
      </w:r>
      <w:proofErr w:type="spellStart"/>
      <w:r w:rsidRPr="00603E9D">
        <w:rPr>
          <w:bCs/>
          <w:i/>
          <w:color w:val="000000" w:themeColor="text1"/>
          <w:sz w:val="24"/>
          <w:szCs w:val="24"/>
          <w:shd w:val="clear" w:color="auto" w:fill="FFFFFF"/>
        </w:rPr>
        <w:t>Empirical</w:t>
      </w:r>
      <w:proofErr w:type="spellEnd"/>
      <w:r w:rsidRPr="00603E9D">
        <w:rPr>
          <w:bCs/>
          <w:i/>
          <w:color w:val="000000" w:themeColor="text1"/>
          <w:sz w:val="24"/>
          <w:szCs w:val="24"/>
          <w:shd w:val="clear" w:color="auto" w:fill="FFFFFF"/>
        </w:rPr>
        <w:t xml:space="preserve"> </w:t>
      </w:r>
      <w:proofErr w:type="spellStart"/>
      <w:r w:rsidRPr="00603E9D">
        <w:rPr>
          <w:bCs/>
          <w:i/>
          <w:color w:val="000000" w:themeColor="text1"/>
          <w:sz w:val="24"/>
          <w:szCs w:val="24"/>
          <w:shd w:val="clear" w:color="auto" w:fill="FFFFFF"/>
        </w:rPr>
        <w:t>Finance</w:t>
      </w:r>
      <w:proofErr w:type="spellEnd"/>
      <w:r w:rsidRPr="00603E9D">
        <w:rPr>
          <w:color w:val="000000" w:themeColor="text1"/>
          <w:sz w:val="24"/>
          <w:szCs w:val="24"/>
          <w:shd w:val="clear" w:color="auto" w:fill="FFFFFF"/>
        </w:rPr>
        <w:t>, 15(5), 878-896.</w:t>
      </w:r>
    </w:p>
    <w:p w14:paraId="2979AEF2"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shd w:val="clear" w:color="auto" w:fill="FFFFFF"/>
          <w:lang w:val="en-US"/>
        </w:rPr>
        <w:t>Bekaert, G. &amp; Harvey, C. R. (1997). Emerging equity market volatility.</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Journal of Financial economics</w:t>
      </w:r>
      <w:r w:rsidRPr="00603E9D">
        <w:rPr>
          <w:color w:val="000000" w:themeColor="text1"/>
          <w:sz w:val="24"/>
          <w:szCs w:val="24"/>
          <w:shd w:val="clear" w:color="auto" w:fill="FFFFFF"/>
          <w:lang w:val="en-US"/>
        </w:rPr>
        <w:t>, 43(1), 29-77.</w:t>
      </w:r>
    </w:p>
    <w:p w14:paraId="3C393FBF" w14:textId="77777777" w:rsidR="00C550BB" w:rsidRPr="00603E9D" w:rsidRDefault="00C550BB" w:rsidP="00ED3CF6">
      <w:pPr>
        <w:spacing w:after="60"/>
        <w:jc w:val="both"/>
        <w:rPr>
          <w:color w:val="000000" w:themeColor="text1"/>
          <w:sz w:val="24"/>
          <w:szCs w:val="24"/>
          <w:shd w:val="clear" w:color="auto" w:fill="FFFFFF"/>
        </w:rPr>
      </w:pPr>
      <w:r w:rsidRPr="00603E9D">
        <w:rPr>
          <w:color w:val="000000" w:themeColor="text1"/>
          <w:sz w:val="24"/>
          <w:szCs w:val="24"/>
          <w:shd w:val="clear" w:color="auto" w:fill="FFFFFF"/>
          <w:lang w:val="en-US"/>
        </w:rPr>
        <w:t xml:space="preserve">Boyer, B., Mitton, T. &amp; </w:t>
      </w:r>
      <w:proofErr w:type="spellStart"/>
      <w:r w:rsidRPr="00603E9D">
        <w:rPr>
          <w:color w:val="000000" w:themeColor="text1"/>
          <w:sz w:val="24"/>
          <w:szCs w:val="24"/>
          <w:shd w:val="clear" w:color="auto" w:fill="FFFFFF"/>
          <w:lang w:val="en-US"/>
        </w:rPr>
        <w:t>Vorkink</w:t>
      </w:r>
      <w:proofErr w:type="spellEnd"/>
      <w:r w:rsidRPr="00603E9D">
        <w:rPr>
          <w:color w:val="000000" w:themeColor="text1"/>
          <w:sz w:val="24"/>
          <w:szCs w:val="24"/>
          <w:shd w:val="clear" w:color="auto" w:fill="FFFFFF"/>
          <w:lang w:val="en-US"/>
        </w:rPr>
        <w:t>, K. (2010). Expected idiosyncratic skewness.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rPr>
        <w:t xml:space="preserve">Review </w:t>
      </w:r>
      <w:proofErr w:type="spellStart"/>
      <w:r w:rsidRPr="00603E9D">
        <w:rPr>
          <w:bCs/>
          <w:i/>
          <w:color w:val="000000" w:themeColor="text1"/>
          <w:sz w:val="24"/>
          <w:szCs w:val="24"/>
          <w:shd w:val="clear" w:color="auto" w:fill="FFFFFF"/>
        </w:rPr>
        <w:t>of</w:t>
      </w:r>
      <w:proofErr w:type="spellEnd"/>
      <w:r w:rsidRPr="00603E9D">
        <w:rPr>
          <w:bCs/>
          <w:i/>
          <w:color w:val="000000" w:themeColor="text1"/>
          <w:sz w:val="24"/>
          <w:szCs w:val="24"/>
          <w:shd w:val="clear" w:color="auto" w:fill="FFFFFF"/>
        </w:rPr>
        <w:t xml:space="preserve"> Financial </w:t>
      </w:r>
      <w:proofErr w:type="spellStart"/>
      <w:r w:rsidRPr="00603E9D">
        <w:rPr>
          <w:bCs/>
          <w:i/>
          <w:color w:val="000000" w:themeColor="text1"/>
          <w:sz w:val="24"/>
          <w:szCs w:val="24"/>
          <w:shd w:val="clear" w:color="auto" w:fill="FFFFFF"/>
        </w:rPr>
        <w:t>Studies</w:t>
      </w:r>
      <w:proofErr w:type="spellEnd"/>
      <w:r w:rsidRPr="00603E9D">
        <w:rPr>
          <w:color w:val="000000" w:themeColor="text1"/>
          <w:sz w:val="24"/>
          <w:szCs w:val="24"/>
          <w:shd w:val="clear" w:color="auto" w:fill="FFFFFF"/>
        </w:rPr>
        <w:t>, 23(1), 169-202.</w:t>
      </w:r>
    </w:p>
    <w:p w14:paraId="7B4F6750" w14:textId="77777777" w:rsidR="00C550BB" w:rsidRPr="00603E9D" w:rsidRDefault="00C550BB" w:rsidP="00ED3CF6">
      <w:pPr>
        <w:spacing w:after="60"/>
        <w:jc w:val="both"/>
        <w:rPr>
          <w:color w:val="000000" w:themeColor="text1"/>
          <w:sz w:val="24"/>
          <w:szCs w:val="24"/>
          <w:shd w:val="clear" w:color="auto" w:fill="FFFFFF"/>
        </w:rPr>
      </w:pPr>
      <w:r w:rsidRPr="00603E9D">
        <w:rPr>
          <w:color w:val="000000" w:themeColor="text1"/>
          <w:sz w:val="24"/>
          <w:szCs w:val="24"/>
          <w:shd w:val="clear" w:color="auto" w:fill="FFFFFF"/>
          <w:lang w:val="en-US"/>
        </w:rPr>
        <w:t xml:space="preserve">Brandt, M. W., </w:t>
      </w:r>
      <w:proofErr w:type="spellStart"/>
      <w:r w:rsidRPr="00603E9D">
        <w:rPr>
          <w:color w:val="000000" w:themeColor="text1"/>
          <w:sz w:val="24"/>
          <w:szCs w:val="24"/>
          <w:shd w:val="clear" w:color="auto" w:fill="FFFFFF"/>
          <w:lang w:val="en-US"/>
        </w:rPr>
        <w:t>Brav</w:t>
      </w:r>
      <w:proofErr w:type="spellEnd"/>
      <w:r w:rsidRPr="00603E9D">
        <w:rPr>
          <w:color w:val="000000" w:themeColor="text1"/>
          <w:sz w:val="24"/>
          <w:szCs w:val="24"/>
          <w:shd w:val="clear" w:color="auto" w:fill="FFFFFF"/>
          <w:lang w:val="en-US"/>
        </w:rPr>
        <w:t>, A., Graham, J. R. &amp; Kumar, R, A. (2010). The idiosyncratic volatility puzzle: Time trend or speculative episodes?.</w:t>
      </w:r>
      <w:r w:rsidRPr="00603E9D">
        <w:rPr>
          <w:rStyle w:val="apple-converted-space"/>
          <w:color w:val="000000" w:themeColor="text1"/>
          <w:sz w:val="24"/>
          <w:szCs w:val="24"/>
          <w:shd w:val="clear" w:color="auto" w:fill="FFFFFF"/>
          <w:lang w:val="en-US"/>
        </w:rPr>
        <w:t> </w:t>
      </w:r>
      <w:r w:rsidRPr="00603E9D">
        <w:rPr>
          <w:i/>
          <w:iCs/>
          <w:color w:val="000000" w:themeColor="text1"/>
          <w:sz w:val="24"/>
          <w:szCs w:val="24"/>
          <w:shd w:val="clear" w:color="auto" w:fill="FFFFFF"/>
        </w:rPr>
        <w:t xml:space="preserve">Review </w:t>
      </w:r>
      <w:proofErr w:type="spellStart"/>
      <w:r w:rsidRPr="00603E9D">
        <w:rPr>
          <w:i/>
          <w:iCs/>
          <w:color w:val="000000" w:themeColor="text1"/>
          <w:sz w:val="24"/>
          <w:szCs w:val="24"/>
          <w:shd w:val="clear" w:color="auto" w:fill="FFFFFF"/>
        </w:rPr>
        <w:t>of</w:t>
      </w:r>
      <w:proofErr w:type="spellEnd"/>
      <w:r w:rsidRPr="00603E9D">
        <w:rPr>
          <w:i/>
          <w:iCs/>
          <w:color w:val="000000" w:themeColor="text1"/>
          <w:sz w:val="24"/>
          <w:szCs w:val="24"/>
          <w:shd w:val="clear" w:color="auto" w:fill="FFFFFF"/>
        </w:rPr>
        <w:t xml:space="preserve"> Financial </w:t>
      </w:r>
      <w:proofErr w:type="spellStart"/>
      <w:r w:rsidRPr="00603E9D">
        <w:rPr>
          <w:i/>
          <w:iCs/>
          <w:color w:val="000000" w:themeColor="text1"/>
          <w:sz w:val="24"/>
          <w:szCs w:val="24"/>
          <w:shd w:val="clear" w:color="auto" w:fill="FFFFFF"/>
        </w:rPr>
        <w:t>Studies</w:t>
      </w:r>
      <w:proofErr w:type="spellEnd"/>
      <w:r w:rsidRPr="00603E9D">
        <w:rPr>
          <w:color w:val="000000" w:themeColor="text1"/>
          <w:sz w:val="24"/>
          <w:szCs w:val="24"/>
          <w:shd w:val="clear" w:color="auto" w:fill="FFFFFF"/>
        </w:rPr>
        <w:t>,</w:t>
      </w:r>
      <w:r w:rsidRPr="00603E9D">
        <w:rPr>
          <w:rStyle w:val="apple-converted-space"/>
          <w:color w:val="000000" w:themeColor="text1"/>
          <w:sz w:val="24"/>
          <w:szCs w:val="24"/>
          <w:shd w:val="clear" w:color="auto" w:fill="FFFFFF"/>
        </w:rPr>
        <w:t> </w:t>
      </w:r>
      <w:r w:rsidRPr="00603E9D">
        <w:rPr>
          <w:i/>
          <w:iCs/>
          <w:color w:val="000000" w:themeColor="text1"/>
          <w:sz w:val="24"/>
          <w:szCs w:val="24"/>
          <w:shd w:val="clear" w:color="auto" w:fill="FFFFFF"/>
        </w:rPr>
        <w:t>23</w:t>
      </w:r>
      <w:r w:rsidRPr="00603E9D">
        <w:rPr>
          <w:color w:val="000000" w:themeColor="text1"/>
          <w:sz w:val="24"/>
          <w:szCs w:val="24"/>
          <w:shd w:val="clear" w:color="auto" w:fill="FFFFFF"/>
        </w:rPr>
        <w:t>(2), 863-899.</w:t>
      </w:r>
    </w:p>
    <w:p w14:paraId="303B5B9A"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 xml:space="preserve">Campbell, J. Y., </w:t>
      </w:r>
      <w:proofErr w:type="spellStart"/>
      <w:r w:rsidRPr="00603E9D">
        <w:rPr>
          <w:color w:val="000000" w:themeColor="text1"/>
          <w:sz w:val="24"/>
          <w:szCs w:val="24"/>
          <w:shd w:val="clear" w:color="auto" w:fill="FFFFFF"/>
          <w:lang w:val="en-US"/>
        </w:rPr>
        <w:t>Lettau</w:t>
      </w:r>
      <w:proofErr w:type="spellEnd"/>
      <w:r w:rsidRPr="00603E9D">
        <w:rPr>
          <w:color w:val="000000" w:themeColor="text1"/>
          <w:sz w:val="24"/>
          <w:szCs w:val="24"/>
          <w:shd w:val="clear" w:color="auto" w:fill="FFFFFF"/>
          <w:lang w:val="en-US"/>
        </w:rPr>
        <w:t xml:space="preserve">, M., </w:t>
      </w:r>
      <w:proofErr w:type="spellStart"/>
      <w:r w:rsidRPr="00603E9D">
        <w:rPr>
          <w:color w:val="000000" w:themeColor="text1"/>
          <w:sz w:val="24"/>
          <w:szCs w:val="24"/>
          <w:shd w:val="clear" w:color="auto" w:fill="FFFFFF"/>
          <w:lang w:val="en-US"/>
        </w:rPr>
        <w:t>Malkiel</w:t>
      </w:r>
      <w:proofErr w:type="spellEnd"/>
      <w:r w:rsidRPr="00603E9D">
        <w:rPr>
          <w:color w:val="000000" w:themeColor="text1"/>
          <w:sz w:val="24"/>
          <w:szCs w:val="24"/>
          <w:shd w:val="clear" w:color="auto" w:fill="FFFFFF"/>
          <w:lang w:val="en-US"/>
        </w:rPr>
        <w:t xml:space="preserve">, B. G., &amp; Xu, Y. (2001). Have individual stocks become more volatile? An empirical exploration of idiosyncratic risk. </w:t>
      </w:r>
      <w:r w:rsidRPr="00603E9D">
        <w:rPr>
          <w:i/>
          <w:color w:val="000000" w:themeColor="text1"/>
          <w:sz w:val="24"/>
          <w:szCs w:val="24"/>
          <w:shd w:val="clear" w:color="auto" w:fill="FFFFFF"/>
          <w:lang w:val="en-US"/>
        </w:rPr>
        <w:t>The Journal of Finance</w:t>
      </w:r>
      <w:r w:rsidRPr="00603E9D">
        <w:rPr>
          <w:color w:val="000000" w:themeColor="text1"/>
          <w:sz w:val="24"/>
          <w:szCs w:val="24"/>
          <w:shd w:val="clear" w:color="auto" w:fill="FFFFFF"/>
          <w:lang w:val="en-US"/>
        </w:rPr>
        <w:t>, 56(1), 1-43.</w:t>
      </w:r>
    </w:p>
    <w:p w14:paraId="70360061"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rPr>
        <w:t xml:space="preserve">Capelletto, L. R. (2006). </w:t>
      </w:r>
      <w:r w:rsidRPr="00603E9D">
        <w:rPr>
          <w:i/>
          <w:color w:val="000000" w:themeColor="text1"/>
          <w:sz w:val="24"/>
          <w:szCs w:val="24"/>
        </w:rPr>
        <w:t>Mensuração do risco sistêmico no setor bancário com utilização de variáveis contábeis e econômicas</w:t>
      </w:r>
      <w:r w:rsidRPr="00603E9D">
        <w:rPr>
          <w:color w:val="000000" w:themeColor="text1"/>
          <w:sz w:val="24"/>
          <w:szCs w:val="24"/>
        </w:rPr>
        <w:t>. Tese de Doutorado. Universidade de São Paulo.</w:t>
      </w:r>
    </w:p>
    <w:p w14:paraId="62B9767B" w14:textId="77777777" w:rsidR="00C550BB" w:rsidRPr="00603E9D" w:rsidRDefault="00C550BB" w:rsidP="00ED3CF6">
      <w:pPr>
        <w:spacing w:after="60"/>
        <w:jc w:val="both"/>
        <w:rPr>
          <w:color w:val="000000" w:themeColor="text1"/>
          <w:sz w:val="24"/>
          <w:szCs w:val="24"/>
          <w:shd w:val="clear" w:color="auto" w:fill="FFFFFF"/>
        </w:rPr>
      </w:pPr>
      <w:proofErr w:type="spellStart"/>
      <w:r w:rsidRPr="00603E9D">
        <w:rPr>
          <w:color w:val="000000" w:themeColor="text1"/>
          <w:sz w:val="24"/>
          <w:szCs w:val="24"/>
        </w:rPr>
        <w:t>Capelletto</w:t>
      </w:r>
      <w:proofErr w:type="spellEnd"/>
      <w:r w:rsidRPr="00603E9D">
        <w:rPr>
          <w:color w:val="000000" w:themeColor="text1"/>
          <w:sz w:val="24"/>
          <w:szCs w:val="24"/>
          <w:shd w:val="clear" w:color="auto" w:fill="FFFFFF"/>
        </w:rPr>
        <w:t xml:space="preserve">, L. R. &amp; </w:t>
      </w:r>
      <w:proofErr w:type="spellStart"/>
      <w:r w:rsidRPr="00603E9D">
        <w:rPr>
          <w:color w:val="000000" w:themeColor="text1"/>
          <w:sz w:val="24"/>
          <w:szCs w:val="24"/>
          <w:shd w:val="clear" w:color="auto" w:fill="FFFFFF"/>
        </w:rPr>
        <w:t>Corrar</w:t>
      </w:r>
      <w:proofErr w:type="spellEnd"/>
      <w:r w:rsidRPr="00603E9D">
        <w:rPr>
          <w:color w:val="000000" w:themeColor="text1"/>
          <w:sz w:val="24"/>
          <w:szCs w:val="24"/>
          <w:shd w:val="clear" w:color="auto" w:fill="FFFFFF"/>
        </w:rPr>
        <w:t>, L. J. (2008). Índices de risco sistêmico para o setor bancário.</w:t>
      </w:r>
      <w:r w:rsidRPr="00603E9D">
        <w:rPr>
          <w:rStyle w:val="apple-converted-space"/>
          <w:color w:val="000000" w:themeColor="text1"/>
          <w:sz w:val="24"/>
          <w:szCs w:val="24"/>
          <w:shd w:val="clear" w:color="auto" w:fill="FFFFFF"/>
        </w:rPr>
        <w:t> </w:t>
      </w:r>
      <w:r w:rsidRPr="00603E9D">
        <w:rPr>
          <w:bCs/>
          <w:i/>
          <w:color w:val="000000" w:themeColor="text1"/>
          <w:sz w:val="24"/>
          <w:szCs w:val="24"/>
          <w:shd w:val="clear" w:color="auto" w:fill="FFFFFF"/>
        </w:rPr>
        <w:t>Revista Contabilidade &amp; Finanças</w:t>
      </w:r>
      <w:r w:rsidRPr="00603E9D">
        <w:rPr>
          <w:color w:val="000000" w:themeColor="text1"/>
          <w:sz w:val="24"/>
          <w:szCs w:val="24"/>
          <w:shd w:val="clear" w:color="auto" w:fill="FFFFFF"/>
        </w:rPr>
        <w:t>, 19(47), 6-18.</w:t>
      </w:r>
    </w:p>
    <w:p w14:paraId="00034699"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rPr>
        <w:t xml:space="preserve">Costa, H. C., </w:t>
      </w:r>
      <w:proofErr w:type="spellStart"/>
      <w:r w:rsidRPr="00603E9D">
        <w:rPr>
          <w:color w:val="000000" w:themeColor="text1"/>
          <w:sz w:val="24"/>
          <w:szCs w:val="24"/>
        </w:rPr>
        <w:t>Mazzeu</w:t>
      </w:r>
      <w:proofErr w:type="spellEnd"/>
      <w:r w:rsidRPr="00603E9D">
        <w:rPr>
          <w:color w:val="000000" w:themeColor="text1"/>
          <w:sz w:val="24"/>
          <w:szCs w:val="24"/>
        </w:rPr>
        <w:t xml:space="preserve">, J. H. G. &amp; Costa Jr, N. C. A. (2016). O Comportamento dos Componentes da Volatilidade das Ações no Brasil / (The </w:t>
      </w:r>
      <w:proofErr w:type="spellStart"/>
      <w:r w:rsidRPr="00603E9D">
        <w:rPr>
          <w:color w:val="000000" w:themeColor="text1"/>
          <w:sz w:val="24"/>
          <w:szCs w:val="24"/>
        </w:rPr>
        <w:t>Behaviour</w:t>
      </w:r>
      <w:proofErr w:type="spellEnd"/>
      <w:r w:rsidRPr="00603E9D">
        <w:rPr>
          <w:color w:val="000000" w:themeColor="text1"/>
          <w:sz w:val="24"/>
          <w:szCs w:val="24"/>
        </w:rPr>
        <w:t xml:space="preserve"> </w:t>
      </w:r>
      <w:proofErr w:type="spellStart"/>
      <w:r w:rsidRPr="00603E9D">
        <w:rPr>
          <w:color w:val="000000" w:themeColor="text1"/>
          <w:sz w:val="24"/>
          <w:szCs w:val="24"/>
        </w:rPr>
        <w:t>of</w:t>
      </w:r>
      <w:proofErr w:type="spellEnd"/>
      <w:r w:rsidRPr="00603E9D">
        <w:rPr>
          <w:color w:val="000000" w:themeColor="text1"/>
          <w:sz w:val="24"/>
          <w:szCs w:val="24"/>
        </w:rPr>
        <w:t xml:space="preserve"> </w:t>
      </w:r>
      <w:proofErr w:type="spellStart"/>
      <w:r w:rsidRPr="00603E9D">
        <w:rPr>
          <w:color w:val="000000" w:themeColor="text1"/>
          <w:sz w:val="24"/>
          <w:szCs w:val="24"/>
        </w:rPr>
        <w:t>Volatility</w:t>
      </w:r>
      <w:proofErr w:type="spellEnd"/>
      <w:r w:rsidRPr="00603E9D">
        <w:rPr>
          <w:color w:val="000000" w:themeColor="text1"/>
          <w:sz w:val="24"/>
          <w:szCs w:val="24"/>
        </w:rPr>
        <w:t xml:space="preserve"> </w:t>
      </w:r>
      <w:proofErr w:type="spellStart"/>
      <w:r w:rsidRPr="00603E9D">
        <w:rPr>
          <w:color w:val="000000" w:themeColor="text1"/>
          <w:sz w:val="24"/>
          <w:szCs w:val="24"/>
        </w:rPr>
        <w:t>Components</w:t>
      </w:r>
      <w:proofErr w:type="spellEnd"/>
      <w:r w:rsidRPr="00603E9D">
        <w:rPr>
          <w:color w:val="000000" w:themeColor="text1"/>
          <w:sz w:val="24"/>
          <w:szCs w:val="24"/>
        </w:rPr>
        <w:t xml:space="preserve"> </w:t>
      </w:r>
      <w:proofErr w:type="spellStart"/>
      <w:r w:rsidRPr="00603E9D">
        <w:rPr>
          <w:color w:val="000000" w:themeColor="text1"/>
          <w:sz w:val="24"/>
          <w:szCs w:val="24"/>
        </w:rPr>
        <w:t>of</w:t>
      </w:r>
      <w:proofErr w:type="spellEnd"/>
      <w:r w:rsidRPr="00603E9D">
        <w:rPr>
          <w:color w:val="000000" w:themeColor="text1"/>
          <w:sz w:val="24"/>
          <w:szCs w:val="24"/>
        </w:rPr>
        <w:t xml:space="preserve"> </w:t>
      </w:r>
      <w:proofErr w:type="spellStart"/>
      <w:r w:rsidRPr="00603E9D">
        <w:rPr>
          <w:color w:val="000000" w:themeColor="text1"/>
          <w:sz w:val="24"/>
          <w:szCs w:val="24"/>
        </w:rPr>
        <w:t>Brazilian</w:t>
      </w:r>
      <w:proofErr w:type="spellEnd"/>
      <w:r w:rsidRPr="00603E9D">
        <w:rPr>
          <w:color w:val="000000" w:themeColor="text1"/>
          <w:sz w:val="24"/>
          <w:szCs w:val="24"/>
        </w:rPr>
        <w:t xml:space="preserve"> Stocks). </w:t>
      </w:r>
      <w:r w:rsidRPr="00603E9D">
        <w:rPr>
          <w:i/>
          <w:color w:val="000000" w:themeColor="text1"/>
          <w:sz w:val="24"/>
          <w:szCs w:val="24"/>
        </w:rPr>
        <w:t xml:space="preserve">Revista Brasileira de </w:t>
      </w:r>
      <w:proofErr w:type="spellStart"/>
      <w:r w:rsidRPr="00603E9D">
        <w:rPr>
          <w:i/>
          <w:color w:val="000000" w:themeColor="text1"/>
          <w:sz w:val="24"/>
          <w:szCs w:val="24"/>
        </w:rPr>
        <w:t>Financas</w:t>
      </w:r>
      <w:proofErr w:type="spellEnd"/>
      <w:r w:rsidRPr="00603E9D">
        <w:rPr>
          <w:color w:val="000000" w:themeColor="text1"/>
          <w:sz w:val="24"/>
          <w:szCs w:val="24"/>
        </w:rPr>
        <w:t>, 14(2), 225.</w:t>
      </w:r>
    </w:p>
    <w:p w14:paraId="18B7FD01"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rPr>
        <w:t>Damodaran</w:t>
      </w:r>
      <w:proofErr w:type="spellEnd"/>
      <w:r w:rsidRPr="00603E9D">
        <w:rPr>
          <w:color w:val="000000" w:themeColor="text1"/>
          <w:sz w:val="24"/>
          <w:szCs w:val="24"/>
          <w:shd w:val="clear" w:color="auto" w:fill="FFFFFF"/>
        </w:rPr>
        <w:t xml:space="preserve">, A. (1999). </w:t>
      </w:r>
      <w:proofErr w:type="spellStart"/>
      <w:r w:rsidRPr="00603E9D">
        <w:rPr>
          <w:color w:val="000000" w:themeColor="text1"/>
          <w:sz w:val="24"/>
          <w:szCs w:val="24"/>
          <w:shd w:val="clear" w:color="auto" w:fill="FFFFFF"/>
        </w:rPr>
        <w:t>Estimating</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risk</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free</w:t>
      </w:r>
      <w:proofErr w:type="spellEnd"/>
      <w:r w:rsidRPr="00603E9D">
        <w:rPr>
          <w:color w:val="000000" w:themeColor="text1"/>
          <w:sz w:val="24"/>
          <w:szCs w:val="24"/>
          <w:shd w:val="clear" w:color="auto" w:fill="FFFFFF"/>
        </w:rPr>
        <w:t xml:space="preserve"> rates.</w:t>
      </w:r>
      <w:r w:rsidRPr="00603E9D">
        <w:rPr>
          <w:rStyle w:val="apple-converted-space"/>
          <w:color w:val="000000" w:themeColor="text1"/>
          <w:sz w:val="24"/>
          <w:szCs w:val="24"/>
          <w:shd w:val="clear" w:color="auto" w:fill="FFFFFF"/>
        </w:rPr>
        <w:t> </w:t>
      </w:r>
      <w:r w:rsidRPr="00603E9D">
        <w:rPr>
          <w:bCs/>
          <w:i/>
          <w:color w:val="000000" w:themeColor="text1"/>
          <w:sz w:val="24"/>
          <w:szCs w:val="24"/>
          <w:shd w:val="clear" w:color="auto" w:fill="FFFFFF"/>
          <w:lang w:val="en-US"/>
        </w:rPr>
        <w:t>WP, Stern School of Business, New York</w:t>
      </w:r>
      <w:r w:rsidRPr="00603E9D">
        <w:rPr>
          <w:color w:val="000000" w:themeColor="text1"/>
          <w:sz w:val="24"/>
          <w:szCs w:val="24"/>
          <w:shd w:val="clear" w:color="auto" w:fill="FFFFFF"/>
          <w:lang w:val="en-US"/>
        </w:rPr>
        <w:t>.</w:t>
      </w:r>
    </w:p>
    <w:p w14:paraId="6571C34A"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shd w:val="clear" w:color="auto" w:fill="FFFFFF"/>
        </w:rPr>
        <w:t>Damodaran, A</w:t>
      </w:r>
      <w:r w:rsidRPr="00603E9D">
        <w:rPr>
          <w:color w:val="000000" w:themeColor="text1"/>
          <w:sz w:val="24"/>
          <w:szCs w:val="24"/>
          <w:shd w:val="clear" w:color="auto" w:fill="FFFFFF"/>
          <w:lang w:val="en-US"/>
        </w:rPr>
        <w:t>. (2009). Volatility rules: Valuing emerging market companies.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Available at SSRN 1609797</w:t>
      </w:r>
      <w:r w:rsidRPr="00603E9D">
        <w:rPr>
          <w:color w:val="000000" w:themeColor="text1"/>
          <w:sz w:val="24"/>
          <w:szCs w:val="24"/>
          <w:shd w:val="clear" w:color="auto" w:fill="FFFFFF"/>
          <w:lang w:val="en-US"/>
        </w:rPr>
        <w:t>.</w:t>
      </w:r>
    </w:p>
    <w:p w14:paraId="585DD0D3"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shd w:val="clear" w:color="auto" w:fill="FFFFFF"/>
        </w:rPr>
        <w:t>Damodaran, A</w:t>
      </w:r>
      <w:r w:rsidRPr="00603E9D">
        <w:rPr>
          <w:color w:val="000000" w:themeColor="text1"/>
          <w:sz w:val="24"/>
          <w:szCs w:val="24"/>
          <w:shd w:val="clear" w:color="auto" w:fill="FFFFFF"/>
          <w:lang w:val="en-US"/>
        </w:rPr>
        <w:t xml:space="preserve">. (2008). What is the </w:t>
      </w:r>
      <w:proofErr w:type="spellStart"/>
      <w:r w:rsidRPr="00603E9D">
        <w:rPr>
          <w:color w:val="000000" w:themeColor="text1"/>
          <w:sz w:val="24"/>
          <w:szCs w:val="24"/>
          <w:shd w:val="clear" w:color="auto" w:fill="FFFFFF"/>
          <w:lang w:val="en-US"/>
        </w:rPr>
        <w:t>riskfree</w:t>
      </w:r>
      <w:proofErr w:type="spellEnd"/>
      <w:r w:rsidRPr="00603E9D">
        <w:rPr>
          <w:color w:val="000000" w:themeColor="text1"/>
          <w:sz w:val="24"/>
          <w:szCs w:val="24"/>
          <w:shd w:val="clear" w:color="auto" w:fill="FFFFFF"/>
          <w:lang w:val="en-US"/>
        </w:rPr>
        <w:t xml:space="preserve"> rate? A Search for the Basic Building Block.</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A Search for the Basic Building Block (December 14, 2008)</w:t>
      </w:r>
      <w:r w:rsidRPr="00603E9D">
        <w:rPr>
          <w:color w:val="000000" w:themeColor="text1"/>
          <w:sz w:val="24"/>
          <w:szCs w:val="24"/>
          <w:shd w:val="clear" w:color="auto" w:fill="FFFFFF"/>
          <w:lang w:val="en-US"/>
        </w:rPr>
        <w:t>.</w:t>
      </w:r>
    </w:p>
    <w:p w14:paraId="22211635"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Estrada, J. (2002). Systematic risk in emerging markets: the D-CAPM.</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Emerging Markets Review</w:t>
      </w:r>
      <w:r w:rsidRPr="00603E9D">
        <w:rPr>
          <w:color w:val="000000" w:themeColor="text1"/>
          <w:sz w:val="24"/>
          <w:szCs w:val="24"/>
          <w:shd w:val="clear" w:color="auto" w:fill="FFFFFF"/>
          <w:lang w:val="en-US"/>
        </w:rPr>
        <w:t>, 3(4), 365-379.</w:t>
      </w:r>
    </w:p>
    <w:p w14:paraId="6A5DA3C7"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lang w:val="en-US"/>
        </w:rPr>
        <w:t>Fama</w:t>
      </w:r>
      <w:proofErr w:type="spellEnd"/>
      <w:r w:rsidRPr="00603E9D">
        <w:rPr>
          <w:color w:val="000000" w:themeColor="text1"/>
          <w:sz w:val="24"/>
          <w:szCs w:val="24"/>
          <w:shd w:val="clear" w:color="auto" w:fill="FFFFFF"/>
          <w:lang w:val="en-US"/>
        </w:rPr>
        <w:t>, E. F. &amp; French, K. R. (1993). Common risk factors in the returns on stocks and bonds.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Journal of financial economics</w:t>
      </w:r>
      <w:r w:rsidRPr="00603E9D">
        <w:rPr>
          <w:color w:val="000000" w:themeColor="text1"/>
          <w:sz w:val="24"/>
          <w:szCs w:val="24"/>
          <w:shd w:val="clear" w:color="auto" w:fill="FFFFFF"/>
          <w:lang w:val="en-US"/>
        </w:rPr>
        <w:t>, 33(1), 3-56.</w:t>
      </w:r>
    </w:p>
    <w:p w14:paraId="2560EFCC"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lang w:val="en-US"/>
        </w:rPr>
        <w:t>Fama</w:t>
      </w:r>
      <w:proofErr w:type="spellEnd"/>
      <w:r w:rsidRPr="00603E9D">
        <w:rPr>
          <w:color w:val="000000" w:themeColor="text1"/>
          <w:sz w:val="24"/>
          <w:szCs w:val="24"/>
          <w:shd w:val="clear" w:color="auto" w:fill="FFFFFF"/>
          <w:lang w:val="en-US"/>
        </w:rPr>
        <w:t>, E. F. &amp; French, K. R. (2015). International tests of a five-factor asset pricing model.</w:t>
      </w:r>
      <w:r w:rsidRPr="00603E9D">
        <w:rPr>
          <w:rStyle w:val="apple-converted-space"/>
          <w:color w:val="000000" w:themeColor="text1"/>
          <w:sz w:val="24"/>
          <w:szCs w:val="24"/>
          <w:shd w:val="clear" w:color="auto" w:fill="FFFFFF"/>
          <w:lang w:val="en-US"/>
        </w:rPr>
        <w:t> </w:t>
      </w:r>
      <w:proofErr w:type="spellStart"/>
      <w:r w:rsidRPr="00603E9D">
        <w:rPr>
          <w:bCs/>
          <w:i/>
          <w:color w:val="000000" w:themeColor="text1"/>
          <w:sz w:val="24"/>
          <w:szCs w:val="24"/>
          <w:shd w:val="clear" w:color="auto" w:fill="FFFFFF"/>
          <w:lang w:val="en-US"/>
        </w:rPr>
        <w:t>Fama</w:t>
      </w:r>
      <w:proofErr w:type="spellEnd"/>
      <w:r w:rsidRPr="00603E9D">
        <w:rPr>
          <w:bCs/>
          <w:i/>
          <w:color w:val="000000" w:themeColor="text1"/>
          <w:sz w:val="24"/>
          <w:szCs w:val="24"/>
          <w:shd w:val="clear" w:color="auto" w:fill="FFFFFF"/>
          <w:lang w:val="en-US"/>
        </w:rPr>
        <w:t>-Miller Working Paper</w:t>
      </w:r>
      <w:r w:rsidRPr="00603E9D">
        <w:rPr>
          <w:color w:val="000000" w:themeColor="text1"/>
          <w:sz w:val="24"/>
          <w:szCs w:val="24"/>
          <w:shd w:val="clear" w:color="auto" w:fill="FFFFFF"/>
          <w:lang w:val="en-US"/>
        </w:rPr>
        <w:t>.</w:t>
      </w:r>
    </w:p>
    <w:p w14:paraId="12DC2B2C"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lang w:val="en-US"/>
        </w:rPr>
        <w:t>Fu, F. (2009). Idiosyncratic risk and the cross-section of expected stock returns. </w:t>
      </w:r>
      <w:r w:rsidRPr="00603E9D">
        <w:rPr>
          <w:bCs/>
          <w:i/>
          <w:color w:val="000000" w:themeColor="text1"/>
          <w:sz w:val="24"/>
          <w:szCs w:val="24"/>
        </w:rPr>
        <w:t xml:space="preserve">Journal </w:t>
      </w:r>
      <w:proofErr w:type="spellStart"/>
      <w:r w:rsidRPr="00603E9D">
        <w:rPr>
          <w:bCs/>
          <w:i/>
          <w:color w:val="000000" w:themeColor="text1"/>
          <w:sz w:val="24"/>
          <w:szCs w:val="24"/>
        </w:rPr>
        <w:t>of</w:t>
      </w:r>
      <w:proofErr w:type="spellEnd"/>
      <w:r w:rsidRPr="00603E9D">
        <w:rPr>
          <w:bCs/>
          <w:i/>
          <w:color w:val="000000" w:themeColor="text1"/>
          <w:sz w:val="24"/>
          <w:szCs w:val="24"/>
        </w:rPr>
        <w:t xml:space="preserve"> Financial </w:t>
      </w:r>
      <w:proofErr w:type="spellStart"/>
      <w:r w:rsidRPr="00603E9D">
        <w:rPr>
          <w:bCs/>
          <w:i/>
          <w:color w:val="000000" w:themeColor="text1"/>
          <w:sz w:val="24"/>
          <w:szCs w:val="24"/>
        </w:rPr>
        <w:t>Economics</w:t>
      </w:r>
      <w:proofErr w:type="spellEnd"/>
      <w:r w:rsidRPr="00603E9D">
        <w:rPr>
          <w:color w:val="000000" w:themeColor="text1"/>
          <w:sz w:val="24"/>
          <w:szCs w:val="24"/>
        </w:rPr>
        <w:t>, 91(1), 24-37.</w:t>
      </w:r>
    </w:p>
    <w:p w14:paraId="2370E418"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rPr>
        <w:t xml:space="preserve">Junior, F. H. F. C. &amp; </w:t>
      </w:r>
      <w:proofErr w:type="spellStart"/>
      <w:r w:rsidRPr="00603E9D">
        <w:rPr>
          <w:color w:val="000000" w:themeColor="text1"/>
          <w:sz w:val="24"/>
          <w:szCs w:val="24"/>
        </w:rPr>
        <w:t>Yoshinaga</w:t>
      </w:r>
      <w:proofErr w:type="spellEnd"/>
      <w:r w:rsidRPr="00603E9D">
        <w:rPr>
          <w:color w:val="000000" w:themeColor="text1"/>
          <w:sz w:val="24"/>
          <w:szCs w:val="24"/>
        </w:rPr>
        <w:t xml:space="preserve">, C. E. (2012). </w:t>
      </w:r>
      <w:proofErr w:type="spellStart"/>
      <w:r w:rsidRPr="00603E9D">
        <w:rPr>
          <w:color w:val="000000" w:themeColor="text1"/>
          <w:sz w:val="24"/>
          <w:szCs w:val="24"/>
        </w:rPr>
        <w:t>Coassimetria</w:t>
      </w:r>
      <w:proofErr w:type="spellEnd"/>
      <w:r w:rsidRPr="00603E9D">
        <w:rPr>
          <w:color w:val="000000" w:themeColor="text1"/>
          <w:sz w:val="24"/>
          <w:szCs w:val="24"/>
        </w:rPr>
        <w:t xml:space="preserve">, </w:t>
      </w:r>
      <w:proofErr w:type="spellStart"/>
      <w:r w:rsidRPr="00603E9D">
        <w:rPr>
          <w:color w:val="000000" w:themeColor="text1"/>
          <w:sz w:val="24"/>
          <w:szCs w:val="24"/>
        </w:rPr>
        <w:t>cocurtose</w:t>
      </w:r>
      <w:proofErr w:type="spellEnd"/>
      <w:r w:rsidRPr="00603E9D">
        <w:rPr>
          <w:color w:val="000000" w:themeColor="text1"/>
          <w:sz w:val="24"/>
          <w:szCs w:val="24"/>
        </w:rPr>
        <w:t xml:space="preserve"> e as taxas de retorno das ações: uma análise com dados em painel. </w:t>
      </w:r>
      <w:r w:rsidRPr="00603E9D">
        <w:rPr>
          <w:i/>
          <w:color w:val="000000" w:themeColor="text1"/>
          <w:sz w:val="24"/>
          <w:szCs w:val="24"/>
          <w:lang w:val="en-US"/>
        </w:rPr>
        <w:t xml:space="preserve">Revista de </w:t>
      </w:r>
      <w:proofErr w:type="spellStart"/>
      <w:r w:rsidRPr="00603E9D">
        <w:rPr>
          <w:i/>
          <w:color w:val="000000" w:themeColor="text1"/>
          <w:sz w:val="24"/>
          <w:szCs w:val="24"/>
          <w:lang w:val="en-US"/>
        </w:rPr>
        <w:t>Administração</w:t>
      </w:r>
      <w:proofErr w:type="spellEnd"/>
      <w:r w:rsidRPr="00603E9D">
        <w:rPr>
          <w:i/>
          <w:color w:val="000000" w:themeColor="text1"/>
          <w:sz w:val="24"/>
          <w:szCs w:val="24"/>
          <w:lang w:val="en-US"/>
        </w:rPr>
        <w:t xml:space="preserve"> Mackenzie</w:t>
      </w:r>
      <w:r w:rsidRPr="00603E9D">
        <w:rPr>
          <w:color w:val="000000" w:themeColor="text1"/>
          <w:sz w:val="24"/>
          <w:szCs w:val="24"/>
          <w:lang w:val="en-US"/>
        </w:rPr>
        <w:t>, 13(1), 110.</w:t>
      </w:r>
    </w:p>
    <w:p w14:paraId="3CEB2D88"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 xml:space="preserve">Kearney, C. &amp; </w:t>
      </w:r>
      <w:proofErr w:type="spellStart"/>
      <w:r w:rsidRPr="00603E9D">
        <w:rPr>
          <w:color w:val="000000" w:themeColor="text1"/>
          <w:sz w:val="24"/>
          <w:szCs w:val="24"/>
          <w:shd w:val="clear" w:color="auto" w:fill="FFFFFF"/>
          <w:lang w:val="en-US"/>
        </w:rPr>
        <w:t>Potì</w:t>
      </w:r>
      <w:proofErr w:type="spellEnd"/>
      <w:r w:rsidRPr="00603E9D">
        <w:rPr>
          <w:color w:val="000000" w:themeColor="text1"/>
          <w:sz w:val="24"/>
          <w:szCs w:val="24"/>
          <w:shd w:val="clear" w:color="auto" w:fill="FFFFFF"/>
          <w:lang w:val="en-US"/>
        </w:rPr>
        <w:t>, V. (2008). Have European stocks become more volatile? An empirical investigation of idiosyncratic and market risk in the euro area.</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European Financial Management</w:t>
      </w:r>
      <w:r w:rsidRPr="00603E9D">
        <w:rPr>
          <w:color w:val="000000" w:themeColor="text1"/>
          <w:sz w:val="24"/>
          <w:szCs w:val="24"/>
          <w:shd w:val="clear" w:color="auto" w:fill="FFFFFF"/>
          <w:lang w:val="en-US"/>
        </w:rPr>
        <w:t>, 14(3), 419-44.</w:t>
      </w:r>
    </w:p>
    <w:p w14:paraId="253E98D1"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lang w:val="en-US"/>
        </w:rPr>
        <w:lastRenderedPageBreak/>
        <w:t xml:space="preserve">Li, K., </w:t>
      </w:r>
      <w:proofErr w:type="spellStart"/>
      <w:r w:rsidRPr="00603E9D">
        <w:rPr>
          <w:color w:val="000000" w:themeColor="text1"/>
          <w:sz w:val="24"/>
          <w:szCs w:val="24"/>
          <w:lang w:val="en-US"/>
        </w:rPr>
        <w:t>Morck</w:t>
      </w:r>
      <w:proofErr w:type="spellEnd"/>
      <w:r w:rsidRPr="00603E9D">
        <w:rPr>
          <w:color w:val="000000" w:themeColor="text1"/>
          <w:sz w:val="24"/>
          <w:szCs w:val="24"/>
          <w:lang w:val="en-US"/>
        </w:rPr>
        <w:t xml:space="preserve">, R., Yang, F. &amp; Yeung, B. (2004). Firm-specific variation and openness in emerging markets. </w:t>
      </w:r>
      <w:r w:rsidRPr="00603E9D">
        <w:rPr>
          <w:i/>
          <w:color w:val="000000" w:themeColor="text1"/>
          <w:sz w:val="24"/>
          <w:szCs w:val="24"/>
          <w:lang w:val="en-US"/>
        </w:rPr>
        <w:t>Review of Economics and Statistics</w:t>
      </w:r>
      <w:r w:rsidRPr="00603E9D">
        <w:rPr>
          <w:color w:val="000000" w:themeColor="text1"/>
          <w:sz w:val="24"/>
          <w:szCs w:val="24"/>
          <w:lang w:val="en-US"/>
        </w:rPr>
        <w:t>, 86(3), 658-669.</w:t>
      </w:r>
    </w:p>
    <w:p w14:paraId="6D795EAB" w14:textId="77777777" w:rsidR="00C550BB" w:rsidRPr="00603E9D" w:rsidRDefault="00C550BB" w:rsidP="00ED3CF6">
      <w:pPr>
        <w:spacing w:after="60"/>
        <w:jc w:val="both"/>
        <w:rPr>
          <w:color w:val="000000" w:themeColor="text1"/>
          <w:sz w:val="24"/>
          <w:szCs w:val="24"/>
          <w:lang w:val="en-US"/>
        </w:rPr>
      </w:pPr>
      <w:proofErr w:type="spellStart"/>
      <w:r w:rsidRPr="00603E9D">
        <w:rPr>
          <w:color w:val="000000" w:themeColor="text1"/>
          <w:sz w:val="24"/>
          <w:szCs w:val="24"/>
          <w:lang w:val="en-US"/>
        </w:rPr>
        <w:t>Lintner</w:t>
      </w:r>
      <w:proofErr w:type="spellEnd"/>
      <w:r w:rsidRPr="00603E9D">
        <w:rPr>
          <w:color w:val="000000" w:themeColor="text1"/>
          <w:sz w:val="24"/>
          <w:szCs w:val="24"/>
          <w:lang w:val="en-US"/>
        </w:rPr>
        <w:t xml:space="preserve">, J. (1965). The valuation of risk assets and the selection of risky investments in stock portfolios and capital budgets. </w:t>
      </w:r>
      <w:r w:rsidRPr="00603E9D">
        <w:rPr>
          <w:i/>
          <w:color w:val="000000" w:themeColor="text1"/>
          <w:sz w:val="24"/>
          <w:szCs w:val="24"/>
          <w:lang w:val="en-US"/>
        </w:rPr>
        <w:t>The review of economics and statistics</w:t>
      </w:r>
      <w:r w:rsidRPr="00603E9D">
        <w:rPr>
          <w:color w:val="000000" w:themeColor="text1"/>
          <w:sz w:val="24"/>
          <w:szCs w:val="24"/>
          <w:lang w:val="en-US"/>
        </w:rPr>
        <w:t>, 13-37.</w:t>
      </w:r>
    </w:p>
    <w:p w14:paraId="6431B0AB" w14:textId="77777777" w:rsidR="00C550BB" w:rsidRPr="00603E9D" w:rsidRDefault="00C550BB" w:rsidP="00ED3CF6">
      <w:pPr>
        <w:spacing w:after="60"/>
        <w:jc w:val="both"/>
        <w:rPr>
          <w:color w:val="000000" w:themeColor="text1"/>
          <w:sz w:val="24"/>
          <w:szCs w:val="24"/>
          <w:lang w:val="en-US"/>
        </w:rPr>
      </w:pPr>
      <w:proofErr w:type="spellStart"/>
      <w:r w:rsidRPr="00603E9D">
        <w:rPr>
          <w:color w:val="000000" w:themeColor="text1"/>
          <w:sz w:val="24"/>
          <w:szCs w:val="24"/>
          <w:shd w:val="clear" w:color="auto" w:fill="FFFFFF"/>
          <w:lang w:val="en-US"/>
        </w:rPr>
        <w:t>Luzina</w:t>
      </w:r>
      <w:proofErr w:type="spellEnd"/>
      <w:r w:rsidRPr="00603E9D">
        <w:rPr>
          <w:color w:val="000000" w:themeColor="text1"/>
          <w:sz w:val="24"/>
          <w:szCs w:val="24"/>
          <w:shd w:val="clear" w:color="auto" w:fill="FFFFFF"/>
          <w:lang w:val="en-US"/>
        </w:rPr>
        <w:t xml:space="preserve">, D. &amp; </w:t>
      </w:r>
      <w:proofErr w:type="spellStart"/>
      <w:r w:rsidRPr="00603E9D">
        <w:rPr>
          <w:color w:val="000000" w:themeColor="text1"/>
          <w:sz w:val="24"/>
          <w:szCs w:val="24"/>
          <w:shd w:val="clear" w:color="auto" w:fill="FFFFFF"/>
          <w:lang w:val="en-US"/>
        </w:rPr>
        <w:t>Rogova</w:t>
      </w:r>
      <w:proofErr w:type="spellEnd"/>
      <w:r w:rsidRPr="00603E9D">
        <w:rPr>
          <w:color w:val="000000" w:themeColor="text1"/>
          <w:sz w:val="24"/>
          <w:szCs w:val="24"/>
          <w:shd w:val="clear" w:color="auto" w:fill="FFFFFF"/>
          <w:lang w:val="en-US"/>
        </w:rPr>
        <w:t>, E. (2015). The Effect of Mergers and Acquisitions on Companies’ Fundamental Values in Emerging Capital Markets (The Case of BRICS). In:</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GSOM Emerging Markets Conference</w:t>
      </w:r>
      <w:r w:rsidRPr="00603E9D">
        <w:rPr>
          <w:color w:val="000000" w:themeColor="text1"/>
          <w:sz w:val="24"/>
          <w:szCs w:val="24"/>
          <w:shd w:val="clear" w:color="auto" w:fill="FFFFFF"/>
          <w:lang w:val="en-US"/>
        </w:rPr>
        <w:t>.</w:t>
      </w:r>
    </w:p>
    <w:p w14:paraId="61537559"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lang w:val="en-US"/>
        </w:rPr>
        <w:t xml:space="preserve">Markowitz, H. (1952). Portfolio selection. </w:t>
      </w:r>
      <w:r w:rsidRPr="00603E9D">
        <w:rPr>
          <w:i/>
          <w:color w:val="000000" w:themeColor="text1"/>
          <w:sz w:val="24"/>
          <w:szCs w:val="24"/>
          <w:lang w:val="en-US"/>
        </w:rPr>
        <w:t>The journal of finance</w:t>
      </w:r>
      <w:r w:rsidRPr="00603E9D">
        <w:rPr>
          <w:color w:val="000000" w:themeColor="text1"/>
          <w:sz w:val="24"/>
          <w:szCs w:val="24"/>
          <w:lang w:val="en-US"/>
        </w:rPr>
        <w:t xml:space="preserve">, 7(1), 77-91. </w:t>
      </w:r>
    </w:p>
    <w:p w14:paraId="59C9C061"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rPr>
        <w:t xml:space="preserve">Martins, E. &amp; Assaf Neto, A. (1986). </w:t>
      </w:r>
      <w:r w:rsidRPr="00603E9D">
        <w:rPr>
          <w:i/>
          <w:color w:val="000000" w:themeColor="text1"/>
          <w:sz w:val="24"/>
          <w:szCs w:val="24"/>
        </w:rPr>
        <w:t>Administração financeira</w:t>
      </w:r>
      <w:r w:rsidRPr="00603E9D">
        <w:rPr>
          <w:color w:val="000000" w:themeColor="text1"/>
          <w:sz w:val="24"/>
          <w:szCs w:val="24"/>
        </w:rPr>
        <w:t>: as finanças das empresas sob condições inflacionárias. São Paulo: Atlas.</w:t>
      </w:r>
    </w:p>
    <w:p w14:paraId="2BE63C68"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rPr>
        <w:t xml:space="preserve">Mendonça, F. P. et al. (2012). A Relação entre Risco Idiossincrático e Retorno no Mercado Acionário Brasileiro/The </w:t>
      </w:r>
      <w:proofErr w:type="spellStart"/>
      <w:r w:rsidRPr="00603E9D">
        <w:rPr>
          <w:color w:val="000000" w:themeColor="text1"/>
          <w:sz w:val="24"/>
          <w:szCs w:val="24"/>
          <w:shd w:val="clear" w:color="auto" w:fill="FFFFFF"/>
        </w:rPr>
        <w:t>Relationship</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between</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Idiosyncratic</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Risk</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and</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Returns</w:t>
      </w:r>
      <w:proofErr w:type="spellEnd"/>
      <w:r w:rsidRPr="00603E9D">
        <w:rPr>
          <w:color w:val="000000" w:themeColor="text1"/>
          <w:sz w:val="24"/>
          <w:szCs w:val="24"/>
          <w:shd w:val="clear" w:color="auto" w:fill="FFFFFF"/>
        </w:rPr>
        <w:t xml:space="preserve"> in </w:t>
      </w:r>
      <w:proofErr w:type="spellStart"/>
      <w:r w:rsidRPr="00603E9D">
        <w:rPr>
          <w:color w:val="000000" w:themeColor="text1"/>
          <w:sz w:val="24"/>
          <w:szCs w:val="24"/>
          <w:shd w:val="clear" w:color="auto" w:fill="FFFFFF"/>
        </w:rPr>
        <w:t>the</w:t>
      </w:r>
      <w:proofErr w:type="spellEnd"/>
      <w:r w:rsidRPr="00603E9D">
        <w:rPr>
          <w:color w:val="000000" w:themeColor="text1"/>
          <w:sz w:val="24"/>
          <w:szCs w:val="24"/>
          <w:shd w:val="clear" w:color="auto" w:fill="FFFFFF"/>
        </w:rPr>
        <w:t xml:space="preserve"> </w:t>
      </w:r>
      <w:proofErr w:type="spellStart"/>
      <w:r w:rsidRPr="00603E9D">
        <w:rPr>
          <w:color w:val="000000" w:themeColor="text1"/>
          <w:sz w:val="24"/>
          <w:szCs w:val="24"/>
          <w:shd w:val="clear" w:color="auto" w:fill="FFFFFF"/>
        </w:rPr>
        <w:t>Brazilian</w:t>
      </w:r>
      <w:proofErr w:type="spellEnd"/>
      <w:r w:rsidRPr="00603E9D">
        <w:rPr>
          <w:color w:val="000000" w:themeColor="text1"/>
          <w:sz w:val="24"/>
          <w:szCs w:val="24"/>
          <w:shd w:val="clear" w:color="auto" w:fill="FFFFFF"/>
        </w:rPr>
        <w:t xml:space="preserve"> Stock Market.</w:t>
      </w:r>
      <w:r w:rsidRPr="00603E9D">
        <w:rPr>
          <w:rStyle w:val="apple-converted-space"/>
          <w:color w:val="000000" w:themeColor="text1"/>
          <w:sz w:val="24"/>
          <w:szCs w:val="24"/>
          <w:shd w:val="clear" w:color="auto" w:fill="FFFFFF"/>
        </w:rPr>
        <w:t> </w:t>
      </w:r>
      <w:r w:rsidRPr="00603E9D">
        <w:rPr>
          <w:bCs/>
          <w:i/>
          <w:color w:val="000000" w:themeColor="text1"/>
          <w:sz w:val="24"/>
          <w:szCs w:val="24"/>
          <w:shd w:val="clear" w:color="auto" w:fill="FFFFFF"/>
          <w:lang w:val="en-US"/>
        </w:rPr>
        <w:t xml:space="preserve">Revista </w:t>
      </w:r>
      <w:proofErr w:type="spellStart"/>
      <w:r w:rsidRPr="00603E9D">
        <w:rPr>
          <w:bCs/>
          <w:i/>
          <w:color w:val="000000" w:themeColor="text1"/>
          <w:sz w:val="24"/>
          <w:szCs w:val="24"/>
          <w:shd w:val="clear" w:color="auto" w:fill="FFFFFF"/>
          <w:lang w:val="en-US"/>
        </w:rPr>
        <w:t>Contabilidade</w:t>
      </w:r>
      <w:proofErr w:type="spellEnd"/>
      <w:r w:rsidRPr="00603E9D">
        <w:rPr>
          <w:bCs/>
          <w:i/>
          <w:color w:val="000000" w:themeColor="text1"/>
          <w:sz w:val="24"/>
          <w:szCs w:val="24"/>
          <w:shd w:val="clear" w:color="auto" w:fill="FFFFFF"/>
          <w:lang w:val="en-US"/>
        </w:rPr>
        <w:t xml:space="preserve"> &amp; </w:t>
      </w:r>
      <w:proofErr w:type="spellStart"/>
      <w:r w:rsidRPr="00603E9D">
        <w:rPr>
          <w:bCs/>
          <w:i/>
          <w:color w:val="000000" w:themeColor="text1"/>
          <w:sz w:val="24"/>
          <w:szCs w:val="24"/>
          <w:shd w:val="clear" w:color="auto" w:fill="FFFFFF"/>
          <w:lang w:val="en-US"/>
        </w:rPr>
        <w:t>Finanças</w:t>
      </w:r>
      <w:proofErr w:type="spellEnd"/>
      <w:r w:rsidRPr="00603E9D">
        <w:rPr>
          <w:color w:val="000000" w:themeColor="text1"/>
          <w:sz w:val="24"/>
          <w:szCs w:val="24"/>
          <w:shd w:val="clear" w:color="auto" w:fill="FFFFFF"/>
          <w:lang w:val="en-US"/>
        </w:rPr>
        <w:t>, 23(60), 246.</w:t>
      </w:r>
    </w:p>
    <w:p w14:paraId="3AA81C3A"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Merton, R. C. (1987). A simple model of capital market equilibrium with incomplete information.</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The journal of finance</w:t>
      </w:r>
      <w:r w:rsidRPr="00603E9D">
        <w:rPr>
          <w:color w:val="000000" w:themeColor="text1"/>
          <w:sz w:val="24"/>
          <w:szCs w:val="24"/>
          <w:shd w:val="clear" w:color="auto" w:fill="FFFFFF"/>
          <w:lang w:val="en-US"/>
        </w:rPr>
        <w:t>, 42(3), 483-510.</w:t>
      </w:r>
    </w:p>
    <w:p w14:paraId="5E4FAA9F" w14:textId="77777777" w:rsidR="00C550BB" w:rsidRPr="00603E9D" w:rsidRDefault="00C550BB" w:rsidP="00ED3CF6">
      <w:pPr>
        <w:spacing w:after="60"/>
        <w:jc w:val="both"/>
        <w:rPr>
          <w:color w:val="000000" w:themeColor="text1"/>
          <w:sz w:val="24"/>
          <w:szCs w:val="24"/>
          <w:lang w:val="en-US"/>
        </w:rPr>
      </w:pPr>
      <w:proofErr w:type="spellStart"/>
      <w:r w:rsidRPr="00603E9D">
        <w:rPr>
          <w:color w:val="000000" w:themeColor="text1"/>
          <w:sz w:val="24"/>
          <w:szCs w:val="24"/>
          <w:lang w:val="en-US"/>
        </w:rPr>
        <w:t>Morck</w:t>
      </w:r>
      <w:proofErr w:type="spellEnd"/>
      <w:r w:rsidRPr="00603E9D">
        <w:rPr>
          <w:color w:val="000000" w:themeColor="text1"/>
          <w:sz w:val="24"/>
          <w:szCs w:val="24"/>
          <w:lang w:val="en-US"/>
        </w:rPr>
        <w:t xml:space="preserve">, R., Yeung, B. &amp; Yu, W. (2000). The information content of stock markets: why do emerging markets have synchronous stock price movements?. </w:t>
      </w:r>
      <w:r w:rsidRPr="00603E9D">
        <w:rPr>
          <w:i/>
          <w:color w:val="000000" w:themeColor="text1"/>
          <w:sz w:val="24"/>
          <w:szCs w:val="24"/>
          <w:lang w:val="en-US"/>
        </w:rPr>
        <w:t>Journal of financial economics</w:t>
      </w:r>
      <w:r w:rsidRPr="00603E9D">
        <w:rPr>
          <w:color w:val="000000" w:themeColor="text1"/>
          <w:sz w:val="24"/>
          <w:szCs w:val="24"/>
          <w:lang w:val="en-US"/>
        </w:rPr>
        <w:t>, 58(1), 215-260.</w:t>
      </w:r>
    </w:p>
    <w:p w14:paraId="31516F87" w14:textId="77777777" w:rsidR="00C550BB" w:rsidRPr="00603E9D" w:rsidRDefault="00C550BB" w:rsidP="00ED3CF6">
      <w:pPr>
        <w:spacing w:after="60"/>
        <w:jc w:val="both"/>
        <w:rPr>
          <w:color w:val="000000" w:themeColor="text1"/>
          <w:sz w:val="24"/>
          <w:szCs w:val="24"/>
          <w:shd w:val="clear" w:color="auto" w:fill="FFFFFF"/>
          <w:lang w:val="en-US"/>
        </w:rPr>
      </w:pPr>
      <w:r w:rsidRPr="00603E9D">
        <w:rPr>
          <w:color w:val="000000" w:themeColor="text1"/>
          <w:sz w:val="24"/>
          <w:szCs w:val="24"/>
          <w:shd w:val="clear" w:color="auto" w:fill="FFFFFF"/>
          <w:lang w:val="en-US"/>
        </w:rPr>
        <w:t>Othman, R. &amp; Ameer, R. (2009). Market risk disclosure: evidence from Malaysian listed firms.</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Journal of Financial Regulation and compliance</w:t>
      </w:r>
      <w:r w:rsidRPr="00603E9D">
        <w:rPr>
          <w:color w:val="000000" w:themeColor="text1"/>
          <w:sz w:val="24"/>
          <w:szCs w:val="24"/>
          <w:shd w:val="clear" w:color="auto" w:fill="FFFFFF"/>
          <w:lang w:val="en-US"/>
        </w:rPr>
        <w:t>, 17(1), 57-69.</w:t>
      </w:r>
    </w:p>
    <w:p w14:paraId="1C3058C0"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lang w:val="en-US"/>
        </w:rPr>
        <w:t>Rachwalski</w:t>
      </w:r>
      <w:proofErr w:type="spellEnd"/>
      <w:r w:rsidRPr="00603E9D">
        <w:rPr>
          <w:color w:val="000000" w:themeColor="text1"/>
          <w:sz w:val="24"/>
          <w:szCs w:val="24"/>
          <w:shd w:val="clear" w:color="auto" w:fill="FFFFFF"/>
          <w:lang w:val="en-US"/>
        </w:rPr>
        <w:t>, M. &amp; Wen, Q. (2016). Idiosyncratic risk innovations and the idiosyncratic risk-return relation.</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Review of Asset Pricing Studies</w:t>
      </w:r>
      <w:r w:rsidRPr="00603E9D">
        <w:rPr>
          <w:color w:val="000000" w:themeColor="text1"/>
          <w:sz w:val="24"/>
          <w:szCs w:val="24"/>
          <w:shd w:val="clear" w:color="auto" w:fill="FFFFFF"/>
          <w:lang w:val="en-US"/>
        </w:rPr>
        <w:t>, raw002.</w:t>
      </w:r>
    </w:p>
    <w:p w14:paraId="05C974E7" w14:textId="77777777" w:rsidR="00C550BB" w:rsidRPr="00603E9D" w:rsidRDefault="00C550BB" w:rsidP="00ED3CF6">
      <w:pPr>
        <w:spacing w:after="60"/>
        <w:jc w:val="both"/>
        <w:rPr>
          <w:color w:val="000000" w:themeColor="text1"/>
          <w:sz w:val="24"/>
          <w:szCs w:val="24"/>
          <w:shd w:val="clear" w:color="auto" w:fill="FFFFFF"/>
          <w:lang w:val="en-US"/>
        </w:rPr>
      </w:pPr>
      <w:proofErr w:type="spellStart"/>
      <w:r w:rsidRPr="00603E9D">
        <w:rPr>
          <w:color w:val="000000" w:themeColor="text1"/>
          <w:sz w:val="24"/>
          <w:szCs w:val="24"/>
          <w:shd w:val="clear" w:color="auto" w:fill="FFFFFF"/>
          <w:lang w:val="en-US"/>
        </w:rPr>
        <w:t>Roggi</w:t>
      </w:r>
      <w:proofErr w:type="spellEnd"/>
      <w:r w:rsidRPr="00603E9D">
        <w:rPr>
          <w:color w:val="000000" w:themeColor="text1"/>
          <w:sz w:val="24"/>
          <w:szCs w:val="24"/>
          <w:shd w:val="clear" w:color="auto" w:fill="FFFFFF"/>
          <w:lang w:val="en-US"/>
        </w:rPr>
        <w:t xml:space="preserve">, O., </w:t>
      </w:r>
      <w:proofErr w:type="spellStart"/>
      <w:r w:rsidRPr="00603E9D">
        <w:rPr>
          <w:color w:val="000000" w:themeColor="text1"/>
          <w:sz w:val="24"/>
          <w:szCs w:val="24"/>
          <w:shd w:val="clear" w:color="auto" w:fill="FFFFFF"/>
          <w:lang w:val="en-US"/>
        </w:rPr>
        <w:t>Damodaran</w:t>
      </w:r>
      <w:proofErr w:type="spellEnd"/>
      <w:r w:rsidRPr="00603E9D">
        <w:rPr>
          <w:color w:val="000000" w:themeColor="text1"/>
          <w:sz w:val="24"/>
          <w:szCs w:val="24"/>
          <w:shd w:val="clear" w:color="auto" w:fill="FFFFFF"/>
          <w:lang w:val="en-US"/>
        </w:rPr>
        <w:t>, A. &amp; Garvey, M. (2012). Risk Taking: A Corporate Governance Perspective.</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lang w:val="en-US"/>
        </w:rPr>
        <w:t>Available at SSRN 2556159</w:t>
      </w:r>
      <w:r w:rsidRPr="00603E9D">
        <w:rPr>
          <w:color w:val="000000" w:themeColor="text1"/>
          <w:sz w:val="24"/>
          <w:szCs w:val="24"/>
          <w:shd w:val="clear" w:color="auto" w:fill="FFFFFF"/>
          <w:lang w:val="en-US"/>
        </w:rPr>
        <w:t>.</w:t>
      </w:r>
    </w:p>
    <w:p w14:paraId="1C966968" w14:textId="77777777" w:rsidR="00C550BB" w:rsidRPr="00603E9D" w:rsidRDefault="00C550BB" w:rsidP="00ED3CF6">
      <w:pPr>
        <w:spacing w:after="60"/>
        <w:jc w:val="both"/>
        <w:rPr>
          <w:color w:val="000000" w:themeColor="text1"/>
          <w:sz w:val="24"/>
          <w:szCs w:val="24"/>
          <w:shd w:val="clear" w:color="auto" w:fill="FFFFFF"/>
        </w:rPr>
      </w:pPr>
      <w:proofErr w:type="spellStart"/>
      <w:r w:rsidRPr="00603E9D">
        <w:rPr>
          <w:color w:val="000000" w:themeColor="text1"/>
          <w:sz w:val="24"/>
          <w:szCs w:val="24"/>
          <w:shd w:val="clear" w:color="auto" w:fill="FFFFFF"/>
          <w:lang w:val="en-US"/>
        </w:rPr>
        <w:t>Roggi</w:t>
      </w:r>
      <w:proofErr w:type="spellEnd"/>
      <w:r w:rsidRPr="00603E9D">
        <w:rPr>
          <w:color w:val="000000" w:themeColor="text1"/>
          <w:sz w:val="24"/>
          <w:szCs w:val="24"/>
          <w:shd w:val="clear" w:color="auto" w:fill="FFFFFF"/>
          <w:lang w:val="en-US"/>
        </w:rPr>
        <w:t xml:space="preserve">, O., </w:t>
      </w:r>
      <w:proofErr w:type="spellStart"/>
      <w:r w:rsidRPr="00603E9D">
        <w:rPr>
          <w:color w:val="000000" w:themeColor="text1"/>
          <w:sz w:val="24"/>
          <w:szCs w:val="24"/>
          <w:shd w:val="clear" w:color="auto" w:fill="FFFFFF"/>
          <w:lang w:val="en-US"/>
        </w:rPr>
        <w:t>Giannozzi</w:t>
      </w:r>
      <w:proofErr w:type="spellEnd"/>
      <w:r w:rsidRPr="00603E9D">
        <w:rPr>
          <w:color w:val="000000" w:themeColor="text1"/>
          <w:sz w:val="24"/>
          <w:szCs w:val="24"/>
          <w:shd w:val="clear" w:color="auto" w:fill="FFFFFF"/>
          <w:lang w:val="en-US"/>
        </w:rPr>
        <w:t xml:space="preserve">, A. &amp; </w:t>
      </w:r>
      <w:proofErr w:type="spellStart"/>
      <w:r w:rsidRPr="00603E9D">
        <w:rPr>
          <w:color w:val="000000" w:themeColor="text1"/>
          <w:sz w:val="24"/>
          <w:szCs w:val="24"/>
          <w:shd w:val="clear" w:color="auto" w:fill="FFFFFF"/>
          <w:lang w:val="en-US"/>
        </w:rPr>
        <w:t>Baglioni</w:t>
      </w:r>
      <w:proofErr w:type="spellEnd"/>
      <w:r w:rsidRPr="00603E9D">
        <w:rPr>
          <w:color w:val="000000" w:themeColor="text1"/>
          <w:sz w:val="24"/>
          <w:szCs w:val="24"/>
          <w:shd w:val="clear" w:color="auto" w:fill="FFFFFF"/>
          <w:lang w:val="en-US"/>
        </w:rPr>
        <w:t xml:space="preserve">, T. (2016). </w:t>
      </w:r>
      <w:r w:rsidRPr="00603E9D">
        <w:rPr>
          <w:i/>
          <w:color w:val="000000" w:themeColor="text1"/>
          <w:sz w:val="24"/>
          <w:szCs w:val="24"/>
          <w:shd w:val="clear" w:color="auto" w:fill="FFFFFF"/>
          <w:lang w:val="en-US"/>
        </w:rPr>
        <w:t>Valuing emerging markets companies</w:t>
      </w:r>
      <w:r w:rsidRPr="00603E9D">
        <w:rPr>
          <w:color w:val="000000" w:themeColor="text1"/>
          <w:sz w:val="24"/>
          <w:szCs w:val="24"/>
          <w:shd w:val="clear" w:color="auto" w:fill="FFFFFF"/>
          <w:lang w:val="en-US"/>
        </w:rPr>
        <w:t>: new approaches to determine the effective exposure to country risk</w:t>
      </w:r>
      <w:r w:rsidRPr="00603E9D">
        <w:rPr>
          <w:color w:val="000000" w:themeColor="text1"/>
          <w:sz w:val="24"/>
          <w:szCs w:val="24"/>
          <w:shd w:val="clear" w:color="auto" w:fill="FFFFFF"/>
        </w:rPr>
        <w:t>.</w:t>
      </w:r>
    </w:p>
    <w:p w14:paraId="51568A0E"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rPr>
        <w:t xml:space="preserve">Ross, S. A., </w:t>
      </w:r>
      <w:proofErr w:type="spellStart"/>
      <w:r w:rsidRPr="00603E9D">
        <w:rPr>
          <w:color w:val="000000" w:themeColor="text1"/>
          <w:sz w:val="24"/>
          <w:szCs w:val="24"/>
        </w:rPr>
        <w:t>Westerfield</w:t>
      </w:r>
      <w:proofErr w:type="spellEnd"/>
      <w:r w:rsidRPr="00603E9D">
        <w:rPr>
          <w:color w:val="000000" w:themeColor="text1"/>
          <w:sz w:val="24"/>
          <w:szCs w:val="24"/>
        </w:rPr>
        <w:t xml:space="preserve">, R. W. &amp; </w:t>
      </w:r>
      <w:proofErr w:type="spellStart"/>
      <w:r w:rsidRPr="00603E9D">
        <w:rPr>
          <w:color w:val="000000" w:themeColor="text1"/>
          <w:sz w:val="24"/>
          <w:szCs w:val="24"/>
        </w:rPr>
        <w:t>Jaffe</w:t>
      </w:r>
      <w:proofErr w:type="spellEnd"/>
      <w:r w:rsidRPr="00603E9D">
        <w:rPr>
          <w:color w:val="000000" w:themeColor="text1"/>
          <w:sz w:val="24"/>
          <w:szCs w:val="24"/>
        </w:rPr>
        <w:t xml:space="preserve">, J. F. (1995). </w:t>
      </w:r>
      <w:r w:rsidRPr="00603E9D">
        <w:rPr>
          <w:i/>
          <w:color w:val="000000" w:themeColor="text1"/>
          <w:sz w:val="24"/>
          <w:szCs w:val="24"/>
        </w:rPr>
        <w:t>Administração financeira:</w:t>
      </w:r>
      <w:r w:rsidRPr="00603E9D">
        <w:rPr>
          <w:color w:val="000000" w:themeColor="text1"/>
          <w:sz w:val="24"/>
          <w:szCs w:val="24"/>
        </w:rPr>
        <w:t xml:space="preserve"> </w:t>
      </w:r>
      <w:proofErr w:type="spellStart"/>
      <w:r w:rsidRPr="00603E9D">
        <w:rPr>
          <w:color w:val="000000" w:themeColor="text1"/>
          <w:sz w:val="24"/>
          <w:szCs w:val="24"/>
        </w:rPr>
        <w:t>corporate</w:t>
      </w:r>
      <w:proofErr w:type="spellEnd"/>
      <w:r w:rsidRPr="00603E9D">
        <w:rPr>
          <w:color w:val="000000" w:themeColor="text1"/>
          <w:sz w:val="24"/>
          <w:szCs w:val="24"/>
        </w:rPr>
        <w:t xml:space="preserve"> </w:t>
      </w:r>
      <w:proofErr w:type="spellStart"/>
      <w:r w:rsidRPr="00603E9D">
        <w:rPr>
          <w:color w:val="000000" w:themeColor="text1"/>
          <w:sz w:val="24"/>
          <w:szCs w:val="24"/>
        </w:rPr>
        <w:t>finance</w:t>
      </w:r>
      <w:proofErr w:type="spellEnd"/>
      <w:r w:rsidRPr="00603E9D">
        <w:rPr>
          <w:color w:val="000000" w:themeColor="text1"/>
          <w:sz w:val="24"/>
          <w:szCs w:val="24"/>
        </w:rPr>
        <w:t xml:space="preserve">. Tradução de </w:t>
      </w:r>
      <w:proofErr w:type="spellStart"/>
      <w:r w:rsidRPr="00603E9D">
        <w:rPr>
          <w:color w:val="000000" w:themeColor="text1"/>
          <w:sz w:val="24"/>
          <w:szCs w:val="24"/>
        </w:rPr>
        <w:t>Antonio</w:t>
      </w:r>
      <w:proofErr w:type="spellEnd"/>
      <w:r w:rsidRPr="00603E9D">
        <w:rPr>
          <w:color w:val="000000" w:themeColor="text1"/>
          <w:sz w:val="24"/>
          <w:szCs w:val="24"/>
        </w:rPr>
        <w:t xml:space="preserve"> Z. </w:t>
      </w:r>
      <w:proofErr w:type="spellStart"/>
      <w:r w:rsidRPr="00603E9D">
        <w:rPr>
          <w:color w:val="000000" w:themeColor="text1"/>
          <w:sz w:val="24"/>
          <w:szCs w:val="24"/>
        </w:rPr>
        <w:t>Sanvicente</w:t>
      </w:r>
      <w:proofErr w:type="spellEnd"/>
      <w:r w:rsidRPr="00603E9D">
        <w:rPr>
          <w:color w:val="000000" w:themeColor="text1"/>
          <w:sz w:val="24"/>
          <w:szCs w:val="24"/>
        </w:rPr>
        <w:t xml:space="preserve">. </w:t>
      </w:r>
      <w:r w:rsidRPr="00603E9D">
        <w:rPr>
          <w:color w:val="000000" w:themeColor="text1"/>
          <w:sz w:val="24"/>
          <w:szCs w:val="24"/>
          <w:lang w:val="en-US"/>
        </w:rPr>
        <w:t>São Paulo: Atlas.</w:t>
      </w:r>
    </w:p>
    <w:p w14:paraId="7FFB1BAA" w14:textId="77777777" w:rsidR="00C550BB" w:rsidRPr="00603E9D" w:rsidRDefault="00C550BB" w:rsidP="00ED3CF6">
      <w:pPr>
        <w:spacing w:after="60"/>
        <w:jc w:val="both"/>
        <w:rPr>
          <w:color w:val="000000" w:themeColor="text1"/>
          <w:sz w:val="24"/>
          <w:szCs w:val="24"/>
        </w:rPr>
      </w:pPr>
      <w:r w:rsidRPr="00603E9D">
        <w:rPr>
          <w:color w:val="000000" w:themeColor="text1"/>
          <w:sz w:val="24"/>
          <w:szCs w:val="24"/>
          <w:lang w:val="en-US"/>
        </w:rPr>
        <w:t>Sharpe, W. F. (1964). Capital asset prices: A theory of market equilibrium under conditions of risk. </w:t>
      </w:r>
      <w:r w:rsidRPr="00603E9D">
        <w:rPr>
          <w:i/>
          <w:color w:val="000000" w:themeColor="text1"/>
          <w:sz w:val="24"/>
          <w:szCs w:val="24"/>
        </w:rPr>
        <w:t xml:space="preserve">The </w:t>
      </w:r>
      <w:proofErr w:type="spellStart"/>
      <w:r w:rsidRPr="00603E9D">
        <w:rPr>
          <w:i/>
          <w:color w:val="000000" w:themeColor="text1"/>
          <w:sz w:val="24"/>
          <w:szCs w:val="24"/>
        </w:rPr>
        <w:t>journal</w:t>
      </w:r>
      <w:proofErr w:type="spellEnd"/>
      <w:r w:rsidRPr="00603E9D">
        <w:rPr>
          <w:i/>
          <w:color w:val="000000" w:themeColor="text1"/>
          <w:sz w:val="24"/>
          <w:szCs w:val="24"/>
        </w:rPr>
        <w:t xml:space="preserve"> </w:t>
      </w:r>
      <w:proofErr w:type="spellStart"/>
      <w:r w:rsidRPr="00603E9D">
        <w:rPr>
          <w:i/>
          <w:color w:val="000000" w:themeColor="text1"/>
          <w:sz w:val="24"/>
          <w:szCs w:val="24"/>
        </w:rPr>
        <w:t>of</w:t>
      </w:r>
      <w:proofErr w:type="spellEnd"/>
      <w:r w:rsidRPr="00603E9D">
        <w:rPr>
          <w:i/>
          <w:color w:val="000000" w:themeColor="text1"/>
          <w:sz w:val="24"/>
          <w:szCs w:val="24"/>
        </w:rPr>
        <w:t xml:space="preserve"> </w:t>
      </w:r>
      <w:proofErr w:type="spellStart"/>
      <w:r w:rsidRPr="00603E9D">
        <w:rPr>
          <w:i/>
          <w:color w:val="000000" w:themeColor="text1"/>
          <w:sz w:val="24"/>
          <w:szCs w:val="24"/>
        </w:rPr>
        <w:t>finance</w:t>
      </w:r>
      <w:proofErr w:type="spellEnd"/>
      <w:r w:rsidRPr="00603E9D">
        <w:rPr>
          <w:color w:val="000000" w:themeColor="text1"/>
          <w:sz w:val="24"/>
          <w:szCs w:val="24"/>
        </w:rPr>
        <w:t xml:space="preserve">, 19(3), 425-442. </w:t>
      </w:r>
    </w:p>
    <w:p w14:paraId="5F614E21" w14:textId="77777777" w:rsidR="00C550BB" w:rsidRPr="00603E9D" w:rsidRDefault="00C550BB" w:rsidP="00ED3CF6">
      <w:pPr>
        <w:spacing w:after="60"/>
        <w:jc w:val="both"/>
        <w:rPr>
          <w:color w:val="000000" w:themeColor="text1"/>
          <w:sz w:val="24"/>
          <w:szCs w:val="24"/>
        </w:rPr>
      </w:pPr>
      <w:proofErr w:type="spellStart"/>
      <w:r w:rsidRPr="00603E9D">
        <w:rPr>
          <w:color w:val="000000" w:themeColor="text1"/>
          <w:sz w:val="24"/>
          <w:szCs w:val="24"/>
        </w:rPr>
        <w:t>Vello</w:t>
      </w:r>
      <w:proofErr w:type="spellEnd"/>
      <w:r w:rsidRPr="00603E9D">
        <w:rPr>
          <w:color w:val="000000" w:themeColor="text1"/>
          <w:sz w:val="24"/>
          <w:szCs w:val="24"/>
        </w:rPr>
        <w:t xml:space="preserve">, A. &amp; Martinez, A. L. (2014). Planejamento tributário eficiente: uma análise de sua relação com o risco de mercado. </w:t>
      </w:r>
      <w:r w:rsidRPr="00603E9D">
        <w:rPr>
          <w:i/>
          <w:color w:val="000000" w:themeColor="text1"/>
          <w:sz w:val="24"/>
          <w:szCs w:val="24"/>
        </w:rPr>
        <w:t>Revista Contemporânea de Contabilidade</w:t>
      </w:r>
      <w:r w:rsidRPr="00603E9D">
        <w:rPr>
          <w:color w:val="000000" w:themeColor="text1"/>
          <w:sz w:val="24"/>
          <w:szCs w:val="24"/>
        </w:rPr>
        <w:t>, 11(23), 117-140.</w:t>
      </w:r>
    </w:p>
    <w:p w14:paraId="32FF2E1E" w14:textId="77777777" w:rsidR="00C550BB" w:rsidRPr="00603E9D" w:rsidRDefault="00C550BB" w:rsidP="00ED3CF6">
      <w:pPr>
        <w:spacing w:after="60"/>
        <w:jc w:val="both"/>
        <w:rPr>
          <w:color w:val="000000" w:themeColor="text1"/>
          <w:sz w:val="24"/>
          <w:szCs w:val="24"/>
          <w:lang w:val="en-US"/>
        </w:rPr>
      </w:pPr>
      <w:r w:rsidRPr="00603E9D">
        <w:rPr>
          <w:color w:val="000000" w:themeColor="text1"/>
          <w:sz w:val="24"/>
          <w:szCs w:val="24"/>
        </w:rPr>
        <w:t xml:space="preserve">Vidal-García, J., Vidal, M. &amp; </w:t>
      </w:r>
      <w:proofErr w:type="spellStart"/>
      <w:r w:rsidRPr="00603E9D">
        <w:rPr>
          <w:color w:val="000000" w:themeColor="text1"/>
          <w:sz w:val="24"/>
          <w:szCs w:val="24"/>
        </w:rPr>
        <w:t>Nguyen</w:t>
      </w:r>
      <w:proofErr w:type="spellEnd"/>
      <w:r w:rsidRPr="00603E9D">
        <w:rPr>
          <w:color w:val="000000" w:themeColor="text1"/>
          <w:sz w:val="24"/>
          <w:szCs w:val="24"/>
        </w:rPr>
        <w:t xml:space="preserve">, D. K. (2012). Do </w:t>
      </w:r>
      <w:proofErr w:type="spellStart"/>
      <w:r w:rsidRPr="00603E9D">
        <w:rPr>
          <w:color w:val="000000" w:themeColor="text1"/>
          <w:sz w:val="24"/>
          <w:szCs w:val="24"/>
        </w:rPr>
        <w:t>liquidity</w:t>
      </w:r>
      <w:proofErr w:type="spellEnd"/>
      <w:r w:rsidRPr="00603E9D">
        <w:rPr>
          <w:color w:val="000000" w:themeColor="text1"/>
          <w:sz w:val="24"/>
          <w:szCs w:val="24"/>
        </w:rPr>
        <w:t xml:space="preserve"> </w:t>
      </w:r>
      <w:proofErr w:type="spellStart"/>
      <w:r w:rsidRPr="00603E9D">
        <w:rPr>
          <w:color w:val="000000" w:themeColor="text1"/>
          <w:sz w:val="24"/>
          <w:szCs w:val="24"/>
        </w:rPr>
        <w:t>and</w:t>
      </w:r>
      <w:proofErr w:type="spellEnd"/>
      <w:r w:rsidRPr="00603E9D">
        <w:rPr>
          <w:color w:val="000000" w:themeColor="text1"/>
          <w:sz w:val="24"/>
          <w:szCs w:val="24"/>
        </w:rPr>
        <w:t xml:space="preserve"> </w:t>
      </w:r>
      <w:proofErr w:type="spellStart"/>
      <w:r w:rsidRPr="00603E9D">
        <w:rPr>
          <w:color w:val="000000" w:themeColor="text1"/>
          <w:sz w:val="24"/>
          <w:szCs w:val="24"/>
        </w:rPr>
        <w:t>idiosyncratic</w:t>
      </w:r>
      <w:proofErr w:type="spellEnd"/>
      <w:r w:rsidRPr="00603E9D">
        <w:rPr>
          <w:color w:val="000000" w:themeColor="text1"/>
          <w:sz w:val="24"/>
          <w:szCs w:val="24"/>
        </w:rPr>
        <w:t xml:space="preserve"> </w:t>
      </w:r>
      <w:proofErr w:type="spellStart"/>
      <w:r w:rsidRPr="00603E9D">
        <w:rPr>
          <w:color w:val="000000" w:themeColor="text1"/>
          <w:sz w:val="24"/>
          <w:szCs w:val="24"/>
        </w:rPr>
        <w:t>risk</w:t>
      </w:r>
      <w:proofErr w:type="spellEnd"/>
      <w:r w:rsidRPr="00603E9D">
        <w:rPr>
          <w:color w:val="000000" w:themeColor="text1"/>
          <w:sz w:val="24"/>
          <w:szCs w:val="24"/>
        </w:rPr>
        <w:t xml:space="preserve"> </w:t>
      </w:r>
      <w:proofErr w:type="spellStart"/>
      <w:r w:rsidRPr="00603E9D">
        <w:rPr>
          <w:color w:val="000000" w:themeColor="text1"/>
          <w:sz w:val="24"/>
          <w:szCs w:val="24"/>
        </w:rPr>
        <w:t>matter</w:t>
      </w:r>
      <w:proofErr w:type="spellEnd"/>
      <w:r w:rsidRPr="00603E9D">
        <w:rPr>
          <w:color w:val="000000" w:themeColor="text1"/>
          <w:sz w:val="24"/>
          <w:szCs w:val="24"/>
        </w:rPr>
        <w:t xml:space="preserve">? </w:t>
      </w:r>
      <w:r w:rsidRPr="00603E9D">
        <w:rPr>
          <w:color w:val="000000" w:themeColor="text1"/>
          <w:sz w:val="24"/>
          <w:szCs w:val="24"/>
          <w:lang w:val="en-US"/>
        </w:rPr>
        <w:t>Evidence from the European mutual fund market. </w:t>
      </w:r>
      <w:r w:rsidRPr="00603E9D">
        <w:rPr>
          <w:bCs/>
          <w:i/>
          <w:color w:val="000000" w:themeColor="text1"/>
          <w:sz w:val="24"/>
          <w:szCs w:val="24"/>
          <w:lang w:val="en-US"/>
        </w:rPr>
        <w:t>Review of Quantitative Finance and Accounting</w:t>
      </w:r>
      <w:r w:rsidRPr="00603E9D">
        <w:rPr>
          <w:color w:val="000000" w:themeColor="text1"/>
          <w:sz w:val="24"/>
          <w:szCs w:val="24"/>
          <w:lang w:val="en-US"/>
        </w:rPr>
        <w:t>, 1-35.</w:t>
      </w:r>
    </w:p>
    <w:p w14:paraId="0298FE7B" w14:textId="77777777" w:rsidR="00C550BB" w:rsidRPr="00603E9D" w:rsidRDefault="00C550BB" w:rsidP="00ED3CF6">
      <w:pPr>
        <w:spacing w:after="60"/>
        <w:jc w:val="both"/>
        <w:rPr>
          <w:color w:val="000000" w:themeColor="text1"/>
          <w:sz w:val="24"/>
          <w:szCs w:val="24"/>
          <w:shd w:val="clear" w:color="auto" w:fill="FFFFFF"/>
        </w:rPr>
      </w:pPr>
      <w:r w:rsidRPr="00603E9D">
        <w:rPr>
          <w:color w:val="000000" w:themeColor="text1"/>
          <w:sz w:val="24"/>
          <w:szCs w:val="24"/>
          <w:shd w:val="clear" w:color="auto" w:fill="FFFFFF"/>
          <w:lang w:val="en-US"/>
        </w:rPr>
        <w:t xml:space="preserve">Xu, Y. &amp; </w:t>
      </w:r>
      <w:proofErr w:type="spellStart"/>
      <w:r w:rsidRPr="00603E9D">
        <w:rPr>
          <w:color w:val="000000" w:themeColor="text1"/>
          <w:sz w:val="24"/>
          <w:szCs w:val="24"/>
          <w:shd w:val="clear" w:color="auto" w:fill="FFFFFF"/>
          <w:lang w:val="en-US"/>
        </w:rPr>
        <w:t>Malkiel</w:t>
      </w:r>
      <w:proofErr w:type="spellEnd"/>
      <w:r w:rsidRPr="00603E9D">
        <w:rPr>
          <w:color w:val="000000" w:themeColor="text1"/>
          <w:sz w:val="24"/>
          <w:szCs w:val="24"/>
          <w:shd w:val="clear" w:color="auto" w:fill="FFFFFF"/>
          <w:lang w:val="en-US"/>
        </w:rPr>
        <w:t>, B. G. (2003). Investigating the behavior of idiosyncratic volatility.</w:t>
      </w:r>
      <w:r w:rsidRPr="00603E9D">
        <w:rPr>
          <w:rStyle w:val="apple-converted-space"/>
          <w:color w:val="000000" w:themeColor="text1"/>
          <w:sz w:val="24"/>
          <w:szCs w:val="24"/>
          <w:shd w:val="clear" w:color="auto" w:fill="FFFFFF"/>
          <w:lang w:val="en-US"/>
        </w:rPr>
        <w:t> </w:t>
      </w:r>
      <w:r w:rsidRPr="00603E9D">
        <w:rPr>
          <w:bCs/>
          <w:i/>
          <w:color w:val="000000" w:themeColor="text1"/>
          <w:sz w:val="24"/>
          <w:szCs w:val="24"/>
          <w:shd w:val="clear" w:color="auto" w:fill="FFFFFF"/>
        </w:rPr>
        <w:t xml:space="preserve">The </w:t>
      </w:r>
      <w:proofErr w:type="spellStart"/>
      <w:r w:rsidRPr="00603E9D">
        <w:rPr>
          <w:bCs/>
          <w:i/>
          <w:color w:val="000000" w:themeColor="text1"/>
          <w:sz w:val="24"/>
          <w:szCs w:val="24"/>
          <w:shd w:val="clear" w:color="auto" w:fill="FFFFFF"/>
        </w:rPr>
        <w:t>Journal</w:t>
      </w:r>
      <w:proofErr w:type="spellEnd"/>
      <w:r w:rsidRPr="00603E9D">
        <w:rPr>
          <w:bCs/>
          <w:i/>
          <w:color w:val="000000" w:themeColor="text1"/>
          <w:sz w:val="24"/>
          <w:szCs w:val="24"/>
          <w:shd w:val="clear" w:color="auto" w:fill="FFFFFF"/>
        </w:rPr>
        <w:t xml:space="preserve"> </w:t>
      </w:r>
      <w:proofErr w:type="spellStart"/>
      <w:r w:rsidRPr="00603E9D">
        <w:rPr>
          <w:bCs/>
          <w:i/>
          <w:color w:val="000000" w:themeColor="text1"/>
          <w:sz w:val="24"/>
          <w:szCs w:val="24"/>
          <w:shd w:val="clear" w:color="auto" w:fill="FFFFFF"/>
        </w:rPr>
        <w:t>of</w:t>
      </w:r>
      <w:proofErr w:type="spellEnd"/>
      <w:r w:rsidRPr="00603E9D">
        <w:rPr>
          <w:bCs/>
          <w:i/>
          <w:color w:val="000000" w:themeColor="text1"/>
          <w:sz w:val="24"/>
          <w:szCs w:val="24"/>
          <w:shd w:val="clear" w:color="auto" w:fill="FFFFFF"/>
        </w:rPr>
        <w:t xml:space="preserve"> Business</w:t>
      </w:r>
      <w:r w:rsidRPr="00603E9D">
        <w:rPr>
          <w:color w:val="000000" w:themeColor="text1"/>
          <w:sz w:val="24"/>
          <w:szCs w:val="24"/>
          <w:shd w:val="clear" w:color="auto" w:fill="FFFFFF"/>
        </w:rPr>
        <w:t>, 76(4), 613-645.</w:t>
      </w:r>
    </w:p>
    <w:p w14:paraId="3B646AF4" w14:textId="77777777" w:rsidR="00C550BB" w:rsidRPr="00603E9D" w:rsidRDefault="00C550BB" w:rsidP="00ED3CF6">
      <w:pPr>
        <w:spacing w:after="60"/>
        <w:jc w:val="both"/>
        <w:rPr>
          <w:color w:val="000000" w:themeColor="text1"/>
          <w:sz w:val="24"/>
          <w:szCs w:val="24"/>
          <w:shd w:val="clear" w:color="auto" w:fill="FFFFFF"/>
        </w:rPr>
      </w:pPr>
      <w:proofErr w:type="spellStart"/>
      <w:r w:rsidRPr="00603E9D">
        <w:rPr>
          <w:color w:val="000000" w:themeColor="text1"/>
          <w:sz w:val="24"/>
          <w:szCs w:val="24"/>
          <w:shd w:val="clear" w:color="auto" w:fill="FFFFFF"/>
        </w:rPr>
        <w:t>Famá</w:t>
      </w:r>
      <w:proofErr w:type="spellEnd"/>
      <w:r w:rsidRPr="00603E9D">
        <w:rPr>
          <w:color w:val="000000" w:themeColor="text1"/>
          <w:sz w:val="24"/>
          <w:szCs w:val="24"/>
          <w:shd w:val="clear" w:color="auto" w:fill="FFFFFF"/>
        </w:rPr>
        <w:t>, R., Barros, L. &amp; Silveira, A. (2001). A Estrutura de Capital é Relevante? Novas Evidências a partir de dados norte-americanos e latino-americanos.</w:t>
      </w:r>
      <w:r w:rsidRPr="00603E9D">
        <w:rPr>
          <w:rStyle w:val="apple-converted-space"/>
          <w:color w:val="000000" w:themeColor="text1"/>
          <w:sz w:val="24"/>
          <w:szCs w:val="24"/>
          <w:shd w:val="clear" w:color="auto" w:fill="FFFFFF"/>
        </w:rPr>
        <w:t> </w:t>
      </w:r>
      <w:r w:rsidRPr="00603E9D">
        <w:rPr>
          <w:bCs/>
          <w:i/>
          <w:color w:val="000000" w:themeColor="text1"/>
          <w:sz w:val="24"/>
          <w:szCs w:val="24"/>
          <w:shd w:val="clear" w:color="auto" w:fill="FFFFFF"/>
        </w:rPr>
        <w:t>Caderno de Pesquisas em Administração, São Paulo</w:t>
      </w:r>
      <w:r w:rsidRPr="00603E9D">
        <w:rPr>
          <w:color w:val="000000" w:themeColor="text1"/>
          <w:sz w:val="24"/>
          <w:szCs w:val="24"/>
          <w:shd w:val="clear" w:color="auto" w:fill="FFFFFF"/>
        </w:rPr>
        <w:t>, 8(2), 71-84.</w:t>
      </w:r>
    </w:p>
    <w:p w14:paraId="2CC5484C" w14:textId="1667D8B4" w:rsidR="00C550BB" w:rsidRPr="00603E9D" w:rsidRDefault="00C550BB" w:rsidP="00ED3CF6">
      <w:pPr>
        <w:spacing w:after="60"/>
        <w:jc w:val="both"/>
        <w:rPr>
          <w:color w:val="000000" w:themeColor="text1"/>
          <w:sz w:val="24"/>
          <w:szCs w:val="24"/>
          <w:shd w:val="clear" w:color="auto" w:fill="FFFFFF"/>
        </w:rPr>
      </w:pPr>
      <w:r w:rsidRPr="00603E9D">
        <w:rPr>
          <w:color w:val="000000" w:themeColor="text1"/>
          <w:sz w:val="24"/>
          <w:szCs w:val="24"/>
        </w:rPr>
        <w:t xml:space="preserve">Fisher, I. (1954). </w:t>
      </w:r>
      <w:r w:rsidRPr="00603E9D">
        <w:rPr>
          <w:i/>
          <w:color w:val="000000" w:themeColor="text1"/>
          <w:sz w:val="24"/>
          <w:szCs w:val="24"/>
        </w:rPr>
        <w:t xml:space="preserve">The </w:t>
      </w:r>
      <w:proofErr w:type="spellStart"/>
      <w:r w:rsidRPr="00603E9D">
        <w:rPr>
          <w:i/>
          <w:color w:val="000000" w:themeColor="text1"/>
          <w:sz w:val="24"/>
          <w:szCs w:val="24"/>
        </w:rPr>
        <w:t>Theory</w:t>
      </w:r>
      <w:proofErr w:type="spellEnd"/>
      <w:r w:rsidRPr="00603E9D">
        <w:rPr>
          <w:i/>
          <w:color w:val="000000" w:themeColor="text1"/>
          <w:sz w:val="24"/>
          <w:szCs w:val="24"/>
        </w:rPr>
        <w:t xml:space="preserve"> </w:t>
      </w:r>
      <w:proofErr w:type="spellStart"/>
      <w:r w:rsidRPr="00603E9D">
        <w:rPr>
          <w:i/>
          <w:color w:val="000000" w:themeColor="text1"/>
          <w:sz w:val="24"/>
          <w:szCs w:val="24"/>
        </w:rPr>
        <w:t>of</w:t>
      </w:r>
      <w:proofErr w:type="spellEnd"/>
      <w:r w:rsidRPr="00603E9D">
        <w:rPr>
          <w:i/>
          <w:color w:val="000000" w:themeColor="text1"/>
          <w:sz w:val="24"/>
          <w:szCs w:val="24"/>
        </w:rPr>
        <w:t xml:space="preserve"> </w:t>
      </w:r>
      <w:proofErr w:type="spellStart"/>
      <w:r w:rsidRPr="00603E9D">
        <w:rPr>
          <w:i/>
          <w:color w:val="000000" w:themeColor="text1"/>
          <w:sz w:val="24"/>
          <w:szCs w:val="24"/>
        </w:rPr>
        <w:t>Interest</w:t>
      </w:r>
      <w:proofErr w:type="spellEnd"/>
      <w:r w:rsidRPr="00603E9D">
        <w:rPr>
          <w:i/>
          <w:color w:val="000000" w:themeColor="text1"/>
          <w:sz w:val="24"/>
          <w:szCs w:val="24"/>
        </w:rPr>
        <w:t xml:space="preserve"> as </w:t>
      </w:r>
      <w:proofErr w:type="spellStart"/>
      <w:r w:rsidRPr="00603E9D">
        <w:rPr>
          <w:i/>
          <w:color w:val="000000" w:themeColor="text1"/>
          <w:sz w:val="24"/>
          <w:szCs w:val="24"/>
        </w:rPr>
        <w:t>Determined</w:t>
      </w:r>
      <w:proofErr w:type="spellEnd"/>
      <w:r w:rsidRPr="00603E9D">
        <w:rPr>
          <w:i/>
          <w:color w:val="000000" w:themeColor="text1"/>
          <w:sz w:val="24"/>
          <w:szCs w:val="24"/>
        </w:rPr>
        <w:t xml:space="preserve"> </w:t>
      </w:r>
      <w:proofErr w:type="spellStart"/>
      <w:r w:rsidRPr="00603E9D">
        <w:rPr>
          <w:i/>
          <w:color w:val="000000" w:themeColor="text1"/>
          <w:sz w:val="24"/>
          <w:szCs w:val="24"/>
        </w:rPr>
        <w:t>by</w:t>
      </w:r>
      <w:proofErr w:type="spellEnd"/>
      <w:r w:rsidRPr="00603E9D">
        <w:rPr>
          <w:i/>
          <w:color w:val="000000" w:themeColor="text1"/>
          <w:sz w:val="24"/>
          <w:szCs w:val="24"/>
        </w:rPr>
        <w:t xml:space="preserve"> </w:t>
      </w:r>
      <w:proofErr w:type="spellStart"/>
      <w:r w:rsidRPr="00603E9D">
        <w:rPr>
          <w:i/>
          <w:color w:val="000000" w:themeColor="text1"/>
          <w:sz w:val="24"/>
          <w:szCs w:val="24"/>
        </w:rPr>
        <w:t>Impatience</w:t>
      </w:r>
      <w:proofErr w:type="spellEnd"/>
      <w:r w:rsidRPr="00603E9D">
        <w:rPr>
          <w:i/>
          <w:color w:val="000000" w:themeColor="text1"/>
          <w:sz w:val="24"/>
          <w:szCs w:val="24"/>
        </w:rPr>
        <w:t xml:space="preserve"> </w:t>
      </w:r>
      <w:proofErr w:type="spellStart"/>
      <w:r w:rsidRPr="00603E9D">
        <w:rPr>
          <w:i/>
          <w:color w:val="000000" w:themeColor="text1"/>
          <w:sz w:val="24"/>
          <w:szCs w:val="24"/>
        </w:rPr>
        <w:t>to</w:t>
      </w:r>
      <w:proofErr w:type="spellEnd"/>
      <w:r w:rsidRPr="00603E9D">
        <w:rPr>
          <w:i/>
          <w:color w:val="000000" w:themeColor="text1"/>
          <w:sz w:val="24"/>
          <w:szCs w:val="24"/>
        </w:rPr>
        <w:t xml:space="preserve"> </w:t>
      </w:r>
      <w:proofErr w:type="spellStart"/>
      <w:r w:rsidRPr="00603E9D">
        <w:rPr>
          <w:i/>
          <w:color w:val="000000" w:themeColor="text1"/>
          <w:sz w:val="24"/>
          <w:szCs w:val="24"/>
        </w:rPr>
        <w:t>Spend</w:t>
      </w:r>
      <w:proofErr w:type="spellEnd"/>
      <w:r w:rsidRPr="00603E9D">
        <w:rPr>
          <w:i/>
          <w:color w:val="000000" w:themeColor="text1"/>
          <w:sz w:val="24"/>
          <w:szCs w:val="24"/>
        </w:rPr>
        <w:t xml:space="preserve"> </w:t>
      </w:r>
      <w:proofErr w:type="spellStart"/>
      <w:r w:rsidRPr="00603E9D">
        <w:rPr>
          <w:i/>
          <w:color w:val="000000" w:themeColor="text1"/>
          <w:sz w:val="24"/>
          <w:szCs w:val="24"/>
        </w:rPr>
        <w:t>Income</w:t>
      </w:r>
      <w:proofErr w:type="spellEnd"/>
      <w:r w:rsidRPr="00603E9D">
        <w:rPr>
          <w:i/>
          <w:color w:val="000000" w:themeColor="text1"/>
          <w:sz w:val="24"/>
          <w:szCs w:val="24"/>
        </w:rPr>
        <w:t xml:space="preserve"> </w:t>
      </w:r>
      <w:proofErr w:type="spellStart"/>
      <w:r w:rsidRPr="00603E9D">
        <w:rPr>
          <w:i/>
          <w:color w:val="000000" w:themeColor="text1"/>
          <w:sz w:val="24"/>
          <w:szCs w:val="24"/>
        </w:rPr>
        <w:t>and</w:t>
      </w:r>
      <w:proofErr w:type="spellEnd"/>
      <w:r w:rsidRPr="00603E9D">
        <w:rPr>
          <w:i/>
          <w:color w:val="000000" w:themeColor="text1"/>
          <w:sz w:val="24"/>
          <w:szCs w:val="24"/>
        </w:rPr>
        <w:t xml:space="preserve"> </w:t>
      </w:r>
      <w:proofErr w:type="spellStart"/>
      <w:r w:rsidRPr="00603E9D">
        <w:rPr>
          <w:i/>
          <w:color w:val="000000" w:themeColor="text1"/>
          <w:sz w:val="24"/>
          <w:szCs w:val="24"/>
        </w:rPr>
        <w:t>Opportunity</w:t>
      </w:r>
      <w:proofErr w:type="spellEnd"/>
      <w:r w:rsidRPr="00603E9D">
        <w:rPr>
          <w:i/>
          <w:color w:val="000000" w:themeColor="text1"/>
          <w:sz w:val="24"/>
          <w:szCs w:val="24"/>
        </w:rPr>
        <w:t xml:space="preserve"> </w:t>
      </w:r>
      <w:proofErr w:type="spellStart"/>
      <w:r w:rsidRPr="00603E9D">
        <w:rPr>
          <w:i/>
          <w:color w:val="000000" w:themeColor="text1"/>
          <w:sz w:val="24"/>
          <w:szCs w:val="24"/>
        </w:rPr>
        <w:t>to</w:t>
      </w:r>
      <w:proofErr w:type="spellEnd"/>
      <w:r w:rsidRPr="00603E9D">
        <w:rPr>
          <w:i/>
          <w:color w:val="000000" w:themeColor="text1"/>
          <w:sz w:val="24"/>
          <w:szCs w:val="24"/>
        </w:rPr>
        <w:t xml:space="preserve"> </w:t>
      </w:r>
      <w:proofErr w:type="spellStart"/>
      <w:r w:rsidRPr="00603E9D">
        <w:rPr>
          <w:i/>
          <w:color w:val="000000" w:themeColor="text1"/>
          <w:sz w:val="24"/>
          <w:szCs w:val="24"/>
        </w:rPr>
        <w:t>Invest</w:t>
      </w:r>
      <w:proofErr w:type="spellEnd"/>
      <w:r w:rsidRPr="00603E9D">
        <w:rPr>
          <w:i/>
          <w:color w:val="000000" w:themeColor="text1"/>
          <w:sz w:val="24"/>
          <w:szCs w:val="24"/>
        </w:rPr>
        <w:t xml:space="preserve"> It</w:t>
      </w:r>
      <w:r w:rsidRPr="00603E9D">
        <w:rPr>
          <w:color w:val="000000" w:themeColor="text1"/>
          <w:sz w:val="24"/>
          <w:szCs w:val="24"/>
        </w:rPr>
        <w:t xml:space="preserve">. New York. </w:t>
      </w:r>
      <w:proofErr w:type="spellStart"/>
      <w:r w:rsidRPr="00603E9D">
        <w:rPr>
          <w:color w:val="000000" w:themeColor="text1"/>
          <w:sz w:val="24"/>
          <w:szCs w:val="24"/>
        </w:rPr>
        <w:t>Kelley</w:t>
      </w:r>
      <w:proofErr w:type="spellEnd"/>
      <w:r w:rsidRPr="00603E9D">
        <w:rPr>
          <w:color w:val="000000" w:themeColor="text1"/>
          <w:sz w:val="24"/>
          <w:szCs w:val="24"/>
        </w:rPr>
        <w:t xml:space="preserve"> &amp; </w:t>
      </w:r>
      <w:proofErr w:type="spellStart"/>
      <w:r w:rsidRPr="00603E9D">
        <w:rPr>
          <w:color w:val="000000" w:themeColor="text1"/>
          <w:sz w:val="24"/>
          <w:szCs w:val="24"/>
        </w:rPr>
        <w:t>Millman</w:t>
      </w:r>
      <w:proofErr w:type="spellEnd"/>
      <w:r w:rsidRPr="00603E9D">
        <w:rPr>
          <w:color w:val="000000" w:themeColor="text1"/>
          <w:sz w:val="24"/>
          <w:szCs w:val="24"/>
        </w:rPr>
        <w:t>.</w:t>
      </w:r>
    </w:p>
    <w:p w14:paraId="0B26F9FD" w14:textId="77777777" w:rsidR="00E6136F" w:rsidRPr="00C550BB" w:rsidRDefault="00E6136F" w:rsidP="00C550BB">
      <w:pPr>
        <w:jc w:val="both"/>
        <w:rPr>
          <w:sz w:val="24"/>
          <w:szCs w:val="24"/>
        </w:rPr>
      </w:pPr>
    </w:p>
    <w:sectPr w:rsidR="00E6136F" w:rsidRPr="00C550BB" w:rsidSect="0036377D">
      <w:headerReference w:type="even" r:id="rId9"/>
      <w:headerReference w:type="default" r:id="rId10"/>
      <w:footerReference w:type="even" r:id="rId11"/>
      <w:footerReference w:type="default" r:id="rId12"/>
      <w:headerReference w:type="first" r:id="rId13"/>
      <w:footerReference w:type="first" r:id="rId14"/>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F0145" w14:textId="77777777" w:rsidR="0015360B" w:rsidRDefault="0015360B" w:rsidP="008A5824">
      <w:r>
        <w:separator/>
      </w:r>
    </w:p>
  </w:endnote>
  <w:endnote w:type="continuationSeparator" w:id="0">
    <w:p w14:paraId="19A46745" w14:textId="77777777" w:rsidR="0015360B" w:rsidRDefault="0015360B"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58FF" w14:textId="77777777" w:rsidR="00166A13" w:rsidRDefault="00166A1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863B4" w14:textId="77777777" w:rsidR="00166A13" w:rsidRDefault="00166A13">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79FC" w14:textId="77777777" w:rsidR="00166A13" w:rsidRDefault="00166A1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D4D83" w14:textId="77777777" w:rsidR="0015360B" w:rsidRDefault="0015360B" w:rsidP="008A5824">
      <w:r>
        <w:separator/>
      </w:r>
    </w:p>
  </w:footnote>
  <w:footnote w:type="continuationSeparator" w:id="0">
    <w:p w14:paraId="2ADAE37F" w14:textId="77777777" w:rsidR="0015360B" w:rsidRDefault="0015360B"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7BEE3" w14:textId="77777777" w:rsidR="00166A13" w:rsidRDefault="00166A1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166A13" w:rsidRPr="00B32719" w:rsidRDefault="00166A13"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166A13" w:rsidRPr="00B32719" w:rsidRDefault="00166A13"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166A13" w:rsidRPr="00B32719" w:rsidRDefault="00166A13"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66A13" w:rsidRPr="00B32719" w:rsidRDefault="00166A13"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D54BB" w14:textId="77777777" w:rsidR="00166A13" w:rsidRDefault="00166A1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24343"/>
    <w:multiLevelType w:val="hybridMultilevel"/>
    <w:tmpl w:val="A672EE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5B14C0"/>
    <w:multiLevelType w:val="multilevel"/>
    <w:tmpl w:val="0416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0C61"/>
    <w:multiLevelType w:val="multilevel"/>
    <w:tmpl w:val="11B4A2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D0049B"/>
    <w:multiLevelType w:val="multilevel"/>
    <w:tmpl w:val="7AFE057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AB275F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7205D"/>
    <w:rsid w:val="00085D18"/>
    <w:rsid w:val="0015360B"/>
    <w:rsid w:val="0016220D"/>
    <w:rsid w:val="00166A13"/>
    <w:rsid w:val="00190A07"/>
    <w:rsid w:val="00194BA9"/>
    <w:rsid w:val="001E52A6"/>
    <w:rsid w:val="001F6A6D"/>
    <w:rsid w:val="00277DBA"/>
    <w:rsid w:val="002A28FA"/>
    <w:rsid w:val="002B0015"/>
    <w:rsid w:val="002B2B78"/>
    <w:rsid w:val="002E306D"/>
    <w:rsid w:val="002F20DA"/>
    <w:rsid w:val="003177BC"/>
    <w:rsid w:val="0036377D"/>
    <w:rsid w:val="0038579D"/>
    <w:rsid w:val="004020EB"/>
    <w:rsid w:val="004428A5"/>
    <w:rsid w:val="00473887"/>
    <w:rsid w:val="00491708"/>
    <w:rsid w:val="00557CE8"/>
    <w:rsid w:val="005910C0"/>
    <w:rsid w:val="005F3E88"/>
    <w:rsid w:val="00603E9D"/>
    <w:rsid w:val="00631DCF"/>
    <w:rsid w:val="00686527"/>
    <w:rsid w:val="00687BBA"/>
    <w:rsid w:val="006F1E1F"/>
    <w:rsid w:val="00711E51"/>
    <w:rsid w:val="0072578D"/>
    <w:rsid w:val="007438B4"/>
    <w:rsid w:val="007F59B1"/>
    <w:rsid w:val="00842232"/>
    <w:rsid w:val="00860B20"/>
    <w:rsid w:val="008705F9"/>
    <w:rsid w:val="0088090E"/>
    <w:rsid w:val="00896AD7"/>
    <w:rsid w:val="008A5824"/>
    <w:rsid w:val="008D4F05"/>
    <w:rsid w:val="00933246"/>
    <w:rsid w:val="00947137"/>
    <w:rsid w:val="009833D5"/>
    <w:rsid w:val="009E1713"/>
    <w:rsid w:val="00A960F5"/>
    <w:rsid w:val="00AD62C2"/>
    <w:rsid w:val="00B32719"/>
    <w:rsid w:val="00B41CAF"/>
    <w:rsid w:val="00B77AEE"/>
    <w:rsid w:val="00BD0F13"/>
    <w:rsid w:val="00BF14DF"/>
    <w:rsid w:val="00C05AE2"/>
    <w:rsid w:val="00C30374"/>
    <w:rsid w:val="00C550BB"/>
    <w:rsid w:val="00CA25AA"/>
    <w:rsid w:val="00CE5296"/>
    <w:rsid w:val="00D34448"/>
    <w:rsid w:val="00D41252"/>
    <w:rsid w:val="00D70472"/>
    <w:rsid w:val="00E0170B"/>
    <w:rsid w:val="00E434F7"/>
    <w:rsid w:val="00E6136F"/>
    <w:rsid w:val="00ED3CF6"/>
    <w:rsid w:val="00F107D0"/>
    <w:rsid w:val="00F23238"/>
    <w:rsid w:val="00F6463A"/>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C550BB"/>
    <w:pPr>
      <w:keepNext/>
      <w:numPr>
        <w:numId w:val="5"/>
      </w:numPr>
      <w:suppressAutoHyphens w:val="0"/>
      <w:spacing w:before="60" w:after="60" w:line="276" w:lineRule="auto"/>
      <w:ind w:left="431" w:hanging="431"/>
      <w:outlineLvl w:val="0"/>
    </w:pPr>
    <w:rPr>
      <w:rFonts w:eastAsiaTheme="majorEastAsia" w:cstheme="majorBidi"/>
      <w:b/>
      <w:bCs/>
      <w:color w:val="000000"/>
      <w:kern w:val="32"/>
      <w:sz w:val="24"/>
      <w:szCs w:val="32"/>
      <w:lang w:eastAsia="en-US"/>
    </w:rPr>
  </w:style>
  <w:style w:type="paragraph" w:styleId="Ttulo2">
    <w:name w:val="heading 2"/>
    <w:basedOn w:val="Normal"/>
    <w:next w:val="Normal"/>
    <w:link w:val="Ttulo2Char"/>
    <w:unhideWhenUsed/>
    <w:qFormat/>
    <w:rsid w:val="00C550BB"/>
    <w:pPr>
      <w:keepNext/>
      <w:numPr>
        <w:ilvl w:val="1"/>
        <w:numId w:val="5"/>
      </w:numPr>
      <w:suppressAutoHyphens w:val="0"/>
      <w:spacing w:before="60" w:after="60" w:line="276" w:lineRule="auto"/>
      <w:ind w:left="431" w:hanging="431"/>
      <w:outlineLvl w:val="1"/>
    </w:pPr>
    <w:rPr>
      <w:rFonts w:asciiTheme="minorHAnsi" w:eastAsiaTheme="majorEastAsia" w:hAnsiTheme="minorHAnsi" w:cstheme="majorBidi"/>
      <w:b/>
      <w:bCs/>
      <w:iCs/>
      <w:color w:val="000000"/>
      <w:sz w:val="24"/>
      <w:szCs w:val="28"/>
      <w:lang w:eastAsia="en-US"/>
    </w:rPr>
  </w:style>
  <w:style w:type="paragraph" w:styleId="Ttulo3">
    <w:name w:val="heading 3"/>
    <w:basedOn w:val="Normal"/>
    <w:next w:val="Normal"/>
    <w:link w:val="Ttulo3Char"/>
    <w:uiPriority w:val="9"/>
    <w:semiHidden/>
    <w:unhideWhenUsed/>
    <w:qFormat/>
    <w:rsid w:val="00C550BB"/>
    <w:pPr>
      <w:keepNext/>
      <w:keepLines/>
      <w:numPr>
        <w:ilvl w:val="2"/>
        <w:numId w:val="5"/>
      </w:numPr>
      <w:suppressAutoHyphens w:val="0"/>
      <w:spacing w:before="40"/>
      <w:jc w:val="both"/>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har"/>
    <w:uiPriority w:val="9"/>
    <w:semiHidden/>
    <w:unhideWhenUsed/>
    <w:qFormat/>
    <w:rsid w:val="00C550BB"/>
    <w:pPr>
      <w:keepNext/>
      <w:keepLines/>
      <w:numPr>
        <w:ilvl w:val="3"/>
        <w:numId w:val="5"/>
      </w:numPr>
      <w:suppressAutoHyphens w:val="0"/>
      <w:spacing w:before="40"/>
      <w:jc w:val="both"/>
      <w:outlineLvl w:val="3"/>
    </w:pPr>
    <w:rPr>
      <w:rFonts w:asciiTheme="majorHAnsi" w:eastAsiaTheme="majorEastAsia" w:hAnsiTheme="majorHAnsi" w:cstheme="majorBidi"/>
      <w:i/>
      <w:iCs/>
      <w:color w:val="2F5496" w:themeColor="accent1" w:themeShade="BF"/>
      <w:sz w:val="24"/>
      <w:szCs w:val="22"/>
      <w:lang w:eastAsia="en-US"/>
    </w:rPr>
  </w:style>
  <w:style w:type="paragraph" w:styleId="Ttulo5">
    <w:name w:val="heading 5"/>
    <w:basedOn w:val="Normal"/>
    <w:next w:val="Normal"/>
    <w:link w:val="Ttulo5Char"/>
    <w:uiPriority w:val="9"/>
    <w:semiHidden/>
    <w:unhideWhenUsed/>
    <w:qFormat/>
    <w:rsid w:val="00C550BB"/>
    <w:pPr>
      <w:keepNext/>
      <w:keepLines/>
      <w:numPr>
        <w:ilvl w:val="4"/>
        <w:numId w:val="5"/>
      </w:numPr>
      <w:suppressAutoHyphens w:val="0"/>
      <w:spacing w:before="40"/>
      <w:jc w:val="both"/>
      <w:outlineLvl w:val="4"/>
    </w:pPr>
    <w:rPr>
      <w:rFonts w:asciiTheme="majorHAnsi" w:eastAsiaTheme="majorEastAsia" w:hAnsiTheme="majorHAnsi" w:cstheme="majorBidi"/>
      <w:color w:val="2F5496" w:themeColor="accent1" w:themeShade="BF"/>
      <w:sz w:val="24"/>
      <w:szCs w:val="22"/>
      <w:lang w:eastAsia="en-US"/>
    </w:rPr>
  </w:style>
  <w:style w:type="paragraph" w:styleId="Ttulo6">
    <w:name w:val="heading 6"/>
    <w:basedOn w:val="Normal"/>
    <w:next w:val="Normal"/>
    <w:link w:val="Ttulo6Char"/>
    <w:uiPriority w:val="9"/>
    <w:semiHidden/>
    <w:unhideWhenUsed/>
    <w:qFormat/>
    <w:rsid w:val="00C550BB"/>
    <w:pPr>
      <w:keepNext/>
      <w:keepLines/>
      <w:numPr>
        <w:ilvl w:val="5"/>
        <w:numId w:val="5"/>
      </w:numPr>
      <w:suppressAutoHyphens w:val="0"/>
      <w:spacing w:before="40"/>
      <w:jc w:val="both"/>
      <w:outlineLvl w:val="5"/>
    </w:pPr>
    <w:rPr>
      <w:rFonts w:asciiTheme="majorHAnsi" w:eastAsiaTheme="majorEastAsia" w:hAnsiTheme="majorHAnsi" w:cstheme="majorBidi"/>
      <w:color w:val="1F3763" w:themeColor="accent1" w:themeShade="7F"/>
      <w:sz w:val="24"/>
      <w:szCs w:val="22"/>
      <w:lang w:eastAsia="en-US"/>
    </w:rPr>
  </w:style>
  <w:style w:type="paragraph" w:styleId="Ttulo7">
    <w:name w:val="heading 7"/>
    <w:basedOn w:val="Normal"/>
    <w:next w:val="Normal"/>
    <w:link w:val="Ttulo7Char"/>
    <w:uiPriority w:val="9"/>
    <w:semiHidden/>
    <w:unhideWhenUsed/>
    <w:qFormat/>
    <w:rsid w:val="00C550BB"/>
    <w:pPr>
      <w:keepNext/>
      <w:keepLines/>
      <w:numPr>
        <w:ilvl w:val="6"/>
        <w:numId w:val="5"/>
      </w:numPr>
      <w:suppressAutoHyphens w:val="0"/>
      <w:spacing w:before="40"/>
      <w:jc w:val="both"/>
      <w:outlineLvl w:val="6"/>
    </w:pPr>
    <w:rPr>
      <w:rFonts w:asciiTheme="majorHAnsi" w:eastAsiaTheme="majorEastAsia" w:hAnsiTheme="majorHAnsi" w:cstheme="majorBidi"/>
      <w:i/>
      <w:iCs/>
      <w:color w:val="1F3763" w:themeColor="accent1" w:themeShade="7F"/>
      <w:sz w:val="24"/>
      <w:szCs w:val="22"/>
      <w:lang w:eastAsia="en-US"/>
    </w:rPr>
  </w:style>
  <w:style w:type="paragraph" w:styleId="Ttulo8">
    <w:name w:val="heading 8"/>
    <w:basedOn w:val="Normal"/>
    <w:next w:val="Normal"/>
    <w:link w:val="Ttulo8Char"/>
    <w:uiPriority w:val="9"/>
    <w:semiHidden/>
    <w:unhideWhenUsed/>
    <w:qFormat/>
    <w:rsid w:val="00C550BB"/>
    <w:pPr>
      <w:keepNext/>
      <w:keepLines/>
      <w:numPr>
        <w:ilvl w:val="7"/>
        <w:numId w:val="5"/>
      </w:numPr>
      <w:suppressAutoHyphens w:val="0"/>
      <w:spacing w:before="40"/>
      <w:jc w:val="both"/>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har"/>
    <w:uiPriority w:val="9"/>
    <w:semiHidden/>
    <w:unhideWhenUsed/>
    <w:qFormat/>
    <w:rsid w:val="00C550BB"/>
    <w:pPr>
      <w:keepNext/>
      <w:keepLines/>
      <w:numPr>
        <w:ilvl w:val="8"/>
        <w:numId w:val="5"/>
      </w:numPr>
      <w:suppressAutoHyphens w:val="0"/>
      <w:spacing w:before="40"/>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4428A5"/>
    <w:pPr>
      <w:ind w:left="720"/>
      <w:contextualSpacing/>
    </w:pPr>
  </w:style>
  <w:style w:type="character" w:customStyle="1" w:styleId="Ttulo1Char">
    <w:name w:val="Título 1 Char"/>
    <w:basedOn w:val="Fontepargpadro"/>
    <w:link w:val="Ttulo1"/>
    <w:rsid w:val="00C550BB"/>
    <w:rPr>
      <w:rFonts w:ascii="Times New Roman" w:eastAsiaTheme="majorEastAsia" w:hAnsi="Times New Roman" w:cstheme="majorBidi"/>
      <w:b/>
      <w:bCs/>
      <w:color w:val="000000"/>
      <w:kern w:val="32"/>
      <w:szCs w:val="32"/>
    </w:rPr>
  </w:style>
  <w:style w:type="character" w:customStyle="1" w:styleId="Ttulo2Char">
    <w:name w:val="Título 2 Char"/>
    <w:basedOn w:val="Fontepargpadro"/>
    <w:link w:val="Ttulo2"/>
    <w:rsid w:val="00C550BB"/>
    <w:rPr>
      <w:rFonts w:eastAsiaTheme="majorEastAsia" w:cstheme="majorBidi"/>
      <w:b/>
      <w:bCs/>
      <w:iCs/>
      <w:color w:val="000000"/>
      <w:szCs w:val="28"/>
    </w:rPr>
  </w:style>
  <w:style w:type="character" w:customStyle="1" w:styleId="Ttulo3Char">
    <w:name w:val="Título 3 Char"/>
    <w:basedOn w:val="Fontepargpadro"/>
    <w:link w:val="Ttulo3"/>
    <w:uiPriority w:val="9"/>
    <w:semiHidden/>
    <w:rsid w:val="00C550BB"/>
    <w:rPr>
      <w:rFonts w:asciiTheme="majorHAnsi" w:eastAsiaTheme="majorEastAsia" w:hAnsiTheme="majorHAnsi" w:cstheme="majorBidi"/>
      <w:color w:val="1F3763" w:themeColor="accent1" w:themeShade="7F"/>
    </w:rPr>
  </w:style>
  <w:style w:type="character" w:customStyle="1" w:styleId="Ttulo4Char">
    <w:name w:val="Título 4 Char"/>
    <w:basedOn w:val="Fontepargpadro"/>
    <w:link w:val="Ttulo4"/>
    <w:uiPriority w:val="9"/>
    <w:semiHidden/>
    <w:rsid w:val="00C550BB"/>
    <w:rPr>
      <w:rFonts w:asciiTheme="majorHAnsi" w:eastAsiaTheme="majorEastAsia" w:hAnsiTheme="majorHAnsi" w:cstheme="majorBidi"/>
      <w:i/>
      <w:iCs/>
      <w:color w:val="2F5496" w:themeColor="accent1" w:themeShade="BF"/>
      <w:szCs w:val="22"/>
    </w:rPr>
  </w:style>
  <w:style w:type="character" w:customStyle="1" w:styleId="Ttulo5Char">
    <w:name w:val="Título 5 Char"/>
    <w:basedOn w:val="Fontepargpadro"/>
    <w:link w:val="Ttulo5"/>
    <w:uiPriority w:val="9"/>
    <w:semiHidden/>
    <w:rsid w:val="00C550BB"/>
    <w:rPr>
      <w:rFonts w:asciiTheme="majorHAnsi" w:eastAsiaTheme="majorEastAsia" w:hAnsiTheme="majorHAnsi" w:cstheme="majorBidi"/>
      <w:color w:val="2F5496" w:themeColor="accent1" w:themeShade="BF"/>
      <w:szCs w:val="22"/>
    </w:rPr>
  </w:style>
  <w:style w:type="character" w:customStyle="1" w:styleId="Ttulo6Char">
    <w:name w:val="Título 6 Char"/>
    <w:basedOn w:val="Fontepargpadro"/>
    <w:link w:val="Ttulo6"/>
    <w:uiPriority w:val="9"/>
    <w:semiHidden/>
    <w:rsid w:val="00C550BB"/>
    <w:rPr>
      <w:rFonts w:asciiTheme="majorHAnsi" w:eastAsiaTheme="majorEastAsia" w:hAnsiTheme="majorHAnsi" w:cstheme="majorBidi"/>
      <w:color w:val="1F3763" w:themeColor="accent1" w:themeShade="7F"/>
      <w:szCs w:val="22"/>
    </w:rPr>
  </w:style>
  <w:style w:type="character" w:customStyle="1" w:styleId="Ttulo7Char">
    <w:name w:val="Título 7 Char"/>
    <w:basedOn w:val="Fontepargpadro"/>
    <w:link w:val="Ttulo7"/>
    <w:uiPriority w:val="9"/>
    <w:semiHidden/>
    <w:rsid w:val="00C550BB"/>
    <w:rPr>
      <w:rFonts w:asciiTheme="majorHAnsi" w:eastAsiaTheme="majorEastAsia" w:hAnsiTheme="majorHAnsi" w:cstheme="majorBidi"/>
      <w:i/>
      <w:iCs/>
      <w:color w:val="1F3763" w:themeColor="accent1" w:themeShade="7F"/>
      <w:szCs w:val="22"/>
    </w:rPr>
  </w:style>
  <w:style w:type="character" w:customStyle="1" w:styleId="Ttulo8Char">
    <w:name w:val="Título 8 Char"/>
    <w:basedOn w:val="Fontepargpadro"/>
    <w:link w:val="Ttulo8"/>
    <w:uiPriority w:val="9"/>
    <w:semiHidden/>
    <w:rsid w:val="00C550B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550BB"/>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C550BB"/>
    <w:pPr>
      <w:suppressAutoHyphens w:val="0"/>
    </w:pPr>
    <w:rPr>
      <w:rFonts w:eastAsia="Calibri"/>
      <w:b/>
      <w:iCs/>
      <w:sz w:val="24"/>
      <w:szCs w:val="18"/>
      <w:lang w:eastAsia="en-US"/>
    </w:rPr>
  </w:style>
  <w:style w:type="character" w:customStyle="1" w:styleId="apple-converted-space">
    <w:name w:val="apple-converted-space"/>
    <w:basedOn w:val="Fontepargpadro"/>
    <w:rsid w:val="00C550BB"/>
  </w:style>
  <w:style w:type="character" w:customStyle="1" w:styleId="Textodocorpo2">
    <w:name w:val="Texto do corpo (2)_"/>
    <w:basedOn w:val="Fontepargpadro"/>
    <w:link w:val="Textodocorpo20"/>
    <w:rsid w:val="00C550BB"/>
    <w:rPr>
      <w:rFonts w:ascii="Times New Roman" w:eastAsia="Times New Roman" w:hAnsi="Times New Roman" w:cs="Times New Roman"/>
      <w:shd w:val="clear" w:color="auto" w:fill="FFFFFF"/>
    </w:rPr>
  </w:style>
  <w:style w:type="paragraph" w:customStyle="1" w:styleId="Textodocorpo20">
    <w:name w:val="Texto do corpo (2)"/>
    <w:basedOn w:val="Normal"/>
    <w:link w:val="Textodocorpo2"/>
    <w:rsid w:val="00C550BB"/>
    <w:pPr>
      <w:widowControl w:val="0"/>
      <w:shd w:val="clear" w:color="auto" w:fill="FFFFFF"/>
      <w:suppressAutoHyphens w:val="0"/>
      <w:spacing w:line="552" w:lineRule="exact"/>
      <w:ind w:hanging="400"/>
      <w:jc w:val="both"/>
    </w:pPr>
    <w:rPr>
      <w:sz w:val="24"/>
      <w:szCs w:val="24"/>
      <w:lang w:eastAsia="en-US"/>
    </w:rPr>
  </w:style>
  <w:style w:type="character" w:styleId="Refdecomentrio">
    <w:name w:val="annotation reference"/>
    <w:basedOn w:val="Fontepargpadro"/>
    <w:uiPriority w:val="99"/>
    <w:semiHidden/>
    <w:unhideWhenUsed/>
    <w:rsid w:val="00C550BB"/>
    <w:rPr>
      <w:sz w:val="16"/>
      <w:szCs w:val="16"/>
    </w:rPr>
  </w:style>
  <w:style w:type="paragraph" w:styleId="Textodecomentrio">
    <w:name w:val="annotation text"/>
    <w:basedOn w:val="Normal"/>
    <w:link w:val="TextodecomentrioChar"/>
    <w:uiPriority w:val="99"/>
    <w:semiHidden/>
    <w:unhideWhenUsed/>
    <w:rsid w:val="00C550BB"/>
    <w:pPr>
      <w:suppressAutoHyphens w:val="0"/>
      <w:ind w:firstLine="709"/>
      <w:jc w:val="both"/>
    </w:pPr>
    <w:rPr>
      <w:rFonts w:eastAsiaTheme="minorHAnsi" w:cstheme="minorBidi"/>
      <w:lang w:eastAsia="en-US"/>
    </w:rPr>
  </w:style>
  <w:style w:type="character" w:customStyle="1" w:styleId="TextodecomentrioChar">
    <w:name w:val="Texto de comentário Char"/>
    <w:basedOn w:val="Fontepargpadro"/>
    <w:link w:val="Textodecomentrio"/>
    <w:uiPriority w:val="99"/>
    <w:semiHidden/>
    <w:rsid w:val="00C550BB"/>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50BB"/>
    <w:rPr>
      <w:b/>
      <w:bCs/>
    </w:rPr>
  </w:style>
  <w:style w:type="character" w:customStyle="1" w:styleId="AssuntodocomentrioChar">
    <w:name w:val="Assunto do comentário Char"/>
    <w:basedOn w:val="TextodecomentrioChar"/>
    <w:link w:val="Assuntodocomentrio"/>
    <w:uiPriority w:val="99"/>
    <w:semiHidden/>
    <w:rsid w:val="00C550BB"/>
    <w:rPr>
      <w:rFonts w:ascii="Times New Roman" w:hAnsi="Times New Roman"/>
      <w:b/>
      <w:bCs/>
      <w:sz w:val="20"/>
      <w:szCs w:val="20"/>
    </w:rPr>
  </w:style>
  <w:style w:type="paragraph" w:styleId="Textodebalo">
    <w:name w:val="Balloon Text"/>
    <w:basedOn w:val="Normal"/>
    <w:link w:val="TextodebaloChar"/>
    <w:uiPriority w:val="99"/>
    <w:semiHidden/>
    <w:unhideWhenUsed/>
    <w:rsid w:val="00C550BB"/>
    <w:pPr>
      <w:suppressAutoHyphens w:val="0"/>
      <w:ind w:firstLine="709"/>
      <w:jc w:val="both"/>
    </w:pPr>
    <w:rPr>
      <w:rFonts w:ascii="Segoe UI" w:eastAsiaTheme="minorHAnsi" w:hAnsi="Segoe UI" w:cs="Segoe UI"/>
      <w:sz w:val="18"/>
      <w:szCs w:val="18"/>
      <w:lang w:eastAsia="en-US"/>
    </w:rPr>
  </w:style>
  <w:style w:type="character" w:customStyle="1" w:styleId="TextodebaloChar">
    <w:name w:val="Texto de balão Char"/>
    <w:basedOn w:val="Fontepargpadro"/>
    <w:link w:val="Textodebalo"/>
    <w:uiPriority w:val="99"/>
    <w:semiHidden/>
    <w:rsid w:val="00C550BB"/>
    <w:rPr>
      <w:rFonts w:ascii="Segoe UI" w:hAnsi="Segoe UI" w:cs="Segoe UI"/>
      <w:sz w:val="18"/>
      <w:szCs w:val="18"/>
    </w:rPr>
  </w:style>
  <w:style w:type="character" w:styleId="TextodoEspaoReservado">
    <w:name w:val="Placeholder Text"/>
    <w:basedOn w:val="Fontepargpadro"/>
    <w:uiPriority w:val="99"/>
    <w:semiHidden/>
    <w:rsid w:val="00C550BB"/>
    <w:rPr>
      <w:color w:val="808080"/>
    </w:rPr>
  </w:style>
  <w:style w:type="table" w:styleId="Tabelacomgrade">
    <w:name w:val="Table Grid"/>
    <w:basedOn w:val="Tabelanormal"/>
    <w:uiPriority w:val="39"/>
    <w:rsid w:val="00C550B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C550BB"/>
    <w:rPr>
      <w:color w:val="0563C1" w:themeColor="hyperlink"/>
      <w:u w:val="single"/>
    </w:rPr>
  </w:style>
  <w:style w:type="table" w:styleId="TabelaSimples2">
    <w:name w:val="Plain Table 2"/>
    <w:basedOn w:val="Tabelanormal"/>
    <w:uiPriority w:val="42"/>
    <w:rsid w:val="008809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4.jpeg"/><Relationship Id="rId1" Type="http://schemas.openxmlformats.org/officeDocument/2006/relationships/image" Target="media/image3.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9572</Words>
  <Characters>51694</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2017-08-21T14:00:00Z</dcterms:created>
  <dcterms:modified xsi:type="dcterms:W3CDTF">2017-08-21T16:45:00Z</dcterms:modified>
</cp:coreProperties>
</file>