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Default Extension="wdp" ContentType="image/vnd.ms-photo"/>
  <Default Extension="tiff" ContentType="image/tiff"/>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C1756E" w14:textId="77777777" w:rsidR="0036377D" w:rsidRDefault="0036377D" w:rsidP="0036377D">
      <w:pPr>
        <w:jc w:val="center"/>
        <w:rPr>
          <w:b/>
          <w:sz w:val="24"/>
        </w:rPr>
      </w:pPr>
    </w:p>
    <w:p w14:paraId="413D3E28" w14:textId="66E4FDF6" w:rsidR="0036377D" w:rsidRDefault="001679BA" w:rsidP="0036377D">
      <w:pPr>
        <w:jc w:val="center"/>
        <w:rPr>
          <w:color w:val="999999"/>
        </w:rPr>
      </w:pPr>
      <w:r>
        <w:rPr>
          <w:b/>
          <w:sz w:val="24"/>
        </w:rPr>
        <w:t xml:space="preserve">Fatores explicativos </w:t>
      </w:r>
      <w:r w:rsidR="008856F9">
        <w:rPr>
          <w:b/>
          <w:sz w:val="24"/>
        </w:rPr>
        <w:t>do reconhecimento de ativos fiscais correntes, diferidos e litigiosos: um estudo sobre as instituições financeiras no Brasil</w:t>
      </w:r>
    </w:p>
    <w:p w14:paraId="65865454" w14:textId="77777777" w:rsidR="0036377D" w:rsidRDefault="0036377D" w:rsidP="0036377D">
      <w:pPr>
        <w:jc w:val="center"/>
        <w:rPr>
          <w:color w:val="999999"/>
        </w:rPr>
      </w:pPr>
    </w:p>
    <w:p w14:paraId="6D5E0583" w14:textId="50CA1D8B" w:rsidR="0036377D" w:rsidRDefault="007F463F" w:rsidP="007F463F">
      <w:pPr>
        <w:tabs>
          <w:tab w:val="left" w:pos="7888"/>
        </w:tabs>
        <w:rPr>
          <w:color w:val="999999"/>
        </w:rPr>
      </w:pPr>
      <w:r>
        <w:rPr>
          <w:color w:val="999999"/>
        </w:rPr>
        <w:tab/>
      </w:r>
    </w:p>
    <w:p w14:paraId="4B065B1D" w14:textId="75F9C599" w:rsidR="0036377D" w:rsidRDefault="00D6736D" w:rsidP="0036377D">
      <w:pPr>
        <w:jc w:val="right"/>
        <w:rPr>
          <w:b/>
          <w:sz w:val="24"/>
          <w:szCs w:val="24"/>
        </w:rPr>
      </w:pPr>
      <w:r>
        <w:rPr>
          <w:b/>
          <w:sz w:val="24"/>
          <w:szCs w:val="24"/>
        </w:rPr>
        <w:t>Cryssie Brunetto Bonazzi</w:t>
      </w:r>
    </w:p>
    <w:p w14:paraId="4DE2505C" w14:textId="1DC6A1D0" w:rsidR="0036377D" w:rsidRDefault="00D6736D" w:rsidP="0036377D">
      <w:pPr>
        <w:jc w:val="right"/>
        <w:rPr>
          <w:b/>
          <w:i/>
          <w:sz w:val="24"/>
          <w:szCs w:val="24"/>
        </w:rPr>
      </w:pPr>
      <w:r>
        <w:rPr>
          <w:b/>
          <w:sz w:val="24"/>
          <w:szCs w:val="24"/>
        </w:rPr>
        <w:t>Universidade Estadual de Londrina</w:t>
      </w:r>
      <w:r w:rsidR="0036377D">
        <w:rPr>
          <w:b/>
          <w:sz w:val="24"/>
          <w:szCs w:val="24"/>
        </w:rPr>
        <w:t xml:space="preserve"> (</w:t>
      </w:r>
      <w:r>
        <w:rPr>
          <w:b/>
          <w:sz w:val="24"/>
          <w:szCs w:val="24"/>
        </w:rPr>
        <w:t>UEL</w:t>
      </w:r>
      <w:r w:rsidR="0036377D">
        <w:rPr>
          <w:b/>
          <w:sz w:val="24"/>
          <w:szCs w:val="24"/>
        </w:rPr>
        <w:t>)</w:t>
      </w:r>
    </w:p>
    <w:p w14:paraId="7E31B7AE" w14:textId="31602A23" w:rsidR="0036377D" w:rsidRDefault="009A6BCC" w:rsidP="0036377D">
      <w:pPr>
        <w:jc w:val="right"/>
        <w:rPr>
          <w:b/>
          <w:sz w:val="24"/>
          <w:szCs w:val="24"/>
        </w:rPr>
      </w:pPr>
      <w:r>
        <w:rPr>
          <w:b/>
          <w:i/>
          <w:sz w:val="24"/>
          <w:szCs w:val="24"/>
        </w:rPr>
        <w:t>bonazzi.brunetto@outlook.com</w:t>
      </w:r>
    </w:p>
    <w:p w14:paraId="54607B61" w14:textId="77777777" w:rsidR="0036377D" w:rsidRDefault="0036377D" w:rsidP="0036377D">
      <w:pPr>
        <w:jc w:val="right"/>
        <w:rPr>
          <w:b/>
          <w:sz w:val="24"/>
          <w:szCs w:val="24"/>
        </w:rPr>
      </w:pPr>
    </w:p>
    <w:p w14:paraId="146A2B1B" w14:textId="2C51B369" w:rsidR="0036377D" w:rsidRDefault="004D61F7" w:rsidP="0036377D">
      <w:pPr>
        <w:jc w:val="right"/>
        <w:rPr>
          <w:b/>
          <w:sz w:val="24"/>
          <w:szCs w:val="24"/>
        </w:rPr>
      </w:pPr>
      <w:r>
        <w:rPr>
          <w:b/>
          <w:sz w:val="24"/>
          <w:szCs w:val="24"/>
        </w:rPr>
        <w:t>Caroline de Souza Darienço</w:t>
      </w:r>
    </w:p>
    <w:p w14:paraId="7934239D" w14:textId="77777777" w:rsidR="00830155" w:rsidRDefault="00830155" w:rsidP="00830155">
      <w:pPr>
        <w:jc w:val="right"/>
        <w:rPr>
          <w:b/>
          <w:i/>
          <w:sz w:val="24"/>
          <w:szCs w:val="24"/>
        </w:rPr>
      </w:pPr>
      <w:r>
        <w:rPr>
          <w:b/>
          <w:sz w:val="24"/>
          <w:szCs w:val="24"/>
        </w:rPr>
        <w:t>Universidade Estadual de Londrina (UEL)</w:t>
      </w:r>
    </w:p>
    <w:p w14:paraId="6D3FAA0E" w14:textId="79362FE6" w:rsidR="0036377D" w:rsidRDefault="00E706D0" w:rsidP="0036377D">
      <w:pPr>
        <w:jc w:val="right"/>
        <w:rPr>
          <w:b/>
          <w:i/>
          <w:sz w:val="24"/>
          <w:szCs w:val="24"/>
        </w:rPr>
      </w:pPr>
      <w:r>
        <w:rPr>
          <w:b/>
          <w:i/>
          <w:sz w:val="24"/>
          <w:szCs w:val="24"/>
        </w:rPr>
        <w:t>caroline.darienco@gmail.com</w:t>
      </w:r>
    </w:p>
    <w:p w14:paraId="1D786D87" w14:textId="77777777" w:rsidR="004D61F7" w:rsidRDefault="004D61F7" w:rsidP="0036377D">
      <w:pPr>
        <w:jc w:val="right"/>
        <w:rPr>
          <w:b/>
          <w:i/>
          <w:sz w:val="24"/>
          <w:szCs w:val="24"/>
        </w:rPr>
      </w:pPr>
    </w:p>
    <w:p w14:paraId="6111CBA9" w14:textId="4D13D859" w:rsidR="004D61F7" w:rsidRDefault="00830155" w:rsidP="004D61F7">
      <w:pPr>
        <w:jc w:val="right"/>
        <w:rPr>
          <w:b/>
          <w:sz w:val="24"/>
          <w:szCs w:val="24"/>
        </w:rPr>
      </w:pPr>
      <w:r>
        <w:rPr>
          <w:b/>
          <w:sz w:val="24"/>
          <w:szCs w:val="24"/>
        </w:rPr>
        <w:t xml:space="preserve">Rafael Almeida de Oliveira </w:t>
      </w:r>
    </w:p>
    <w:p w14:paraId="60472D4D" w14:textId="77777777" w:rsidR="00830155" w:rsidRDefault="00830155" w:rsidP="00830155">
      <w:pPr>
        <w:jc w:val="right"/>
        <w:rPr>
          <w:b/>
          <w:i/>
          <w:sz w:val="24"/>
          <w:szCs w:val="24"/>
        </w:rPr>
      </w:pPr>
      <w:r>
        <w:rPr>
          <w:b/>
          <w:sz w:val="24"/>
          <w:szCs w:val="24"/>
        </w:rPr>
        <w:t>Universidade Estadual de Londrina (UEL)</w:t>
      </w:r>
    </w:p>
    <w:p w14:paraId="74312C2B" w14:textId="2842A8BE" w:rsidR="004D61F7" w:rsidRDefault="00725773" w:rsidP="004D61F7">
      <w:pPr>
        <w:jc w:val="right"/>
        <w:rPr>
          <w:b/>
          <w:sz w:val="24"/>
          <w:szCs w:val="24"/>
        </w:rPr>
      </w:pPr>
      <w:r>
        <w:rPr>
          <w:b/>
          <w:i/>
          <w:sz w:val="24"/>
          <w:szCs w:val="24"/>
        </w:rPr>
        <w:t>r</w:t>
      </w:r>
      <w:r w:rsidR="00E706D0">
        <w:rPr>
          <w:b/>
          <w:i/>
          <w:sz w:val="24"/>
          <w:szCs w:val="24"/>
        </w:rPr>
        <w:t>afael</w:t>
      </w:r>
      <w:r>
        <w:rPr>
          <w:b/>
          <w:i/>
          <w:sz w:val="24"/>
          <w:szCs w:val="24"/>
        </w:rPr>
        <w:t>.alol@hotmail.com</w:t>
      </w:r>
    </w:p>
    <w:p w14:paraId="1D910FA4" w14:textId="77777777" w:rsidR="004D61F7" w:rsidRDefault="004D61F7" w:rsidP="0036377D">
      <w:pPr>
        <w:jc w:val="right"/>
        <w:rPr>
          <w:b/>
          <w:sz w:val="24"/>
          <w:szCs w:val="24"/>
        </w:rPr>
      </w:pPr>
    </w:p>
    <w:p w14:paraId="3E6BD9B7" w14:textId="77777777" w:rsidR="0036377D" w:rsidRDefault="0036377D" w:rsidP="0036377D">
      <w:pPr>
        <w:rPr>
          <w:b/>
          <w:sz w:val="24"/>
          <w:szCs w:val="24"/>
        </w:rPr>
      </w:pPr>
    </w:p>
    <w:p w14:paraId="4A8C1A6C" w14:textId="77777777" w:rsidR="0036377D" w:rsidRDefault="0036377D" w:rsidP="0036377D">
      <w:pPr>
        <w:jc w:val="center"/>
        <w:rPr>
          <w:b/>
          <w:color w:val="999999"/>
        </w:rPr>
      </w:pPr>
    </w:p>
    <w:p w14:paraId="7BDE6C02" w14:textId="77777777" w:rsidR="0036377D" w:rsidRDefault="0036377D" w:rsidP="0036377D">
      <w:pPr>
        <w:jc w:val="center"/>
        <w:rPr>
          <w:b/>
          <w:color w:val="999999"/>
        </w:rPr>
      </w:pPr>
    </w:p>
    <w:p w14:paraId="246458F9" w14:textId="4F08F7D0" w:rsidR="00C81FC4" w:rsidRDefault="006D3BBD" w:rsidP="0036377D">
      <w:pPr>
        <w:jc w:val="both"/>
        <w:rPr>
          <w:b/>
          <w:sz w:val="24"/>
          <w:szCs w:val="24"/>
        </w:rPr>
      </w:pPr>
      <w:r>
        <w:rPr>
          <w:b/>
          <w:sz w:val="24"/>
          <w:szCs w:val="24"/>
        </w:rPr>
        <w:t>Resumo</w:t>
      </w:r>
    </w:p>
    <w:p w14:paraId="3E85326D" w14:textId="3CDFD90A" w:rsidR="00602B91" w:rsidRDefault="006F1B55" w:rsidP="00412C30">
      <w:pPr>
        <w:pStyle w:val="Texto-Resumo"/>
        <w:spacing w:after="0"/>
        <w:rPr>
          <w:rFonts w:ascii="Times New Roman" w:eastAsia="Calibri" w:hAnsi="Times New Roman"/>
          <w:lang w:eastAsia="en-US"/>
        </w:rPr>
      </w:pPr>
      <w:r>
        <w:rPr>
          <w:rFonts w:ascii="Times New Roman" w:eastAsia="Calibri" w:hAnsi="Times New Roman"/>
          <w:lang w:eastAsia="en-US"/>
        </w:rPr>
        <w:t>Os ativos fiscais são utilizados como forma para melhorar</w:t>
      </w:r>
      <w:r w:rsidR="00DB526F">
        <w:rPr>
          <w:rFonts w:ascii="Times New Roman" w:eastAsia="Calibri" w:hAnsi="Times New Roman"/>
          <w:lang w:eastAsia="en-US"/>
        </w:rPr>
        <w:t xml:space="preserve"> a liquidez e os resultados. O</w:t>
      </w:r>
      <w:r w:rsidR="002F7148">
        <w:rPr>
          <w:rFonts w:ascii="Times New Roman" w:eastAsia="Calibri" w:hAnsi="Times New Roman"/>
          <w:lang w:eastAsia="en-US"/>
        </w:rPr>
        <w:t>s</w:t>
      </w:r>
      <w:r>
        <w:rPr>
          <w:rFonts w:ascii="Times New Roman" w:eastAsia="Calibri" w:hAnsi="Times New Roman"/>
          <w:lang w:eastAsia="en-US"/>
        </w:rPr>
        <w:t xml:space="preserve"> objetivo</w:t>
      </w:r>
      <w:r w:rsidR="002F7148">
        <w:rPr>
          <w:rFonts w:ascii="Times New Roman" w:eastAsia="Calibri" w:hAnsi="Times New Roman"/>
          <w:lang w:eastAsia="en-US"/>
        </w:rPr>
        <w:t>s</w:t>
      </w:r>
      <w:r w:rsidR="00DB526F">
        <w:rPr>
          <w:rFonts w:ascii="Times New Roman" w:eastAsia="Calibri" w:hAnsi="Times New Roman"/>
          <w:lang w:eastAsia="en-US"/>
        </w:rPr>
        <w:t xml:space="preserve"> do estudo</w:t>
      </w:r>
      <w:r w:rsidR="002F7148">
        <w:rPr>
          <w:rFonts w:ascii="Times New Roman" w:eastAsia="Calibri" w:hAnsi="Times New Roman"/>
          <w:lang w:eastAsia="en-US"/>
        </w:rPr>
        <w:t xml:space="preserve"> foram</w:t>
      </w:r>
      <w:r>
        <w:rPr>
          <w:rFonts w:ascii="Times New Roman" w:eastAsia="Calibri" w:hAnsi="Times New Roman"/>
          <w:lang w:eastAsia="en-US"/>
        </w:rPr>
        <w:t xml:space="preserve"> identificar</w:t>
      </w:r>
      <w:r w:rsidR="002F7148">
        <w:rPr>
          <w:rFonts w:ascii="Times New Roman" w:eastAsia="Calibri" w:hAnsi="Times New Roman"/>
          <w:lang w:eastAsia="en-US"/>
        </w:rPr>
        <w:t>, verificar e avaliar</w:t>
      </w:r>
      <w:r>
        <w:rPr>
          <w:rFonts w:ascii="Times New Roman" w:eastAsia="Calibri" w:hAnsi="Times New Roman"/>
          <w:lang w:eastAsia="en-US"/>
        </w:rPr>
        <w:t xml:space="preserve"> os fatores que podem ser relevantes para explicar o seu reconhecimento, aplicando em três tipos de ativos: correntes, diferidos e litigiosos, com base nos</w:t>
      </w:r>
      <w:r w:rsidR="00DB526F">
        <w:rPr>
          <w:rFonts w:ascii="Times New Roman" w:eastAsia="Calibri" w:hAnsi="Times New Roman"/>
          <w:lang w:eastAsia="en-US"/>
        </w:rPr>
        <w:t xml:space="preserve"> seus</w:t>
      </w:r>
      <w:r>
        <w:rPr>
          <w:rFonts w:ascii="Times New Roman" w:eastAsia="Calibri" w:hAnsi="Times New Roman"/>
          <w:lang w:eastAsia="en-US"/>
        </w:rPr>
        <w:t xml:space="preserve"> conceitos.</w:t>
      </w:r>
      <w:r w:rsidR="00602B91">
        <w:rPr>
          <w:rFonts w:ascii="Times New Roman" w:eastAsia="Calibri" w:hAnsi="Times New Roman"/>
          <w:lang w:eastAsia="en-US"/>
        </w:rPr>
        <w:t xml:space="preserve"> </w:t>
      </w:r>
      <w:r w:rsidR="00602B91" w:rsidRPr="00412C30">
        <w:rPr>
          <w:rFonts w:ascii="Times New Roman" w:eastAsia="Calibri" w:hAnsi="Times New Roman"/>
          <w:lang w:eastAsia="en-US"/>
        </w:rPr>
        <w:t>Foram analisadas as demonstrações contábeis de empresas de capital aberto, listadas na BM&amp;FBOVESPA, no ramo bancário no período de 2013 a 2016</w:t>
      </w:r>
      <w:r w:rsidR="00602B91">
        <w:rPr>
          <w:rFonts w:ascii="Times New Roman" w:eastAsia="Calibri" w:hAnsi="Times New Roman"/>
          <w:lang w:eastAsia="en-US"/>
        </w:rPr>
        <w:t xml:space="preserve">, </w:t>
      </w:r>
      <w:r w:rsidR="00DB526F">
        <w:rPr>
          <w:rFonts w:ascii="Times New Roman" w:eastAsia="Calibri" w:hAnsi="Times New Roman"/>
          <w:lang w:eastAsia="en-US"/>
        </w:rPr>
        <w:t xml:space="preserve">justifica-se o estudo em empresas </w:t>
      </w:r>
      <w:r w:rsidR="00602B91">
        <w:rPr>
          <w:rFonts w:ascii="Times New Roman" w:eastAsia="Calibri" w:hAnsi="Times New Roman"/>
          <w:lang w:eastAsia="en-US"/>
        </w:rPr>
        <w:t xml:space="preserve">na área bancária, por conta de sua relevância na atualidade brasileira, pois a existências e o uso dos serviços prestados pelas mesmas são primordiais para o bom prosseguimento da economia. </w:t>
      </w:r>
      <w:r w:rsidR="006D3BBD" w:rsidRPr="00412C30">
        <w:rPr>
          <w:rFonts w:ascii="Times New Roman" w:eastAsia="Calibri" w:hAnsi="Times New Roman"/>
          <w:lang w:eastAsia="en-US"/>
        </w:rPr>
        <w:t>A pesquisa aplicada tem como metodologia uma análise quali-quantitativa e documental.</w:t>
      </w:r>
      <w:r w:rsidR="00602B91">
        <w:rPr>
          <w:rFonts w:ascii="Times New Roman" w:eastAsia="Calibri" w:hAnsi="Times New Roman"/>
          <w:lang w:eastAsia="en-US"/>
        </w:rPr>
        <w:t xml:space="preserve"> A coleta de dados foi por meio de análise documental e modelo econométrico geral, baseado na inclusão das variáveis, explicando assim a dependência entre as variáveis.</w:t>
      </w:r>
      <w:r w:rsidR="006D3BBD" w:rsidRPr="00412C30">
        <w:rPr>
          <w:rFonts w:ascii="Times New Roman" w:eastAsia="Calibri" w:hAnsi="Times New Roman"/>
          <w:lang w:eastAsia="en-US"/>
        </w:rPr>
        <w:t xml:space="preserve"> </w:t>
      </w:r>
      <w:r w:rsidR="00602B91">
        <w:rPr>
          <w:rFonts w:ascii="Times New Roman" w:eastAsia="Calibri" w:hAnsi="Times New Roman"/>
          <w:lang w:eastAsia="en-US"/>
        </w:rPr>
        <w:t xml:space="preserve">Os resultados indicaram que o ativo fiscal diferido é o que teve maior significância. </w:t>
      </w:r>
      <w:r w:rsidR="00DB526F">
        <w:rPr>
          <w:rFonts w:ascii="Times New Roman" w:eastAsia="Calibri" w:hAnsi="Times New Roman"/>
          <w:lang w:eastAsia="en-US"/>
        </w:rPr>
        <w:t>E verificou</w:t>
      </w:r>
      <w:r w:rsidR="00602B91">
        <w:rPr>
          <w:rFonts w:ascii="Times New Roman" w:eastAsia="Calibri" w:hAnsi="Times New Roman"/>
          <w:lang w:eastAsia="en-US"/>
        </w:rPr>
        <w:t>, que há grande variabilidade nos índices mínimos e máximos dos desvios padrão.</w:t>
      </w:r>
      <w:r w:rsidR="00602B91" w:rsidRPr="00602B91">
        <w:rPr>
          <w:rFonts w:ascii="Times New Roman" w:eastAsia="Calibri" w:hAnsi="Times New Roman"/>
          <w:lang w:eastAsia="en-US"/>
        </w:rPr>
        <w:t xml:space="preserve"> </w:t>
      </w:r>
      <w:r w:rsidR="009D3268">
        <w:rPr>
          <w:rFonts w:ascii="Times New Roman" w:eastAsia="Calibri" w:hAnsi="Times New Roman"/>
          <w:lang w:eastAsia="en-US"/>
        </w:rPr>
        <w:t>As referidas</w:t>
      </w:r>
      <w:r w:rsidR="00602B91" w:rsidRPr="006D3BBD">
        <w:rPr>
          <w:rFonts w:ascii="Times New Roman" w:eastAsia="Calibri" w:hAnsi="Times New Roman"/>
          <w:lang w:eastAsia="en-US"/>
        </w:rPr>
        <w:t xml:space="preserve"> constatações de</w:t>
      </w:r>
      <w:r w:rsidR="009D3268">
        <w:rPr>
          <w:rFonts w:ascii="Times New Roman" w:eastAsia="Calibri" w:hAnsi="Times New Roman"/>
          <w:lang w:eastAsia="en-US"/>
        </w:rPr>
        <w:t xml:space="preserve">spertam a curiosidade para esta </w:t>
      </w:r>
      <w:r w:rsidR="00602B91" w:rsidRPr="006D3BBD">
        <w:rPr>
          <w:rFonts w:ascii="Times New Roman" w:eastAsia="Calibri" w:hAnsi="Times New Roman"/>
          <w:lang w:eastAsia="en-US"/>
        </w:rPr>
        <w:t>pesquisa, já que estudos</w:t>
      </w:r>
      <w:r w:rsidR="009D3268">
        <w:rPr>
          <w:rFonts w:ascii="Times New Roman" w:eastAsia="Calibri" w:hAnsi="Times New Roman"/>
          <w:lang w:eastAsia="en-US"/>
        </w:rPr>
        <w:t xml:space="preserve"> anteriores</w:t>
      </w:r>
      <w:r w:rsidR="00602B91" w:rsidRPr="006D3BBD">
        <w:rPr>
          <w:rFonts w:ascii="Times New Roman" w:eastAsia="Calibri" w:hAnsi="Times New Roman"/>
          <w:lang w:eastAsia="en-US"/>
        </w:rPr>
        <w:t xml:space="preserve"> só consideraram os ativos fiscais diferidos, não questionando os motivos para essa significativa variabilidade</w:t>
      </w:r>
      <w:r w:rsidR="00DB526F">
        <w:rPr>
          <w:rFonts w:ascii="Times New Roman" w:eastAsia="Calibri" w:hAnsi="Times New Roman"/>
          <w:lang w:eastAsia="en-US"/>
        </w:rPr>
        <w:t>.</w:t>
      </w:r>
    </w:p>
    <w:p w14:paraId="519EEFFC" w14:textId="77777777" w:rsidR="00602B91" w:rsidRDefault="00602B91" w:rsidP="00412C30">
      <w:pPr>
        <w:pStyle w:val="Texto-Resumo"/>
        <w:spacing w:after="0"/>
        <w:rPr>
          <w:rFonts w:ascii="Times New Roman" w:eastAsia="Calibri" w:hAnsi="Times New Roman"/>
          <w:lang w:eastAsia="en-US"/>
        </w:rPr>
      </w:pPr>
    </w:p>
    <w:p w14:paraId="7984B258" w14:textId="1ADE77D0" w:rsidR="006D3BBD" w:rsidRPr="006D3BBD" w:rsidRDefault="006D3BBD" w:rsidP="00412C30">
      <w:pPr>
        <w:pStyle w:val="Texto-Resumo"/>
        <w:spacing w:after="0"/>
        <w:rPr>
          <w:rFonts w:ascii="Times New Roman" w:eastAsia="Calibri" w:hAnsi="Times New Roman"/>
          <w:lang w:eastAsia="en-US"/>
        </w:rPr>
      </w:pPr>
    </w:p>
    <w:p w14:paraId="2617C8F2" w14:textId="77777777" w:rsidR="006D3BBD" w:rsidRDefault="006D3BBD" w:rsidP="0036377D">
      <w:pPr>
        <w:jc w:val="both"/>
        <w:rPr>
          <w:b/>
          <w:sz w:val="24"/>
          <w:szCs w:val="24"/>
        </w:rPr>
      </w:pPr>
    </w:p>
    <w:p w14:paraId="754411D7" w14:textId="699878BB" w:rsidR="0036377D" w:rsidRDefault="0036377D" w:rsidP="0036377D">
      <w:pPr>
        <w:jc w:val="both"/>
        <w:rPr>
          <w:b/>
          <w:sz w:val="24"/>
          <w:szCs w:val="24"/>
        </w:rPr>
      </w:pPr>
    </w:p>
    <w:p w14:paraId="3258BEEF" w14:textId="77777777" w:rsidR="0036377D" w:rsidRDefault="0036377D" w:rsidP="0036377D">
      <w:pPr>
        <w:rPr>
          <w:b/>
          <w:sz w:val="24"/>
          <w:szCs w:val="24"/>
        </w:rPr>
      </w:pPr>
    </w:p>
    <w:p w14:paraId="11A1A19B" w14:textId="7A505E03" w:rsidR="0036377D" w:rsidRDefault="0036377D" w:rsidP="00DB526F">
      <w:pPr>
        <w:jc w:val="both"/>
        <w:rPr>
          <w:sz w:val="24"/>
          <w:szCs w:val="24"/>
        </w:rPr>
      </w:pPr>
      <w:r>
        <w:rPr>
          <w:b/>
          <w:sz w:val="24"/>
          <w:szCs w:val="24"/>
        </w:rPr>
        <w:t xml:space="preserve">Palavras-chave: </w:t>
      </w:r>
      <w:r w:rsidR="00412C30">
        <w:rPr>
          <w:sz w:val="24"/>
          <w:szCs w:val="24"/>
        </w:rPr>
        <w:t>Ativos fiscais; litigiosos; correntes; diferidos; reconhecimento.</w:t>
      </w:r>
    </w:p>
    <w:p w14:paraId="42811FFC" w14:textId="77777777" w:rsidR="0036377D" w:rsidRDefault="0036377D" w:rsidP="0036377D">
      <w:pPr>
        <w:rPr>
          <w:sz w:val="24"/>
          <w:szCs w:val="24"/>
        </w:rPr>
      </w:pPr>
    </w:p>
    <w:p w14:paraId="6EB4D033" w14:textId="6B73E2FB" w:rsidR="0036377D" w:rsidRPr="00CA3921" w:rsidRDefault="0036377D" w:rsidP="00DB526F">
      <w:pPr>
        <w:jc w:val="both"/>
        <w:rPr>
          <w:sz w:val="24"/>
          <w:szCs w:val="24"/>
        </w:rPr>
      </w:pPr>
      <w:r>
        <w:rPr>
          <w:b/>
          <w:sz w:val="24"/>
          <w:szCs w:val="24"/>
        </w:rPr>
        <w:t xml:space="preserve">Linha Temática: </w:t>
      </w:r>
      <w:r w:rsidR="00CA3921">
        <w:rPr>
          <w:sz w:val="24"/>
          <w:szCs w:val="24"/>
        </w:rPr>
        <w:t xml:space="preserve">Custos como ferramenta para o planejamento, controle e apoio nas </w:t>
      </w:r>
      <w:r w:rsidR="00DB526F">
        <w:rPr>
          <w:sz w:val="24"/>
          <w:szCs w:val="24"/>
        </w:rPr>
        <w:t>decisões.</w:t>
      </w:r>
    </w:p>
    <w:p w14:paraId="7376362B" w14:textId="77777777" w:rsidR="005C7C8F" w:rsidRDefault="00454A29"/>
    <w:p w14:paraId="2EB3ECF5" w14:textId="72A86D97" w:rsidR="0036377D" w:rsidRDefault="0036377D"/>
    <w:p w14:paraId="4D755F5F" w14:textId="77777777" w:rsidR="00E6136F" w:rsidRDefault="00E6136F"/>
    <w:p w14:paraId="0AB43E66" w14:textId="77777777" w:rsidR="00DB526F" w:rsidRDefault="00DB526F"/>
    <w:p w14:paraId="3FCA8095" w14:textId="77777777" w:rsidR="00DB526F" w:rsidRDefault="00DB526F"/>
    <w:p w14:paraId="2AD8AD5C" w14:textId="77777777" w:rsidR="00E6136F" w:rsidRDefault="00E6136F"/>
    <w:p w14:paraId="7DE96B17" w14:textId="77777777" w:rsidR="00E6136F" w:rsidRDefault="00E6136F"/>
    <w:p w14:paraId="7EBE4DCF" w14:textId="445F0A04" w:rsidR="00E6136F" w:rsidRPr="00CA0062" w:rsidRDefault="00CA0062" w:rsidP="001C328B">
      <w:pPr>
        <w:rPr>
          <w:b/>
          <w:bCs/>
          <w:sz w:val="24"/>
          <w:szCs w:val="24"/>
        </w:rPr>
      </w:pPr>
      <w:r>
        <w:rPr>
          <w:b/>
          <w:bCs/>
          <w:sz w:val="24"/>
          <w:szCs w:val="24"/>
        </w:rPr>
        <w:t>1. INTRODUÇÃO</w:t>
      </w:r>
    </w:p>
    <w:p w14:paraId="65BBF329" w14:textId="77777777" w:rsidR="00E6136F" w:rsidRDefault="00E6136F"/>
    <w:p w14:paraId="2A77ADDA" w14:textId="77777777" w:rsidR="00CA3921" w:rsidRPr="00CA3921" w:rsidRDefault="00CA3921" w:rsidP="00CA3921">
      <w:pPr>
        <w:suppressAutoHyphens w:val="0"/>
        <w:spacing w:after="120"/>
        <w:ind w:firstLine="709"/>
        <w:jc w:val="both"/>
        <w:rPr>
          <w:sz w:val="24"/>
          <w:szCs w:val="24"/>
        </w:rPr>
      </w:pPr>
      <w:r w:rsidRPr="00CA3921">
        <w:rPr>
          <w:sz w:val="24"/>
          <w:szCs w:val="24"/>
        </w:rPr>
        <w:t>A contabilidade oferece aos usuários, internos e externos, informações patrimoniais úteis, conforme as suas necessidades e interesses específicos, com o objetivo de fornecer orientações no processo de escolha do caminho mais adequado a cada circunstancia. A ciência contábil tem o papel de identificar, mensurar e interpretar os fatos, posteriormente traduz em informações úteis para seus utilizadores, através de um conjunto de informações que possibilitam a tomadas de iniciativas mais racionais com o propósito de garantir o seguimento e triunfo das organizações (Silva, 2008).</w:t>
      </w:r>
    </w:p>
    <w:p w14:paraId="4C553D37" w14:textId="77777777" w:rsidR="00CA3921" w:rsidRPr="00CA3921" w:rsidRDefault="00CA3921" w:rsidP="00CA3921">
      <w:pPr>
        <w:suppressAutoHyphens w:val="0"/>
        <w:spacing w:after="120"/>
        <w:ind w:firstLine="709"/>
        <w:jc w:val="both"/>
        <w:rPr>
          <w:sz w:val="24"/>
          <w:szCs w:val="24"/>
        </w:rPr>
      </w:pPr>
      <w:r w:rsidRPr="00CA3921">
        <w:rPr>
          <w:sz w:val="24"/>
          <w:szCs w:val="24"/>
        </w:rPr>
        <w:t>Segundo Becker (2007), no Brasil a politica fiscal, se utiliza de várias espécies econômicas de renda e de capital para elaborar as incidências econômicas da tributação, causando uma extensa quantidade de tributos. No ano de 2016, havia um total de 92 tributos (IBPT, 2016), com consequências no aumento do custo financeiro às organizações. Segundo Lustosa (2009), ativo é qualquer bem que possa ser convertido em dinheiro e esteja em controle de empresa ou pessoas. Entre os ativos, possui destaque os ativos fiscais, enquanto direitos de crédito do qual estipulada pessoa jurídica, em razão de disposição constitucional ou legal específica, é detentora (OLIVEIRA; ALMEIDA, 2005). Os ativos fiscais podem ser classificados em correntes, diferidos e litigiosos.</w:t>
      </w:r>
    </w:p>
    <w:p w14:paraId="7D1A4995" w14:textId="77777777" w:rsidR="00CA3921" w:rsidRPr="00CA3921" w:rsidRDefault="00CA3921" w:rsidP="00CA3921">
      <w:pPr>
        <w:suppressAutoHyphens w:val="0"/>
        <w:spacing w:after="120"/>
        <w:ind w:firstLine="709"/>
        <w:jc w:val="both"/>
        <w:rPr>
          <w:sz w:val="24"/>
          <w:szCs w:val="24"/>
        </w:rPr>
      </w:pPr>
      <w:r w:rsidRPr="00CA3921">
        <w:rPr>
          <w:sz w:val="24"/>
          <w:szCs w:val="24"/>
        </w:rPr>
        <w:t>Os ativos fiscais correntes são o montante dos tributos a pagar ou recuperar sobre os lucros com relação ao resultado da tributação sobre o exercício, esses seriam o montante do imposto de renda e da contribuição social. Os ativos fiscais diferidos são associados à contribuição sobre o lucro, este é relacionado a uma expectativa de que a quantidade correspondente será liquidada, em futuros exercícios por meio de uma saída de recursos que incorporem benefícios econômicos (KRONBAUER; ROJAS; SOUZA, 2009). Para Aquino (2008), os ativos fiscais litigiosos surgem das ações judiciais relacionadas à obrigação tributária. As empresas buscam seus direitos por meio de ações judiciais, com o objetivo de diminuir e/ou afastar a carga tributária global. Segundo a norma contábil brasileira, um ativo possível que resulta de eventos passados e cuja existência será confirmada apenas pela ocorrência ou não de um ou mais eventos futuros incertos não totalmente sob controle da entidade (CPC 32, 2009).</w:t>
      </w:r>
    </w:p>
    <w:p w14:paraId="7485DAD4" w14:textId="77777777" w:rsidR="00CA3921" w:rsidRPr="00CA3921" w:rsidRDefault="00CA3921" w:rsidP="00CA3921">
      <w:pPr>
        <w:suppressAutoHyphens w:val="0"/>
        <w:spacing w:after="120"/>
        <w:ind w:firstLine="709"/>
        <w:jc w:val="both"/>
        <w:rPr>
          <w:sz w:val="24"/>
          <w:szCs w:val="24"/>
        </w:rPr>
      </w:pPr>
      <w:r w:rsidRPr="00CA3921">
        <w:rPr>
          <w:sz w:val="24"/>
          <w:szCs w:val="24"/>
        </w:rPr>
        <w:t>Estudos, brasileiros e internacionais, têm aprofundado a relação entre o reconhecimento de Ativos Fiscais Diferidos com o intuito de melhorar os resultados nas demonstrações contábeis. Os objetos centrais desta pesquisa são as três categorias de ativos fiscais. Nesse contexto, o estudo busca verificar quais fatores podem mostrar-se relevantes para explicar o reconhecimento de ativos de natureza fiscal, envolvendo três itens: (1) correntes; (2) diferidos; (3) litigiosos. Objetiva também identificar e descrever a natureza destes ativos fiscais, especialmente os ativos fiscais correntes. O estudo será realizado em instituições financeiras de capital aberto, listadas na BMF&amp;BOVESPA (2016) e no Banco Central do Brasil (2016).</w:t>
      </w:r>
    </w:p>
    <w:p w14:paraId="4E28E10A" w14:textId="7F209EB5" w:rsidR="00CA3921" w:rsidRPr="00CA3921" w:rsidRDefault="00CA3921" w:rsidP="00CA3921">
      <w:pPr>
        <w:suppressAutoHyphens w:val="0"/>
        <w:spacing w:after="120"/>
        <w:ind w:firstLine="709"/>
        <w:jc w:val="both"/>
        <w:rPr>
          <w:sz w:val="24"/>
          <w:szCs w:val="24"/>
        </w:rPr>
      </w:pPr>
      <w:r w:rsidRPr="00CA3921">
        <w:rPr>
          <w:sz w:val="24"/>
          <w:szCs w:val="24"/>
        </w:rPr>
        <w:t>Justifica-se o estudo em instituições financeiras, por conta da importância das autoridades monetárias brasileiras atualmente, tendo em vista o volume e a diversidade de operações bancárias, gerando novos ativos e obrigações específicas, e aumentando os riscos, pois os ativos fiscais diferidos são considerados ativos de alto risco e de liquidez in</w:t>
      </w:r>
      <w:r w:rsidR="00BE6764">
        <w:rPr>
          <w:sz w:val="24"/>
          <w:szCs w:val="24"/>
        </w:rPr>
        <w:t>certa (MOURA e MARTINEZ, 2006).</w:t>
      </w:r>
    </w:p>
    <w:p w14:paraId="114E1760" w14:textId="77777777" w:rsidR="00CA3921" w:rsidRPr="00CA3921" w:rsidRDefault="00CA3921" w:rsidP="00CA0062">
      <w:pPr>
        <w:keepNext/>
        <w:keepLines/>
        <w:suppressAutoHyphens w:val="0"/>
        <w:spacing w:before="240" w:after="240"/>
        <w:jc w:val="both"/>
        <w:outlineLvl w:val="1"/>
        <w:rPr>
          <w:b/>
          <w:bCs/>
          <w:sz w:val="24"/>
          <w:szCs w:val="24"/>
        </w:rPr>
      </w:pPr>
      <w:bookmarkStart w:id="0" w:name="_Toc486367387"/>
      <w:bookmarkStart w:id="1" w:name="_Toc486866187"/>
      <w:r w:rsidRPr="00CA3921">
        <w:rPr>
          <w:b/>
          <w:bCs/>
          <w:sz w:val="24"/>
          <w:szCs w:val="24"/>
        </w:rPr>
        <w:lastRenderedPageBreak/>
        <w:t>2. METODOLOGIA DE PESQUISA PROPOSTA</w:t>
      </w:r>
      <w:bookmarkEnd w:id="0"/>
      <w:bookmarkEnd w:id="1"/>
      <w:r w:rsidRPr="00CA3921">
        <w:rPr>
          <w:b/>
          <w:bCs/>
          <w:sz w:val="24"/>
          <w:szCs w:val="24"/>
        </w:rPr>
        <w:t xml:space="preserve"> </w:t>
      </w:r>
    </w:p>
    <w:p w14:paraId="7BE37013" w14:textId="77777777" w:rsidR="00CA3921" w:rsidRPr="00CA3921" w:rsidRDefault="00CA3921" w:rsidP="00CA0062">
      <w:pPr>
        <w:keepNext/>
        <w:keepLines/>
        <w:suppressAutoHyphens w:val="0"/>
        <w:spacing w:before="240" w:after="240"/>
        <w:jc w:val="both"/>
        <w:outlineLvl w:val="2"/>
        <w:rPr>
          <w:b/>
          <w:bCs/>
          <w:sz w:val="24"/>
          <w:szCs w:val="24"/>
        </w:rPr>
      </w:pPr>
      <w:bookmarkStart w:id="2" w:name="_Toc486367388"/>
      <w:bookmarkStart w:id="3" w:name="_Toc486866188"/>
      <w:r w:rsidRPr="00CA3921">
        <w:rPr>
          <w:b/>
          <w:bCs/>
          <w:sz w:val="24"/>
          <w:szCs w:val="24"/>
        </w:rPr>
        <w:t>2.1. Classificação da pesquisa</w:t>
      </w:r>
      <w:bookmarkEnd w:id="2"/>
      <w:bookmarkEnd w:id="3"/>
    </w:p>
    <w:p w14:paraId="5F4F7D90" w14:textId="77777777" w:rsidR="00CA3921" w:rsidRPr="00CA3921" w:rsidRDefault="00CA3921" w:rsidP="00CA3921">
      <w:pPr>
        <w:suppressAutoHyphens w:val="0"/>
        <w:spacing w:after="120"/>
        <w:ind w:firstLine="709"/>
        <w:jc w:val="both"/>
        <w:rPr>
          <w:sz w:val="24"/>
          <w:szCs w:val="24"/>
        </w:rPr>
      </w:pPr>
      <w:r w:rsidRPr="00CA3921">
        <w:rPr>
          <w:sz w:val="24"/>
          <w:szCs w:val="24"/>
        </w:rPr>
        <w:t>Conforme a conceituação de Raupp e Beuren (2003), a pesquisa reúne características explicativas e descritivas. Desse modo, o objetivo da pesquisa será descrever a composição dos ativos fiscais na amostra pesquisada e explicar os fatores que possam interferir no seu reconhecimento.</w:t>
      </w:r>
    </w:p>
    <w:p w14:paraId="0790F67A" w14:textId="77777777" w:rsidR="00CA3921" w:rsidRPr="00CA3921" w:rsidRDefault="00CA3921" w:rsidP="00CA3921">
      <w:pPr>
        <w:suppressAutoHyphens w:val="0"/>
        <w:spacing w:after="120"/>
        <w:ind w:firstLine="709"/>
        <w:jc w:val="both"/>
        <w:rPr>
          <w:sz w:val="24"/>
          <w:szCs w:val="24"/>
        </w:rPr>
      </w:pPr>
      <w:r w:rsidRPr="00CA3921">
        <w:rPr>
          <w:sz w:val="24"/>
          <w:szCs w:val="24"/>
        </w:rPr>
        <w:t>Do ponto de vista da natureza, a pesquisa será aplicada, pois objetiva gerar conhecimentos para aplicações práticas dirigidas à solução de problemas específicos (ALMEIDA, 20-).</w:t>
      </w:r>
    </w:p>
    <w:p w14:paraId="5F4C4EC8" w14:textId="77777777" w:rsidR="00CA3921" w:rsidRPr="00CA3921" w:rsidRDefault="00CA3921" w:rsidP="00CA3921">
      <w:pPr>
        <w:suppressAutoHyphens w:val="0"/>
        <w:spacing w:after="120"/>
        <w:ind w:firstLine="709"/>
        <w:jc w:val="both"/>
        <w:rPr>
          <w:sz w:val="24"/>
          <w:szCs w:val="24"/>
        </w:rPr>
      </w:pPr>
      <w:r w:rsidRPr="00CA3921">
        <w:rPr>
          <w:sz w:val="24"/>
          <w:szCs w:val="24"/>
        </w:rPr>
        <w:t>Dessa forma, à abordagem do problema da pesquisa, será quali-quantitativa, pois a pesquisa tem como objetivo os fatores explicativos de reconhecimentos, analisando e classificando essa análise dos dados e concluindo com o método quantitativo, por meio de técnicas estatísticas e econométricas. Segundo Godoi, Bandeira de Melo e Silva (2006), o interesse do pesquisador está voltado tanto para a compreensão de um determinado processo social quanto para as relações estabelecidas entre variáveis.</w:t>
      </w:r>
    </w:p>
    <w:p w14:paraId="0D772BCC" w14:textId="77777777" w:rsidR="00CA3921" w:rsidRPr="00CA3921" w:rsidRDefault="00CA3921" w:rsidP="00CA3921">
      <w:pPr>
        <w:suppressAutoHyphens w:val="0"/>
        <w:spacing w:after="120"/>
        <w:ind w:firstLine="709"/>
        <w:jc w:val="both"/>
        <w:rPr>
          <w:sz w:val="24"/>
          <w:szCs w:val="24"/>
        </w:rPr>
      </w:pPr>
      <w:r w:rsidRPr="00CA3921">
        <w:rPr>
          <w:sz w:val="24"/>
          <w:szCs w:val="24"/>
        </w:rPr>
        <w:t>Relacionado com os procedimentos técnicos, a pesquisa será documental, pois será elaborada com base em documentos primários (Marconi e Lakatos, 2010), sendo estas as demonstrações contábeis das instituições financeiras, a partir de informações públicas da base de dados da CVM – Comissão de Valores Mobiliários, e nos sítios das respectivas instituições financeiras.</w:t>
      </w:r>
    </w:p>
    <w:p w14:paraId="2FD7DC1F" w14:textId="77777777" w:rsidR="00CA3921" w:rsidRPr="00CA3921" w:rsidRDefault="00CA3921" w:rsidP="00CA0062">
      <w:pPr>
        <w:keepNext/>
        <w:keepLines/>
        <w:suppressAutoHyphens w:val="0"/>
        <w:spacing w:before="240" w:after="240"/>
        <w:jc w:val="both"/>
        <w:outlineLvl w:val="2"/>
        <w:rPr>
          <w:b/>
          <w:bCs/>
          <w:sz w:val="24"/>
          <w:szCs w:val="24"/>
        </w:rPr>
      </w:pPr>
      <w:bookmarkStart w:id="4" w:name="_Toc486367389"/>
      <w:bookmarkStart w:id="5" w:name="_Toc486866189"/>
      <w:r w:rsidRPr="00CA3921">
        <w:rPr>
          <w:b/>
          <w:bCs/>
          <w:sz w:val="24"/>
          <w:szCs w:val="24"/>
        </w:rPr>
        <w:t>2.2. População, amostra e período de análise</w:t>
      </w:r>
      <w:bookmarkEnd w:id="4"/>
      <w:bookmarkEnd w:id="5"/>
      <w:r w:rsidRPr="00CA3921">
        <w:rPr>
          <w:b/>
          <w:bCs/>
          <w:sz w:val="24"/>
          <w:szCs w:val="24"/>
        </w:rPr>
        <w:t xml:space="preserve"> </w:t>
      </w:r>
    </w:p>
    <w:p w14:paraId="07244EC8" w14:textId="77777777" w:rsidR="00CA3921" w:rsidRPr="00CA3921" w:rsidRDefault="00CA3921" w:rsidP="00CA3921">
      <w:pPr>
        <w:suppressAutoHyphens w:val="0"/>
        <w:spacing w:after="120"/>
        <w:ind w:firstLine="709"/>
        <w:jc w:val="both"/>
        <w:rPr>
          <w:sz w:val="24"/>
          <w:szCs w:val="24"/>
        </w:rPr>
      </w:pPr>
      <w:r w:rsidRPr="00CA3921">
        <w:rPr>
          <w:sz w:val="24"/>
          <w:szCs w:val="24"/>
        </w:rPr>
        <w:t>A população de análise consiste no grupo das 154 instituições financeiras supervisionadas pelo Banco Central do Brasil, no mês de agosto de 2016. Justifica-se o estudo em empresas na área bancária por conta de sua relevância monetária na atualidade brasileira. Concluindo-se que a existência e o uso dos serviços prestados pelas mesmas sejam primordiais para o andamento da economia, sendo assim, aumentando os riscos por causa da dependência, considerando que os ativos fiscais diferidos são considerados ativos de alto risco e de liquidez incerta (MOURA e MARTINEZ, 2006).</w:t>
      </w:r>
    </w:p>
    <w:p w14:paraId="16EF0701" w14:textId="03B627D2" w:rsidR="00CA3921" w:rsidRPr="00CA3921" w:rsidRDefault="00CA3921" w:rsidP="00CA3921">
      <w:pPr>
        <w:suppressAutoHyphens w:val="0"/>
        <w:spacing w:after="120"/>
        <w:ind w:firstLine="709"/>
        <w:jc w:val="both"/>
        <w:rPr>
          <w:sz w:val="24"/>
          <w:szCs w:val="24"/>
        </w:rPr>
      </w:pPr>
      <w:r w:rsidRPr="00CA3921">
        <w:rPr>
          <w:sz w:val="24"/>
          <w:szCs w:val="24"/>
        </w:rPr>
        <w:t xml:space="preserve">Não houve critério de classificação verificado pelo Banco Central do Brasil, desse modo, todos os bancos comerciais, múltiplos e caixa econômica foram listados sem nenhuma atribuição a ordem. </w:t>
      </w:r>
      <w:r w:rsidR="00685BF4">
        <w:rPr>
          <w:sz w:val="24"/>
          <w:szCs w:val="24"/>
        </w:rPr>
        <w:t>Porém, n</w:t>
      </w:r>
      <w:r w:rsidRPr="00CA3921">
        <w:rPr>
          <w:sz w:val="24"/>
          <w:szCs w:val="24"/>
        </w:rPr>
        <w:t xml:space="preserve">em todas as 154 intuições colocadas são de capital aberto, listada pela BMF&amp;BOVESPA, razão pela qual foram consideradas, para fim de estudo, as 24 </w:t>
      </w:r>
      <w:r w:rsidR="00685BF4">
        <w:rPr>
          <w:sz w:val="24"/>
          <w:szCs w:val="24"/>
        </w:rPr>
        <w:t>instituições</w:t>
      </w:r>
      <w:r w:rsidRPr="00CA3921">
        <w:rPr>
          <w:sz w:val="24"/>
          <w:szCs w:val="24"/>
        </w:rPr>
        <w:t xml:space="preserve"> que estão nos dois critérios de amostras. Contudo, feita a captação dos dados nas demonstrações contábeis das referidas instituições financeiras, chegamos à amostra final foi de 8</w:t>
      </w:r>
      <w:r w:rsidR="00685BF4">
        <w:rPr>
          <w:sz w:val="24"/>
          <w:szCs w:val="24"/>
        </w:rPr>
        <w:t xml:space="preserve"> </w:t>
      </w:r>
      <w:r w:rsidRPr="00CA3921">
        <w:rPr>
          <w:sz w:val="24"/>
          <w:szCs w:val="24"/>
        </w:rPr>
        <w:t>(oito) instituições.</w:t>
      </w:r>
    </w:p>
    <w:p w14:paraId="6AEC7B9D" w14:textId="6D237115" w:rsidR="00CA3921" w:rsidRPr="00CA3921" w:rsidRDefault="006F1B55" w:rsidP="00CA3921">
      <w:pPr>
        <w:suppressAutoHyphens w:val="0"/>
        <w:spacing w:after="120"/>
        <w:ind w:firstLine="709"/>
        <w:jc w:val="both"/>
        <w:rPr>
          <w:sz w:val="24"/>
          <w:szCs w:val="24"/>
        </w:rPr>
      </w:pPr>
      <w:r>
        <w:rPr>
          <w:sz w:val="24"/>
          <w:szCs w:val="24"/>
        </w:rPr>
        <w:t>Na tabela</w:t>
      </w:r>
      <w:r w:rsidR="00CA3921" w:rsidRPr="00CA3921">
        <w:rPr>
          <w:sz w:val="24"/>
          <w:szCs w:val="24"/>
        </w:rPr>
        <w:t xml:space="preserve"> 1, são apresentadas as 24</w:t>
      </w:r>
      <w:r>
        <w:rPr>
          <w:sz w:val="24"/>
          <w:szCs w:val="24"/>
        </w:rPr>
        <w:t xml:space="preserve"> </w:t>
      </w:r>
      <w:r w:rsidR="00CA3921" w:rsidRPr="00CA3921">
        <w:rPr>
          <w:sz w:val="24"/>
          <w:szCs w:val="24"/>
        </w:rPr>
        <w:t>(vinte</w:t>
      </w:r>
      <w:r w:rsidR="00685BF4">
        <w:rPr>
          <w:sz w:val="24"/>
          <w:szCs w:val="24"/>
        </w:rPr>
        <w:t xml:space="preserve"> e</w:t>
      </w:r>
      <w:r w:rsidR="00CA3921" w:rsidRPr="00CA3921">
        <w:rPr>
          <w:sz w:val="24"/>
          <w:szCs w:val="24"/>
        </w:rPr>
        <w:t xml:space="preserve"> quatro) empresas que compõe a amostra da pesquisa, sendo todas instituições financeiras, que sejam brasileiras ou tenha filiais no Brasil, e de capital aberto.</w:t>
      </w:r>
    </w:p>
    <w:p w14:paraId="0D4F3677" w14:textId="77777777" w:rsidR="00CA3921" w:rsidRPr="00CA3921" w:rsidRDefault="00CA3921" w:rsidP="00CA3921">
      <w:pPr>
        <w:suppressAutoHyphens w:val="0"/>
        <w:spacing w:after="120"/>
        <w:ind w:firstLine="709"/>
        <w:jc w:val="both"/>
        <w:rPr>
          <w:b/>
          <w:sz w:val="24"/>
          <w:szCs w:val="24"/>
        </w:rPr>
      </w:pPr>
      <w:r w:rsidRPr="00CA3921">
        <w:rPr>
          <w:b/>
          <w:sz w:val="24"/>
          <w:szCs w:val="24"/>
        </w:rPr>
        <w:t xml:space="preserve">Tabela </w:t>
      </w:r>
      <w:r w:rsidRPr="00CA3921">
        <w:rPr>
          <w:b/>
          <w:sz w:val="24"/>
          <w:szCs w:val="24"/>
        </w:rPr>
        <w:fldChar w:fldCharType="begin"/>
      </w:r>
      <w:r w:rsidRPr="00CA3921">
        <w:rPr>
          <w:b/>
          <w:sz w:val="24"/>
          <w:szCs w:val="24"/>
        </w:rPr>
        <w:instrText>SEQ "Quadro_" \*Arabic</w:instrText>
      </w:r>
      <w:r w:rsidRPr="00CA3921">
        <w:rPr>
          <w:b/>
          <w:sz w:val="24"/>
          <w:szCs w:val="24"/>
        </w:rPr>
        <w:fldChar w:fldCharType="separate"/>
      </w:r>
      <w:r w:rsidRPr="00CA3921">
        <w:rPr>
          <w:b/>
          <w:noProof/>
          <w:sz w:val="24"/>
          <w:szCs w:val="24"/>
        </w:rPr>
        <w:t>1</w:t>
      </w:r>
      <w:r w:rsidRPr="00CA3921">
        <w:rPr>
          <w:b/>
          <w:sz w:val="24"/>
          <w:szCs w:val="24"/>
        </w:rPr>
        <w:fldChar w:fldCharType="end"/>
      </w:r>
      <w:r w:rsidRPr="00CA3921">
        <w:rPr>
          <w:b/>
          <w:sz w:val="24"/>
          <w:szCs w:val="24"/>
        </w:rPr>
        <w:t xml:space="preserve"> -</w:t>
      </w:r>
      <w:r w:rsidRPr="00CA3921">
        <w:rPr>
          <w:sz w:val="24"/>
          <w:szCs w:val="24"/>
        </w:rPr>
        <w:t xml:space="preserve"> Composição da Amostra a ser estudada. </w:t>
      </w:r>
    </w:p>
    <w:tbl>
      <w:tblPr>
        <w:tblW w:w="9520" w:type="dxa"/>
        <w:tblInd w:w="55" w:type="dxa"/>
        <w:tblCellMar>
          <w:left w:w="70" w:type="dxa"/>
          <w:right w:w="70" w:type="dxa"/>
        </w:tblCellMar>
        <w:tblLook w:val="04A0" w:firstRow="1" w:lastRow="0" w:firstColumn="1" w:lastColumn="0" w:noHBand="0" w:noVBand="1"/>
      </w:tblPr>
      <w:tblGrid>
        <w:gridCol w:w="960"/>
        <w:gridCol w:w="6660"/>
        <w:gridCol w:w="1900"/>
      </w:tblGrid>
      <w:tr w:rsidR="00CA3921" w:rsidRPr="00CA3921" w14:paraId="156D4804" w14:textId="77777777" w:rsidTr="005D2673">
        <w:trPr>
          <w:trHeight w:val="54"/>
        </w:trPr>
        <w:tc>
          <w:tcPr>
            <w:tcW w:w="960" w:type="dxa"/>
            <w:tcBorders>
              <w:top w:val="single" w:sz="8" w:space="0" w:color="00000A"/>
              <w:left w:val="single" w:sz="8" w:space="0" w:color="00000A"/>
              <w:bottom w:val="single" w:sz="8" w:space="0" w:color="00000A"/>
              <w:right w:val="single" w:sz="8" w:space="0" w:color="00000A"/>
            </w:tcBorders>
            <w:shd w:val="clear" w:color="auto" w:fill="auto"/>
            <w:vAlign w:val="center"/>
            <w:hideMark/>
          </w:tcPr>
          <w:p w14:paraId="32E93398" w14:textId="77777777" w:rsidR="00CA3921" w:rsidRPr="00CA3921" w:rsidRDefault="00CA3921" w:rsidP="00CA3921">
            <w:pPr>
              <w:suppressAutoHyphens w:val="0"/>
              <w:jc w:val="center"/>
              <w:rPr>
                <w:b/>
                <w:bCs/>
                <w:color w:val="000000"/>
              </w:rPr>
            </w:pPr>
            <w:r w:rsidRPr="00CA3921">
              <w:rPr>
                <w:b/>
                <w:bCs/>
                <w:color w:val="000000"/>
              </w:rPr>
              <w:t>Nº</w:t>
            </w:r>
          </w:p>
        </w:tc>
        <w:tc>
          <w:tcPr>
            <w:tcW w:w="6660" w:type="dxa"/>
            <w:tcBorders>
              <w:top w:val="single" w:sz="8" w:space="0" w:color="00000A"/>
              <w:left w:val="nil"/>
              <w:bottom w:val="single" w:sz="8" w:space="0" w:color="00000A"/>
              <w:right w:val="single" w:sz="8" w:space="0" w:color="00000A"/>
            </w:tcBorders>
            <w:shd w:val="clear" w:color="auto" w:fill="auto"/>
            <w:vAlign w:val="center"/>
            <w:hideMark/>
          </w:tcPr>
          <w:p w14:paraId="376D292F" w14:textId="77777777" w:rsidR="00CA3921" w:rsidRPr="00CA3921" w:rsidRDefault="00CA3921" w:rsidP="00CA3921">
            <w:pPr>
              <w:suppressAutoHyphens w:val="0"/>
              <w:jc w:val="center"/>
              <w:rPr>
                <w:b/>
                <w:bCs/>
                <w:color w:val="000000"/>
              </w:rPr>
            </w:pPr>
            <w:r w:rsidRPr="00CA3921">
              <w:rPr>
                <w:b/>
                <w:bCs/>
                <w:color w:val="000000"/>
              </w:rPr>
              <w:t>Instituições financeiras</w:t>
            </w:r>
          </w:p>
        </w:tc>
        <w:tc>
          <w:tcPr>
            <w:tcW w:w="1900" w:type="dxa"/>
            <w:tcBorders>
              <w:top w:val="single" w:sz="8" w:space="0" w:color="00000A"/>
              <w:left w:val="nil"/>
              <w:bottom w:val="single" w:sz="8" w:space="0" w:color="00000A"/>
              <w:right w:val="single" w:sz="8" w:space="0" w:color="00000A"/>
            </w:tcBorders>
            <w:shd w:val="clear" w:color="auto" w:fill="auto"/>
            <w:vAlign w:val="center"/>
            <w:hideMark/>
          </w:tcPr>
          <w:p w14:paraId="71D1B72E" w14:textId="77777777" w:rsidR="00CA3921" w:rsidRPr="00CA3921" w:rsidRDefault="00CA3921" w:rsidP="00CA3921">
            <w:pPr>
              <w:suppressAutoHyphens w:val="0"/>
              <w:jc w:val="center"/>
              <w:rPr>
                <w:b/>
                <w:bCs/>
                <w:color w:val="000000"/>
              </w:rPr>
            </w:pPr>
            <w:r w:rsidRPr="00CA3921">
              <w:rPr>
                <w:b/>
                <w:bCs/>
                <w:color w:val="000000"/>
              </w:rPr>
              <w:t>Abreviações</w:t>
            </w:r>
          </w:p>
        </w:tc>
      </w:tr>
      <w:tr w:rsidR="00CA3921" w:rsidRPr="00CA3921" w14:paraId="400A6407" w14:textId="77777777" w:rsidTr="005D2673">
        <w:trPr>
          <w:trHeight w:val="104"/>
        </w:trPr>
        <w:tc>
          <w:tcPr>
            <w:tcW w:w="960" w:type="dxa"/>
            <w:tcBorders>
              <w:top w:val="nil"/>
              <w:left w:val="single" w:sz="8" w:space="0" w:color="00000A"/>
              <w:bottom w:val="single" w:sz="8" w:space="0" w:color="00000A"/>
              <w:right w:val="single" w:sz="8" w:space="0" w:color="00000A"/>
            </w:tcBorders>
            <w:shd w:val="clear" w:color="auto" w:fill="auto"/>
            <w:vAlign w:val="center"/>
            <w:hideMark/>
          </w:tcPr>
          <w:p w14:paraId="1C706EF0" w14:textId="77777777" w:rsidR="00CA3921" w:rsidRPr="00CA3921" w:rsidRDefault="00CA3921" w:rsidP="00CA3921">
            <w:pPr>
              <w:suppressAutoHyphens w:val="0"/>
              <w:jc w:val="center"/>
            </w:pPr>
            <w:r w:rsidRPr="00CA3921">
              <w:t>1</w:t>
            </w:r>
          </w:p>
        </w:tc>
        <w:tc>
          <w:tcPr>
            <w:tcW w:w="6660" w:type="dxa"/>
            <w:tcBorders>
              <w:top w:val="nil"/>
              <w:left w:val="nil"/>
              <w:bottom w:val="single" w:sz="8" w:space="0" w:color="00000A"/>
              <w:right w:val="single" w:sz="8" w:space="0" w:color="00000A"/>
            </w:tcBorders>
            <w:shd w:val="clear" w:color="auto" w:fill="auto"/>
            <w:vAlign w:val="center"/>
            <w:hideMark/>
          </w:tcPr>
          <w:p w14:paraId="205CAA7B" w14:textId="77777777" w:rsidR="00CA3921" w:rsidRPr="00CA3921" w:rsidRDefault="00CA3921" w:rsidP="00CA3921">
            <w:pPr>
              <w:suppressAutoHyphens w:val="0"/>
              <w:jc w:val="both"/>
            </w:pPr>
            <w:r w:rsidRPr="00CA3921">
              <w:t xml:space="preserve">BANCO ABC BRASIL S.A </w:t>
            </w:r>
          </w:p>
        </w:tc>
        <w:tc>
          <w:tcPr>
            <w:tcW w:w="1900" w:type="dxa"/>
            <w:tcBorders>
              <w:top w:val="nil"/>
              <w:left w:val="nil"/>
              <w:bottom w:val="single" w:sz="8" w:space="0" w:color="00000A"/>
              <w:right w:val="single" w:sz="8" w:space="0" w:color="00000A"/>
            </w:tcBorders>
            <w:shd w:val="clear" w:color="auto" w:fill="auto"/>
            <w:vAlign w:val="center"/>
            <w:hideMark/>
          </w:tcPr>
          <w:p w14:paraId="1E04FA7E" w14:textId="77777777" w:rsidR="00CA3921" w:rsidRPr="00CA3921" w:rsidRDefault="00CA3921" w:rsidP="00CA3921">
            <w:pPr>
              <w:suppressAutoHyphens w:val="0"/>
              <w:jc w:val="center"/>
            </w:pPr>
            <w:r w:rsidRPr="00CA3921">
              <w:t>ABC BRASIL</w:t>
            </w:r>
          </w:p>
        </w:tc>
      </w:tr>
      <w:tr w:rsidR="00CA3921" w:rsidRPr="00CA3921" w14:paraId="03592D16" w14:textId="77777777" w:rsidTr="005D2673">
        <w:trPr>
          <w:trHeight w:val="150"/>
        </w:trPr>
        <w:tc>
          <w:tcPr>
            <w:tcW w:w="960" w:type="dxa"/>
            <w:tcBorders>
              <w:top w:val="nil"/>
              <w:left w:val="single" w:sz="8" w:space="0" w:color="00000A"/>
              <w:bottom w:val="single" w:sz="8" w:space="0" w:color="00000A"/>
              <w:right w:val="single" w:sz="8" w:space="0" w:color="00000A"/>
            </w:tcBorders>
            <w:shd w:val="clear" w:color="auto" w:fill="auto"/>
            <w:vAlign w:val="center"/>
            <w:hideMark/>
          </w:tcPr>
          <w:p w14:paraId="69AC397B" w14:textId="77777777" w:rsidR="00CA3921" w:rsidRPr="00CA3921" w:rsidRDefault="00CA3921" w:rsidP="00CA3921">
            <w:pPr>
              <w:suppressAutoHyphens w:val="0"/>
              <w:jc w:val="center"/>
            </w:pPr>
            <w:r w:rsidRPr="00CA3921">
              <w:t>2</w:t>
            </w:r>
          </w:p>
        </w:tc>
        <w:tc>
          <w:tcPr>
            <w:tcW w:w="6660" w:type="dxa"/>
            <w:tcBorders>
              <w:top w:val="nil"/>
              <w:left w:val="nil"/>
              <w:bottom w:val="single" w:sz="8" w:space="0" w:color="00000A"/>
              <w:right w:val="single" w:sz="8" w:space="0" w:color="00000A"/>
            </w:tcBorders>
            <w:shd w:val="clear" w:color="auto" w:fill="auto"/>
            <w:vAlign w:val="center"/>
            <w:hideMark/>
          </w:tcPr>
          <w:p w14:paraId="0F2614D4" w14:textId="77777777" w:rsidR="00CA3921" w:rsidRPr="00CA3921" w:rsidRDefault="00CA3921" w:rsidP="00CA3921">
            <w:pPr>
              <w:suppressAutoHyphens w:val="0"/>
              <w:jc w:val="both"/>
            </w:pPr>
            <w:r w:rsidRPr="00CA3921">
              <w:t>BANCO ALFA S.A</w:t>
            </w:r>
          </w:p>
        </w:tc>
        <w:tc>
          <w:tcPr>
            <w:tcW w:w="1900" w:type="dxa"/>
            <w:tcBorders>
              <w:top w:val="nil"/>
              <w:left w:val="nil"/>
              <w:bottom w:val="single" w:sz="8" w:space="0" w:color="00000A"/>
              <w:right w:val="single" w:sz="8" w:space="0" w:color="00000A"/>
            </w:tcBorders>
            <w:shd w:val="clear" w:color="auto" w:fill="auto"/>
            <w:vAlign w:val="center"/>
            <w:hideMark/>
          </w:tcPr>
          <w:p w14:paraId="42F9C722" w14:textId="77777777" w:rsidR="00CA3921" w:rsidRPr="00CA3921" w:rsidRDefault="00CA3921" w:rsidP="00CA3921">
            <w:pPr>
              <w:suppressAutoHyphens w:val="0"/>
              <w:jc w:val="center"/>
            </w:pPr>
            <w:r w:rsidRPr="00CA3921">
              <w:t>ALFA INVEST</w:t>
            </w:r>
          </w:p>
        </w:tc>
      </w:tr>
      <w:tr w:rsidR="00CA3921" w:rsidRPr="00CA3921" w14:paraId="09591A5F" w14:textId="77777777" w:rsidTr="005D2673">
        <w:trPr>
          <w:trHeight w:val="54"/>
        </w:trPr>
        <w:tc>
          <w:tcPr>
            <w:tcW w:w="960" w:type="dxa"/>
            <w:tcBorders>
              <w:top w:val="nil"/>
              <w:left w:val="single" w:sz="8" w:space="0" w:color="00000A"/>
              <w:bottom w:val="single" w:sz="8" w:space="0" w:color="00000A"/>
              <w:right w:val="single" w:sz="8" w:space="0" w:color="00000A"/>
            </w:tcBorders>
            <w:shd w:val="clear" w:color="auto" w:fill="auto"/>
            <w:vAlign w:val="center"/>
            <w:hideMark/>
          </w:tcPr>
          <w:p w14:paraId="0F234E48" w14:textId="77777777" w:rsidR="00CA3921" w:rsidRPr="00CA3921" w:rsidRDefault="00CA3921" w:rsidP="00CA3921">
            <w:pPr>
              <w:suppressAutoHyphens w:val="0"/>
              <w:jc w:val="center"/>
            </w:pPr>
            <w:r w:rsidRPr="00CA3921">
              <w:t>3</w:t>
            </w:r>
          </w:p>
        </w:tc>
        <w:tc>
          <w:tcPr>
            <w:tcW w:w="6660" w:type="dxa"/>
            <w:tcBorders>
              <w:top w:val="nil"/>
              <w:left w:val="nil"/>
              <w:bottom w:val="single" w:sz="8" w:space="0" w:color="00000A"/>
              <w:right w:val="single" w:sz="8" w:space="0" w:color="00000A"/>
            </w:tcBorders>
            <w:shd w:val="clear" w:color="auto" w:fill="auto"/>
            <w:vAlign w:val="center"/>
            <w:hideMark/>
          </w:tcPr>
          <w:p w14:paraId="587ED6DA" w14:textId="77777777" w:rsidR="00CA3921" w:rsidRPr="00CA3921" w:rsidRDefault="00CA3921" w:rsidP="00CA3921">
            <w:pPr>
              <w:suppressAutoHyphens w:val="0"/>
              <w:jc w:val="both"/>
            </w:pPr>
            <w:r w:rsidRPr="00CA3921">
              <w:t xml:space="preserve">BANCO DA AMAZONIA S.A </w:t>
            </w:r>
          </w:p>
        </w:tc>
        <w:tc>
          <w:tcPr>
            <w:tcW w:w="1900" w:type="dxa"/>
            <w:tcBorders>
              <w:top w:val="nil"/>
              <w:left w:val="nil"/>
              <w:bottom w:val="single" w:sz="8" w:space="0" w:color="00000A"/>
              <w:right w:val="single" w:sz="8" w:space="0" w:color="00000A"/>
            </w:tcBorders>
            <w:shd w:val="clear" w:color="auto" w:fill="auto"/>
            <w:vAlign w:val="center"/>
            <w:hideMark/>
          </w:tcPr>
          <w:p w14:paraId="150559F7" w14:textId="77777777" w:rsidR="00CA3921" w:rsidRPr="00CA3921" w:rsidRDefault="00CA3921" w:rsidP="00CA3921">
            <w:pPr>
              <w:suppressAutoHyphens w:val="0"/>
              <w:jc w:val="center"/>
            </w:pPr>
            <w:r w:rsidRPr="00CA3921">
              <w:t>AMAZONIA</w:t>
            </w:r>
          </w:p>
        </w:tc>
      </w:tr>
      <w:tr w:rsidR="00CA3921" w:rsidRPr="00CA3921" w14:paraId="13CF99C9" w14:textId="77777777" w:rsidTr="005D2673">
        <w:trPr>
          <w:trHeight w:val="54"/>
        </w:trPr>
        <w:tc>
          <w:tcPr>
            <w:tcW w:w="960" w:type="dxa"/>
            <w:tcBorders>
              <w:top w:val="nil"/>
              <w:left w:val="single" w:sz="8" w:space="0" w:color="00000A"/>
              <w:bottom w:val="single" w:sz="8" w:space="0" w:color="00000A"/>
              <w:right w:val="single" w:sz="8" w:space="0" w:color="00000A"/>
            </w:tcBorders>
            <w:shd w:val="clear" w:color="auto" w:fill="auto"/>
            <w:vAlign w:val="center"/>
            <w:hideMark/>
          </w:tcPr>
          <w:p w14:paraId="3A55667C" w14:textId="77777777" w:rsidR="00CA3921" w:rsidRPr="00CA3921" w:rsidRDefault="00CA3921" w:rsidP="00CA3921">
            <w:pPr>
              <w:suppressAutoHyphens w:val="0"/>
              <w:jc w:val="center"/>
            </w:pPr>
            <w:r w:rsidRPr="00CA3921">
              <w:lastRenderedPageBreak/>
              <w:t>4</w:t>
            </w:r>
          </w:p>
        </w:tc>
        <w:tc>
          <w:tcPr>
            <w:tcW w:w="6660" w:type="dxa"/>
            <w:tcBorders>
              <w:top w:val="nil"/>
              <w:left w:val="nil"/>
              <w:bottom w:val="single" w:sz="8" w:space="0" w:color="00000A"/>
              <w:right w:val="single" w:sz="8" w:space="0" w:color="00000A"/>
            </w:tcBorders>
            <w:shd w:val="clear" w:color="auto" w:fill="auto"/>
            <w:vAlign w:val="center"/>
            <w:hideMark/>
          </w:tcPr>
          <w:p w14:paraId="794970D2" w14:textId="77777777" w:rsidR="00CA3921" w:rsidRPr="00CA3921" w:rsidRDefault="00CA3921" w:rsidP="00CA3921">
            <w:pPr>
              <w:suppressAutoHyphens w:val="0"/>
              <w:jc w:val="both"/>
            </w:pPr>
            <w:r w:rsidRPr="00CA3921">
              <w:t xml:space="preserve">BANCO PAN S.A </w:t>
            </w:r>
          </w:p>
        </w:tc>
        <w:tc>
          <w:tcPr>
            <w:tcW w:w="1900" w:type="dxa"/>
            <w:tcBorders>
              <w:top w:val="nil"/>
              <w:left w:val="nil"/>
              <w:bottom w:val="single" w:sz="8" w:space="0" w:color="00000A"/>
              <w:right w:val="single" w:sz="8" w:space="0" w:color="00000A"/>
            </w:tcBorders>
            <w:shd w:val="clear" w:color="auto" w:fill="auto"/>
            <w:vAlign w:val="center"/>
            <w:hideMark/>
          </w:tcPr>
          <w:p w14:paraId="117A16F6" w14:textId="77777777" w:rsidR="00CA3921" w:rsidRPr="00CA3921" w:rsidRDefault="00CA3921" w:rsidP="00CA3921">
            <w:pPr>
              <w:suppressAutoHyphens w:val="0"/>
              <w:jc w:val="center"/>
            </w:pPr>
            <w:r w:rsidRPr="00CA3921">
              <w:t>BANCO PAN</w:t>
            </w:r>
          </w:p>
        </w:tc>
      </w:tr>
      <w:tr w:rsidR="00CA3921" w:rsidRPr="00CA3921" w14:paraId="1DFBA8EB" w14:textId="77777777" w:rsidTr="005D2673">
        <w:trPr>
          <w:trHeight w:val="54"/>
        </w:trPr>
        <w:tc>
          <w:tcPr>
            <w:tcW w:w="960" w:type="dxa"/>
            <w:tcBorders>
              <w:top w:val="nil"/>
              <w:left w:val="single" w:sz="8" w:space="0" w:color="00000A"/>
              <w:bottom w:val="single" w:sz="8" w:space="0" w:color="00000A"/>
              <w:right w:val="single" w:sz="8" w:space="0" w:color="00000A"/>
            </w:tcBorders>
            <w:shd w:val="clear" w:color="auto" w:fill="auto"/>
            <w:vAlign w:val="center"/>
            <w:hideMark/>
          </w:tcPr>
          <w:p w14:paraId="1E4B7343" w14:textId="77777777" w:rsidR="00CA3921" w:rsidRPr="00CA3921" w:rsidRDefault="00CA3921" w:rsidP="00CA3921">
            <w:pPr>
              <w:suppressAutoHyphens w:val="0"/>
              <w:jc w:val="center"/>
            </w:pPr>
            <w:r w:rsidRPr="00CA3921">
              <w:t>5</w:t>
            </w:r>
          </w:p>
        </w:tc>
        <w:tc>
          <w:tcPr>
            <w:tcW w:w="6660" w:type="dxa"/>
            <w:tcBorders>
              <w:top w:val="nil"/>
              <w:left w:val="nil"/>
              <w:bottom w:val="single" w:sz="8" w:space="0" w:color="00000A"/>
              <w:right w:val="single" w:sz="8" w:space="0" w:color="00000A"/>
            </w:tcBorders>
            <w:shd w:val="clear" w:color="auto" w:fill="auto"/>
            <w:vAlign w:val="center"/>
            <w:hideMark/>
          </w:tcPr>
          <w:p w14:paraId="4F919081" w14:textId="77777777" w:rsidR="00CA3921" w:rsidRPr="00CA3921" w:rsidRDefault="00CA3921" w:rsidP="00CA3921">
            <w:pPr>
              <w:suppressAutoHyphens w:val="0"/>
              <w:jc w:val="both"/>
            </w:pPr>
            <w:r w:rsidRPr="00CA3921">
              <w:t xml:space="preserve">BANCO DO ESTADO DE SERGIPE S.A </w:t>
            </w:r>
          </w:p>
        </w:tc>
        <w:tc>
          <w:tcPr>
            <w:tcW w:w="1900" w:type="dxa"/>
            <w:tcBorders>
              <w:top w:val="nil"/>
              <w:left w:val="nil"/>
              <w:bottom w:val="single" w:sz="8" w:space="0" w:color="00000A"/>
              <w:right w:val="single" w:sz="8" w:space="0" w:color="00000A"/>
            </w:tcBorders>
            <w:shd w:val="clear" w:color="auto" w:fill="auto"/>
            <w:vAlign w:val="center"/>
            <w:hideMark/>
          </w:tcPr>
          <w:p w14:paraId="1E61836D" w14:textId="77777777" w:rsidR="00CA3921" w:rsidRPr="00CA3921" w:rsidRDefault="00CA3921" w:rsidP="00CA3921">
            <w:pPr>
              <w:suppressAutoHyphens w:val="0"/>
              <w:jc w:val="center"/>
            </w:pPr>
            <w:r w:rsidRPr="00CA3921">
              <w:t>BANESE</w:t>
            </w:r>
          </w:p>
        </w:tc>
      </w:tr>
      <w:tr w:rsidR="00CA3921" w:rsidRPr="00CA3921" w14:paraId="3A2CE8C0" w14:textId="77777777" w:rsidTr="005D2673">
        <w:trPr>
          <w:trHeight w:val="114"/>
        </w:trPr>
        <w:tc>
          <w:tcPr>
            <w:tcW w:w="960" w:type="dxa"/>
            <w:tcBorders>
              <w:top w:val="nil"/>
              <w:left w:val="single" w:sz="8" w:space="0" w:color="00000A"/>
              <w:bottom w:val="single" w:sz="8" w:space="0" w:color="00000A"/>
              <w:right w:val="single" w:sz="8" w:space="0" w:color="00000A"/>
            </w:tcBorders>
            <w:shd w:val="clear" w:color="auto" w:fill="auto"/>
            <w:vAlign w:val="center"/>
            <w:hideMark/>
          </w:tcPr>
          <w:p w14:paraId="5A8BFB50" w14:textId="77777777" w:rsidR="00CA3921" w:rsidRPr="00CA3921" w:rsidRDefault="00CA3921" w:rsidP="00CA3921">
            <w:pPr>
              <w:suppressAutoHyphens w:val="0"/>
              <w:jc w:val="center"/>
            </w:pPr>
            <w:r w:rsidRPr="00CA3921">
              <w:t>6</w:t>
            </w:r>
          </w:p>
        </w:tc>
        <w:tc>
          <w:tcPr>
            <w:tcW w:w="6660" w:type="dxa"/>
            <w:tcBorders>
              <w:top w:val="nil"/>
              <w:left w:val="nil"/>
              <w:bottom w:val="single" w:sz="8" w:space="0" w:color="00000A"/>
              <w:right w:val="single" w:sz="8" w:space="0" w:color="00000A"/>
            </w:tcBorders>
            <w:shd w:val="clear" w:color="auto" w:fill="auto"/>
            <w:vAlign w:val="center"/>
            <w:hideMark/>
          </w:tcPr>
          <w:p w14:paraId="473511E4" w14:textId="77777777" w:rsidR="00CA3921" w:rsidRPr="00CA3921" w:rsidRDefault="00CA3921" w:rsidP="00CA3921">
            <w:pPr>
              <w:suppressAutoHyphens w:val="0"/>
              <w:jc w:val="both"/>
            </w:pPr>
            <w:r w:rsidRPr="00CA3921">
              <w:t xml:space="preserve">BANESTES S.A BANCO DO ESTADO DO ESPÍRITO SANTO </w:t>
            </w:r>
          </w:p>
        </w:tc>
        <w:tc>
          <w:tcPr>
            <w:tcW w:w="1900" w:type="dxa"/>
            <w:tcBorders>
              <w:top w:val="nil"/>
              <w:left w:val="nil"/>
              <w:bottom w:val="single" w:sz="8" w:space="0" w:color="00000A"/>
              <w:right w:val="single" w:sz="8" w:space="0" w:color="00000A"/>
            </w:tcBorders>
            <w:shd w:val="clear" w:color="auto" w:fill="auto"/>
            <w:vAlign w:val="center"/>
            <w:hideMark/>
          </w:tcPr>
          <w:p w14:paraId="59FC2BE5" w14:textId="77777777" w:rsidR="00CA3921" w:rsidRPr="00CA3921" w:rsidRDefault="00CA3921" w:rsidP="00CA3921">
            <w:pPr>
              <w:suppressAutoHyphens w:val="0"/>
              <w:jc w:val="center"/>
            </w:pPr>
            <w:r w:rsidRPr="00CA3921">
              <w:t>BANESTES</w:t>
            </w:r>
          </w:p>
        </w:tc>
      </w:tr>
      <w:tr w:rsidR="00CA3921" w:rsidRPr="00CA3921" w14:paraId="46C76484" w14:textId="77777777" w:rsidTr="005D2673">
        <w:trPr>
          <w:trHeight w:val="54"/>
        </w:trPr>
        <w:tc>
          <w:tcPr>
            <w:tcW w:w="960" w:type="dxa"/>
            <w:tcBorders>
              <w:top w:val="nil"/>
              <w:left w:val="single" w:sz="8" w:space="0" w:color="00000A"/>
              <w:bottom w:val="single" w:sz="8" w:space="0" w:color="00000A"/>
              <w:right w:val="single" w:sz="8" w:space="0" w:color="00000A"/>
            </w:tcBorders>
            <w:shd w:val="clear" w:color="auto" w:fill="auto"/>
            <w:vAlign w:val="center"/>
            <w:hideMark/>
          </w:tcPr>
          <w:p w14:paraId="67E9F18D" w14:textId="77777777" w:rsidR="00CA3921" w:rsidRPr="00CA3921" w:rsidRDefault="00CA3921" w:rsidP="00CA3921">
            <w:pPr>
              <w:suppressAutoHyphens w:val="0"/>
              <w:jc w:val="center"/>
            </w:pPr>
            <w:r w:rsidRPr="00CA3921">
              <w:t>7</w:t>
            </w:r>
          </w:p>
        </w:tc>
        <w:tc>
          <w:tcPr>
            <w:tcW w:w="6660" w:type="dxa"/>
            <w:tcBorders>
              <w:top w:val="nil"/>
              <w:left w:val="nil"/>
              <w:bottom w:val="single" w:sz="8" w:space="0" w:color="00000A"/>
              <w:right w:val="single" w:sz="8" w:space="0" w:color="00000A"/>
            </w:tcBorders>
            <w:shd w:val="clear" w:color="auto" w:fill="auto"/>
            <w:vAlign w:val="center"/>
            <w:hideMark/>
          </w:tcPr>
          <w:p w14:paraId="14E4AC54" w14:textId="77777777" w:rsidR="00CA3921" w:rsidRPr="00CA3921" w:rsidRDefault="00CA3921" w:rsidP="00CA3921">
            <w:pPr>
              <w:suppressAutoHyphens w:val="0"/>
              <w:jc w:val="both"/>
            </w:pPr>
            <w:r w:rsidRPr="00CA3921">
              <w:t>BANCO DO ESTADO DO PARÁ S.A</w:t>
            </w:r>
          </w:p>
        </w:tc>
        <w:tc>
          <w:tcPr>
            <w:tcW w:w="1900" w:type="dxa"/>
            <w:tcBorders>
              <w:top w:val="nil"/>
              <w:left w:val="nil"/>
              <w:bottom w:val="single" w:sz="8" w:space="0" w:color="00000A"/>
              <w:right w:val="single" w:sz="8" w:space="0" w:color="00000A"/>
            </w:tcBorders>
            <w:shd w:val="clear" w:color="auto" w:fill="auto"/>
            <w:vAlign w:val="center"/>
            <w:hideMark/>
          </w:tcPr>
          <w:p w14:paraId="23B3E0E5" w14:textId="77777777" w:rsidR="00CA3921" w:rsidRPr="00CA3921" w:rsidRDefault="00CA3921" w:rsidP="00CA3921">
            <w:pPr>
              <w:suppressAutoHyphens w:val="0"/>
              <w:jc w:val="center"/>
            </w:pPr>
            <w:r w:rsidRPr="00CA3921">
              <w:t>BANPARA</w:t>
            </w:r>
          </w:p>
        </w:tc>
      </w:tr>
      <w:tr w:rsidR="00CA3921" w:rsidRPr="00CA3921" w14:paraId="083C9C92" w14:textId="77777777" w:rsidTr="005D2673">
        <w:trPr>
          <w:trHeight w:val="54"/>
        </w:trPr>
        <w:tc>
          <w:tcPr>
            <w:tcW w:w="960" w:type="dxa"/>
            <w:tcBorders>
              <w:top w:val="nil"/>
              <w:left w:val="single" w:sz="8" w:space="0" w:color="00000A"/>
              <w:bottom w:val="single" w:sz="8" w:space="0" w:color="00000A"/>
              <w:right w:val="single" w:sz="8" w:space="0" w:color="00000A"/>
            </w:tcBorders>
            <w:shd w:val="clear" w:color="auto" w:fill="auto"/>
            <w:vAlign w:val="center"/>
            <w:hideMark/>
          </w:tcPr>
          <w:p w14:paraId="6A68060D" w14:textId="77777777" w:rsidR="00CA3921" w:rsidRPr="00CA3921" w:rsidRDefault="00CA3921" w:rsidP="00CA3921">
            <w:pPr>
              <w:suppressAutoHyphens w:val="0"/>
              <w:jc w:val="center"/>
            </w:pPr>
            <w:r w:rsidRPr="00CA3921">
              <w:t>8</w:t>
            </w:r>
          </w:p>
        </w:tc>
        <w:tc>
          <w:tcPr>
            <w:tcW w:w="6660" w:type="dxa"/>
            <w:tcBorders>
              <w:top w:val="nil"/>
              <w:left w:val="nil"/>
              <w:bottom w:val="single" w:sz="8" w:space="0" w:color="00000A"/>
              <w:right w:val="single" w:sz="8" w:space="0" w:color="00000A"/>
            </w:tcBorders>
            <w:shd w:val="clear" w:color="auto" w:fill="auto"/>
            <w:vAlign w:val="center"/>
            <w:hideMark/>
          </w:tcPr>
          <w:p w14:paraId="33BD025B" w14:textId="77777777" w:rsidR="00CA3921" w:rsidRPr="00CA3921" w:rsidRDefault="00CA3921" w:rsidP="00CA3921">
            <w:pPr>
              <w:suppressAutoHyphens w:val="0"/>
              <w:jc w:val="both"/>
            </w:pPr>
            <w:r w:rsidRPr="00CA3921">
              <w:t>BANCO DO ESTADO DO RIO GRANDE DO SUL S.A</w:t>
            </w:r>
          </w:p>
        </w:tc>
        <w:tc>
          <w:tcPr>
            <w:tcW w:w="1900" w:type="dxa"/>
            <w:tcBorders>
              <w:top w:val="nil"/>
              <w:left w:val="nil"/>
              <w:bottom w:val="single" w:sz="8" w:space="0" w:color="00000A"/>
              <w:right w:val="single" w:sz="8" w:space="0" w:color="00000A"/>
            </w:tcBorders>
            <w:shd w:val="clear" w:color="auto" w:fill="auto"/>
            <w:vAlign w:val="center"/>
            <w:hideMark/>
          </w:tcPr>
          <w:p w14:paraId="75102A88" w14:textId="77777777" w:rsidR="00CA3921" w:rsidRPr="00CA3921" w:rsidRDefault="00CA3921" w:rsidP="00CA3921">
            <w:pPr>
              <w:suppressAutoHyphens w:val="0"/>
              <w:jc w:val="center"/>
            </w:pPr>
            <w:r w:rsidRPr="00CA3921">
              <w:t>BANRISUL</w:t>
            </w:r>
          </w:p>
        </w:tc>
      </w:tr>
      <w:tr w:rsidR="00CA3921" w:rsidRPr="00CA3921" w14:paraId="3566E093" w14:textId="77777777" w:rsidTr="005D2673">
        <w:trPr>
          <w:trHeight w:val="54"/>
        </w:trPr>
        <w:tc>
          <w:tcPr>
            <w:tcW w:w="960" w:type="dxa"/>
            <w:tcBorders>
              <w:top w:val="nil"/>
              <w:left w:val="single" w:sz="8" w:space="0" w:color="00000A"/>
              <w:bottom w:val="single" w:sz="8" w:space="0" w:color="00000A"/>
              <w:right w:val="single" w:sz="8" w:space="0" w:color="00000A"/>
            </w:tcBorders>
            <w:shd w:val="clear" w:color="auto" w:fill="auto"/>
            <w:vAlign w:val="center"/>
            <w:hideMark/>
          </w:tcPr>
          <w:p w14:paraId="184F3594" w14:textId="77777777" w:rsidR="00CA3921" w:rsidRPr="00CA3921" w:rsidRDefault="00CA3921" w:rsidP="00CA3921">
            <w:pPr>
              <w:suppressAutoHyphens w:val="0"/>
              <w:jc w:val="center"/>
            </w:pPr>
            <w:r w:rsidRPr="00CA3921">
              <w:t>9</w:t>
            </w:r>
          </w:p>
        </w:tc>
        <w:tc>
          <w:tcPr>
            <w:tcW w:w="6660" w:type="dxa"/>
            <w:tcBorders>
              <w:top w:val="nil"/>
              <w:left w:val="nil"/>
              <w:bottom w:val="single" w:sz="8" w:space="0" w:color="00000A"/>
              <w:right w:val="single" w:sz="8" w:space="0" w:color="00000A"/>
            </w:tcBorders>
            <w:shd w:val="clear" w:color="auto" w:fill="auto"/>
            <w:vAlign w:val="center"/>
            <w:hideMark/>
          </w:tcPr>
          <w:p w14:paraId="31C72C82" w14:textId="77777777" w:rsidR="00CA3921" w:rsidRPr="00CA3921" w:rsidRDefault="00CA3921" w:rsidP="00CA3921">
            <w:pPr>
              <w:suppressAutoHyphens w:val="0"/>
              <w:jc w:val="both"/>
            </w:pPr>
            <w:r w:rsidRPr="00CA3921">
              <w:t xml:space="preserve">BANCO BRADESCO S.A </w:t>
            </w:r>
          </w:p>
        </w:tc>
        <w:tc>
          <w:tcPr>
            <w:tcW w:w="1900" w:type="dxa"/>
            <w:tcBorders>
              <w:top w:val="nil"/>
              <w:left w:val="nil"/>
              <w:bottom w:val="single" w:sz="8" w:space="0" w:color="00000A"/>
              <w:right w:val="single" w:sz="8" w:space="0" w:color="00000A"/>
            </w:tcBorders>
            <w:shd w:val="clear" w:color="auto" w:fill="auto"/>
            <w:vAlign w:val="center"/>
            <w:hideMark/>
          </w:tcPr>
          <w:p w14:paraId="4103447A" w14:textId="77777777" w:rsidR="00CA3921" w:rsidRPr="00CA3921" w:rsidRDefault="00CA3921" w:rsidP="00CA3921">
            <w:pPr>
              <w:suppressAutoHyphens w:val="0"/>
              <w:jc w:val="center"/>
            </w:pPr>
            <w:r w:rsidRPr="00CA3921">
              <w:t>BRADESCO</w:t>
            </w:r>
          </w:p>
        </w:tc>
      </w:tr>
      <w:tr w:rsidR="00CA3921" w:rsidRPr="00CA3921" w14:paraId="64689576" w14:textId="77777777" w:rsidTr="005D2673">
        <w:trPr>
          <w:trHeight w:val="54"/>
        </w:trPr>
        <w:tc>
          <w:tcPr>
            <w:tcW w:w="960" w:type="dxa"/>
            <w:tcBorders>
              <w:top w:val="nil"/>
              <w:left w:val="single" w:sz="8" w:space="0" w:color="00000A"/>
              <w:bottom w:val="single" w:sz="8" w:space="0" w:color="00000A"/>
              <w:right w:val="single" w:sz="8" w:space="0" w:color="00000A"/>
            </w:tcBorders>
            <w:shd w:val="clear" w:color="auto" w:fill="auto"/>
            <w:vAlign w:val="center"/>
            <w:hideMark/>
          </w:tcPr>
          <w:p w14:paraId="46C24297" w14:textId="77777777" w:rsidR="00CA3921" w:rsidRPr="00CA3921" w:rsidRDefault="00CA3921" w:rsidP="00CA3921">
            <w:pPr>
              <w:suppressAutoHyphens w:val="0"/>
              <w:jc w:val="center"/>
            </w:pPr>
            <w:r w:rsidRPr="00CA3921">
              <w:t>10</w:t>
            </w:r>
          </w:p>
        </w:tc>
        <w:tc>
          <w:tcPr>
            <w:tcW w:w="6660" w:type="dxa"/>
            <w:tcBorders>
              <w:top w:val="nil"/>
              <w:left w:val="nil"/>
              <w:bottom w:val="single" w:sz="8" w:space="0" w:color="00000A"/>
              <w:right w:val="single" w:sz="8" w:space="0" w:color="00000A"/>
            </w:tcBorders>
            <w:shd w:val="clear" w:color="auto" w:fill="auto"/>
            <w:vAlign w:val="center"/>
            <w:hideMark/>
          </w:tcPr>
          <w:p w14:paraId="258176DF" w14:textId="77777777" w:rsidR="00CA3921" w:rsidRPr="00CA3921" w:rsidRDefault="00CA3921" w:rsidP="00CA3921">
            <w:pPr>
              <w:suppressAutoHyphens w:val="0"/>
              <w:jc w:val="both"/>
            </w:pPr>
            <w:r w:rsidRPr="00CA3921">
              <w:t xml:space="preserve">BANCO DO BRASIL S.A </w:t>
            </w:r>
          </w:p>
        </w:tc>
        <w:tc>
          <w:tcPr>
            <w:tcW w:w="1900" w:type="dxa"/>
            <w:tcBorders>
              <w:top w:val="nil"/>
              <w:left w:val="nil"/>
              <w:bottom w:val="single" w:sz="8" w:space="0" w:color="00000A"/>
              <w:right w:val="single" w:sz="8" w:space="0" w:color="00000A"/>
            </w:tcBorders>
            <w:shd w:val="clear" w:color="auto" w:fill="auto"/>
            <w:vAlign w:val="center"/>
            <w:hideMark/>
          </w:tcPr>
          <w:p w14:paraId="72B9FE95" w14:textId="77777777" w:rsidR="00CA3921" w:rsidRPr="00CA3921" w:rsidRDefault="00CA3921" w:rsidP="00CA3921">
            <w:pPr>
              <w:suppressAutoHyphens w:val="0"/>
              <w:jc w:val="center"/>
            </w:pPr>
            <w:r w:rsidRPr="00CA3921">
              <w:t>BRASIL</w:t>
            </w:r>
          </w:p>
        </w:tc>
      </w:tr>
      <w:tr w:rsidR="00CA3921" w:rsidRPr="00CA3921" w14:paraId="74B47283" w14:textId="77777777" w:rsidTr="005D2673">
        <w:trPr>
          <w:trHeight w:val="54"/>
        </w:trPr>
        <w:tc>
          <w:tcPr>
            <w:tcW w:w="960" w:type="dxa"/>
            <w:tcBorders>
              <w:top w:val="nil"/>
              <w:left w:val="single" w:sz="8" w:space="0" w:color="00000A"/>
              <w:bottom w:val="single" w:sz="8" w:space="0" w:color="00000A"/>
              <w:right w:val="single" w:sz="8" w:space="0" w:color="00000A"/>
            </w:tcBorders>
            <w:shd w:val="clear" w:color="auto" w:fill="auto"/>
            <w:vAlign w:val="center"/>
            <w:hideMark/>
          </w:tcPr>
          <w:p w14:paraId="1B3AA91C" w14:textId="77777777" w:rsidR="00CA3921" w:rsidRPr="00CA3921" w:rsidRDefault="00CA3921" w:rsidP="00CA3921">
            <w:pPr>
              <w:suppressAutoHyphens w:val="0"/>
              <w:jc w:val="center"/>
            </w:pPr>
            <w:r w:rsidRPr="00CA3921">
              <w:t>11</w:t>
            </w:r>
          </w:p>
        </w:tc>
        <w:tc>
          <w:tcPr>
            <w:tcW w:w="6660" w:type="dxa"/>
            <w:tcBorders>
              <w:top w:val="nil"/>
              <w:left w:val="nil"/>
              <w:bottom w:val="single" w:sz="8" w:space="0" w:color="00000A"/>
              <w:right w:val="single" w:sz="8" w:space="0" w:color="00000A"/>
            </w:tcBorders>
            <w:shd w:val="clear" w:color="auto" w:fill="auto"/>
            <w:vAlign w:val="center"/>
            <w:hideMark/>
          </w:tcPr>
          <w:p w14:paraId="34765776" w14:textId="77777777" w:rsidR="00CA3921" w:rsidRPr="00CA3921" w:rsidRDefault="00CA3921" w:rsidP="00CA3921">
            <w:pPr>
              <w:suppressAutoHyphens w:val="0"/>
              <w:jc w:val="both"/>
            </w:pPr>
            <w:r w:rsidRPr="00CA3921">
              <w:t>BRB – BANCO DE BRASÍLIA S.A</w:t>
            </w:r>
          </w:p>
        </w:tc>
        <w:tc>
          <w:tcPr>
            <w:tcW w:w="1900" w:type="dxa"/>
            <w:tcBorders>
              <w:top w:val="nil"/>
              <w:left w:val="nil"/>
              <w:bottom w:val="single" w:sz="8" w:space="0" w:color="00000A"/>
              <w:right w:val="single" w:sz="8" w:space="0" w:color="00000A"/>
            </w:tcBorders>
            <w:shd w:val="clear" w:color="auto" w:fill="auto"/>
            <w:vAlign w:val="center"/>
            <w:hideMark/>
          </w:tcPr>
          <w:p w14:paraId="3B061DDD" w14:textId="77777777" w:rsidR="00CA3921" w:rsidRPr="00CA3921" w:rsidRDefault="00CA3921" w:rsidP="00CA3921">
            <w:pPr>
              <w:suppressAutoHyphens w:val="0"/>
              <w:jc w:val="center"/>
            </w:pPr>
            <w:r w:rsidRPr="00CA3921">
              <w:t>BRB BANCO</w:t>
            </w:r>
          </w:p>
        </w:tc>
      </w:tr>
      <w:tr w:rsidR="00CA3921" w:rsidRPr="00CA3921" w14:paraId="1D67F6C3" w14:textId="77777777" w:rsidTr="005D2673">
        <w:trPr>
          <w:trHeight w:val="54"/>
        </w:trPr>
        <w:tc>
          <w:tcPr>
            <w:tcW w:w="960" w:type="dxa"/>
            <w:tcBorders>
              <w:top w:val="nil"/>
              <w:left w:val="single" w:sz="8" w:space="0" w:color="00000A"/>
              <w:bottom w:val="single" w:sz="8" w:space="0" w:color="00000A"/>
              <w:right w:val="single" w:sz="8" w:space="0" w:color="00000A"/>
            </w:tcBorders>
            <w:shd w:val="clear" w:color="auto" w:fill="auto"/>
            <w:vAlign w:val="center"/>
            <w:hideMark/>
          </w:tcPr>
          <w:p w14:paraId="4999F384" w14:textId="77777777" w:rsidR="00CA3921" w:rsidRPr="00CA3921" w:rsidRDefault="00CA3921" w:rsidP="00CA3921">
            <w:pPr>
              <w:suppressAutoHyphens w:val="0"/>
              <w:jc w:val="center"/>
            </w:pPr>
            <w:r w:rsidRPr="00CA3921">
              <w:t>12</w:t>
            </w:r>
          </w:p>
        </w:tc>
        <w:tc>
          <w:tcPr>
            <w:tcW w:w="6660" w:type="dxa"/>
            <w:tcBorders>
              <w:top w:val="nil"/>
              <w:left w:val="nil"/>
              <w:bottom w:val="single" w:sz="8" w:space="0" w:color="00000A"/>
              <w:right w:val="single" w:sz="8" w:space="0" w:color="00000A"/>
            </w:tcBorders>
            <w:shd w:val="clear" w:color="auto" w:fill="auto"/>
            <w:vAlign w:val="center"/>
            <w:hideMark/>
          </w:tcPr>
          <w:p w14:paraId="321FE665" w14:textId="77777777" w:rsidR="00CA3921" w:rsidRPr="00CA3921" w:rsidRDefault="00CA3921" w:rsidP="00CA3921">
            <w:pPr>
              <w:suppressAutoHyphens w:val="0"/>
              <w:jc w:val="both"/>
            </w:pPr>
            <w:r w:rsidRPr="00CA3921">
              <w:t xml:space="preserve">BANCO BTG PACTUAL S.A </w:t>
            </w:r>
          </w:p>
        </w:tc>
        <w:tc>
          <w:tcPr>
            <w:tcW w:w="1900" w:type="dxa"/>
            <w:tcBorders>
              <w:top w:val="nil"/>
              <w:left w:val="nil"/>
              <w:bottom w:val="single" w:sz="8" w:space="0" w:color="00000A"/>
              <w:right w:val="single" w:sz="8" w:space="0" w:color="00000A"/>
            </w:tcBorders>
            <w:shd w:val="clear" w:color="auto" w:fill="auto"/>
            <w:vAlign w:val="center"/>
            <w:hideMark/>
          </w:tcPr>
          <w:p w14:paraId="0CD6898F" w14:textId="77777777" w:rsidR="00CA3921" w:rsidRPr="00CA3921" w:rsidRDefault="00CA3921" w:rsidP="00CA3921">
            <w:pPr>
              <w:suppressAutoHyphens w:val="0"/>
              <w:jc w:val="center"/>
            </w:pPr>
            <w:r w:rsidRPr="00CA3921">
              <w:t>BTGP BANCO</w:t>
            </w:r>
          </w:p>
        </w:tc>
      </w:tr>
      <w:tr w:rsidR="00CA3921" w:rsidRPr="00CA3921" w14:paraId="50F4AF20" w14:textId="77777777" w:rsidTr="005D2673">
        <w:trPr>
          <w:trHeight w:val="54"/>
        </w:trPr>
        <w:tc>
          <w:tcPr>
            <w:tcW w:w="960" w:type="dxa"/>
            <w:tcBorders>
              <w:top w:val="nil"/>
              <w:left w:val="single" w:sz="8" w:space="0" w:color="00000A"/>
              <w:bottom w:val="single" w:sz="8" w:space="0" w:color="00000A"/>
              <w:right w:val="single" w:sz="8" w:space="0" w:color="00000A"/>
            </w:tcBorders>
            <w:shd w:val="clear" w:color="auto" w:fill="auto"/>
            <w:vAlign w:val="center"/>
            <w:hideMark/>
          </w:tcPr>
          <w:p w14:paraId="38725914" w14:textId="77777777" w:rsidR="00CA3921" w:rsidRPr="00CA3921" w:rsidRDefault="00CA3921" w:rsidP="00CA3921">
            <w:pPr>
              <w:suppressAutoHyphens w:val="0"/>
              <w:jc w:val="center"/>
            </w:pPr>
            <w:r w:rsidRPr="00CA3921">
              <w:t>13</w:t>
            </w:r>
          </w:p>
        </w:tc>
        <w:tc>
          <w:tcPr>
            <w:tcW w:w="6660" w:type="dxa"/>
            <w:tcBorders>
              <w:top w:val="nil"/>
              <w:left w:val="nil"/>
              <w:bottom w:val="single" w:sz="8" w:space="0" w:color="00000A"/>
              <w:right w:val="single" w:sz="8" w:space="0" w:color="00000A"/>
            </w:tcBorders>
            <w:shd w:val="clear" w:color="auto" w:fill="auto"/>
            <w:vAlign w:val="center"/>
            <w:hideMark/>
          </w:tcPr>
          <w:p w14:paraId="15D01DA0" w14:textId="77777777" w:rsidR="00CA3921" w:rsidRPr="00CA3921" w:rsidRDefault="00CA3921" w:rsidP="00CA3921">
            <w:pPr>
              <w:suppressAutoHyphens w:val="0"/>
              <w:jc w:val="both"/>
            </w:pPr>
            <w:r w:rsidRPr="00CA3921">
              <w:t>CAIXA ECONÔMICA FEDERAL</w:t>
            </w:r>
          </w:p>
        </w:tc>
        <w:tc>
          <w:tcPr>
            <w:tcW w:w="1900" w:type="dxa"/>
            <w:tcBorders>
              <w:top w:val="nil"/>
              <w:left w:val="nil"/>
              <w:bottom w:val="single" w:sz="8" w:space="0" w:color="00000A"/>
              <w:right w:val="single" w:sz="8" w:space="0" w:color="00000A"/>
            </w:tcBorders>
            <w:shd w:val="clear" w:color="auto" w:fill="auto"/>
            <w:vAlign w:val="center"/>
            <w:hideMark/>
          </w:tcPr>
          <w:p w14:paraId="6C0D2FEE" w14:textId="77777777" w:rsidR="00CA3921" w:rsidRPr="00CA3921" w:rsidRDefault="00CA3921" w:rsidP="00CA3921">
            <w:pPr>
              <w:suppressAutoHyphens w:val="0"/>
              <w:jc w:val="center"/>
            </w:pPr>
            <w:r w:rsidRPr="00CA3921">
              <w:t>CAIXA</w:t>
            </w:r>
          </w:p>
        </w:tc>
      </w:tr>
      <w:tr w:rsidR="00CA3921" w:rsidRPr="00CA3921" w14:paraId="281BA71B" w14:textId="77777777" w:rsidTr="005D2673">
        <w:trPr>
          <w:trHeight w:val="123"/>
        </w:trPr>
        <w:tc>
          <w:tcPr>
            <w:tcW w:w="960" w:type="dxa"/>
            <w:tcBorders>
              <w:top w:val="nil"/>
              <w:left w:val="single" w:sz="8" w:space="0" w:color="00000A"/>
              <w:bottom w:val="single" w:sz="8" w:space="0" w:color="00000A"/>
              <w:right w:val="single" w:sz="8" w:space="0" w:color="00000A"/>
            </w:tcBorders>
            <w:shd w:val="clear" w:color="auto" w:fill="auto"/>
            <w:vAlign w:val="center"/>
            <w:hideMark/>
          </w:tcPr>
          <w:p w14:paraId="55EF4D98" w14:textId="77777777" w:rsidR="00CA3921" w:rsidRPr="00CA3921" w:rsidRDefault="00CA3921" w:rsidP="00CA3921">
            <w:pPr>
              <w:suppressAutoHyphens w:val="0"/>
              <w:jc w:val="center"/>
            </w:pPr>
            <w:r w:rsidRPr="00CA3921">
              <w:t>14</w:t>
            </w:r>
          </w:p>
        </w:tc>
        <w:tc>
          <w:tcPr>
            <w:tcW w:w="6660" w:type="dxa"/>
            <w:tcBorders>
              <w:top w:val="nil"/>
              <w:left w:val="nil"/>
              <w:bottom w:val="single" w:sz="8" w:space="0" w:color="00000A"/>
              <w:right w:val="single" w:sz="8" w:space="0" w:color="00000A"/>
            </w:tcBorders>
            <w:shd w:val="clear" w:color="auto" w:fill="auto"/>
            <w:vAlign w:val="center"/>
            <w:hideMark/>
          </w:tcPr>
          <w:p w14:paraId="58809A6E" w14:textId="77777777" w:rsidR="00CA3921" w:rsidRPr="00CA3921" w:rsidRDefault="00CA3921" w:rsidP="00CA3921">
            <w:pPr>
              <w:suppressAutoHyphens w:val="0"/>
              <w:jc w:val="both"/>
            </w:pPr>
            <w:r w:rsidRPr="00CA3921">
              <w:t>BANCO DAYCOVAL S.A</w:t>
            </w:r>
          </w:p>
        </w:tc>
        <w:tc>
          <w:tcPr>
            <w:tcW w:w="1900" w:type="dxa"/>
            <w:tcBorders>
              <w:top w:val="nil"/>
              <w:left w:val="nil"/>
              <w:bottom w:val="single" w:sz="8" w:space="0" w:color="00000A"/>
              <w:right w:val="single" w:sz="8" w:space="0" w:color="00000A"/>
            </w:tcBorders>
            <w:shd w:val="clear" w:color="auto" w:fill="auto"/>
            <w:vAlign w:val="center"/>
            <w:hideMark/>
          </w:tcPr>
          <w:p w14:paraId="58B16279" w14:textId="77777777" w:rsidR="00CA3921" w:rsidRPr="00CA3921" w:rsidRDefault="00CA3921" w:rsidP="00CA3921">
            <w:pPr>
              <w:suppressAutoHyphens w:val="0"/>
              <w:jc w:val="center"/>
            </w:pPr>
            <w:r w:rsidRPr="00CA3921">
              <w:t>DAYCOVAL</w:t>
            </w:r>
          </w:p>
        </w:tc>
      </w:tr>
      <w:tr w:rsidR="00CA3921" w:rsidRPr="00CA3921" w14:paraId="32C1048F" w14:textId="77777777" w:rsidTr="005D2673">
        <w:trPr>
          <w:trHeight w:val="214"/>
        </w:trPr>
        <w:tc>
          <w:tcPr>
            <w:tcW w:w="960" w:type="dxa"/>
            <w:tcBorders>
              <w:top w:val="nil"/>
              <w:left w:val="single" w:sz="8" w:space="0" w:color="00000A"/>
              <w:bottom w:val="single" w:sz="8" w:space="0" w:color="00000A"/>
              <w:right w:val="single" w:sz="8" w:space="0" w:color="00000A"/>
            </w:tcBorders>
            <w:shd w:val="clear" w:color="auto" w:fill="auto"/>
            <w:vAlign w:val="center"/>
            <w:hideMark/>
          </w:tcPr>
          <w:p w14:paraId="47E686E8" w14:textId="77777777" w:rsidR="00CA3921" w:rsidRPr="00CA3921" w:rsidRDefault="00CA3921" w:rsidP="00CA3921">
            <w:pPr>
              <w:suppressAutoHyphens w:val="0"/>
              <w:jc w:val="center"/>
            </w:pPr>
            <w:r w:rsidRPr="00CA3921">
              <w:t>15</w:t>
            </w:r>
          </w:p>
        </w:tc>
        <w:tc>
          <w:tcPr>
            <w:tcW w:w="6660" w:type="dxa"/>
            <w:tcBorders>
              <w:top w:val="nil"/>
              <w:left w:val="nil"/>
              <w:bottom w:val="single" w:sz="8" w:space="0" w:color="00000A"/>
              <w:right w:val="single" w:sz="8" w:space="0" w:color="00000A"/>
            </w:tcBorders>
            <w:shd w:val="clear" w:color="auto" w:fill="auto"/>
            <w:vAlign w:val="center"/>
            <w:hideMark/>
          </w:tcPr>
          <w:p w14:paraId="71D252C9" w14:textId="77777777" w:rsidR="00CA3921" w:rsidRPr="00CA3921" w:rsidRDefault="00CA3921" w:rsidP="00CA3921">
            <w:pPr>
              <w:suppressAutoHyphens w:val="0"/>
              <w:jc w:val="both"/>
            </w:pPr>
            <w:r w:rsidRPr="00CA3921">
              <w:t xml:space="preserve">GOLDMAN SACHS DO BRASIL BANCO MULTIPLO S.A </w:t>
            </w:r>
          </w:p>
        </w:tc>
        <w:tc>
          <w:tcPr>
            <w:tcW w:w="1900" w:type="dxa"/>
            <w:tcBorders>
              <w:top w:val="nil"/>
              <w:left w:val="nil"/>
              <w:bottom w:val="single" w:sz="8" w:space="0" w:color="00000A"/>
              <w:right w:val="single" w:sz="8" w:space="0" w:color="00000A"/>
            </w:tcBorders>
            <w:shd w:val="clear" w:color="auto" w:fill="auto"/>
            <w:vAlign w:val="center"/>
            <w:hideMark/>
          </w:tcPr>
          <w:p w14:paraId="2CBEE76D" w14:textId="77777777" w:rsidR="00CA3921" w:rsidRPr="00CA3921" w:rsidRDefault="00CA3921" w:rsidP="00CA3921">
            <w:pPr>
              <w:suppressAutoHyphens w:val="0"/>
              <w:jc w:val="center"/>
            </w:pPr>
            <w:r w:rsidRPr="00CA3921">
              <w:t>GOLDMANSACHS</w:t>
            </w:r>
          </w:p>
        </w:tc>
      </w:tr>
      <w:tr w:rsidR="00CA3921" w:rsidRPr="00CA3921" w14:paraId="38284C64" w14:textId="77777777" w:rsidTr="005D2673">
        <w:trPr>
          <w:trHeight w:val="103"/>
        </w:trPr>
        <w:tc>
          <w:tcPr>
            <w:tcW w:w="960" w:type="dxa"/>
            <w:tcBorders>
              <w:top w:val="nil"/>
              <w:left w:val="single" w:sz="8" w:space="0" w:color="00000A"/>
              <w:bottom w:val="single" w:sz="8" w:space="0" w:color="00000A"/>
              <w:right w:val="single" w:sz="8" w:space="0" w:color="00000A"/>
            </w:tcBorders>
            <w:shd w:val="clear" w:color="auto" w:fill="auto"/>
            <w:vAlign w:val="center"/>
            <w:hideMark/>
          </w:tcPr>
          <w:p w14:paraId="31D8B220" w14:textId="77777777" w:rsidR="00CA3921" w:rsidRPr="00CA3921" w:rsidRDefault="00CA3921" w:rsidP="00CA3921">
            <w:pPr>
              <w:suppressAutoHyphens w:val="0"/>
              <w:jc w:val="center"/>
            </w:pPr>
            <w:r w:rsidRPr="00CA3921">
              <w:t>16</w:t>
            </w:r>
          </w:p>
        </w:tc>
        <w:tc>
          <w:tcPr>
            <w:tcW w:w="6660" w:type="dxa"/>
            <w:tcBorders>
              <w:top w:val="nil"/>
              <w:left w:val="nil"/>
              <w:bottom w:val="single" w:sz="8" w:space="0" w:color="00000A"/>
              <w:right w:val="single" w:sz="8" w:space="0" w:color="00000A"/>
            </w:tcBorders>
            <w:shd w:val="clear" w:color="auto" w:fill="auto"/>
            <w:vAlign w:val="center"/>
            <w:hideMark/>
          </w:tcPr>
          <w:p w14:paraId="613636BC" w14:textId="77777777" w:rsidR="00CA3921" w:rsidRPr="00CA3921" w:rsidRDefault="00CA3921" w:rsidP="00CA3921">
            <w:pPr>
              <w:suppressAutoHyphens w:val="0"/>
              <w:jc w:val="both"/>
            </w:pPr>
            <w:r w:rsidRPr="00CA3921">
              <w:t>HSBC BANK BRASIL S.A – BANCO MULTIPLO</w:t>
            </w:r>
          </w:p>
        </w:tc>
        <w:tc>
          <w:tcPr>
            <w:tcW w:w="1900" w:type="dxa"/>
            <w:tcBorders>
              <w:top w:val="nil"/>
              <w:left w:val="nil"/>
              <w:bottom w:val="single" w:sz="8" w:space="0" w:color="00000A"/>
              <w:right w:val="single" w:sz="8" w:space="0" w:color="00000A"/>
            </w:tcBorders>
            <w:shd w:val="clear" w:color="auto" w:fill="auto"/>
            <w:vAlign w:val="center"/>
            <w:hideMark/>
          </w:tcPr>
          <w:p w14:paraId="77DEC494" w14:textId="77777777" w:rsidR="00CA3921" w:rsidRPr="00CA3921" w:rsidRDefault="00CA3921" w:rsidP="00CA3921">
            <w:pPr>
              <w:suppressAutoHyphens w:val="0"/>
              <w:jc w:val="center"/>
            </w:pPr>
            <w:r w:rsidRPr="00CA3921">
              <w:t>HSBC</w:t>
            </w:r>
          </w:p>
        </w:tc>
      </w:tr>
      <w:tr w:rsidR="00CA3921" w:rsidRPr="00CA3921" w14:paraId="4216D7D7" w14:textId="77777777" w:rsidTr="005D2673">
        <w:trPr>
          <w:trHeight w:val="110"/>
        </w:trPr>
        <w:tc>
          <w:tcPr>
            <w:tcW w:w="960" w:type="dxa"/>
            <w:tcBorders>
              <w:top w:val="nil"/>
              <w:left w:val="single" w:sz="8" w:space="0" w:color="00000A"/>
              <w:bottom w:val="single" w:sz="8" w:space="0" w:color="00000A"/>
              <w:right w:val="single" w:sz="8" w:space="0" w:color="00000A"/>
            </w:tcBorders>
            <w:shd w:val="clear" w:color="auto" w:fill="auto"/>
            <w:vAlign w:val="center"/>
            <w:hideMark/>
          </w:tcPr>
          <w:p w14:paraId="7D075E15" w14:textId="77777777" w:rsidR="00CA3921" w:rsidRPr="00CA3921" w:rsidRDefault="00CA3921" w:rsidP="00CA3921">
            <w:pPr>
              <w:suppressAutoHyphens w:val="0"/>
              <w:jc w:val="center"/>
            </w:pPr>
            <w:r w:rsidRPr="00CA3921">
              <w:t>17</w:t>
            </w:r>
          </w:p>
        </w:tc>
        <w:tc>
          <w:tcPr>
            <w:tcW w:w="6660" w:type="dxa"/>
            <w:tcBorders>
              <w:top w:val="nil"/>
              <w:left w:val="nil"/>
              <w:bottom w:val="single" w:sz="8" w:space="0" w:color="00000A"/>
              <w:right w:val="single" w:sz="8" w:space="0" w:color="00000A"/>
            </w:tcBorders>
            <w:shd w:val="clear" w:color="auto" w:fill="auto"/>
            <w:vAlign w:val="center"/>
            <w:hideMark/>
          </w:tcPr>
          <w:p w14:paraId="1EB14FF4" w14:textId="77777777" w:rsidR="00CA3921" w:rsidRPr="00CA3921" w:rsidRDefault="00CA3921" w:rsidP="00CA3921">
            <w:pPr>
              <w:suppressAutoHyphens w:val="0"/>
              <w:jc w:val="both"/>
            </w:pPr>
            <w:r w:rsidRPr="00CA3921">
              <w:t>ITAÚ UNIBANCO S.A</w:t>
            </w:r>
          </w:p>
        </w:tc>
        <w:tc>
          <w:tcPr>
            <w:tcW w:w="1900" w:type="dxa"/>
            <w:tcBorders>
              <w:top w:val="nil"/>
              <w:left w:val="nil"/>
              <w:bottom w:val="single" w:sz="8" w:space="0" w:color="00000A"/>
              <w:right w:val="single" w:sz="8" w:space="0" w:color="00000A"/>
            </w:tcBorders>
            <w:shd w:val="clear" w:color="auto" w:fill="auto"/>
            <w:vAlign w:val="center"/>
            <w:hideMark/>
          </w:tcPr>
          <w:p w14:paraId="13551517" w14:textId="77777777" w:rsidR="00CA3921" w:rsidRPr="00CA3921" w:rsidRDefault="00CA3921" w:rsidP="00CA3921">
            <w:pPr>
              <w:suppressAutoHyphens w:val="0"/>
              <w:jc w:val="center"/>
            </w:pPr>
            <w:r w:rsidRPr="00CA3921">
              <w:t>ITAUUNIBANCO</w:t>
            </w:r>
          </w:p>
        </w:tc>
      </w:tr>
      <w:tr w:rsidR="00CA3921" w:rsidRPr="00CA3921" w14:paraId="5CAB59D1" w14:textId="77777777" w:rsidTr="005D2673">
        <w:trPr>
          <w:trHeight w:val="141"/>
        </w:trPr>
        <w:tc>
          <w:tcPr>
            <w:tcW w:w="960" w:type="dxa"/>
            <w:tcBorders>
              <w:top w:val="nil"/>
              <w:left w:val="single" w:sz="8" w:space="0" w:color="00000A"/>
              <w:bottom w:val="single" w:sz="8" w:space="0" w:color="00000A"/>
              <w:right w:val="single" w:sz="8" w:space="0" w:color="00000A"/>
            </w:tcBorders>
            <w:shd w:val="clear" w:color="auto" w:fill="auto"/>
            <w:vAlign w:val="center"/>
            <w:hideMark/>
          </w:tcPr>
          <w:p w14:paraId="01632DB3" w14:textId="77777777" w:rsidR="00CA3921" w:rsidRPr="00CA3921" w:rsidRDefault="00CA3921" w:rsidP="00CA3921">
            <w:pPr>
              <w:suppressAutoHyphens w:val="0"/>
              <w:jc w:val="center"/>
            </w:pPr>
            <w:r w:rsidRPr="00CA3921">
              <w:t>18</w:t>
            </w:r>
          </w:p>
        </w:tc>
        <w:tc>
          <w:tcPr>
            <w:tcW w:w="6660" w:type="dxa"/>
            <w:tcBorders>
              <w:top w:val="nil"/>
              <w:left w:val="nil"/>
              <w:bottom w:val="single" w:sz="8" w:space="0" w:color="00000A"/>
              <w:right w:val="single" w:sz="8" w:space="0" w:color="00000A"/>
            </w:tcBorders>
            <w:shd w:val="clear" w:color="auto" w:fill="auto"/>
            <w:vAlign w:val="center"/>
            <w:hideMark/>
          </w:tcPr>
          <w:p w14:paraId="54DCD04B" w14:textId="77777777" w:rsidR="00CA3921" w:rsidRPr="00CA3921" w:rsidRDefault="00CA3921" w:rsidP="00CA3921">
            <w:pPr>
              <w:suppressAutoHyphens w:val="0"/>
              <w:jc w:val="both"/>
            </w:pPr>
            <w:r w:rsidRPr="00CA3921">
              <w:t xml:space="preserve">BANCO J.P. MORGAN S.A </w:t>
            </w:r>
          </w:p>
        </w:tc>
        <w:tc>
          <w:tcPr>
            <w:tcW w:w="1900" w:type="dxa"/>
            <w:tcBorders>
              <w:top w:val="nil"/>
              <w:left w:val="nil"/>
              <w:bottom w:val="single" w:sz="8" w:space="0" w:color="00000A"/>
              <w:right w:val="single" w:sz="8" w:space="0" w:color="00000A"/>
            </w:tcBorders>
            <w:shd w:val="clear" w:color="auto" w:fill="auto"/>
            <w:vAlign w:val="center"/>
            <w:hideMark/>
          </w:tcPr>
          <w:p w14:paraId="362FA3CA" w14:textId="77777777" w:rsidR="00CA3921" w:rsidRPr="00CA3921" w:rsidRDefault="00CA3921" w:rsidP="00CA3921">
            <w:pPr>
              <w:suppressAutoHyphens w:val="0"/>
              <w:jc w:val="center"/>
            </w:pPr>
            <w:r w:rsidRPr="00CA3921">
              <w:t>JPMORGAN</w:t>
            </w:r>
          </w:p>
        </w:tc>
      </w:tr>
      <w:tr w:rsidR="00CA3921" w:rsidRPr="00CA3921" w14:paraId="31AF03F2" w14:textId="77777777" w:rsidTr="005D2673">
        <w:trPr>
          <w:trHeight w:val="54"/>
        </w:trPr>
        <w:tc>
          <w:tcPr>
            <w:tcW w:w="960" w:type="dxa"/>
            <w:tcBorders>
              <w:top w:val="nil"/>
              <w:left w:val="single" w:sz="8" w:space="0" w:color="00000A"/>
              <w:bottom w:val="single" w:sz="8" w:space="0" w:color="00000A"/>
              <w:right w:val="single" w:sz="8" w:space="0" w:color="00000A"/>
            </w:tcBorders>
            <w:shd w:val="clear" w:color="auto" w:fill="auto"/>
            <w:vAlign w:val="center"/>
            <w:hideMark/>
          </w:tcPr>
          <w:p w14:paraId="34A1942C" w14:textId="77777777" w:rsidR="00CA3921" w:rsidRPr="00CA3921" w:rsidRDefault="00CA3921" w:rsidP="00CA3921">
            <w:pPr>
              <w:suppressAutoHyphens w:val="0"/>
              <w:jc w:val="center"/>
            </w:pPr>
            <w:r w:rsidRPr="00CA3921">
              <w:t>19</w:t>
            </w:r>
          </w:p>
        </w:tc>
        <w:tc>
          <w:tcPr>
            <w:tcW w:w="6660" w:type="dxa"/>
            <w:tcBorders>
              <w:top w:val="nil"/>
              <w:left w:val="nil"/>
              <w:bottom w:val="single" w:sz="8" w:space="0" w:color="00000A"/>
              <w:right w:val="single" w:sz="8" w:space="0" w:color="00000A"/>
            </w:tcBorders>
            <w:shd w:val="clear" w:color="auto" w:fill="auto"/>
            <w:vAlign w:val="center"/>
            <w:hideMark/>
          </w:tcPr>
          <w:p w14:paraId="35BE2F61" w14:textId="77777777" w:rsidR="00CA3921" w:rsidRPr="00CA3921" w:rsidRDefault="00CA3921" w:rsidP="00CA3921">
            <w:pPr>
              <w:suppressAutoHyphens w:val="0"/>
              <w:jc w:val="both"/>
            </w:pPr>
            <w:r w:rsidRPr="00CA3921">
              <w:t>BANCO MERCANTIL DO BRASIL S.A</w:t>
            </w:r>
          </w:p>
        </w:tc>
        <w:tc>
          <w:tcPr>
            <w:tcW w:w="1900" w:type="dxa"/>
            <w:tcBorders>
              <w:top w:val="nil"/>
              <w:left w:val="nil"/>
              <w:bottom w:val="single" w:sz="8" w:space="0" w:color="00000A"/>
              <w:right w:val="single" w:sz="8" w:space="0" w:color="00000A"/>
            </w:tcBorders>
            <w:shd w:val="clear" w:color="auto" w:fill="auto"/>
            <w:vAlign w:val="center"/>
            <w:hideMark/>
          </w:tcPr>
          <w:p w14:paraId="5C2C7C72" w14:textId="77777777" w:rsidR="00CA3921" w:rsidRPr="00CA3921" w:rsidRDefault="00CA3921" w:rsidP="00CA3921">
            <w:pPr>
              <w:suppressAutoHyphens w:val="0"/>
              <w:jc w:val="center"/>
            </w:pPr>
            <w:r w:rsidRPr="00CA3921">
              <w:t>MERC BRASIL</w:t>
            </w:r>
          </w:p>
        </w:tc>
      </w:tr>
      <w:tr w:rsidR="00CA3921" w:rsidRPr="00CA3921" w14:paraId="38C82C92" w14:textId="77777777" w:rsidTr="005D2673">
        <w:trPr>
          <w:trHeight w:val="54"/>
        </w:trPr>
        <w:tc>
          <w:tcPr>
            <w:tcW w:w="960" w:type="dxa"/>
            <w:tcBorders>
              <w:top w:val="nil"/>
              <w:left w:val="single" w:sz="8" w:space="0" w:color="00000A"/>
              <w:bottom w:val="single" w:sz="8" w:space="0" w:color="00000A"/>
              <w:right w:val="single" w:sz="8" w:space="0" w:color="00000A"/>
            </w:tcBorders>
            <w:shd w:val="clear" w:color="auto" w:fill="auto"/>
            <w:vAlign w:val="center"/>
            <w:hideMark/>
          </w:tcPr>
          <w:p w14:paraId="22372F49" w14:textId="77777777" w:rsidR="00CA3921" w:rsidRPr="00CA3921" w:rsidRDefault="00CA3921" w:rsidP="00CA3921">
            <w:pPr>
              <w:suppressAutoHyphens w:val="0"/>
              <w:jc w:val="center"/>
            </w:pPr>
            <w:r w:rsidRPr="00CA3921">
              <w:t>20</w:t>
            </w:r>
          </w:p>
        </w:tc>
        <w:tc>
          <w:tcPr>
            <w:tcW w:w="6660" w:type="dxa"/>
            <w:tcBorders>
              <w:top w:val="nil"/>
              <w:left w:val="nil"/>
              <w:bottom w:val="single" w:sz="8" w:space="0" w:color="00000A"/>
              <w:right w:val="single" w:sz="8" w:space="0" w:color="00000A"/>
            </w:tcBorders>
            <w:shd w:val="clear" w:color="auto" w:fill="auto"/>
            <w:vAlign w:val="center"/>
            <w:hideMark/>
          </w:tcPr>
          <w:p w14:paraId="3A1DCB3A" w14:textId="77777777" w:rsidR="00CA3921" w:rsidRPr="00CA3921" w:rsidRDefault="00CA3921" w:rsidP="00CA3921">
            <w:pPr>
              <w:suppressAutoHyphens w:val="0"/>
              <w:jc w:val="both"/>
            </w:pPr>
            <w:r w:rsidRPr="00CA3921">
              <w:t xml:space="preserve">BANCO DO NORDESTE DO BRASIL S.A </w:t>
            </w:r>
          </w:p>
        </w:tc>
        <w:tc>
          <w:tcPr>
            <w:tcW w:w="1900" w:type="dxa"/>
            <w:tcBorders>
              <w:top w:val="nil"/>
              <w:left w:val="nil"/>
              <w:bottom w:val="single" w:sz="8" w:space="0" w:color="00000A"/>
              <w:right w:val="single" w:sz="8" w:space="0" w:color="00000A"/>
            </w:tcBorders>
            <w:shd w:val="clear" w:color="auto" w:fill="auto"/>
            <w:vAlign w:val="center"/>
            <w:hideMark/>
          </w:tcPr>
          <w:p w14:paraId="240A4365" w14:textId="77777777" w:rsidR="00CA3921" w:rsidRPr="00CA3921" w:rsidRDefault="00CA3921" w:rsidP="00CA3921">
            <w:pPr>
              <w:suppressAutoHyphens w:val="0"/>
              <w:jc w:val="center"/>
            </w:pPr>
            <w:r w:rsidRPr="00CA3921">
              <w:t>NORD BRASIL</w:t>
            </w:r>
          </w:p>
        </w:tc>
      </w:tr>
      <w:tr w:rsidR="00CA3921" w:rsidRPr="00CA3921" w14:paraId="13C9A0BA" w14:textId="77777777" w:rsidTr="005D2673">
        <w:trPr>
          <w:trHeight w:val="54"/>
        </w:trPr>
        <w:tc>
          <w:tcPr>
            <w:tcW w:w="960" w:type="dxa"/>
            <w:tcBorders>
              <w:top w:val="nil"/>
              <w:left w:val="single" w:sz="8" w:space="0" w:color="00000A"/>
              <w:bottom w:val="single" w:sz="8" w:space="0" w:color="00000A"/>
              <w:right w:val="single" w:sz="8" w:space="0" w:color="00000A"/>
            </w:tcBorders>
            <w:shd w:val="clear" w:color="auto" w:fill="auto"/>
            <w:vAlign w:val="center"/>
            <w:hideMark/>
          </w:tcPr>
          <w:p w14:paraId="72629D53" w14:textId="77777777" w:rsidR="00CA3921" w:rsidRPr="00CA3921" w:rsidRDefault="00CA3921" w:rsidP="00CA3921">
            <w:pPr>
              <w:suppressAutoHyphens w:val="0"/>
              <w:jc w:val="center"/>
            </w:pPr>
            <w:r w:rsidRPr="00CA3921">
              <w:t>21</w:t>
            </w:r>
          </w:p>
        </w:tc>
        <w:tc>
          <w:tcPr>
            <w:tcW w:w="6660" w:type="dxa"/>
            <w:tcBorders>
              <w:top w:val="nil"/>
              <w:left w:val="nil"/>
              <w:bottom w:val="single" w:sz="8" w:space="0" w:color="00000A"/>
              <w:right w:val="single" w:sz="8" w:space="0" w:color="00000A"/>
            </w:tcBorders>
            <w:shd w:val="clear" w:color="auto" w:fill="auto"/>
            <w:vAlign w:val="center"/>
            <w:hideMark/>
          </w:tcPr>
          <w:p w14:paraId="4C3A7383" w14:textId="77777777" w:rsidR="00CA3921" w:rsidRPr="00CA3921" w:rsidRDefault="00CA3921" w:rsidP="00CA3921">
            <w:pPr>
              <w:suppressAutoHyphens w:val="0"/>
              <w:jc w:val="both"/>
            </w:pPr>
            <w:r w:rsidRPr="00CA3921">
              <w:t xml:space="preserve">PARANÁ BANCO S.A </w:t>
            </w:r>
          </w:p>
        </w:tc>
        <w:tc>
          <w:tcPr>
            <w:tcW w:w="1900" w:type="dxa"/>
            <w:tcBorders>
              <w:top w:val="nil"/>
              <w:left w:val="nil"/>
              <w:bottom w:val="single" w:sz="8" w:space="0" w:color="00000A"/>
              <w:right w:val="single" w:sz="8" w:space="0" w:color="00000A"/>
            </w:tcBorders>
            <w:shd w:val="clear" w:color="auto" w:fill="auto"/>
            <w:vAlign w:val="center"/>
            <w:hideMark/>
          </w:tcPr>
          <w:p w14:paraId="796E33E4" w14:textId="77777777" w:rsidR="00CA3921" w:rsidRPr="00CA3921" w:rsidRDefault="00CA3921" w:rsidP="00CA3921">
            <w:pPr>
              <w:suppressAutoHyphens w:val="0"/>
              <w:jc w:val="center"/>
            </w:pPr>
            <w:r w:rsidRPr="00CA3921">
              <w:t>PARANA</w:t>
            </w:r>
          </w:p>
        </w:tc>
      </w:tr>
      <w:tr w:rsidR="00CA3921" w:rsidRPr="00CA3921" w14:paraId="787D88FD" w14:textId="77777777" w:rsidTr="005D2673">
        <w:trPr>
          <w:trHeight w:val="108"/>
        </w:trPr>
        <w:tc>
          <w:tcPr>
            <w:tcW w:w="960" w:type="dxa"/>
            <w:tcBorders>
              <w:top w:val="nil"/>
              <w:left w:val="single" w:sz="8" w:space="0" w:color="00000A"/>
              <w:bottom w:val="single" w:sz="8" w:space="0" w:color="00000A"/>
              <w:right w:val="single" w:sz="8" w:space="0" w:color="00000A"/>
            </w:tcBorders>
            <w:shd w:val="clear" w:color="auto" w:fill="auto"/>
            <w:vAlign w:val="center"/>
            <w:hideMark/>
          </w:tcPr>
          <w:p w14:paraId="3927AC74" w14:textId="77777777" w:rsidR="00CA3921" w:rsidRPr="00CA3921" w:rsidRDefault="00CA3921" w:rsidP="00CA3921">
            <w:pPr>
              <w:suppressAutoHyphens w:val="0"/>
              <w:jc w:val="center"/>
            </w:pPr>
            <w:r w:rsidRPr="00CA3921">
              <w:t>22</w:t>
            </w:r>
          </w:p>
        </w:tc>
        <w:tc>
          <w:tcPr>
            <w:tcW w:w="6660" w:type="dxa"/>
            <w:tcBorders>
              <w:top w:val="nil"/>
              <w:left w:val="nil"/>
              <w:bottom w:val="single" w:sz="8" w:space="0" w:color="00000A"/>
              <w:right w:val="single" w:sz="8" w:space="0" w:color="00000A"/>
            </w:tcBorders>
            <w:shd w:val="clear" w:color="auto" w:fill="auto"/>
            <w:vAlign w:val="center"/>
            <w:hideMark/>
          </w:tcPr>
          <w:p w14:paraId="420FB069" w14:textId="77777777" w:rsidR="00CA3921" w:rsidRPr="00CA3921" w:rsidRDefault="00CA3921" w:rsidP="00CA3921">
            <w:pPr>
              <w:suppressAutoHyphens w:val="0"/>
              <w:jc w:val="both"/>
            </w:pPr>
            <w:r w:rsidRPr="00CA3921">
              <w:t xml:space="preserve">BANCO PINE S.A </w:t>
            </w:r>
          </w:p>
        </w:tc>
        <w:tc>
          <w:tcPr>
            <w:tcW w:w="1900" w:type="dxa"/>
            <w:tcBorders>
              <w:top w:val="nil"/>
              <w:left w:val="nil"/>
              <w:bottom w:val="single" w:sz="8" w:space="0" w:color="00000A"/>
              <w:right w:val="single" w:sz="8" w:space="0" w:color="00000A"/>
            </w:tcBorders>
            <w:shd w:val="clear" w:color="auto" w:fill="auto"/>
            <w:vAlign w:val="center"/>
            <w:hideMark/>
          </w:tcPr>
          <w:p w14:paraId="6EEF96EA" w14:textId="77777777" w:rsidR="00CA3921" w:rsidRPr="00CA3921" w:rsidRDefault="00CA3921" w:rsidP="00CA3921">
            <w:pPr>
              <w:suppressAutoHyphens w:val="0"/>
              <w:jc w:val="center"/>
            </w:pPr>
            <w:r w:rsidRPr="00CA3921">
              <w:t>PINE</w:t>
            </w:r>
          </w:p>
        </w:tc>
      </w:tr>
      <w:tr w:rsidR="00CA3921" w:rsidRPr="00CA3921" w14:paraId="5D55A10D" w14:textId="77777777" w:rsidTr="005D2673">
        <w:trPr>
          <w:trHeight w:val="54"/>
        </w:trPr>
        <w:tc>
          <w:tcPr>
            <w:tcW w:w="960" w:type="dxa"/>
            <w:tcBorders>
              <w:top w:val="nil"/>
              <w:left w:val="single" w:sz="8" w:space="0" w:color="00000A"/>
              <w:bottom w:val="single" w:sz="8" w:space="0" w:color="00000A"/>
              <w:right w:val="single" w:sz="8" w:space="0" w:color="00000A"/>
            </w:tcBorders>
            <w:shd w:val="clear" w:color="auto" w:fill="auto"/>
            <w:vAlign w:val="center"/>
            <w:hideMark/>
          </w:tcPr>
          <w:p w14:paraId="02FD4707" w14:textId="77777777" w:rsidR="00CA3921" w:rsidRPr="00CA3921" w:rsidRDefault="00CA3921" w:rsidP="00CA3921">
            <w:pPr>
              <w:suppressAutoHyphens w:val="0"/>
              <w:jc w:val="center"/>
            </w:pPr>
            <w:r w:rsidRPr="00CA3921">
              <w:t>23</w:t>
            </w:r>
          </w:p>
        </w:tc>
        <w:tc>
          <w:tcPr>
            <w:tcW w:w="6660" w:type="dxa"/>
            <w:tcBorders>
              <w:top w:val="nil"/>
              <w:left w:val="nil"/>
              <w:bottom w:val="single" w:sz="8" w:space="0" w:color="00000A"/>
              <w:right w:val="single" w:sz="8" w:space="0" w:color="00000A"/>
            </w:tcBorders>
            <w:shd w:val="clear" w:color="auto" w:fill="auto"/>
            <w:vAlign w:val="center"/>
            <w:hideMark/>
          </w:tcPr>
          <w:p w14:paraId="499A876C" w14:textId="77777777" w:rsidR="00CA3921" w:rsidRPr="00CA3921" w:rsidRDefault="00CA3921" w:rsidP="00CA3921">
            <w:pPr>
              <w:suppressAutoHyphens w:val="0"/>
              <w:jc w:val="both"/>
            </w:pPr>
            <w:r w:rsidRPr="00CA3921">
              <w:t xml:space="preserve">BANCO RCI BRASIL S.A </w:t>
            </w:r>
          </w:p>
        </w:tc>
        <w:tc>
          <w:tcPr>
            <w:tcW w:w="1900" w:type="dxa"/>
            <w:tcBorders>
              <w:top w:val="nil"/>
              <w:left w:val="nil"/>
              <w:bottom w:val="single" w:sz="8" w:space="0" w:color="00000A"/>
              <w:right w:val="single" w:sz="8" w:space="0" w:color="00000A"/>
            </w:tcBorders>
            <w:shd w:val="clear" w:color="auto" w:fill="auto"/>
            <w:vAlign w:val="center"/>
            <w:hideMark/>
          </w:tcPr>
          <w:p w14:paraId="484A16B3" w14:textId="77777777" w:rsidR="00CA3921" w:rsidRPr="00CA3921" w:rsidRDefault="00CA3921" w:rsidP="00CA3921">
            <w:pPr>
              <w:suppressAutoHyphens w:val="0"/>
              <w:jc w:val="center"/>
            </w:pPr>
            <w:r w:rsidRPr="00CA3921">
              <w:t>SANTANDER</w:t>
            </w:r>
          </w:p>
        </w:tc>
      </w:tr>
      <w:tr w:rsidR="00CA3921" w:rsidRPr="00CA3921" w14:paraId="0175EA9B" w14:textId="77777777" w:rsidTr="005D2673">
        <w:trPr>
          <w:trHeight w:val="54"/>
        </w:trPr>
        <w:tc>
          <w:tcPr>
            <w:tcW w:w="960" w:type="dxa"/>
            <w:tcBorders>
              <w:top w:val="nil"/>
              <w:left w:val="single" w:sz="8" w:space="0" w:color="00000A"/>
              <w:bottom w:val="single" w:sz="8" w:space="0" w:color="00000A"/>
              <w:right w:val="single" w:sz="8" w:space="0" w:color="00000A"/>
            </w:tcBorders>
            <w:shd w:val="clear" w:color="auto" w:fill="auto"/>
            <w:vAlign w:val="center"/>
            <w:hideMark/>
          </w:tcPr>
          <w:p w14:paraId="39104943" w14:textId="77777777" w:rsidR="00CA3921" w:rsidRPr="00CA3921" w:rsidRDefault="00CA3921" w:rsidP="00CA3921">
            <w:pPr>
              <w:suppressAutoHyphens w:val="0"/>
              <w:jc w:val="center"/>
            </w:pPr>
            <w:r w:rsidRPr="00CA3921">
              <w:t>24</w:t>
            </w:r>
          </w:p>
        </w:tc>
        <w:tc>
          <w:tcPr>
            <w:tcW w:w="6660" w:type="dxa"/>
            <w:tcBorders>
              <w:top w:val="nil"/>
              <w:left w:val="nil"/>
              <w:bottom w:val="single" w:sz="8" w:space="0" w:color="00000A"/>
              <w:right w:val="single" w:sz="8" w:space="0" w:color="00000A"/>
            </w:tcBorders>
            <w:shd w:val="clear" w:color="auto" w:fill="auto"/>
            <w:vAlign w:val="center"/>
            <w:hideMark/>
          </w:tcPr>
          <w:p w14:paraId="40D76B80" w14:textId="77777777" w:rsidR="00CA3921" w:rsidRPr="00CA3921" w:rsidRDefault="00CA3921" w:rsidP="00CA3921">
            <w:pPr>
              <w:suppressAutoHyphens w:val="0"/>
              <w:jc w:val="both"/>
            </w:pPr>
            <w:r w:rsidRPr="00CA3921">
              <w:t>BANCO SOFISA S.A</w:t>
            </w:r>
          </w:p>
        </w:tc>
        <w:tc>
          <w:tcPr>
            <w:tcW w:w="1900" w:type="dxa"/>
            <w:tcBorders>
              <w:top w:val="nil"/>
              <w:left w:val="nil"/>
              <w:bottom w:val="single" w:sz="8" w:space="0" w:color="00000A"/>
              <w:right w:val="single" w:sz="8" w:space="0" w:color="00000A"/>
            </w:tcBorders>
            <w:shd w:val="clear" w:color="auto" w:fill="auto"/>
            <w:vAlign w:val="center"/>
            <w:hideMark/>
          </w:tcPr>
          <w:p w14:paraId="2343F760" w14:textId="77777777" w:rsidR="00CA3921" w:rsidRPr="00CA3921" w:rsidRDefault="00CA3921" w:rsidP="00CA3921">
            <w:pPr>
              <w:suppressAutoHyphens w:val="0"/>
              <w:jc w:val="center"/>
            </w:pPr>
            <w:r w:rsidRPr="00CA3921">
              <w:t>SOFISA</w:t>
            </w:r>
          </w:p>
        </w:tc>
      </w:tr>
    </w:tbl>
    <w:p w14:paraId="23B5EFC9" w14:textId="77777777" w:rsidR="00CA3921" w:rsidRPr="00CA3921" w:rsidRDefault="00CA3921" w:rsidP="00CA3921">
      <w:pPr>
        <w:suppressAutoHyphens w:val="0"/>
        <w:spacing w:after="120"/>
        <w:ind w:firstLine="709"/>
        <w:jc w:val="both"/>
        <w:rPr>
          <w:b/>
          <w:sz w:val="24"/>
          <w:szCs w:val="24"/>
        </w:rPr>
      </w:pPr>
      <w:r w:rsidRPr="00CA3921">
        <w:rPr>
          <w:b/>
          <w:sz w:val="24"/>
          <w:szCs w:val="24"/>
        </w:rPr>
        <w:t>Fonte:</w:t>
      </w:r>
      <w:r w:rsidRPr="00CA3921">
        <w:rPr>
          <w:sz w:val="24"/>
          <w:szCs w:val="24"/>
        </w:rPr>
        <w:t xml:space="preserve"> próprios autores.</w:t>
      </w:r>
    </w:p>
    <w:p w14:paraId="15BCC3B2" w14:textId="77777777" w:rsidR="00CA3921" w:rsidRPr="00CA3921" w:rsidRDefault="00CA3921" w:rsidP="00CA3921">
      <w:pPr>
        <w:suppressAutoHyphens w:val="0"/>
        <w:spacing w:after="120"/>
        <w:ind w:firstLine="709"/>
        <w:jc w:val="both"/>
        <w:rPr>
          <w:sz w:val="24"/>
          <w:szCs w:val="24"/>
        </w:rPr>
      </w:pPr>
      <w:r w:rsidRPr="00CA3921">
        <w:rPr>
          <w:sz w:val="24"/>
          <w:szCs w:val="24"/>
        </w:rPr>
        <w:t>A análise abrange o período de 2013-2016, em especial por ser um período de expansão e regressão econômica, tendo assim 4 (quatro) anos para que observar a evolução  do reconhecimento dos ativos fiscais, correntes, diferidos e litigiosos, dos bancos da amostra.</w:t>
      </w:r>
    </w:p>
    <w:p w14:paraId="05AC4232" w14:textId="77777777" w:rsidR="00CA3921" w:rsidRPr="00CA3921" w:rsidRDefault="00CA3921" w:rsidP="00CA0062">
      <w:pPr>
        <w:keepNext/>
        <w:keepLines/>
        <w:suppressAutoHyphens w:val="0"/>
        <w:spacing w:before="240" w:after="240"/>
        <w:jc w:val="both"/>
        <w:outlineLvl w:val="2"/>
        <w:rPr>
          <w:b/>
          <w:bCs/>
          <w:sz w:val="24"/>
          <w:szCs w:val="24"/>
        </w:rPr>
      </w:pPr>
      <w:bookmarkStart w:id="6" w:name="_Toc486367390"/>
      <w:bookmarkStart w:id="7" w:name="_Toc486866190"/>
      <w:r w:rsidRPr="00CA3921">
        <w:rPr>
          <w:b/>
          <w:bCs/>
          <w:sz w:val="24"/>
          <w:szCs w:val="24"/>
        </w:rPr>
        <w:t>2.3. Coleta de dados</w:t>
      </w:r>
      <w:bookmarkEnd w:id="6"/>
      <w:bookmarkEnd w:id="7"/>
    </w:p>
    <w:p w14:paraId="3C742EAD" w14:textId="147545A3" w:rsidR="00CA3921" w:rsidRPr="00CA3921" w:rsidRDefault="00CA3921" w:rsidP="00CA3921">
      <w:pPr>
        <w:suppressAutoHyphens w:val="0"/>
        <w:spacing w:after="120"/>
        <w:ind w:firstLine="709"/>
        <w:jc w:val="both"/>
        <w:rPr>
          <w:sz w:val="24"/>
          <w:szCs w:val="24"/>
        </w:rPr>
      </w:pPr>
      <w:r w:rsidRPr="00CA3921">
        <w:rPr>
          <w:sz w:val="24"/>
          <w:szCs w:val="24"/>
        </w:rPr>
        <w:t xml:space="preserve">Os dados serão extraídos das informações contábeis publicadas no sítio da </w:t>
      </w:r>
      <w:r w:rsidR="006048F4">
        <w:rPr>
          <w:sz w:val="24"/>
          <w:szCs w:val="24"/>
        </w:rPr>
        <w:t>BM&amp;FBOVESPA</w:t>
      </w:r>
      <w:r w:rsidRPr="00CA3921">
        <w:rPr>
          <w:sz w:val="24"/>
          <w:szCs w:val="24"/>
        </w:rPr>
        <w:t xml:space="preserve"> ou das próprias instituições. Sendo tabulados em planilhas e analisados, qualitativamente, com o intuito de produzir informações e características da amostra e posteriormente, quantitativamente, com o uso dos softwares </w:t>
      </w:r>
      <w:r w:rsidRPr="00CA3921">
        <w:rPr>
          <w:i/>
          <w:iCs/>
          <w:sz w:val="24"/>
          <w:szCs w:val="24"/>
        </w:rPr>
        <w:t xml:space="preserve">Microsoft Excel </w:t>
      </w:r>
      <w:r w:rsidRPr="00CA3921">
        <w:rPr>
          <w:iCs/>
          <w:sz w:val="24"/>
          <w:szCs w:val="24"/>
        </w:rPr>
        <w:t xml:space="preserve">e </w:t>
      </w:r>
      <w:r w:rsidRPr="00CA3921">
        <w:rPr>
          <w:rFonts w:eastAsia="Calibri"/>
          <w:i/>
          <w:iCs/>
          <w:sz w:val="24"/>
          <w:szCs w:val="24"/>
          <w:lang w:eastAsia="en-US"/>
        </w:rPr>
        <w:t>EViews7</w:t>
      </w:r>
      <w:r w:rsidRPr="006048F4">
        <w:rPr>
          <w:iCs/>
          <w:sz w:val="24"/>
          <w:szCs w:val="24"/>
        </w:rPr>
        <w:t>. As</w:t>
      </w:r>
      <w:r w:rsidRPr="00CA3921">
        <w:rPr>
          <w:i/>
          <w:iCs/>
          <w:sz w:val="24"/>
          <w:szCs w:val="24"/>
        </w:rPr>
        <w:t xml:space="preserve"> </w:t>
      </w:r>
      <w:r w:rsidRPr="00CA3921">
        <w:rPr>
          <w:sz w:val="24"/>
          <w:szCs w:val="24"/>
        </w:rPr>
        <w:t>notas explicativas também integraram a análise, em especial para verificar a composição dos ativos fiscais correntes e litigiosos.</w:t>
      </w:r>
    </w:p>
    <w:p w14:paraId="502F6F03" w14:textId="77777777" w:rsidR="00CA3921" w:rsidRPr="00CA3921" w:rsidRDefault="00CA3921" w:rsidP="00CA0062">
      <w:pPr>
        <w:keepNext/>
        <w:keepLines/>
        <w:suppressAutoHyphens w:val="0"/>
        <w:spacing w:before="240" w:after="240"/>
        <w:jc w:val="both"/>
        <w:outlineLvl w:val="2"/>
        <w:rPr>
          <w:b/>
          <w:bCs/>
          <w:sz w:val="24"/>
          <w:szCs w:val="24"/>
        </w:rPr>
      </w:pPr>
      <w:bookmarkStart w:id="8" w:name="_Toc486367391"/>
      <w:bookmarkStart w:id="9" w:name="_Toc486866191"/>
      <w:r w:rsidRPr="00CA3921">
        <w:rPr>
          <w:b/>
          <w:bCs/>
          <w:sz w:val="24"/>
          <w:szCs w:val="24"/>
        </w:rPr>
        <w:t xml:space="preserve">2.4. </w:t>
      </w:r>
      <w:bookmarkEnd w:id="8"/>
      <w:r w:rsidRPr="00CA3921">
        <w:rPr>
          <w:b/>
          <w:bCs/>
          <w:sz w:val="24"/>
          <w:szCs w:val="24"/>
        </w:rPr>
        <w:t>Procedimentos de análise</w:t>
      </w:r>
      <w:bookmarkEnd w:id="9"/>
    </w:p>
    <w:p w14:paraId="46C2A540" w14:textId="77777777" w:rsidR="00CA3921" w:rsidRPr="00CA3921" w:rsidRDefault="00CA3921" w:rsidP="00CA3921">
      <w:pPr>
        <w:suppressAutoHyphens w:val="0"/>
        <w:spacing w:after="120"/>
        <w:ind w:firstLine="709"/>
        <w:jc w:val="both"/>
        <w:rPr>
          <w:sz w:val="24"/>
          <w:szCs w:val="24"/>
        </w:rPr>
      </w:pPr>
      <w:r w:rsidRPr="00CA3921">
        <w:rPr>
          <w:sz w:val="24"/>
          <w:szCs w:val="24"/>
        </w:rPr>
        <w:t xml:space="preserve">Primeiramente, será utilizada a estatística descritiva e a análise percentual para explicar a composição dos ativos fiscais evidenciados pelas empresas da amostra, utilizando assim, uma análise de variância, para estudar se existem diferenças significativas entre os níveis de reconhecimentos de ativos fiscais em empresas do setor financeiro. </w:t>
      </w:r>
    </w:p>
    <w:p w14:paraId="344A55F4" w14:textId="77777777" w:rsidR="00CA3921" w:rsidRPr="00CA3921" w:rsidRDefault="00CA3921" w:rsidP="00CA3921">
      <w:pPr>
        <w:suppressAutoHyphens w:val="0"/>
        <w:spacing w:after="120"/>
        <w:ind w:firstLine="709"/>
        <w:jc w:val="both"/>
        <w:rPr>
          <w:sz w:val="24"/>
          <w:szCs w:val="24"/>
        </w:rPr>
      </w:pPr>
      <w:r w:rsidRPr="00CA3921">
        <w:rPr>
          <w:sz w:val="24"/>
          <w:szCs w:val="24"/>
        </w:rPr>
        <w:t>Wooldridge (2006) traz que o modelo econométrico geral baseia-se na inclusão de todas as variáveis que, teoricamente, acredita-se estejam relacionadas. E seguindo esse ângulo, o estudo utilizará esse modelo para a explicação sobre a dependência entre as variáveis.</w:t>
      </w:r>
    </w:p>
    <w:p w14:paraId="22D032FB" w14:textId="77777777" w:rsidR="00CA3921" w:rsidRPr="00CA3921" w:rsidRDefault="00CA3921" w:rsidP="00CA3921">
      <w:pPr>
        <w:suppressAutoHyphens w:val="0"/>
        <w:spacing w:after="120"/>
        <w:ind w:firstLine="709"/>
        <w:jc w:val="both"/>
        <w:rPr>
          <w:sz w:val="24"/>
          <w:szCs w:val="24"/>
        </w:rPr>
      </w:pPr>
      <w:r w:rsidRPr="00CA3921">
        <w:rPr>
          <w:sz w:val="24"/>
          <w:szCs w:val="24"/>
        </w:rPr>
        <w:t>Buscando identificar os fatores que possam explicar os diferentes níveis de reconhecimento de ativos fiscais nas empresas da amostra, aplicará um modelo econométrico utilizado em pesquisas anteriores de Kronbauer et al (2010), em análise exclusiva de ativos fiscais diferidos e Anceles et al (2011), em uma análise de ativos fiscais correntes, diferidos e litigiosos.</w:t>
      </w:r>
    </w:p>
    <w:p w14:paraId="284089A6" w14:textId="77777777" w:rsidR="00CA3921" w:rsidRPr="00CA3921" w:rsidRDefault="00CA3921" w:rsidP="00CA3921">
      <w:pPr>
        <w:suppressAutoHyphens w:val="0"/>
        <w:spacing w:after="120"/>
        <w:ind w:firstLine="709"/>
        <w:jc w:val="both"/>
        <w:rPr>
          <w:sz w:val="24"/>
          <w:szCs w:val="24"/>
        </w:rPr>
      </w:pPr>
      <w:r w:rsidRPr="00CA3921">
        <w:rPr>
          <w:rFonts w:eastAsia="Calibri"/>
          <w:sz w:val="24"/>
          <w:szCs w:val="24"/>
          <w:lang w:eastAsia="en-US"/>
        </w:rPr>
        <w:lastRenderedPageBreak/>
        <w:t>O modelo econométrico geral que será utilizado para confrontação das hipóteses é representado pela</w:t>
      </w:r>
      <w:r w:rsidRPr="00CA3921">
        <w:rPr>
          <w:sz w:val="24"/>
          <w:szCs w:val="24"/>
        </w:rPr>
        <w:t xml:space="preserve"> </w:t>
      </w:r>
      <w:r w:rsidRPr="00CA3921">
        <w:rPr>
          <w:rFonts w:eastAsia="Calibri"/>
          <w:sz w:val="24"/>
          <w:szCs w:val="24"/>
          <w:lang w:eastAsia="en-US"/>
        </w:rPr>
        <w:t>seguinte equação:</w:t>
      </w:r>
      <w:r w:rsidRPr="00CA3921">
        <w:rPr>
          <w:sz w:val="24"/>
          <w:szCs w:val="24"/>
        </w:rPr>
        <w:t xml:space="preserve"> </w:t>
      </w:r>
    </w:p>
    <w:p w14:paraId="4EED5D33" w14:textId="77777777" w:rsidR="00CA3921" w:rsidRPr="00CA3921" w:rsidRDefault="00CA3921" w:rsidP="00CA3921">
      <w:pPr>
        <w:suppressAutoHyphens w:val="0"/>
        <w:spacing w:after="120"/>
        <w:ind w:firstLine="709"/>
        <w:jc w:val="both"/>
        <w:rPr>
          <w:sz w:val="24"/>
          <w:szCs w:val="24"/>
        </w:rPr>
      </w:pPr>
      <w:r w:rsidRPr="00CA3921">
        <w:rPr>
          <w:rFonts w:eastAsia="Calibri"/>
          <w:sz w:val="24"/>
          <w:szCs w:val="24"/>
          <w:lang w:eastAsia="en-US"/>
        </w:rPr>
        <w:t xml:space="preserve">IAFTit = </w:t>
      </w:r>
      <w:r w:rsidRPr="00CA3921">
        <w:rPr>
          <w:rFonts w:eastAsia="Calibri"/>
          <w:i/>
          <w:iCs/>
          <w:sz w:val="24"/>
          <w:szCs w:val="24"/>
          <w:lang w:eastAsia="en-US"/>
        </w:rPr>
        <w:t>β</w:t>
      </w:r>
      <w:r w:rsidRPr="00CA3921">
        <w:rPr>
          <w:rFonts w:eastAsia="Calibri"/>
          <w:sz w:val="24"/>
          <w:szCs w:val="24"/>
          <w:lang w:eastAsia="en-US"/>
        </w:rPr>
        <w:t xml:space="preserve">0 + </w:t>
      </w:r>
      <w:r w:rsidRPr="00CA3921">
        <w:rPr>
          <w:rFonts w:eastAsia="Calibri"/>
          <w:i/>
          <w:iCs/>
          <w:sz w:val="24"/>
          <w:szCs w:val="24"/>
          <w:lang w:eastAsia="en-US"/>
        </w:rPr>
        <w:t>β</w:t>
      </w:r>
      <w:r w:rsidRPr="00CA3921">
        <w:rPr>
          <w:rFonts w:eastAsia="Calibri"/>
          <w:sz w:val="24"/>
          <w:szCs w:val="24"/>
          <w:lang w:eastAsia="en-US"/>
        </w:rPr>
        <w:t xml:space="preserve">1IAFDit + </w:t>
      </w:r>
      <w:r w:rsidRPr="00CA3921">
        <w:rPr>
          <w:rFonts w:eastAsia="Calibri"/>
          <w:i/>
          <w:iCs/>
          <w:sz w:val="24"/>
          <w:szCs w:val="24"/>
          <w:lang w:eastAsia="en-US"/>
        </w:rPr>
        <w:t>β</w:t>
      </w:r>
      <w:r w:rsidRPr="00CA3921">
        <w:rPr>
          <w:rFonts w:eastAsia="Calibri"/>
          <w:sz w:val="24"/>
          <w:szCs w:val="24"/>
          <w:lang w:eastAsia="en-US"/>
        </w:rPr>
        <w:t xml:space="preserve">2IAFCit + </w:t>
      </w:r>
      <w:r w:rsidRPr="00CA3921">
        <w:rPr>
          <w:rFonts w:eastAsia="Calibri"/>
          <w:i/>
          <w:iCs/>
          <w:sz w:val="24"/>
          <w:szCs w:val="24"/>
          <w:lang w:eastAsia="en-US"/>
        </w:rPr>
        <w:t>β</w:t>
      </w:r>
      <w:r w:rsidRPr="00CA3921">
        <w:rPr>
          <w:rFonts w:eastAsia="Calibri"/>
          <w:sz w:val="24"/>
          <w:szCs w:val="24"/>
          <w:lang w:eastAsia="en-US"/>
        </w:rPr>
        <w:t xml:space="preserve">3IAFLit + </w:t>
      </w:r>
      <w:r w:rsidRPr="00CA3921">
        <w:rPr>
          <w:rFonts w:eastAsia="Calibri"/>
          <w:i/>
          <w:iCs/>
          <w:sz w:val="24"/>
          <w:szCs w:val="24"/>
          <w:lang w:eastAsia="en-US"/>
        </w:rPr>
        <w:t>β</w:t>
      </w:r>
      <w:r w:rsidRPr="00CA3921">
        <w:rPr>
          <w:rFonts w:eastAsia="Calibri"/>
          <w:sz w:val="24"/>
          <w:szCs w:val="24"/>
          <w:lang w:eastAsia="en-US"/>
        </w:rPr>
        <w:t xml:space="preserve">4LCit + </w:t>
      </w:r>
      <w:r w:rsidRPr="00CA3921">
        <w:rPr>
          <w:rFonts w:eastAsia="Calibri"/>
          <w:i/>
          <w:iCs/>
          <w:sz w:val="24"/>
          <w:szCs w:val="24"/>
          <w:lang w:eastAsia="en-US"/>
        </w:rPr>
        <w:t>β</w:t>
      </w:r>
      <w:r w:rsidRPr="00CA3921">
        <w:rPr>
          <w:rFonts w:eastAsia="Calibri"/>
          <w:sz w:val="24"/>
          <w:szCs w:val="24"/>
          <w:lang w:eastAsia="en-US"/>
        </w:rPr>
        <w:t xml:space="preserve">5LGit + </w:t>
      </w:r>
      <w:r w:rsidRPr="00CA3921">
        <w:rPr>
          <w:rFonts w:eastAsia="Calibri"/>
          <w:i/>
          <w:iCs/>
          <w:sz w:val="24"/>
          <w:szCs w:val="24"/>
          <w:lang w:eastAsia="en-US"/>
        </w:rPr>
        <w:t>Β</w:t>
      </w:r>
      <w:r w:rsidRPr="00CA3921">
        <w:rPr>
          <w:rFonts w:eastAsia="Calibri"/>
          <w:sz w:val="24"/>
          <w:szCs w:val="24"/>
          <w:lang w:eastAsia="en-US"/>
        </w:rPr>
        <w:t xml:space="preserve">6ENDTOit + </w:t>
      </w:r>
      <w:r w:rsidRPr="00CA3921">
        <w:rPr>
          <w:rFonts w:eastAsia="Calibri"/>
          <w:i/>
          <w:iCs/>
          <w:sz w:val="24"/>
          <w:szCs w:val="24"/>
          <w:lang w:eastAsia="en-US"/>
        </w:rPr>
        <w:t>β</w:t>
      </w:r>
      <w:r w:rsidRPr="00CA3921">
        <w:rPr>
          <w:rFonts w:eastAsia="Calibri"/>
          <w:sz w:val="24"/>
          <w:szCs w:val="24"/>
          <w:lang w:eastAsia="en-US"/>
        </w:rPr>
        <w:t xml:space="preserve">7RENTit + </w:t>
      </w:r>
      <w:r w:rsidRPr="00CA3921">
        <w:rPr>
          <w:rFonts w:eastAsia="Calibri"/>
          <w:i/>
          <w:iCs/>
          <w:sz w:val="24"/>
          <w:szCs w:val="24"/>
          <w:lang w:eastAsia="en-US"/>
        </w:rPr>
        <w:t>β</w:t>
      </w:r>
      <w:r w:rsidRPr="00CA3921">
        <w:rPr>
          <w:rFonts w:eastAsia="Calibri"/>
          <w:sz w:val="24"/>
          <w:szCs w:val="24"/>
          <w:lang w:eastAsia="en-US"/>
        </w:rPr>
        <w:t xml:space="preserve">8LUCRATit + </w:t>
      </w:r>
      <w:r w:rsidRPr="00CA3921">
        <w:rPr>
          <w:rFonts w:eastAsia="Calibri"/>
          <w:i/>
          <w:iCs/>
          <w:sz w:val="24"/>
          <w:szCs w:val="24"/>
          <w:lang w:eastAsia="en-US"/>
        </w:rPr>
        <w:t>β</w:t>
      </w:r>
      <w:r w:rsidRPr="00CA3921">
        <w:rPr>
          <w:rFonts w:eastAsia="Calibri"/>
          <w:sz w:val="24"/>
          <w:szCs w:val="24"/>
          <w:lang w:eastAsia="en-US"/>
        </w:rPr>
        <w:t>9Tjit + αi + eit, (1)</w:t>
      </w:r>
    </w:p>
    <w:p w14:paraId="031D5AB4" w14:textId="77777777" w:rsidR="00CA3921" w:rsidRPr="00CA3921" w:rsidRDefault="00CA3921" w:rsidP="00CA3921">
      <w:pPr>
        <w:suppressAutoHyphens w:val="0"/>
        <w:spacing w:after="120"/>
        <w:ind w:firstLine="709"/>
        <w:jc w:val="both"/>
        <w:rPr>
          <w:rFonts w:eastAsia="Calibri"/>
          <w:noProof/>
          <w:snapToGrid w:val="0"/>
          <w:sz w:val="24"/>
          <w:szCs w:val="24"/>
          <w:lang w:eastAsia="en-US"/>
        </w:rPr>
      </w:pPr>
      <w:r w:rsidRPr="00CA3921">
        <w:rPr>
          <w:rFonts w:eastAsia="Calibri"/>
          <w:noProof/>
          <w:snapToGrid w:val="0"/>
          <w:sz w:val="24"/>
          <w:szCs w:val="24"/>
          <w:lang w:eastAsia="en-US"/>
        </w:rPr>
        <w:t>Onde:</w:t>
      </w:r>
    </w:p>
    <w:p w14:paraId="182D5175" w14:textId="77777777" w:rsidR="00CA3921" w:rsidRPr="00CA3921" w:rsidRDefault="00CA3921" w:rsidP="00CA3921">
      <w:pPr>
        <w:suppressAutoHyphens w:val="0"/>
        <w:spacing w:after="120"/>
        <w:ind w:firstLine="709"/>
        <w:jc w:val="both"/>
        <w:rPr>
          <w:rFonts w:eastAsia="Calibri"/>
          <w:noProof/>
          <w:snapToGrid w:val="0"/>
          <w:sz w:val="24"/>
          <w:szCs w:val="24"/>
          <w:lang w:eastAsia="en-US"/>
        </w:rPr>
      </w:pPr>
      <w:r w:rsidRPr="00CA3921">
        <w:rPr>
          <w:rFonts w:eastAsia="Calibri"/>
          <w:noProof/>
          <w:snapToGrid w:val="0"/>
          <w:sz w:val="24"/>
          <w:szCs w:val="24"/>
          <w:lang w:eastAsia="en-US"/>
        </w:rPr>
        <w:t xml:space="preserve">IAFT it: Índice de Ativos Fiscais Totais da empresa “i” no período “t”, que é a variável dependente, resultante da divisão entre o somatório de todas as espécies de Ativos Fiscais (Diferidos, Correntes, Litigiosos) pelo valor do Ativo Total. Sendo i = empresa de 1 até 24, e t= </w:t>
      </w:r>
      <w:smartTag w:uri="urn:schemas-microsoft-com:office:smarttags" w:element="metricconverter">
        <w:smartTagPr>
          <w:attr w:name="ProductID" w:val="2013 a"/>
        </w:smartTagPr>
        <w:r w:rsidRPr="00CA3921">
          <w:rPr>
            <w:rFonts w:eastAsia="Calibri"/>
            <w:noProof/>
            <w:snapToGrid w:val="0"/>
            <w:sz w:val="24"/>
            <w:szCs w:val="24"/>
            <w:lang w:eastAsia="en-US"/>
          </w:rPr>
          <w:t>2013 a</w:t>
        </w:r>
      </w:smartTag>
      <w:r w:rsidRPr="00CA3921">
        <w:rPr>
          <w:rFonts w:eastAsia="Calibri"/>
          <w:noProof/>
          <w:snapToGrid w:val="0"/>
          <w:sz w:val="24"/>
          <w:szCs w:val="24"/>
          <w:lang w:eastAsia="en-US"/>
        </w:rPr>
        <w:t xml:space="preserve"> 2016;</w:t>
      </w:r>
    </w:p>
    <w:p w14:paraId="1D9AB379" w14:textId="77777777" w:rsidR="00CA3921" w:rsidRPr="00CA3921" w:rsidRDefault="00CA3921" w:rsidP="00CA3921">
      <w:pPr>
        <w:suppressAutoHyphens w:val="0"/>
        <w:spacing w:after="120"/>
        <w:ind w:firstLine="709"/>
        <w:jc w:val="both"/>
        <w:rPr>
          <w:rFonts w:eastAsia="Calibri"/>
          <w:noProof/>
          <w:snapToGrid w:val="0"/>
          <w:sz w:val="24"/>
          <w:szCs w:val="24"/>
          <w:lang w:eastAsia="en-US"/>
        </w:rPr>
      </w:pPr>
      <w:r w:rsidRPr="00CA3921">
        <w:rPr>
          <w:rFonts w:eastAsia="Calibri"/>
          <w:noProof/>
          <w:snapToGrid w:val="0"/>
          <w:sz w:val="24"/>
          <w:szCs w:val="24"/>
          <w:lang w:eastAsia="en-US"/>
        </w:rPr>
        <w:t>β0: É o termo constante do modelo econométrico;</w:t>
      </w:r>
    </w:p>
    <w:p w14:paraId="52E3FBC1" w14:textId="77777777" w:rsidR="00CA3921" w:rsidRPr="00CA3921" w:rsidRDefault="00CA3921" w:rsidP="00CA3921">
      <w:pPr>
        <w:suppressAutoHyphens w:val="0"/>
        <w:spacing w:after="120"/>
        <w:ind w:firstLine="709"/>
        <w:jc w:val="both"/>
        <w:rPr>
          <w:rFonts w:eastAsia="Calibri"/>
          <w:noProof/>
          <w:snapToGrid w:val="0"/>
          <w:sz w:val="24"/>
          <w:szCs w:val="24"/>
          <w:lang w:eastAsia="en-US"/>
        </w:rPr>
      </w:pPr>
      <w:r w:rsidRPr="00CA3921">
        <w:rPr>
          <w:rFonts w:eastAsia="Calibri"/>
          <w:noProof/>
          <w:snapToGrid w:val="0"/>
          <w:sz w:val="24"/>
          <w:szCs w:val="24"/>
          <w:lang w:eastAsia="en-US"/>
        </w:rPr>
        <w:t>β1...... β8: São os parâmetros das variáveis explicativas, que serão estimados pela regressão múltipla e que podem explicar a variação de IAFT, calculados para a empresa “i” no período “t”, sendo:</w:t>
      </w:r>
    </w:p>
    <w:p w14:paraId="0F3DE9F1" w14:textId="77777777" w:rsidR="00CA3921" w:rsidRPr="00CA3921" w:rsidRDefault="00CA3921" w:rsidP="00CA3921">
      <w:pPr>
        <w:suppressAutoHyphens w:val="0"/>
        <w:spacing w:after="120"/>
        <w:ind w:firstLine="709"/>
        <w:jc w:val="both"/>
        <w:rPr>
          <w:rFonts w:eastAsia="Calibri"/>
          <w:noProof/>
          <w:snapToGrid w:val="0"/>
          <w:sz w:val="24"/>
          <w:szCs w:val="24"/>
          <w:lang w:eastAsia="en-US"/>
        </w:rPr>
      </w:pPr>
      <w:r w:rsidRPr="00CA3921">
        <w:rPr>
          <w:rFonts w:eastAsia="Calibri"/>
          <w:noProof/>
          <w:snapToGrid w:val="0"/>
          <w:sz w:val="24"/>
          <w:szCs w:val="24"/>
          <w:lang w:eastAsia="en-US"/>
        </w:rPr>
        <w:t>IAFD: Índice de Ativos Fiscais Diferidos, obtido da divisão entre: Ativos Fiscais Diferidos e Ativo Total;</w:t>
      </w:r>
    </w:p>
    <w:p w14:paraId="55447953" w14:textId="77777777" w:rsidR="00CA3921" w:rsidRPr="00CA3921" w:rsidRDefault="00CA3921" w:rsidP="00CA3921">
      <w:pPr>
        <w:suppressAutoHyphens w:val="0"/>
        <w:spacing w:after="120"/>
        <w:ind w:firstLine="709"/>
        <w:jc w:val="both"/>
        <w:rPr>
          <w:rFonts w:eastAsia="Calibri"/>
          <w:noProof/>
          <w:snapToGrid w:val="0"/>
          <w:sz w:val="24"/>
          <w:szCs w:val="24"/>
          <w:lang w:eastAsia="en-US"/>
        </w:rPr>
      </w:pPr>
      <w:r w:rsidRPr="00CA3921">
        <w:rPr>
          <w:rFonts w:eastAsia="Calibri"/>
          <w:noProof/>
          <w:snapToGrid w:val="0"/>
          <w:sz w:val="24"/>
          <w:szCs w:val="24"/>
          <w:lang w:eastAsia="en-US"/>
        </w:rPr>
        <w:t>IAFC: Índice de Ativos Fiscais Correntes, obtido da divisão entre: Ativos Fiscais Correntes e Ativo Total;</w:t>
      </w:r>
    </w:p>
    <w:p w14:paraId="3EEF3686" w14:textId="77777777" w:rsidR="00CA3921" w:rsidRPr="00CA3921" w:rsidRDefault="00CA3921" w:rsidP="00CA3921">
      <w:pPr>
        <w:suppressAutoHyphens w:val="0"/>
        <w:spacing w:after="120"/>
        <w:ind w:firstLine="709"/>
        <w:jc w:val="both"/>
        <w:rPr>
          <w:rFonts w:eastAsia="Calibri"/>
          <w:noProof/>
          <w:snapToGrid w:val="0"/>
          <w:sz w:val="24"/>
          <w:szCs w:val="24"/>
          <w:lang w:eastAsia="en-US"/>
        </w:rPr>
      </w:pPr>
      <w:r w:rsidRPr="00CA3921">
        <w:rPr>
          <w:rFonts w:eastAsia="Calibri"/>
          <w:noProof/>
          <w:snapToGrid w:val="0"/>
          <w:sz w:val="24"/>
          <w:szCs w:val="24"/>
          <w:lang w:eastAsia="en-US"/>
        </w:rPr>
        <w:t>IAFL: Índice de Ativos Fiscais Litigiosos, obtido da divisão entre: Ativos Fiscais Litigiosos e Ativo Total;</w:t>
      </w:r>
    </w:p>
    <w:p w14:paraId="7A0B968E" w14:textId="77777777" w:rsidR="00CA3921" w:rsidRPr="00CA3921" w:rsidRDefault="00CA3921" w:rsidP="00CA3921">
      <w:pPr>
        <w:suppressAutoHyphens w:val="0"/>
        <w:spacing w:after="120"/>
        <w:ind w:firstLine="709"/>
        <w:jc w:val="both"/>
        <w:rPr>
          <w:rFonts w:eastAsia="Calibri"/>
          <w:noProof/>
          <w:snapToGrid w:val="0"/>
          <w:sz w:val="24"/>
          <w:szCs w:val="24"/>
          <w:lang w:eastAsia="en-US"/>
        </w:rPr>
      </w:pPr>
      <w:r w:rsidRPr="00CA3921">
        <w:rPr>
          <w:rFonts w:eastAsia="Calibri"/>
          <w:noProof/>
          <w:snapToGrid w:val="0"/>
          <w:sz w:val="24"/>
          <w:szCs w:val="24"/>
          <w:lang w:eastAsia="en-US"/>
        </w:rPr>
        <w:t>LC: Liquidez Corrente, obtida da divisão entre Ativo Circulante pelo Passivo Circulante;</w:t>
      </w:r>
    </w:p>
    <w:p w14:paraId="299BCAA9" w14:textId="77777777" w:rsidR="00CA3921" w:rsidRPr="00CA3921" w:rsidRDefault="00CA3921" w:rsidP="00CA3921">
      <w:pPr>
        <w:suppressAutoHyphens w:val="0"/>
        <w:spacing w:after="120"/>
        <w:ind w:firstLine="709"/>
        <w:jc w:val="both"/>
        <w:rPr>
          <w:rFonts w:eastAsia="Calibri"/>
          <w:noProof/>
          <w:snapToGrid w:val="0"/>
          <w:sz w:val="24"/>
          <w:szCs w:val="24"/>
          <w:lang w:eastAsia="en-US"/>
        </w:rPr>
      </w:pPr>
      <w:r w:rsidRPr="00CA3921">
        <w:rPr>
          <w:rFonts w:eastAsia="Calibri"/>
          <w:noProof/>
          <w:snapToGrid w:val="0"/>
          <w:sz w:val="24"/>
          <w:szCs w:val="24"/>
          <w:lang w:eastAsia="en-US"/>
        </w:rPr>
        <w:t>LG: Liquidez Geral, obtida da divisão entre o Ativo Realizável (Circulante + Realizável a Longo Prazo) pelo Passivo Exigível (Circulante + Não Circulante);</w:t>
      </w:r>
    </w:p>
    <w:p w14:paraId="58BA7FA6" w14:textId="77777777" w:rsidR="00CA3921" w:rsidRPr="00CA3921" w:rsidRDefault="00CA3921" w:rsidP="00CA3921">
      <w:pPr>
        <w:suppressAutoHyphens w:val="0"/>
        <w:spacing w:after="120"/>
        <w:ind w:firstLine="709"/>
        <w:jc w:val="both"/>
        <w:rPr>
          <w:rFonts w:eastAsia="Calibri"/>
          <w:noProof/>
          <w:snapToGrid w:val="0"/>
          <w:sz w:val="24"/>
          <w:szCs w:val="24"/>
          <w:lang w:eastAsia="en-US"/>
        </w:rPr>
      </w:pPr>
      <w:r w:rsidRPr="00CA3921">
        <w:rPr>
          <w:rFonts w:eastAsia="Calibri"/>
          <w:noProof/>
          <w:snapToGrid w:val="0"/>
          <w:sz w:val="24"/>
          <w:szCs w:val="24"/>
          <w:lang w:eastAsia="en-US"/>
        </w:rPr>
        <w:t>ENDTO: Endividamento, obtido da divisão do Passivo Exigível (Circulante + Não Circulante) peloAtivo Total;</w:t>
      </w:r>
    </w:p>
    <w:p w14:paraId="05BFDD5F" w14:textId="77777777" w:rsidR="00CA3921" w:rsidRPr="00CA3921" w:rsidRDefault="00CA3921" w:rsidP="00CA3921">
      <w:pPr>
        <w:suppressAutoHyphens w:val="0"/>
        <w:spacing w:after="120"/>
        <w:ind w:firstLine="709"/>
        <w:jc w:val="both"/>
        <w:rPr>
          <w:rFonts w:eastAsia="Calibri"/>
          <w:noProof/>
          <w:snapToGrid w:val="0"/>
          <w:sz w:val="24"/>
          <w:szCs w:val="24"/>
          <w:lang w:eastAsia="en-US"/>
        </w:rPr>
      </w:pPr>
      <w:r w:rsidRPr="00CA3921">
        <w:rPr>
          <w:rFonts w:eastAsia="Calibri"/>
          <w:noProof/>
          <w:snapToGrid w:val="0"/>
          <w:sz w:val="24"/>
          <w:szCs w:val="24"/>
          <w:lang w:eastAsia="en-US"/>
        </w:rPr>
        <w:t>RENT: Rentabilidade, obtido pela divisão entre Lucro</w:t>
      </w:r>
      <w:r w:rsidRPr="00CA3921">
        <w:rPr>
          <w:rFonts w:eastAsia="Calibri"/>
          <w:sz w:val="24"/>
          <w:szCs w:val="24"/>
          <w:lang w:eastAsia="en-US"/>
        </w:rPr>
        <w:t xml:space="preserve"> </w:t>
      </w:r>
      <w:r w:rsidRPr="00CA3921">
        <w:rPr>
          <w:rFonts w:eastAsia="Calibri"/>
          <w:noProof/>
          <w:snapToGrid w:val="0"/>
          <w:sz w:val="24"/>
          <w:szCs w:val="24"/>
          <w:lang w:eastAsia="en-US"/>
        </w:rPr>
        <w:t>Líquido e Patrimônio Líquido;</w:t>
      </w:r>
    </w:p>
    <w:p w14:paraId="2C9C45BA" w14:textId="77777777" w:rsidR="00CA3921" w:rsidRPr="00CA3921" w:rsidRDefault="00CA3921" w:rsidP="00CA3921">
      <w:pPr>
        <w:suppressAutoHyphens w:val="0"/>
        <w:spacing w:after="120"/>
        <w:ind w:firstLine="709"/>
        <w:jc w:val="both"/>
        <w:rPr>
          <w:rFonts w:eastAsia="Calibri"/>
          <w:noProof/>
          <w:snapToGrid w:val="0"/>
          <w:sz w:val="24"/>
          <w:szCs w:val="24"/>
          <w:lang w:eastAsia="en-US"/>
        </w:rPr>
      </w:pPr>
      <w:r w:rsidRPr="00CA3921">
        <w:rPr>
          <w:rFonts w:eastAsia="Calibri"/>
          <w:noProof/>
          <w:snapToGrid w:val="0"/>
          <w:sz w:val="24"/>
          <w:szCs w:val="24"/>
          <w:lang w:eastAsia="en-US"/>
        </w:rPr>
        <w:t>LUCRAT: Lucratividade, obtida pela divisão entre Lucro Líquido e a Receita Líquida do Exercício;</w:t>
      </w:r>
    </w:p>
    <w:p w14:paraId="022BBD9A" w14:textId="77777777" w:rsidR="00CA3921" w:rsidRPr="00CA3921" w:rsidRDefault="00CA3921" w:rsidP="00CA3921">
      <w:pPr>
        <w:suppressAutoHyphens w:val="0"/>
        <w:spacing w:after="120"/>
        <w:ind w:firstLine="709"/>
        <w:jc w:val="both"/>
        <w:rPr>
          <w:rFonts w:eastAsia="Calibri"/>
          <w:noProof/>
          <w:snapToGrid w:val="0"/>
          <w:sz w:val="24"/>
          <w:szCs w:val="24"/>
          <w:lang w:eastAsia="en-US"/>
        </w:rPr>
      </w:pPr>
      <w:r w:rsidRPr="00CA3921">
        <w:rPr>
          <w:rFonts w:eastAsia="Calibri"/>
          <w:noProof/>
          <w:snapToGrid w:val="0"/>
          <w:sz w:val="24"/>
          <w:szCs w:val="24"/>
          <w:lang w:eastAsia="en-US"/>
        </w:rPr>
        <w:t>Tj: Tamanho 1, obtido a partir do logaritmo natural do valor da Receita Líquida; e Tamanho 2, obtido a partir do logaritmo natural do valor do Ativo Total ;</w:t>
      </w:r>
    </w:p>
    <w:p w14:paraId="631565EE" w14:textId="77777777" w:rsidR="00CA3921" w:rsidRPr="00CA3921" w:rsidRDefault="00CA3921" w:rsidP="00CA3921">
      <w:pPr>
        <w:suppressAutoHyphens w:val="0"/>
        <w:spacing w:after="120"/>
        <w:ind w:firstLine="709"/>
        <w:jc w:val="both"/>
        <w:rPr>
          <w:rFonts w:eastAsia="Calibri"/>
          <w:noProof/>
          <w:snapToGrid w:val="0"/>
          <w:sz w:val="24"/>
          <w:szCs w:val="24"/>
          <w:lang w:eastAsia="en-US"/>
        </w:rPr>
      </w:pPr>
      <w:r w:rsidRPr="00CA3921">
        <w:rPr>
          <w:rFonts w:eastAsia="Calibri"/>
          <w:noProof/>
          <w:snapToGrid w:val="0"/>
          <w:sz w:val="24"/>
          <w:szCs w:val="24"/>
          <w:lang w:eastAsia="en-US"/>
        </w:rPr>
        <w:t xml:space="preserve">αi: É a variável não observada e se supõe que esteja relacionada com as variáveis independentes; e </w:t>
      </w:r>
    </w:p>
    <w:p w14:paraId="46F44304" w14:textId="77777777" w:rsidR="00CA3921" w:rsidRPr="00CA3921" w:rsidRDefault="00CA3921" w:rsidP="00CA3921">
      <w:pPr>
        <w:suppressAutoHyphens w:val="0"/>
        <w:spacing w:after="120"/>
        <w:ind w:firstLine="709"/>
        <w:jc w:val="both"/>
        <w:rPr>
          <w:rFonts w:eastAsia="Calibri"/>
          <w:sz w:val="24"/>
          <w:szCs w:val="24"/>
          <w:lang w:eastAsia="en-US"/>
        </w:rPr>
      </w:pPr>
      <w:r w:rsidRPr="00CA3921">
        <w:rPr>
          <w:rFonts w:eastAsia="Calibri"/>
          <w:noProof/>
          <w:snapToGrid w:val="0"/>
          <w:sz w:val="24"/>
          <w:szCs w:val="24"/>
          <w:lang w:eastAsia="en-US"/>
        </w:rPr>
        <w:t>eit: É o termo que representa o erro da estimação</w:t>
      </w:r>
      <w:r w:rsidRPr="00CA3921">
        <w:rPr>
          <w:rFonts w:eastAsia="Calibri"/>
          <w:sz w:val="24"/>
          <w:szCs w:val="24"/>
          <w:lang w:eastAsia="en-US"/>
        </w:rPr>
        <w:t>.</w:t>
      </w:r>
      <w:bookmarkStart w:id="10" w:name="_Toc486367392"/>
    </w:p>
    <w:p w14:paraId="23BBBBFC" w14:textId="77777777" w:rsidR="00CA3921" w:rsidRPr="00CA3921" w:rsidRDefault="00CA3921" w:rsidP="00CA0062">
      <w:pPr>
        <w:keepNext/>
        <w:keepLines/>
        <w:suppressAutoHyphens w:val="0"/>
        <w:spacing w:before="240" w:after="240"/>
        <w:jc w:val="both"/>
        <w:outlineLvl w:val="1"/>
        <w:rPr>
          <w:b/>
          <w:bCs/>
          <w:sz w:val="24"/>
          <w:szCs w:val="24"/>
        </w:rPr>
      </w:pPr>
      <w:bookmarkStart w:id="11" w:name="_Toc486866192"/>
      <w:r w:rsidRPr="00CA3921">
        <w:rPr>
          <w:b/>
          <w:bCs/>
          <w:sz w:val="24"/>
          <w:szCs w:val="24"/>
        </w:rPr>
        <w:t>3. REVISÃO TEÓRICA PRELIMINAR</w:t>
      </w:r>
      <w:bookmarkEnd w:id="10"/>
      <w:bookmarkEnd w:id="11"/>
      <w:r w:rsidRPr="00CA3921">
        <w:rPr>
          <w:b/>
          <w:bCs/>
          <w:sz w:val="24"/>
          <w:szCs w:val="24"/>
        </w:rPr>
        <w:t xml:space="preserve"> </w:t>
      </w:r>
    </w:p>
    <w:p w14:paraId="7427699E" w14:textId="77777777" w:rsidR="00CA3921" w:rsidRPr="00CA3921" w:rsidRDefault="00CA3921" w:rsidP="00CA0062">
      <w:pPr>
        <w:keepNext/>
        <w:keepLines/>
        <w:suppressAutoHyphens w:val="0"/>
        <w:spacing w:before="240" w:after="240"/>
        <w:jc w:val="both"/>
        <w:outlineLvl w:val="2"/>
        <w:rPr>
          <w:b/>
          <w:bCs/>
          <w:sz w:val="24"/>
          <w:szCs w:val="24"/>
        </w:rPr>
      </w:pPr>
      <w:bookmarkStart w:id="12" w:name="_Toc486367393"/>
      <w:bookmarkStart w:id="13" w:name="_Toc486866193"/>
      <w:r w:rsidRPr="00CA3921">
        <w:rPr>
          <w:b/>
          <w:bCs/>
          <w:sz w:val="24"/>
          <w:szCs w:val="24"/>
        </w:rPr>
        <w:t>3.1. Definição e caracterização de ativos</w:t>
      </w:r>
      <w:bookmarkEnd w:id="12"/>
      <w:bookmarkEnd w:id="13"/>
      <w:r w:rsidRPr="00CA3921">
        <w:rPr>
          <w:b/>
          <w:bCs/>
          <w:sz w:val="24"/>
          <w:szCs w:val="24"/>
        </w:rPr>
        <w:t xml:space="preserve"> </w:t>
      </w:r>
    </w:p>
    <w:p w14:paraId="270BBFA5" w14:textId="77777777" w:rsidR="00CA3921" w:rsidRPr="00CA3921" w:rsidRDefault="00CA3921" w:rsidP="00CA3921">
      <w:pPr>
        <w:suppressAutoHyphens w:val="0"/>
        <w:spacing w:after="120"/>
        <w:ind w:firstLine="709"/>
        <w:jc w:val="both"/>
        <w:rPr>
          <w:sz w:val="24"/>
          <w:szCs w:val="24"/>
        </w:rPr>
      </w:pPr>
      <w:r w:rsidRPr="00CA3921">
        <w:rPr>
          <w:sz w:val="24"/>
          <w:szCs w:val="24"/>
        </w:rPr>
        <w:t>A conceituação de “ativo” é necessária para o entendimento dos ativos ficais. Ativos são recursos controlados por uma entidade e dos quais se esperam benefícios econômicos futuros (MARTINS et al, 2010). A sua definição e mensuração está ligada à multiplicidade de relacionamentos contábeis que envolvem receitas e despesas (IUDÍCIBUS, 2009).</w:t>
      </w:r>
    </w:p>
    <w:p w14:paraId="08C3F07D" w14:textId="77777777" w:rsidR="00CA3921" w:rsidRPr="00CA3921" w:rsidRDefault="00CA3921" w:rsidP="00CA3921">
      <w:pPr>
        <w:suppressAutoHyphens w:val="0"/>
        <w:spacing w:after="120"/>
        <w:ind w:firstLine="709"/>
        <w:jc w:val="both"/>
        <w:rPr>
          <w:sz w:val="24"/>
          <w:szCs w:val="24"/>
        </w:rPr>
      </w:pPr>
      <w:r w:rsidRPr="00CA3921">
        <w:rPr>
          <w:sz w:val="24"/>
          <w:szCs w:val="24"/>
        </w:rPr>
        <w:lastRenderedPageBreak/>
        <w:t>Atualmente os ativos sofreram uma mudança de paradigma, do entendimento que era “propriedade” para o de “controle”. A luz da contabilidade tradicional para que um item fosse classificado como ativo, seria necessário o preenchimento de quatro requisitos, simultaneamente: bens ou direitos; de propriedade da empresa, mensurável monetariamente; benefícios presentes ou futuros (IUDÍCIBUS; MARION; FARIA, 2009).</w:t>
      </w:r>
    </w:p>
    <w:p w14:paraId="5FEDB331" w14:textId="77777777" w:rsidR="00CA3921" w:rsidRPr="00CA3921" w:rsidRDefault="00CA3921" w:rsidP="00CA3921">
      <w:pPr>
        <w:suppressAutoHyphens w:val="0"/>
        <w:spacing w:after="120"/>
        <w:ind w:firstLine="709"/>
        <w:jc w:val="both"/>
        <w:rPr>
          <w:sz w:val="24"/>
          <w:szCs w:val="24"/>
        </w:rPr>
      </w:pPr>
      <w:r w:rsidRPr="00CA3921">
        <w:rPr>
          <w:sz w:val="24"/>
          <w:szCs w:val="24"/>
        </w:rPr>
        <w:t>Contudo o conceito desse paradigma não se aplica na prática, pois o valor das empresas não está mais nos balaços, e sim no valor cada vez mais impalpável, concluindo assim a noção de controle (o poder de controlar ativos tangíveis e intangíveis) torna-se primordial (ANCELES, 2012).</w:t>
      </w:r>
    </w:p>
    <w:p w14:paraId="3D003917" w14:textId="77777777" w:rsidR="00CA3921" w:rsidRPr="00CA3921" w:rsidRDefault="00CA3921" w:rsidP="00CA3921">
      <w:pPr>
        <w:suppressAutoHyphens w:val="0"/>
        <w:spacing w:after="120"/>
        <w:ind w:firstLine="709"/>
        <w:jc w:val="both"/>
        <w:rPr>
          <w:rFonts w:eastAsia="Calibri"/>
          <w:sz w:val="24"/>
          <w:szCs w:val="24"/>
          <w:lang w:eastAsia="en-US"/>
        </w:rPr>
      </w:pPr>
      <w:r w:rsidRPr="00CA3921">
        <w:rPr>
          <w:sz w:val="24"/>
          <w:szCs w:val="24"/>
        </w:rPr>
        <w:t xml:space="preserve">Essa mudança é percebida por meio da legislação contábil, conforme a Resolução CFC nº. 1.121/2008, </w:t>
      </w:r>
      <w:r w:rsidRPr="00CA3921">
        <w:rPr>
          <w:rFonts w:eastAsia="Calibri"/>
          <w:sz w:val="24"/>
          <w:szCs w:val="24"/>
          <w:lang w:eastAsia="en-US"/>
        </w:rPr>
        <w:t>ativo é um recurso controlado pela entidade como resultado de eventos passados e do qual se espera que resultem futuros benefícios econômicos para a entidade. Em outras palavras, ativo é qualquer bem que esteja sob controle das empresas ou das pessoas e que possa ser convertido em dinheiro (LUSTOSA, 2009).</w:t>
      </w:r>
    </w:p>
    <w:p w14:paraId="4C9AFC79" w14:textId="77777777" w:rsidR="00CA3921" w:rsidRPr="00CA3921" w:rsidRDefault="00CA3921" w:rsidP="00CA3921">
      <w:pPr>
        <w:suppressAutoHyphens w:val="0"/>
        <w:spacing w:after="120"/>
        <w:ind w:firstLine="709"/>
        <w:jc w:val="both"/>
        <w:rPr>
          <w:sz w:val="24"/>
          <w:szCs w:val="24"/>
        </w:rPr>
      </w:pPr>
      <w:r w:rsidRPr="00CA3921">
        <w:rPr>
          <w:rFonts w:eastAsia="Calibri"/>
          <w:sz w:val="24"/>
          <w:szCs w:val="24"/>
          <w:lang w:eastAsia="en-US"/>
        </w:rPr>
        <w:t xml:space="preserve">O entendimento de valor está presente na definição do ativo. Especialmente relacionado aos benefícios econômico futuros que tem um alto </w:t>
      </w:r>
      <w:r w:rsidRPr="00CA3921">
        <w:rPr>
          <w:sz w:val="24"/>
          <w:szCs w:val="24"/>
        </w:rPr>
        <w:t>potencial em contribuir, produtivamente ou conversível em caixa ou equivalentes de caixa, sendo explicado segundo Iudícibus (2009, p.138):</w:t>
      </w:r>
    </w:p>
    <w:p w14:paraId="70D494FB" w14:textId="77777777" w:rsidR="00CA3921" w:rsidRPr="00CA3921" w:rsidRDefault="00CA3921" w:rsidP="00CA3921">
      <w:pPr>
        <w:suppressAutoHyphens w:val="0"/>
        <w:spacing w:after="120"/>
        <w:ind w:firstLine="709"/>
        <w:jc w:val="both"/>
        <w:rPr>
          <w:sz w:val="24"/>
          <w:szCs w:val="24"/>
        </w:rPr>
      </w:pPr>
      <w:r w:rsidRPr="00CA3921">
        <w:rPr>
          <w:sz w:val="24"/>
          <w:szCs w:val="24"/>
        </w:rPr>
        <w:t>A característica fundamental [do ativo] é a sua capacidade de prestar serviços futuros à entidade que os controla individual ou conjuntamente com outros ativos e fatores de produção, capazes de transformar, direta ou indiretamente, em fluxos líquidos de entradas de caixa. Todo ativo representa, mediata ou imediatamente, direta ou indiretamente, uma promessa futura de caixa.</w:t>
      </w:r>
    </w:p>
    <w:p w14:paraId="26645806" w14:textId="77777777" w:rsidR="00CA3921" w:rsidRPr="00CA3921" w:rsidRDefault="00CA3921" w:rsidP="00CA3921">
      <w:pPr>
        <w:suppressAutoHyphens w:val="0"/>
        <w:spacing w:after="120"/>
        <w:ind w:firstLine="709"/>
        <w:jc w:val="both"/>
        <w:rPr>
          <w:sz w:val="24"/>
          <w:szCs w:val="24"/>
        </w:rPr>
      </w:pPr>
      <w:r w:rsidRPr="00CA3921">
        <w:rPr>
          <w:sz w:val="24"/>
          <w:szCs w:val="24"/>
        </w:rPr>
        <w:t>Associado à possibilidade de gerar benefícios econômicos futuros, um ativo pode ser usado isoladamente ou em conjunto com outros ativos na produção de mercadorias e serviços a serem vendidos pela entidade; ou ainda trocado por outros ativos; usado para liquidar um passivo; ou mesmo distribuídos aos proprietários da entidade (MARTINS et al, 2010).</w:t>
      </w:r>
    </w:p>
    <w:p w14:paraId="729194F3" w14:textId="77777777" w:rsidR="00CA3921" w:rsidRPr="00CA3921" w:rsidRDefault="00CA3921" w:rsidP="00CA0062">
      <w:pPr>
        <w:keepNext/>
        <w:keepLines/>
        <w:suppressAutoHyphens w:val="0"/>
        <w:spacing w:before="240" w:after="240"/>
        <w:jc w:val="both"/>
        <w:outlineLvl w:val="2"/>
        <w:rPr>
          <w:b/>
          <w:bCs/>
          <w:sz w:val="24"/>
          <w:szCs w:val="24"/>
        </w:rPr>
      </w:pPr>
      <w:bookmarkStart w:id="14" w:name="_Toc486367394"/>
      <w:bookmarkStart w:id="15" w:name="_Toc486866194"/>
      <w:r w:rsidRPr="00CA3921">
        <w:rPr>
          <w:b/>
          <w:bCs/>
          <w:sz w:val="24"/>
          <w:szCs w:val="24"/>
        </w:rPr>
        <w:t>3.2. Ativos de natureza fiscal</w:t>
      </w:r>
      <w:bookmarkEnd w:id="14"/>
      <w:bookmarkEnd w:id="15"/>
      <w:r w:rsidRPr="00CA3921">
        <w:rPr>
          <w:b/>
          <w:bCs/>
          <w:sz w:val="24"/>
          <w:szCs w:val="24"/>
        </w:rPr>
        <w:t xml:space="preserve"> </w:t>
      </w:r>
    </w:p>
    <w:p w14:paraId="560C2603" w14:textId="77777777" w:rsidR="00CA3921" w:rsidRPr="00CA3921" w:rsidRDefault="00CA3921" w:rsidP="00CA3921">
      <w:pPr>
        <w:suppressAutoHyphens w:val="0"/>
        <w:spacing w:after="120"/>
        <w:ind w:firstLine="709"/>
        <w:jc w:val="both"/>
        <w:rPr>
          <w:sz w:val="24"/>
          <w:szCs w:val="24"/>
        </w:rPr>
      </w:pPr>
      <w:r w:rsidRPr="00CA3921">
        <w:rPr>
          <w:sz w:val="24"/>
          <w:szCs w:val="24"/>
        </w:rPr>
        <w:t>Nesse conceito de ativo, contém os ativos fiscais, enquanto direito de crédito do qual determinada pessoa jurídica, em razão de disposição constitucional ou legal especifica, é detentora e/ou titular (OLIVEIRA; ALMEIDA, 2005). Os gestores e responsáveis da empresa têm que analisar as informações contábeis para verificar se o reconhecimento de créditos fiscais está dentro das margens permitidas na base legal, e escolher o mais oportuno para minimizar o custo tributário.</w:t>
      </w:r>
    </w:p>
    <w:p w14:paraId="2B1B251F" w14:textId="77777777" w:rsidR="00CA3921" w:rsidRPr="00CA3921" w:rsidRDefault="00CA3921" w:rsidP="00CA0062">
      <w:pPr>
        <w:keepNext/>
        <w:suppressAutoHyphens w:val="0"/>
        <w:spacing w:before="240" w:after="240"/>
        <w:jc w:val="both"/>
        <w:outlineLvl w:val="3"/>
        <w:rPr>
          <w:b/>
          <w:bCs/>
          <w:sz w:val="24"/>
          <w:szCs w:val="24"/>
        </w:rPr>
      </w:pPr>
      <w:bookmarkStart w:id="16" w:name="_Toc486367395"/>
      <w:r w:rsidRPr="00CA3921">
        <w:rPr>
          <w:b/>
          <w:bCs/>
          <w:sz w:val="24"/>
          <w:szCs w:val="24"/>
        </w:rPr>
        <w:t>3.2.1. Ativos fiscais correntes</w:t>
      </w:r>
      <w:bookmarkEnd w:id="16"/>
    </w:p>
    <w:p w14:paraId="4B6BDC8B" w14:textId="77777777" w:rsidR="00CA3921" w:rsidRPr="00CA3921" w:rsidRDefault="00CA3921" w:rsidP="00CA3921">
      <w:pPr>
        <w:suppressAutoHyphens w:val="0"/>
        <w:spacing w:after="120"/>
        <w:ind w:firstLine="709"/>
        <w:jc w:val="both"/>
        <w:rPr>
          <w:rFonts w:eastAsia="Calibri"/>
          <w:sz w:val="24"/>
          <w:szCs w:val="24"/>
          <w:lang w:eastAsia="en-US"/>
        </w:rPr>
      </w:pPr>
      <w:r w:rsidRPr="00CA3921">
        <w:rPr>
          <w:sz w:val="24"/>
          <w:szCs w:val="24"/>
        </w:rPr>
        <w:t xml:space="preserve">Os ativos fiscais correntes no Brasil estão representados por meio da conta Tributos a Recuperar, que está incluída a recuperação de: IRPJ - Imposto de Renda, CSLL - Contribuição Social, ICMS - Imposto sobre operações relativas à Circulação de Mercadoria e Serviço de Transporte Interestadual e de Comunicação, IPI - Impostos sobre Produto Industrializados, PIS/PASEP - </w:t>
      </w:r>
      <w:r w:rsidRPr="00CA3921">
        <w:rPr>
          <w:rFonts w:eastAsia="Calibri"/>
          <w:sz w:val="24"/>
          <w:szCs w:val="24"/>
          <w:lang w:eastAsia="en-US"/>
        </w:rPr>
        <w:t xml:space="preserve">Contribuição para o Programa de Integração Social e para o Programa de Formação do Patrimônio do Servidor Público; COFINS - Contribuição para o Financiamento da Seguridade Social; IRRF - Imposto de Renda Retido na Fonte; além de Contribuições Previdenciárias (MARTINS </w:t>
      </w:r>
      <w:r w:rsidRPr="00CA3921">
        <w:rPr>
          <w:rFonts w:eastAsia="Calibri"/>
          <w:i/>
          <w:iCs/>
          <w:sz w:val="24"/>
          <w:szCs w:val="24"/>
          <w:lang w:eastAsia="en-US"/>
        </w:rPr>
        <w:t>et al</w:t>
      </w:r>
      <w:r w:rsidRPr="00CA3921">
        <w:rPr>
          <w:rFonts w:eastAsia="Calibri"/>
          <w:sz w:val="24"/>
          <w:szCs w:val="24"/>
          <w:lang w:eastAsia="en-US"/>
        </w:rPr>
        <w:t xml:space="preserve">, 2010). </w:t>
      </w:r>
    </w:p>
    <w:p w14:paraId="03F8A8E0" w14:textId="77777777" w:rsidR="00CA3921" w:rsidRPr="00CA3921" w:rsidRDefault="00CA3921" w:rsidP="00CA3921">
      <w:pPr>
        <w:suppressAutoHyphens w:val="0"/>
        <w:spacing w:after="120"/>
        <w:ind w:firstLine="709"/>
        <w:jc w:val="both"/>
        <w:rPr>
          <w:rFonts w:eastAsia="Calibri"/>
          <w:sz w:val="24"/>
          <w:szCs w:val="24"/>
          <w:lang w:eastAsia="en-US"/>
        </w:rPr>
      </w:pPr>
      <w:r w:rsidRPr="00CA3921">
        <w:rPr>
          <w:rFonts w:eastAsia="Calibri"/>
          <w:sz w:val="24"/>
          <w:szCs w:val="24"/>
          <w:lang w:eastAsia="en-US"/>
        </w:rPr>
        <w:lastRenderedPageBreak/>
        <w:t xml:space="preserve">A norma contábil brasileira, inerente ao tratamento contábil dos tributos sobre lucros (CPC 32,2009), faz referência aos “tributos sobre lucros correntes” que estes seriam o montante do imposto de renda (IRPJ) e da contribuição social a pagar ou recuperar (CSLL) com relação ao resultado tributável do período. A legislação tributária geral não faz distinção entre as espécies tributárias no que tange à recuperação de tributos (se incidentes sobre lucros, receitas operacionais ou não operacionais). Esta norma fiscal refere que a recuperação de tributos pode ocorrer mediante compensação ou restituição em espécie </w:t>
      </w:r>
      <w:r w:rsidRPr="00CA3921">
        <w:rPr>
          <w:sz w:val="24"/>
          <w:szCs w:val="24"/>
        </w:rPr>
        <w:t>(ANCELES; KRONBAUER; PACHECO, 2011).</w:t>
      </w:r>
    </w:p>
    <w:p w14:paraId="637D772F" w14:textId="0D100509" w:rsidR="00CA3921" w:rsidRPr="00CA3921" w:rsidRDefault="00CA3921" w:rsidP="00CA0062">
      <w:pPr>
        <w:suppressAutoHyphens w:val="0"/>
        <w:spacing w:after="120"/>
        <w:ind w:firstLine="709"/>
        <w:jc w:val="both"/>
        <w:rPr>
          <w:rFonts w:eastAsia="Calibri"/>
          <w:sz w:val="24"/>
          <w:szCs w:val="24"/>
          <w:lang w:eastAsia="en-US"/>
        </w:rPr>
      </w:pPr>
      <w:r w:rsidRPr="00CA3921">
        <w:rPr>
          <w:rFonts w:eastAsia="Calibri"/>
          <w:sz w:val="24"/>
          <w:szCs w:val="24"/>
          <w:lang w:eastAsia="en-US"/>
        </w:rPr>
        <w:t>Cada espécie tributária possui suas características próprias de reconhecimento e para exemplificar a categoria de ativos fiscais correntes, apresenta-se a caracterização referida por Oliveira e Almeida (2005), estudando ativos tributários gerados nas aquisições de café cru beneficiado. Os autores explicam que, em decorrência do princípio constitucional da não cumulatividade, os contribuintes de ICMS apuram créditos quando da aquisição de mercadorias que permanecem em sua escrita fiscal, sendo que tal crédito será utilizado para pagamento do ICMS à venda do produto industrializado. O saldo credor de ICMS pode existir em decorrência de aplicação de alíquotas diversificadas em operações de entrada e de saída de mercadoria ou em serviço tomado ou prestado e operação ou prestação efetuada com redução de base de cálculo, com isenção ou mesmo imunidade tributária. Assim como o ICMS, outros tributos como o IPI, a Contribuição para o PIS/PASEP e a COFINS, possuem a mesma sistemática de concessão de créditos fiscais, o que, via de regra, pode acarretar surgimento de créditos fiscais correntes, acumuláveis ao longo do tempo.</w:t>
      </w:r>
    </w:p>
    <w:p w14:paraId="5F5236B1" w14:textId="77777777" w:rsidR="00CA3921" w:rsidRPr="00CA3921" w:rsidRDefault="00CA3921" w:rsidP="00CA0062">
      <w:pPr>
        <w:keepNext/>
        <w:suppressAutoHyphens w:val="0"/>
        <w:spacing w:before="240" w:after="240"/>
        <w:jc w:val="both"/>
        <w:outlineLvl w:val="3"/>
        <w:rPr>
          <w:b/>
          <w:bCs/>
          <w:sz w:val="24"/>
          <w:szCs w:val="24"/>
        </w:rPr>
      </w:pPr>
      <w:bookmarkStart w:id="17" w:name="_Toc486367396"/>
      <w:r w:rsidRPr="00CA3921">
        <w:rPr>
          <w:b/>
          <w:bCs/>
          <w:sz w:val="24"/>
          <w:szCs w:val="24"/>
        </w:rPr>
        <w:t>3.2.2. Ativos fiscais diferidos</w:t>
      </w:r>
      <w:bookmarkEnd w:id="17"/>
    </w:p>
    <w:p w14:paraId="7008FE5D" w14:textId="77777777" w:rsidR="00CA3921" w:rsidRPr="00CA3921" w:rsidRDefault="00CA3921" w:rsidP="00CA3921">
      <w:pPr>
        <w:suppressAutoHyphens w:val="0"/>
        <w:spacing w:after="120"/>
        <w:ind w:firstLine="709"/>
        <w:jc w:val="both"/>
        <w:rPr>
          <w:sz w:val="24"/>
          <w:szCs w:val="24"/>
        </w:rPr>
      </w:pPr>
      <w:r w:rsidRPr="00CA3921">
        <w:rPr>
          <w:sz w:val="24"/>
          <w:szCs w:val="24"/>
        </w:rPr>
        <w:t>Ativos fiscais diferidos são valores de tributos (IRPJ e CSLL) incidentes sobre o lucro fiscal, recuperável em períodos posteriores, relacionados às diferenças temporárias dedutíveis, compensações futuras de prejuízos fiscais não utilizados e/ou de créditos fiscais não utilizados. (CPC 32, 2009).</w:t>
      </w:r>
    </w:p>
    <w:p w14:paraId="24131C5D" w14:textId="77777777" w:rsidR="00CA3921" w:rsidRPr="00CA3921" w:rsidRDefault="00CA3921" w:rsidP="00CA3921">
      <w:pPr>
        <w:suppressAutoHyphens w:val="0"/>
        <w:spacing w:after="120"/>
        <w:ind w:firstLine="709"/>
        <w:jc w:val="both"/>
        <w:rPr>
          <w:sz w:val="24"/>
          <w:szCs w:val="24"/>
        </w:rPr>
      </w:pPr>
      <w:r w:rsidRPr="00CA3921">
        <w:rPr>
          <w:sz w:val="24"/>
          <w:szCs w:val="24"/>
        </w:rPr>
        <w:t>O reconhecimento de um ativo por impostos diferidos deverá ser feito relativos às perdas fiscais que se podem compensar em um futuro e outros créditos não aproveitáveis até o momento, somente quando há probabilidade, no futuro, de compensação (ANCELES; KRONBAUER; PACHECO, 2011). Ou seja, esses ativos são originados das diferenças temporárias dedutíveis (valor contábil do ativo menor que sua base fiscal), sendo reconhecido na medida em que seja provável que a empresa disponha de benefícios fiscais futuros (lucros fiscais futuros). Explicam Rech, Vieira Pereira e Ribeiro de Oliveira (2008, p.47).</w:t>
      </w:r>
    </w:p>
    <w:p w14:paraId="0C33E8E4" w14:textId="77777777" w:rsidR="00CA3921" w:rsidRPr="00CA3921" w:rsidRDefault="00CA3921" w:rsidP="00CA3921">
      <w:pPr>
        <w:suppressAutoHyphens w:val="0"/>
        <w:spacing w:after="120"/>
        <w:ind w:firstLine="709"/>
        <w:jc w:val="both"/>
        <w:rPr>
          <w:sz w:val="24"/>
          <w:szCs w:val="24"/>
        </w:rPr>
      </w:pPr>
      <w:r w:rsidRPr="00CA3921">
        <w:rPr>
          <w:sz w:val="24"/>
          <w:szCs w:val="24"/>
        </w:rPr>
        <w:t>Assim, surgem dois resultados diferentes: um contábil e outro fiscal. E este último será o exigido para fins de reconhecimento dos impostos. Vale lembrar que ambos os resultados estão sujeitos à mesma taxa de tributação, considerando que as diferenças são temporárias, e, com isso, no futuro, ambos os resultados serão iguais. Então, tal diferença indica que o imposto devido é maior que o efetivamente recolhido. Mas, com o passar do tempo, tais diferenças deixam de existir, uma vez que o imposto devido acumulado entre vários períodos e o efetivamente recolhido nesses períodos apresentará o mesmo resultado acumulado.</w:t>
      </w:r>
    </w:p>
    <w:p w14:paraId="3E7A22C8" w14:textId="77777777" w:rsidR="00CA3921" w:rsidRPr="00CA3921" w:rsidRDefault="00CA3921" w:rsidP="00CA3921">
      <w:pPr>
        <w:suppressAutoHyphens w:val="0"/>
        <w:spacing w:after="120"/>
        <w:ind w:firstLine="709"/>
        <w:jc w:val="both"/>
        <w:rPr>
          <w:rFonts w:eastAsia="Calibri"/>
          <w:sz w:val="24"/>
          <w:szCs w:val="24"/>
          <w:lang w:eastAsia="en-US"/>
        </w:rPr>
      </w:pPr>
      <w:r w:rsidRPr="00CA3921">
        <w:rPr>
          <w:sz w:val="24"/>
          <w:szCs w:val="24"/>
        </w:rPr>
        <w:t>Os ativos fiscais diferidos são de alto risco de liquidez incerta, surgindo nas diferenças temporárias dedutíveis, bases tributárias negativas ainda não compensadas ou outros créditos fiscais ainda não compensados. Tais ativos apresentam um volume crescente nas instituições financeiras, em função da grande quantidade de provisões indedutíveis, sobretudo as provisões para créditos de liquidação duvidosa, gerando assim uma incerteza sobre a efetiva recuperabilidade desses ativos tributários (</w:t>
      </w:r>
      <w:r w:rsidRPr="00CA3921">
        <w:rPr>
          <w:rFonts w:eastAsia="Calibri"/>
          <w:sz w:val="24"/>
          <w:szCs w:val="24"/>
          <w:lang w:eastAsia="en-US"/>
        </w:rPr>
        <w:t xml:space="preserve">MOURA e MARTINEZ, 2006). </w:t>
      </w:r>
    </w:p>
    <w:p w14:paraId="6E953615" w14:textId="77777777" w:rsidR="00CA3921" w:rsidRPr="00CA3921" w:rsidRDefault="00CA3921" w:rsidP="00CA3921">
      <w:pPr>
        <w:suppressAutoHyphens w:val="0"/>
        <w:spacing w:after="120"/>
        <w:ind w:firstLine="709"/>
        <w:jc w:val="both"/>
        <w:rPr>
          <w:sz w:val="24"/>
          <w:szCs w:val="24"/>
        </w:rPr>
      </w:pPr>
      <w:r w:rsidRPr="00CA3921">
        <w:rPr>
          <w:rFonts w:eastAsia="Calibri"/>
          <w:sz w:val="24"/>
          <w:szCs w:val="24"/>
          <w:lang w:eastAsia="en-US"/>
        </w:rPr>
        <w:lastRenderedPageBreak/>
        <w:t>Alguns estudos já abordaram o reconhecimento de ativos fiscais diferidos, segundo os mesmos autores, os estudos afirmam que o registro indevido dos ativos fiscais diferidos, em instituições financeiras, compromete sensivelmente a análise econômica, bem como o dimensionamento do risco de liquidez e de insolvência bancária. Huang (2008) verifica que os investidores altamente tributados utilizam os ativos fiscais diferidos para maximizar o benefício fiscal com o intuito de conseguir a exposição ao risco ideal. Os autores observaram que algumas empresas mantiveram estáveis seus níveis de lucratividade e que o reconhecimento de ativos fiscais diferidos pode ter auxiliado nesta situação.</w:t>
      </w:r>
    </w:p>
    <w:p w14:paraId="6D48C541" w14:textId="77777777" w:rsidR="00CA3921" w:rsidRPr="00CA3921" w:rsidRDefault="00CA3921" w:rsidP="00CA0062">
      <w:pPr>
        <w:keepNext/>
        <w:suppressAutoHyphens w:val="0"/>
        <w:spacing w:before="240" w:after="240"/>
        <w:jc w:val="both"/>
        <w:outlineLvl w:val="3"/>
        <w:rPr>
          <w:b/>
          <w:bCs/>
          <w:sz w:val="24"/>
          <w:szCs w:val="24"/>
        </w:rPr>
      </w:pPr>
      <w:bookmarkStart w:id="18" w:name="_Toc486367397"/>
      <w:r w:rsidRPr="00CA3921">
        <w:rPr>
          <w:b/>
          <w:bCs/>
          <w:sz w:val="24"/>
          <w:szCs w:val="24"/>
        </w:rPr>
        <w:t>3.2.3. Ativos fiscais litigiosos</w:t>
      </w:r>
      <w:bookmarkEnd w:id="18"/>
      <w:r w:rsidRPr="00CA3921">
        <w:rPr>
          <w:b/>
          <w:bCs/>
          <w:sz w:val="24"/>
          <w:szCs w:val="24"/>
        </w:rPr>
        <w:t xml:space="preserve"> </w:t>
      </w:r>
    </w:p>
    <w:p w14:paraId="1BC431BF" w14:textId="77777777" w:rsidR="00CA3921" w:rsidRPr="00CA3921" w:rsidRDefault="00CA3921" w:rsidP="00CA3921">
      <w:pPr>
        <w:suppressAutoHyphens w:val="0"/>
        <w:spacing w:after="120"/>
        <w:ind w:firstLine="709"/>
        <w:jc w:val="both"/>
        <w:rPr>
          <w:sz w:val="24"/>
          <w:szCs w:val="24"/>
        </w:rPr>
      </w:pPr>
      <w:r w:rsidRPr="00CA3921">
        <w:rPr>
          <w:sz w:val="24"/>
          <w:szCs w:val="24"/>
        </w:rPr>
        <w:t>A luz da norma FASB 48 -</w:t>
      </w:r>
      <w:r w:rsidRPr="00CA3921">
        <w:rPr>
          <w:rFonts w:eastAsia="Calibri"/>
          <w:sz w:val="24"/>
          <w:szCs w:val="24"/>
          <w:lang w:eastAsia="en-US"/>
        </w:rPr>
        <w:t xml:space="preserve"> </w:t>
      </w:r>
      <w:r w:rsidRPr="00CA3921">
        <w:rPr>
          <w:rFonts w:eastAsia="Calibri"/>
          <w:i/>
          <w:iCs/>
          <w:sz w:val="24"/>
          <w:szCs w:val="24"/>
          <w:lang w:eastAsia="en-US"/>
        </w:rPr>
        <w:t xml:space="preserve">Accounting for Uncertainty in Income Taxes </w:t>
      </w:r>
      <w:r w:rsidRPr="00CA3921">
        <w:rPr>
          <w:rFonts w:eastAsia="Calibri"/>
          <w:sz w:val="24"/>
          <w:szCs w:val="24"/>
          <w:lang w:eastAsia="en-US"/>
        </w:rPr>
        <w:t xml:space="preserve">-, ativos fiscais </w:t>
      </w:r>
      <w:r w:rsidRPr="00CA3921">
        <w:rPr>
          <w:sz w:val="24"/>
          <w:szCs w:val="24"/>
        </w:rPr>
        <w:t>litigiosos são gerados por determinação da empresa, ao verificar se é mais provável ou não que uma situação tributária possa ser sustentada quando examinada, incluindo a resolução de qualquer recurso ou processo contestado.</w:t>
      </w:r>
    </w:p>
    <w:p w14:paraId="50B52BDA" w14:textId="77777777" w:rsidR="00CA3921" w:rsidRPr="00CA3921" w:rsidRDefault="00CA3921" w:rsidP="00CA3921">
      <w:pPr>
        <w:suppressAutoHyphens w:val="0"/>
        <w:spacing w:after="120"/>
        <w:ind w:firstLine="709"/>
        <w:jc w:val="both"/>
        <w:rPr>
          <w:sz w:val="24"/>
          <w:szCs w:val="24"/>
        </w:rPr>
      </w:pPr>
      <w:r w:rsidRPr="00CA3921">
        <w:rPr>
          <w:sz w:val="24"/>
          <w:szCs w:val="24"/>
        </w:rPr>
        <w:t xml:space="preserve">Os ativos fiscais litigiosos são reconhecidos, quando houver um depósito judicial correspondente, ou quando estiver assegurada a sua obtenção ou recuperação. Dessa forma, esses ativos são representados nas demonstrações contábeis pela conta depósito judiciais </w:t>
      </w:r>
      <w:smartTag w:uri="urn:schemas-microsoft-com:office:smarttags" w:element="PersonName">
        <w:smartTagPr>
          <w:attr w:name="ProductID" w:val="em litígios. Aquino"/>
        </w:smartTagPr>
        <w:r w:rsidRPr="00CA3921">
          <w:rPr>
            <w:sz w:val="24"/>
            <w:szCs w:val="24"/>
          </w:rPr>
          <w:t>em litígios. Aquino</w:t>
        </w:r>
      </w:smartTag>
      <w:r w:rsidRPr="00CA3921">
        <w:rPr>
          <w:sz w:val="24"/>
          <w:szCs w:val="24"/>
        </w:rPr>
        <w:t xml:space="preserve"> (2008), explica que os depósitos judiciais constituem um direito do depositante, ou litigar com a Fazenda Pública, para evitar a cobrança de encargos ou obrigações que resultam da cobrança do crédito tributário e impedir, também, a proposta da execução fiscal, e cobranças de juros e multas. Contudo, segundo o autor, para que os ativos fiscais sejam reconhecidos corretamente, somente deve ser feito quando percorridas todas as instâncias necessárias, e a empresa obtiver decisão favorável.</w:t>
      </w:r>
    </w:p>
    <w:p w14:paraId="51601E44" w14:textId="77777777" w:rsidR="00CA3921" w:rsidRPr="00CA3921" w:rsidRDefault="00CA3921" w:rsidP="00CA3921">
      <w:pPr>
        <w:suppressAutoHyphens w:val="0"/>
        <w:spacing w:after="120"/>
        <w:ind w:firstLine="709"/>
        <w:jc w:val="both"/>
        <w:rPr>
          <w:sz w:val="24"/>
          <w:szCs w:val="24"/>
        </w:rPr>
      </w:pPr>
      <w:r w:rsidRPr="00CA3921">
        <w:rPr>
          <w:sz w:val="24"/>
          <w:szCs w:val="24"/>
        </w:rPr>
        <w:t xml:space="preserve">Lisowsky (2010), em um estudo sobre métodos legais para minimizar a carga tributária suportada pela empresa, verificou a existência de relação entre as situações jurídicas (contencioso tributário), assim entendidas como a resolução de litígios, e o gerenciamento de tributos (nos termos do estudo, elisão fiscal). </w:t>
      </w:r>
      <w:r w:rsidRPr="00CA3921">
        <w:rPr>
          <w:rFonts w:eastAsia="Calibri"/>
          <w:sz w:val="24"/>
          <w:szCs w:val="24"/>
          <w:lang w:eastAsia="en-US"/>
        </w:rPr>
        <w:t>O estudo parece indicar que, quanto maior o nível de discussões judiciais, maior o nível de desacordo com a legislação de referência, sendo que a resolução de litígios integra a análise das empresas que buscam uma menor incidência tributária, afetando, assim, os indicadores financeiros e econômicos.</w:t>
      </w:r>
    </w:p>
    <w:p w14:paraId="6F75E8E6" w14:textId="77777777" w:rsidR="00CA3921" w:rsidRPr="00CA3921" w:rsidRDefault="00CA3921" w:rsidP="00CA0062">
      <w:pPr>
        <w:keepNext/>
        <w:keepLines/>
        <w:suppressAutoHyphens w:val="0"/>
        <w:spacing w:before="240" w:after="240"/>
        <w:jc w:val="both"/>
        <w:outlineLvl w:val="2"/>
        <w:rPr>
          <w:b/>
          <w:bCs/>
          <w:sz w:val="24"/>
          <w:szCs w:val="24"/>
        </w:rPr>
      </w:pPr>
      <w:bookmarkStart w:id="19" w:name="_Toc486367398"/>
      <w:bookmarkStart w:id="20" w:name="_Toc486866195"/>
      <w:r w:rsidRPr="00CA3921">
        <w:rPr>
          <w:b/>
          <w:bCs/>
          <w:sz w:val="24"/>
          <w:szCs w:val="24"/>
        </w:rPr>
        <w:t xml:space="preserve">3.2. O reconhecimento de ativos fiscais: possíveis fatores que </w:t>
      </w:r>
      <w:bookmarkEnd w:id="19"/>
      <w:r w:rsidRPr="00CA3921">
        <w:rPr>
          <w:b/>
          <w:bCs/>
          <w:sz w:val="24"/>
          <w:szCs w:val="24"/>
        </w:rPr>
        <w:t>podem explicá-lo</w:t>
      </w:r>
      <w:bookmarkEnd w:id="20"/>
    </w:p>
    <w:p w14:paraId="1974A35D" w14:textId="77777777" w:rsidR="00CA3921" w:rsidRPr="00CA3921" w:rsidRDefault="00CA3921" w:rsidP="00CA3921">
      <w:pPr>
        <w:suppressAutoHyphens w:val="0"/>
        <w:spacing w:after="120"/>
        <w:ind w:firstLine="709"/>
        <w:jc w:val="both"/>
        <w:rPr>
          <w:sz w:val="24"/>
          <w:szCs w:val="24"/>
        </w:rPr>
      </w:pPr>
      <w:r w:rsidRPr="00CA3921">
        <w:rPr>
          <w:sz w:val="24"/>
          <w:szCs w:val="24"/>
        </w:rPr>
        <w:t>A decisão de reconhecer ativos fiscais diferidos pode estar relacionada com a redução do índice de endividamento da empresa, em função do aumento do valor de seu ativo e do consequente aumento do valor do patrimônio líquido. Neste sentido, a existência de um elevado nível de endividamento pode aumentar a propensão para o reconhecimento destes ativos (GORDON; JOOS, 2004, apud ANCELES; KRONBAUER; PACHECO, 2011).</w:t>
      </w:r>
    </w:p>
    <w:p w14:paraId="2AABD82A" w14:textId="77777777" w:rsidR="00CA3921" w:rsidRPr="00CA3921" w:rsidRDefault="00CA3921" w:rsidP="00CA3921">
      <w:pPr>
        <w:suppressAutoHyphens w:val="0"/>
        <w:spacing w:after="120"/>
        <w:ind w:firstLine="709"/>
        <w:jc w:val="both"/>
        <w:rPr>
          <w:sz w:val="24"/>
          <w:szCs w:val="24"/>
        </w:rPr>
      </w:pPr>
      <w:r w:rsidRPr="00CA3921">
        <w:rPr>
          <w:rFonts w:eastAsia="Calibri"/>
          <w:sz w:val="24"/>
          <w:szCs w:val="24"/>
          <w:lang w:eastAsia="en-US"/>
        </w:rPr>
        <w:t xml:space="preserve">Kronbauer </w:t>
      </w:r>
      <w:r w:rsidRPr="00CA3921">
        <w:rPr>
          <w:rFonts w:eastAsia="Calibri"/>
          <w:i/>
          <w:iCs/>
          <w:sz w:val="24"/>
          <w:szCs w:val="24"/>
          <w:lang w:eastAsia="en-US"/>
        </w:rPr>
        <w:t xml:space="preserve">et al </w:t>
      </w:r>
      <w:r w:rsidRPr="00CA3921">
        <w:rPr>
          <w:rFonts w:eastAsia="Calibri"/>
          <w:sz w:val="24"/>
          <w:szCs w:val="24"/>
          <w:lang w:eastAsia="en-US"/>
        </w:rPr>
        <w:t xml:space="preserve">(2010), em estudo sobre o nível de reconhecimento de ativos fiscais diferidos em empresas brasileiras integrantes da BOVESPA, entre o período de </w:t>
      </w:r>
      <w:smartTag w:uri="urn:schemas-microsoft-com:office:smarttags" w:element="metricconverter">
        <w:smartTagPr>
          <w:attr w:name="ProductID" w:val="2003 a"/>
        </w:smartTagPr>
        <w:r w:rsidRPr="00CA3921">
          <w:rPr>
            <w:rFonts w:eastAsia="Calibri"/>
            <w:sz w:val="24"/>
            <w:szCs w:val="24"/>
            <w:lang w:eastAsia="en-US"/>
          </w:rPr>
          <w:t>2003 a</w:t>
        </w:r>
      </w:smartTag>
      <w:r w:rsidRPr="00CA3921">
        <w:rPr>
          <w:rFonts w:eastAsia="Calibri"/>
          <w:sz w:val="24"/>
          <w:szCs w:val="24"/>
          <w:lang w:eastAsia="en-US"/>
        </w:rPr>
        <w:t xml:space="preserve"> 2008, verificaram que os resultados apontaram para uma utilização oportunista das margens facilitadas pelas normas contábeis, buscando melhorar indicadores financeiros e econômicos por meio desses ativos.</w:t>
      </w:r>
    </w:p>
    <w:p w14:paraId="1D9091A3" w14:textId="77777777" w:rsidR="00CA3921" w:rsidRPr="00CA3921" w:rsidRDefault="00CA3921" w:rsidP="00CA3921">
      <w:pPr>
        <w:suppressAutoHyphens w:val="0"/>
        <w:spacing w:after="120"/>
        <w:ind w:firstLine="709"/>
        <w:jc w:val="both"/>
        <w:rPr>
          <w:sz w:val="24"/>
          <w:szCs w:val="24"/>
        </w:rPr>
      </w:pPr>
      <w:r w:rsidRPr="00CA3921">
        <w:rPr>
          <w:sz w:val="24"/>
          <w:szCs w:val="24"/>
        </w:rPr>
        <w:t>Independente se o estudo trata especificamente de reconhecimento de ativos fiscais, taxa efetiva de imposto, ativos fiscais litigiosos, ou elisão fiscal, é certo que os ativos de natureza fiscal, ao comporem a fórmula do resultado final do custo tributário a pagar, podem ser explicados pelos menos fatores aplicáveis àqueles (ANCELES, 2012).</w:t>
      </w:r>
    </w:p>
    <w:p w14:paraId="73C5F546" w14:textId="77777777" w:rsidR="0016293B" w:rsidRDefault="00CA3921" w:rsidP="00CA3921">
      <w:pPr>
        <w:suppressAutoHyphens w:val="0"/>
        <w:spacing w:after="120"/>
        <w:ind w:firstLine="709"/>
        <w:jc w:val="both"/>
        <w:rPr>
          <w:rFonts w:eastAsia="Calibri"/>
          <w:sz w:val="24"/>
          <w:szCs w:val="24"/>
          <w:lang w:eastAsia="en-US"/>
        </w:rPr>
      </w:pPr>
      <w:r w:rsidRPr="00CA3921">
        <w:rPr>
          <w:sz w:val="24"/>
          <w:szCs w:val="24"/>
        </w:rPr>
        <w:lastRenderedPageBreak/>
        <w:t>Conforme estudos já realizados, Gupta e Neyberry (1998 apud ANCELES; KRONBAUER; PACHECO, 2011</w:t>
      </w:r>
      <w:r w:rsidRPr="00CA3921">
        <w:rPr>
          <w:rFonts w:eastAsia="Calibri"/>
          <w:sz w:val="24"/>
          <w:szCs w:val="24"/>
          <w:lang w:eastAsia="en-US"/>
        </w:rPr>
        <w:t>)</w:t>
      </w:r>
      <w:r w:rsidRPr="00CA3921">
        <w:rPr>
          <w:sz w:val="24"/>
          <w:szCs w:val="24"/>
        </w:rPr>
        <w:t>, concluíram que as taxas efetivas de impostos não estão associadas ao tamanho da empresa quando a relação é analisada ao longo do tempo, afirmando que o estudo centrado apenas no tamanho da empresa não é suficiente para fazer inferências. Em contrapartida, segundo os autores, as taxas efetivas de imposto estão associadas à estrutura da empresa, ao total das diversidades</w:t>
      </w:r>
      <w:r w:rsidRPr="00CA3921">
        <w:rPr>
          <w:rFonts w:eastAsia="Calibri"/>
          <w:sz w:val="24"/>
          <w:szCs w:val="24"/>
          <w:lang w:eastAsia="en-US"/>
        </w:rPr>
        <w:t xml:space="preserve"> de ativos e ao desempenho.</w:t>
      </w:r>
    </w:p>
    <w:p w14:paraId="1AED113C" w14:textId="0C5F7D83" w:rsidR="00CA3921" w:rsidRPr="00CA3921" w:rsidRDefault="00CA3921" w:rsidP="00CA3921">
      <w:pPr>
        <w:suppressAutoHyphens w:val="0"/>
        <w:spacing w:after="120"/>
        <w:ind w:firstLine="709"/>
        <w:jc w:val="both"/>
        <w:rPr>
          <w:rFonts w:eastAsia="Calibri"/>
          <w:sz w:val="24"/>
          <w:szCs w:val="24"/>
          <w:lang w:eastAsia="en-US"/>
        </w:rPr>
      </w:pPr>
      <w:r w:rsidRPr="00CA3921">
        <w:rPr>
          <w:rFonts w:eastAsia="Calibri"/>
          <w:sz w:val="24"/>
          <w:szCs w:val="24"/>
          <w:lang w:eastAsia="en-US"/>
        </w:rPr>
        <w:t xml:space="preserve">Outro fator é a rentabilidade, conforme estudo sobre gerenciamento de resultados nos relatórios financeiros para desvendar a agressividade fiscal (evasão fiscal), Frank </w:t>
      </w:r>
      <w:r w:rsidRPr="00CA3921">
        <w:rPr>
          <w:rFonts w:eastAsia="Calibri"/>
          <w:i/>
          <w:iCs/>
          <w:sz w:val="24"/>
          <w:szCs w:val="24"/>
          <w:lang w:eastAsia="en-US"/>
        </w:rPr>
        <w:t xml:space="preserve">et al </w:t>
      </w:r>
      <w:r w:rsidRPr="00CA3921">
        <w:rPr>
          <w:rFonts w:eastAsia="Calibri"/>
          <w:sz w:val="24"/>
          <w:szCs w:val="24"/>
          <w:lang w:eastAsia="en-US"/>
        </w:rPr>
        <w:t>(2009) verificaram que a rentabilidade é um fator que pode explicar significativamente, juntamente com o tamanho da empresa.</w:t>
      </w:r>
    </w:p>
    <w:p w14:paraId="13BAE611" w14:textId="77777777" w:rsidR="00CA3921" w:rsidRPr="00CA3921" w:rsidRDefault="00CA3921" w:rsidP="00CA3921">
      <w:pPr>
        <w:suppressAutoHyphens w:val="0"/>
        <w:spacing w:after="120"/>
        <w:ind w:firstLine="709"/>
        <w:jc w:val="both"/>
        <w:rPr>
          <w:rFonts w:eastAsia="Calibri"/>
          <w:sz w:val="24"/>
          <w:szCs w:val="24"/>
          <w:lang w:eastAsia="en-US"/>
        </w:rPr>
      </w:pPr>
      <w:r w:rsidRPr="00CA3921">
        <w:rPr>
          <w:rFonts w:eastAsia="Calibri"/>
          <w:sz w:val="24"/>
          <w:szCs w:val="24"/>
          <w:lang w:eastAsia="en-US"/>
        </w:rPr>
        <w:t xml:space="preserve">Rego (2003 apud </w:t>
      </w:r>
      <w:r w:rsidRPr="00CA3921">
        <w:rPr>
          <w:sz w:val="24"/>
          <w:szCs w:val="24"/>
        </w:rPr>
        <w:t>ANCELES; KRONBAUER; PACHECO, 2011</w:t>
      </w:r>
      <w:r w:rsidRPr="00CA3921">
        <w:rPr>
          <w:rFonts w:eastAsia="Calibri"/>
          <w:sz w:val="24"/>
          <w:szCs w:val="24"/>
          <w:lang w:eastAsia="en-US"/>
        </w:rPr>
        <w:t>) utiliza o fator de nível de operações de empresas no exterior, explicando que essas empresas apresentam menores taxas de imposto efetivo do que as empresas internas justifica-se que no exterior possuem maiores oportunidades de evitar a incidência tributária. Porém o autor não subclassificação as empresas em paraísos fiscais, como Lisowsky (2010) especifica.</w:t>
      </w:r>
    </w:p>
    <w:p w14:paraId="0418E7A8" w14:textId="77777777" w:rsidR="00CA3921" w:rsidRPr="00CA3921" w:rsidRDefault="00CA3921" w:rsidP="00CA3921">
      <w:pPr>
        <w:suppressAutoHyphens w:val="0"/>
        <w:spacing w:after="120"/>
        <w:ind w:firstLine="709"/>
        <w:jc w:val="both"/>
        <w:rPr>
          <w:rFonts w:eastAsia="Calibri"/>
          <w:sz w:val="24"/>
          <w:szCs w:val="24"/>
          <w:lang w:eastAsia="en-US"/>
        </w:rPr>
      </w:pPr>
      <w:r w:rsidRPr="00CA3921">
        <w:rPr>
          <w:rFonts w:eastAsia="Calibri"/>
          <w:sz w:val="24"/>
          <w:szCs w:val="24"/>
          <w:lang w:eastAsia="en-US"/>
        </w:rPr>
        <w:t xml:space="preserve">Segundo Dyreng </w:t>
      </w:r>
      <w:r w:rsidRPr="00CA3921">
        <w:rPr>
          <w:rFonts w:eastAsia="Calibri"/>
          <w:i/>
          <w:iCs/>
          <w:sz w:val="24"/>
          <w:szCs w:val="24"/>
          <w:lang w:eastAsia="en-US"/>
        </w:rPr>
        <w:t xml:space="preserve">et al </w:t>
      </w:r>
      <w:r w:rsidRPr="00CA3921">
        <w:rPr>
          <w:rFonts w:eastAsia="Calibri"/>
          <w:sz w:val="24"/>
          <w:szCs w:val="24"/>
          <w:lang w:eastAsia="en-US"/>
        </w:rPr>
        <w:t>(2007), os gastos em pesquisa e desenvolvimento é um fator explicativo de análise em gerenciamentos de resultados, já que permite que a empresa possa reduzir o montante de imposto a pagar, principalmente em razão do direito à apropriação/compensação, nos Estados Unidos, de créditos fiscais sobre tais valores.</w:t>
      </w:r>
    </w:p>
    <w:p w14:paraId="4A7BC477" w14:textId="77777777" w:rsidR="00CA3921" w:rsidRPr="00CA3921" w:rsidRDefault="00CA3921" w:rsidP="00CA3921">
      <w:pPr>
        <w:suppressAutoHyphens w:val="0"/>
        <w:spacing w:after="120"/>
        <w:ind w:firstLine="709"/>
        <w:jc w:val="both"/>
        <w:rPr>
          <w:rFonts w:eastAsia="Calibri"/>
          <w:sz w:val="24"/>
          <w:szCs w:val="24"/>
          <w:lang w:eastAsia="en-US"/>
        </w:rPr>
      </w:pPr>
      <w:r w:rsidRPr="00CA3921">
        <w:rPr>
          <w:rFonts w:eastAsia="Calibri"/>
          <w:sz w:val="24"/>
          <w:szCs w:val="24"/>
          <w:lang w:eastAsia="en-US"/>
        </w:rPr>
        <w:t>Partindo do estudo de Anceles (2012), tem-se ainda como de possível análise em gerenciamento de resultados, como variável independente: a alavancagem; rentabilidade e lucratividade; endividamento e liquidez geral e corrente.</w:t>
      </w:r>
    </w:p>
    <w:p w14:paraId="092CD80F" w14:textId="77777777" w:rsidR="00CA3921" w:rsidRPr="00CA3921" w:rsidRDefault="00CA3921" w:rsidP="00CA0062">
      <w:pPr>
        <w:keepNext/>
        <w:keepLines/>
        <w:suppressAutoHyphens w:val="0"/>
        <w:spacing w:before="240" w:after="240"/>
        <w:jc w:val="both"/>
        <w:outlineLvl w:val="1"/>
        <w:rPr>
          <w:b/>
          <w:bCs/>
          <w:sz w:val="24"/>
          <w:szCs w:val="24"/>
        </w:rPr>
      </w:pPr>
      <w:bookmarkStart w:id="21" w:name="_Toc486866196"/>
      <w:r w:rsidRPr="00CA3921">
        <w:rPr>
          <w:b/>
          <w:bCs/>
          <w:sz w:val="24"/>
          <w:szCs w:val="24"/>
        </w:rPr>
        <w:t>4. ANÁLISE E INTERPRETAÇÃO DOS DADOS</w:t>
      </w:r>
      <w:bookmarkEnd w:id="21"/>
      <w:r w:rsidRPr="00CA3921">
        <w:rPr>
          <w:b/>
          <w:bCs/>
          <w:sz w:val="24"/>
          <w:szCs w:val="24"/>
        </w:rPr>
        <w:t xml:space="preserve"> </w:t>
      </w:r>
    </w:p>
    <w:p w14:paraId="18696E39" w14:textId="77777777" w:rsidR="00CA3921" w:rsidRPr="00CA3921" w:rsidRDefault="00CA3921" w:rsidP="00CA0062">
      <w:pPr>
        <w:keepNext/>
        <w:keepLines/>
        <w:suppressAutoHyphens w:val="0"/>
        <w:spacing w:before="240" w:after="240"/>
        <w:jc w:val="both"/>
        <w:outlineLvl w:val="2"/>
        <w:rPr>
          <w:b/>
          <w:bCs/>
          <w:sz w:val="24"/>
          <w:szCs w:val="24"/>
        </w:rPr>
      </w:pPr>
      <w:bookmarkStart w:id="22" w:name="_Toc486866197"/>
      <w:r w:rsidRPr="00CA3921">
        <w:rPr>
          <w:b/>
          <w:bCs/>
          <w:sz w:val="24"/>
          <w:szCs w:val="24"/>
        </w:rPr>
        <w:t>4.1. Análise da formação dos ativos fiscais e causas preliminares</w:t>
      </w:r>
      <w:bookmarkEnd w:id="22"/>
    </w:p>
    <w:p w14:paraId="1FB65215" w14:textId="36B05DEA" w:rsidR="00CA3921" w:rsidRPr="00CA3921" w:rsidRDefault="00CA3921" w:rsidP="00CA3921">
      <w:pPr>
        <w:suppressAutoHyphens w:val="0"/>
        <w:spacing w:after="120"/>
        <w:ind w:firstLine="709"/>
        <w:jc w:val="both"/>
        <w:rPr>
          <w:sz w:val="24"/>
          <w:szCs w:val="24"/>
        </w:rPr>
      </w:pPr>
      <w:r w:rsidRPr="00CA3921">
        <w:rPr>
          <w:sz w:val="24"/>
          <w:szCs w:val="24"/>
        </w:rPr>
        <w:t xml:space="preserve">Antes de verificar quais os fatores determinantes no reconhecimento de ativos fiscais, realizou-se uma análise da estatística descritiva dos ativos fiscais totais, diferidos, correntes </w:t>
      </w:r>
      <w:r w:rsidR="006F1B55">
        <w:rPr>
          <w:sz w:val="24"/>
          <w:szCs w:val="24"/>
        </w:rPr>
        <w:t>e litigiosos, conforme a nossa amostra</w:t>
      </w:r>
      <w:r w:rsidRPr="00CA3921">
        <w:rPr>
          <w:sz w:val="24"/>
          <w:szCs w:val="24"/>
        </w:rPr>
        <w:t xml:space="preserve">. </w:t>
      </w:r>
    </w:p>
    <w:p w14:paraId="3077AD25" w14:textId="77777777" w:rsidR="00CA3921" w:rsidRPr="00CA3921" w:rsidRDefault="00CA3921" w:rsidP="00CA3921">
      <w:pPr>
        <w:suppressAutoHyphens w:val="0"/>
        <w:spacing w:after="120"/>
        <w:jc w:val="both"/>
        <w:rPr>
          <w:sz w:val="24"/>
          <w:szCs w:val="24"/>
        </w:rPr>
      </w:pPr>
      <w:r w:rsidRPr="00CA3921">
        <w:rPr>
          <w:b/>
          <w:sz w:val="24"/>
          <w:szCs w:val="24"/>
        </w:rPr>
        <w:t xml:space="preserve">         Tabela 2:</w:t>
      </w:r>
      <w:r w:rsidRPr="00CA3921">
        <w:rPr>
          <w:sz w:val="24"/>
          <w:szCs w:val="24"/>
        </w:rPr>
        <w:t xml:space="preserve"> Estatística Descritiva dos Índices que representam Ativos Fiscais</w:t>
      </w:r>
    </w:p>
    <w:tbl>
      <w:tblPr>
        <w:tblW w:w="7812" w:type="dxa"/>
        <w:jc w:val="center"/>
        <w:tblInd w:w="55" w:type="dxa"/>
        <w:tblCellMar>
          <w:left w:w="70" w:type="dxa"/>
          <w:right w:w="70" w:type="dxa"/>
        </w:tblCellMar>
        <w:tblLook w:val="04A0" w:firstRow="1" w:lastRow="0" w:firstColumn="1" w:lastColumn="0" w:noHBand="0" w:noVBand="1"/>
      </w:tblPr>
      <w:tblGrid>
        <w:gridCol w:w="2709"/>
        <w:gridCol w:w="1275"/>
        <w:gridCol w:w="1276"/>
        <w:gridCol w:w="1276"/>
        <w:gridCol w:w="1276"/>
      </w:tblGrid>
      <w:tr w:rsidR="00CA3921" w:rsidRPr="00CA3921" w14:paraId="4D37CAC8" w14:textId="77777777" w:rsidTr="005D2673">
        <w:trPr>
          <w:trHeight w:val="164"/>
          <w:jc w:val="center"/>
        </w:trPr>
        <w:tc>
          <w:tcPr>
            <w:tcW w:w="2709" w:type="dxa"/>
            <w:tcBorders>
              <w:top w:val="single" w:sz="8" w:space="0" w:color="auto"/>
              <w:left w:val="single" w:sz="8" w:space="0" w:color="auto"/>
              <w:bottom w:val="single" w:sz="4" w:space="0" w:color="auto"/>
              <w:right w:val="single" w:sz="4" w:space="0" w:color="auto"/>
            </w:tcBorders>
            <w:shd w:val="clear" w:color="auto" w:fill="auto"/>
            <w:noWrap/>
            <w:vAlign w:val="bottom"/>
          </w:tcPr>
          <w:p w14:paraId="7A3A4326" w14:textId="77777777" w:rsidR="00CA3921" w:rsidRPr="00CA3921" w:rsidRDefault="00CA3921" w:rsidP="00CA3921">
            <w:pPr>
              <w:suppressAutoHyphens w:val="0"/>
              <w:rPr>
                <w:color w:val="000000"/>
              </w:rPr>
            </w:pPr>
          </w:p>
        </w:tc>
        <w:tc>
          <w:tcPr>
            <w:tcW w:w="1275" w:type="dxa"/>
            <w:tcBorders>
              <w:top w:val="single" w:sz="8" w:space="0" w:color="auto"/>
              <w:left w:val="nil"/>
              <w:bottom w:val="single" w:sz="4" w:space="0" w:color="auto"/>
              <w:right w:val="single" w:sz="4" w:space="0" w:color="auto"/>
            </w:tcBorders>
            <w:shd w:val="clear" w:color="auto" w:fill="auto"/>
            <w:noWrap/>
            <w:vAlign w:val="bottom"/>
          </w:tcPr>
          <w:p w14:paraId="282EF96C" w14:textId="77777777" w:rsidR="00CA3921" w:rsidRPr="00CA3921" w:rsidRDefault="00CA3921" w:rsidP="00CA3921">
            <w:pPr>
              <w:suppressAutoHyphens w:val="0"/>
              <w:jc w:val="center"/>
              <w:rPr>
                <w:color w:val="000000"/>
              </w:rPr>
            </w:pPr>
            <w:r w:rsidRPr="00CA3921">
              <w:rPr>
                <w:color w:val="000000"/>
              </w:rPr>
              <w:t>IAFT</w:t>
            </w:r>
          </w:p>
        </w:tc>
        <w:tc>
          <w:tcPr>
            <w:tcW w:w="1276" w:type="dxa"/>
            <w:tcBorders>
              <w:top w:val="single" w:sz="8" w:space="0" w:color="auto"/>
              <w:left w:val="nil"/>
              <w:bottom w:val="single" w:sz="4" w:space="0" w:color="auto"/>
              <w:right w:val="single" w:sz="4" w:space="0" w:color="auto"/>
            </w:tcBorders>
            <w:shd w:val="clear" w:color="auto" w:fill="auto"/>
            <w:noWrap/>
            <w:vAlign w:val="bottom"/>
          </w:tcPr>
          <w:p w14:paraId="2D237E60" w14:textId="77777777" w:rsidR="00CA3921" w:rsidRPr="00CA3921" w:rsidRDefault="00CA3921" w:rsidP="00CA3921">
            <w:pPr>
              <w:suppressAutoHyphens w:val="0"/>
              <w:jc w:val="center"/>
              <w:rPr>
                <w:color w:val="000000"/>
              </w:rPr>
            </w:pPr>
            <w:r w:rsidRPr="00CA3921">
              <w:rPr>
                <w:color w:val="000000"/>
              </w:rPr>
              <w:t>IAFD</w:t>
            </w:r>
          </w:p>
        </w:tc>
        <w:tc>
          <w:tcPr>
            <w:tcW w:w="1276" w:type="dxa"/>
            <w:tcBorders>
              <w:top w:val="single" w:sz="8" w:space="0" w:color="auto"/>
              <w:left w:val="nil"/>
              <w:bottom w:val="single" w:sz="4" w:space="0" w:color="auto"/>
              <w:right w:val="single" w:sz="4" w:space="0" w:color="auto"/>
            </w:tcBorders>
            <w:shd w:val="clear" w:color="auto" w:fill="auto"/>
            <w:noWrap/>
            <w:vAlign w:val="bottom"/>
          </w:tcPr>
          <w:p w14:paraId="45B3F00F" w14:textId="77777777" w:rsidR="00CA3921" w:rsidRPr="00CA3921" w:rsidRDefault="00CA3921" w:rsidP="00CA3921">
            <w:pPr>
              <w:suppressAutoHyphens w:val="0"/>
              <w:jc w:val="center"/>
              <w:rPr>
                <w:color w:val="000000"/>
              </w:rPr>
            </w:pPr>
            <w:r w:rsidRPr="00CA3921">
              <w:rPr>
                <w:color w:val="000000"/>
              </w:rPr>
              <w:t>IAFC</w:t>
            </w:r>
          </w:p>
        </w:tc>
        <w:tc>
          <w:tcPr>
            <w:tcW w:w="1276" w:type="dxa"/>
            <w:tcBorders>
              <w:top w:val="single" w:sz="8" w:space="0" w:color="auto"/>
              <w:left w:val="nil"/>
              <w:bottom w:val="single" w:sz="4" w:space="0" w:color="auto"/>
              <w:right w:val="single" w:sz="8" w:space="0" w:color="auto"/>
            </w:tcBorders>
            <w:shd w:val="clear" w:color="auto" w:fill="auto"/>
            <w:noWrap/>
            <w:vAlign w:val="bottom"/>
          </w:tcPr>
          <w:p w14:paraId="230D385B" w14:textId="77777777" w:rsidR="00CA3921" w:rsidRPr="00CA3921" w:rsidRDefault="00CA3921" w:rsidP="00CA3921">
            <w:pPr>
              <w:suppressAutoHyphens w:val="0"/>
              <w:jc w:val="center"/>
              <w:rPr>
                <w:color w:val="000000"/>
              </w:rPr>
            </w:pPr>
            <w:r w:rsidRPr="00CA3921">
              <w:rPr>
                <w:color w:val="000000"/>
              </w:rPr>
              <w:t>IAFL</w:t>
            </w:r>
          </w:p>
        </w:tc>
      </w:tr>
      <w:tr w:rsidR="00CA3921" w:rsidRPr="00CA3921" w14:paraId="156CBE01" w14:textId="77777777" w:rsidTr="005D2673">
        <w:trPr>
          <w:trHeight w:val="264"/>
          <w:jc w:val="center"/>
        </w:trPr>
        <w:tc>
          <w:tcPr>
            <w:tcW w:w="2709" w:type="dxa"/>
            <w:tcBorders>
              <w:top w:val="nil"/>
              <w:left w:val="single" w:sz="8" w:space="0" w:color="auto"/>
              <w:bottom w:val="single" w:sz="4" w:space="0" w:color="auto"/>
              <w:right w:val="single" w:sz="4" w:space="0" w:color="auto"/>
            </w:tcBorders>
            <w:shd w:val="clear" w:color="auto" w:fill="auto"/>
            <w:noWrap/>
            <w:vAlign w:val="bottom"/>
          </w:tcPr>
          <w:p w14:paraId="706B3EAF" w14:textId="77777777" w:rsidR="00CA3921" w:rsidRPr="00CA3921" w:rsidRDefault="00CA3921" w:rsidP="00CA3921">
            <w:pPr>
              <w:suppressAutoHyphens w:val="0"/>
              <w:rPr>
                <w:color w:val="000000"/>
              </w:rPr>
            </w:pPr>
            <w:r w:rsidRPr="00CA3921">
              <w:rPr>
                <w:color w:val="000000"/>
              </w:rPr>
              <w:t>MÉDIA</w:t>
            </w:r>
          </w:p>
        </w:tc>
        <w:tc>
          <w:tcPr>
            <w:tcW w:w="1275" w:type="dxa"/>
            <w:tcBorders>
              <w:top w:val="nil"/>
              <w:left w:val="nil"/>
              <w:bottom w:val="single" w:sz="4" w:space="0" w:color="auto"/>
              <w:right w:val="single" w:sz="4" w:space="0" w:color="auto"/>
            </w:tcBorders>
            <w:shd w:val="clear" w:color="auto" w:fill="auto"/>
            <w:noWrap/>
            <w:vAlign w:val="bottom"/>
          </w:tcPr>
          <w:p w14:paraId="5D50AC38" w14:textId="77777777" w:rsidR="00CA3921" w:rsidRPr="00CA3921" w:rsidRDefault="00CA3921" w:rsidP="00CA3921">
            <w:pPr>
              <w:suppressAutoHyphens w:val="0"/>
              <w:jc w:val="right"/>
              <w:rPr>
                <w:color w:val="000000"/>
              </w:rPr>
            </w:pPr>
            <w:r w:rsidRPr="00CA3921">
              <w:rPr>
                <w:color w:val="000000"/>
              </w:rPr>
              <w:t>0,034153</w:t>
            </w:r>
          </w:p>
        </w:tc>
        <w:tc>
          <w:tcPr>
            <w:tcW w:w="1276" w:type="dxa"/>
            <w:tcBorders>
              <w:top w:val="nil"/>
              <w:left w:val="nil"/>
              <w:bottom w:val="single" w:sz="4" w:space="0" w:color="auto"/>
              <w:right w:val="single" w:sz="4" w:space="0" w:color="auto"/>
            </w:tcBorders>
            <w:shd w:val="clear" w:color="auto" w:fill="auto"/>
            <w:noWrap/>
            <w:vAlign w:val="bottom"/>
          </w:tcPr>
          <w:p w14:paraId="7AEBC8DE" w14:textId="77777777" w:rsidR="00CA3921" w:rsidRPr="00CA3921" w:rsidRDefault="00CA3921" w:rsidP="00CA3921">
            <w:pPr>
              <w:suppressAutoHyphens w:val="0"/>
              <w:jc w:val="right"/>
              <w:rPr>
                <w:color w:val="000000"/>
              </w:rPr>
            </w:pPr>
            <w:r w:rsidRPr="00CA3921">
              <w:rPr>
                <w:color w:val="000000"/>
              </w:rPr>
              <w:t xml:space="preserve">0,016224 </w:t>
            </w:r>
          </w:p>
        </w:tc>
        <w:tc>
          <w:tcPr>
            <w:tcW w:w="1276" w:type="dxa"/>
            <w:tcBorders>
              <w:top w:val="nil"/>
              <w:left w:val="nil"/>
              <w:bottom w:val="single" w:sz="4" w:space="0" w:color="auto"/>
              <w:right w:val="single" w:sz="4" w:space="0" w:color="auto"/>
            </w:tcBorders>
            <w:shd w:val="clear" w:color="auto" w:fill="auto"/>
            <w:noWrap/>
            <w:vAlign w:val="bottom"/>
          </w:tcPr>
          <w:p w14:paraId="4285D566" w14:textId="77777777" w:rsidR="00CA3921" w:rsidRPr="00CA3921" w:rsidRDefault="00CA3921" w:rsidP="00CA3921">
            <w:pPr>
              <w:suppressAutoHyphens w:val="0"/>
              <w:jc w:val="right"/>
              <w:rPr>
                <w:color w:val="000000"/>
              </w:rPr>
            </w:pPr>
            <w:r w:rsidRPr="00CA3921">
              <w:rPr>
                <w:color w:val="000000"/>
              </w:rPr>
              <w:t>0,004998</w:t>
            </w:r>
          </w:p>
        </w:tc>
        <w:tc>
          <w:tcPr>
            <w:tcW w:w="1276" w:type="dxa"/>
            <w:tcBorders>
              <w:top w:val="nil"/>
              <w:left w:val="nil"/>
              <w:bottom w:val="single" w:sz="4" w:space="0" w:color="auto"/>
              <w:right w:val="single" w:sz="8" w:space="0" w:color="auto"/>
            </w:tcBorders>
            <w:shd w:val="clear" w:color="auto" w:fill="auto"/>
            <w:noWrap/>
            <w:vAlign w:val="bottom"/>
          </w:tcPr>
          <w:p w14:paraId="23588180" w14:textId="77777777" w:rsidR="00CA3921" w:rsidRPr="00CA3921" w:rsidRDefault="00CA3921" w:rsidP="00CA3921">
            <w:pPr>
              <w:suppressAutoHyphens w:val="0"/>
              <w:jc w:val="right"/>
              <w:rPr>
                <w:color w:val="000000"/>
              </w:rPr>
            </w:pPr>
            <w:r w:rsidRPr="00CA3921">
              <w:rPr>
                <w:color w:val="000000"/>
              </w:rPr>
              <w:t>0,012931</w:t>
            </w:r>
          </w:p>
        </w:tc>
      </w:tr>
      <w:tr w:rsidR="00CA3921" w:rsidRPr="00CA3921" w14:paraId="4E710CA7" w14:textId="77777777" w:rsidTr="005D2673">
        <w:trPr>
          <w:trHeight w:val="228"/>
          <w:jc w:val="center"/>
        </w:trPr>
        <w:tc>
          <w:tcPr>
            <w:tcW w:w="2709" w:type="dxa"/>
            <w:tcBorders>
              <w:top w:val="nil"/>
              <w:left w:val="single" w:sz="8" w:space="0" w:color="auto"/>
              <w:bottom w:val="single" w:sz="4" w:space="0" w:color="auto"/>
              <w:right w:val="single" w:sz="4" w:space="0" w:color="auto"/>
            </w:tcBorders>
            <w:shd w:val="clear" w:color="auto" w:fill="auto"/>
            <w:noWrap/>
            <w:vAlign w:val="bottom"/>
          </w:tcPr>
          <w:p w14:paraId="07C1F02D" w14:textId="77777777" w:rsidR="00CA3921" w:rsidRPr="00CA3921" w:rsidRDefault="00CA3921" w:rsidP="00CA3921">
            <w:pPr>
              <w:suppressAutoHyphens w:val="0"/>
              <w:rPr>
                <w:color w:val="000000"/>
              </w:rPr>
            </w:pPr>
            <w:r w:rsidRPr="00CA3921">
              <w:rPr>
                <w:color w:val="000000"/>
              </w:rPr>
              <w:t>MEDIANA</w:t>
            </w:r>
          </w:p>
        </w:tc>
        <w:tc>
          <w:tcPr>
            <w:tcW w:w="1275" w:type="dxa"/>
            <w:tcBorders>
              <w:top w:val="nil"/>
              <w:left w:val="nil"/>
              <w:bottom w:val="single" w:sz="4" w:space="0" w:color="auto"/>
              <w:right w:val="single" w:sz="4" w:space="0" w:color="auto"/>
            </w:tcBorders>
            <w:shd w:val="clear" w:color="auto" w:fill="auto"/>
            <w:noWrap/>
            <w:vAlign w:val="bottom"/>
          </w:tcPr>
          <w:p w14:paraId="3627B096" w14:textId="77777777" w:rsidR="00CA3921" w:rsidRPr="00CA3921" w:rsidRDefault="00CA3921" w:rsidP="00CA3921">
            <w:pPr>
              <w:suppressAutoHyphens w:val="0"/>
              <w:jc w:val="right"/>
              <w:rPr>
                <w:color w:val="000000"/>
              </w:rPr>
            </w:pPr>
            <w:r w:rsidRPr="00CA3921">
              <w:rPr>
                <w:color w:val="000000"/>
              </w:rPr>
              <w:t>0,027671</w:t>
            </w:r>
          </w:p>
        </w:tc>
        <w:tc>
          <w:tcPr>
            <w:tcW w:w="1276" w:type="dxa"/>
            <w:tcBorders>
              <w:top w:val="nil"/>
              <w:left w:val="nil"/>
              <w:bottom w:val="single" w:sz="4" w:space="0" w:color="auto"/>
              <w:right w:val="single" w:sz="4" w:space="0" w:color="auto"/>
            </w:tcBorders>
            <w:shd w:val="clear" w:color="auto" w:fill="auto"/>
            <w:noWrap/>
            <w:vAlign w:val="bottom"/>
          </w:tcPr>
          <w:p w14:paraId="2BAE33D9" w14:textId="77777777" w:rsidR="00CA3921" w:rsidRPr="00CA3921" w:rsidRDefault="00CA3921" w:rsidP="00CA3921">
            <w:pPr>
              <w:suppressAutoHyphens w:val="0"/>
              <w:jc w:val="right"/>
              <w:rPr>
                <w:color w:val="000000"/>
              </w:rPr>
            </w:pPr>
            <w:r w:rsidRPr="00CA3921">
              <w:rPr>
                <w:color w:val="000000"/>
              </w:rPr>
              <w:t>0,014636</w:t>
            </w:r>
          </w:p>
        </w:tc>
        <w:tc>
          <w:tcPr>
            <w:tcW w:w="1276" w:type="dxa"/>
            <w:tcBorders>
              <w:top w:val="nil"/>
              <w:left w:val="nil"/>
              <w:bottom w:val="single" w:sz="4" w:space="0" w:color="auto"/>
              <w:right w:val="single" w:sz="4" w:space="0" w:color="auto"/>
            </w:tcBorders>
            <w:shd w:val="clear" w:color="auto" w:fill="auto"/>
            <w:noWrap/>
            <w:vAlign w:val="bottom"/>
          </w:tcPr>
          <w:p w14:paraId="5507DF00" w14:textId="77777777" w:rsidR="00CA3921" w:rsidRPr="00CA3921" w:rsidRDefault="00CA3921" w:rsidP="00CA3921">
            <w:pPr>
              <w:suppressAutoHyphens w:val="0"/>
              <w:jc w:val="right"/>
              <w:rPr>
                <w:color w:val="000000"/>
              </w:rPr>
            </w:pPr>
            <w:r w:rsidRPr="00CA3921">
              <w:rPr>
                <w:color w:val="000000"/>
              </w:rPr>
              <w:t>0,004696</w:t>
            </w:r>
          </w:p>
        </w:tc>
        <w:tc>
          <w:tcPr>
            <w:tcW w:w="1276" w:type="dxa"/>
            <w:tcBorders>
              <w:top w:val="nil"/>
              <w:left w:val="nil"/>
              <w:bottom w:val="single" w:sz="4" w:space="0" w:color="auto"/>
              <w:right w:val="single" w:sz="8" w:space="0" w:color="auto"/>
            </w:tcBorders>
            <w:shd w:val="clear" w:color="auto" w:fill="auto"/>
            <w:noWrap/>
            <w:vAlign w:val="bottom"/>
          </w:tcPr>
          <w:p w14:paraId="2A02F4AB" w14:textId="77777777" w:rsidR="00CA3921" w:rsidRPr="00CA3921" w:rsidRDefault="00CA3921" w:rsidP="00CA3921">
            <w:pPr>
              <w:suppressAutoHyphens w:val="0"/>
              <w:jc w:val="right"/>
              <w:rPr>
                <w:color w:val="000000"/>
              </w:rPr>
            </w:pPr>
            <w:r w:rsidRPr="00CA3921">
              <w:rPr>
                <w:color w:val="000000"/>
              </w:rPr>
              <w:t>0,005649</w:t>
            </w:r>
          </w:p>
        </w:tc>
      </w:tr>
      <w:tr w:rsidR="00CA3921" w:rsidRPr="00CA3921" w14:paraId="464B71AA" w14:textId="77777777" w:rsidTr="005D2673">
        <w:trPr>
          <w:trHeight w:val="177"/>
          <w:jc w:val="center"/>
        </w:trPr>
        <w:tc>
          <w:tcPr>
            <w:tcW w:w="2709" w:type="dxa"/>
            <w:tcBorders>
              <w:top w:val="nil"/>
              <w:left w:val="single" w:sz="8" w:space="0" w:color="auto"/>
              <w:bottom w:val="single" w:sz="4" w:space="0" w:color="auto"/>
              <w:right w:val="single" w:sz="4" w:space="0" w:color="auto"/>
            </w:tcBorders>
            <w:shd w:val="clear" w:color="auto" w:fill="auto"/>
            <w:noWrap/>
            <w:vAlign w:val="bottom"/>
          </w:tcPr>
          <w:p w14:paraId="61FF35E9" w14:textId="77777777" w:rsidR="00CA3921" w:rsidRPr="00CA3921" w:rsidRDefault="00CA3921" w:rsidP="00CA3921">
            <w:pPr>
              <w:suppressAutoHyphens w:val="0"/>
              <w:rPr>
                <w:color w:val="000000"/>
              </w:rPr>
            </w:pPr>
            <w:r w:rsidRPr="00CA3921">
              <w:rPr>
                <w:color w:val="000000"/>
              </w:rPr>
              <w:t>DESVIO PADRÃO</w:t>
            </w:r>
          </w:p>
        </w:tc>
        <w:tc>
          <w:tcPr>
            <w:tcW w:w="1275" w:type="dxa"/>
            <w:tcBorders>
              <w:top w:val="nil"/>
              <w:left w:val="nil"/>
              <w:bottom w:val="single" w:sz="4" w:space="0" w:color="auto"/>
              <w:right w:val="single" w:sz="4" w:space="0" w:color="auto"/>
            </w:tcBorders>
            <w:shd w:val="clear" w:color="auto" w:fill="auto"/>
            <w:noWrap/>
            <w:vAlign w:val="bottom"/>
          </w:tcPr>
          <w:p w14:paraId="16C42448" w14:textId="77777777" w:rsidR="00CA3921" w:rsidRPr="00CA3921" w:rsidRDefault="00CA3921" w:rsidP="00CA3921">
            <w:pPr>
              <w:suppressAutoHyphens w:val="0"/>
              <w:jc w:val="right"/>
              <w:rPr>
                <w:color w:val="000000"/>
              </w:rPr>
            </w:pPr>
            <w:r w:rsidRPr="00CA3921">
              <w:rPr>
                <w:color w:val="000000"/>
              </w:rPr>
              <w:t>0,023622</w:t>
            </w:r>
          </w:p>
        </w:tc>
        <w:tc>
          <w:tcPr>
            <w:tcW w:w="1276" w:type="dxa"/>
            <w:tcBorders>
              <w:top w:val="nil"/>
              <w:left w:val="nil"/>
              <w:bottom w:val="single" w:sz="4" w:space="0" w:color="auto"/>
              <w:right w:val="single" w:sz="4" w:space="0" w:color="auto"/>
            </w:tcBorders>
            <w:shd w:val="clear" w:color="auto" w:fill="auto"/>
            <w:noWrap/>
            <w:vAlign w:val="bottom"/>
          </w:tcPr>
          <w:p w14:paraId="7DB0A290" w14:textId="77777777" w:rsidR="00CA3921" w:rsidRPr="00CA3921" w:rsidRDefault="00CA3921" w:rsidP="00CA3921">
            <w:pPr>
              <w:suppressAutoHyphens w:val="0"/>
              <w:jc w:val="right"/>
              <w:rPr>
                <w:color w:val="000000"/>
              </w:rPr>
            </w:pPr>
            <w:r w:rsidRPr="00CA3921">
              <w:rPr>
                <w:color w:val="000000"/>
              </w:rPr>
              <w:t xml:space="preserve">0,013577 </w:t>
            </w:r>
          </w:p>
        </w:tc>
        <w:tc>
          <w:tcPr>
            <w:tcW w:w="1276" w:type="dxa"/>
            <w:tcBorders>
              <w:top w:val="nil"/>
              <w:left w:val="nil"/>
              <w:bottom w:val="single" w:sz="4" w:space="0" w:color="auto"/>
              <w:right w:val="single" w:sz="4" w:space="0" w:color="auto"/>
            </w:tcBorders>
            <w:shd w:val="clear" w:color="auto" w:fill="auto"/>
            <w:noWrap/>
            <w:vAlign w:val="bottom"/>
          </w:tcPr>
          <w:p w14:paraId="7C59684B" w14:textId="77777777" w:rsidR="00CA3921" w:rsidRPr="00CA3921" w:rsidRDefault="00CA3921" w:rsidP="00CA3921">
            <w:pPr>
              <w:suppressAutoHyphens w:val="0"/>
              <w:jc w:val="right"/>
              <w:rPr>
                <w:color w:val="000000"/>
              </w:rPr>
            </w:pPr>
            <w:r w:rsidRPr="00CA3921">
              <w:rPr>
                <w:color w:val="000000"/>
              </w:rPr>
              <w:t>0,003250</w:t>
            </w:r>
          </w:p>
        </w:tc>
        <w:tc>
          <w:tcPr>
            <w:tcW w:w="1276" w:type="dxa"/>
            <w:tcBorders>
              <w:top w:val="nil"/>
              <w:left w:val="nil"/>
              <w:bottom w:val="single" w:sz="4" w:space="0" w:color="auto"/>
              <w:right w:val="single" w:sz="8" w:space="0" w:color="auto"/>
            </w:tcBorders>
            <w:shd w:val="clear" w:color="auto" w:fill="auto"/>
            <w:noWrap/>
            <w:vAlign w:val="bottom"/>
          </w:tcPr>
          <w:p w14:paraId="0D02FA5D" w14:textId="77777777" w:rsidR="00CA3921" w:rsidRPr="00CA3921" w:rsidRDefault="00CA3921" w:rsidP="00CA3921">
            <w:pPr>
              <w:suppressAutoHyphens w:val="0"/>
              <w:jc w:val="right"/>
              <w:rPr>
                <w:color w:val="000000"/>
              </w:rPr>
            </w:pPr>
            <w:r w:rsidRPr="00CA3921">
              <w:rPr>
                <w:color w:val="000000"/>
              </w:rPr>
              <w:t>0,014883</w:t>
            </w:r>
          </w:p>
        </w:tc>
      </w:tr>
      <w:tr w:rsidR="00CA3921" w:rsidRPr="00CA3921" w14:paraId="1462E461" w14:textId="77777777" w:rsidTr="005D2673">
        <w:trPr>
          <w:trHeight w:val="269"/>
          <w:jc w:val="center"/>
        </w:trPr>
        <w:tc>
          <w:tcPr>
            <w:tcW w:w="2709" w:type="dxa"/>
            <w:tcBorders>
              <w:top w:val="nil"/>
              <w:left w:val="single" w:sz="8" w:space="0" w:color="auto"/>
              <w:bottom w:val="single" w:sz="4" w:space="0" w:color="auto"/>
              <w:right w:val="single" w:sz="4" w:space="0" w:color="auto"/>
            </w:tcBorders>
            <w:shd w:val="clear" w:color="auto" w:fill="auto"/>
            <w:noWrap/>
            <w:vAlign w:val="bottom"/>
          </w:tcPr>
          <w:p w14:paraId="57546338" w14:textId="77777777" w:rsidR="00CA3921" w:rsidRPr="00CA3921" w:rsidRDefault="00CA3921" w:rsidP="00CA3921">
            <w:pPr>
              <w:suppressAutoHyphens w:val="0"/>
              <w:rPr>
                <w:color w:val="000000"/>
              </w:rPr>
            </w:pPr>
            <w:r w:rsidRPr="00CA3921">
              <w:rPr>
                <w:color w:val="000000"/>
              </w:rPr>
              <w:t>VARIANCIA DA AMOSTRA</w:t>
            </w:r>
          </w:p>
        </w:tc>
        <w:tc>
          <w:tcPr>
            <w:tcW w:w="1275" w:type="dxa"/>
            <w:tcBorders>
              <w:top w:val="nil"/>
              <w:left w:val="nil"/>
              <w:bottom w:val="single" w:sz="4" w:space="0" w:color="auto"/>
              <w:right w:val="single" w:sz="4" w:space="0" w:color="auto"/>
            </w:tcBorders>
            <w:shd w:val="clear" w:color="auto" w:fill="auto"/>
            <w:noWrap/>
            <w:vAlign w:val="bottom"/>
          </w:tcPr>
          <w:p w14:paraId="5B6F3ABA" w14:textId="77777777" w:rsidR="00CA3921" w:rsidRPr="00CA3921" w:rsidRDefault="00CA3921" w:rsidP="00CA3921">
            <w:pPr>
              <w:suppressAutoHyphens w:val="0"/>
              <w:jc w:val="right"/>
              <w:rPr>
                <w:color w:val="000000"/>
              </w:rPr>
            </w:pPr>
            <w:r w:rsidRPr="00CA3921">
              <w:rPr>
                <w:color w:val="000000"/>
              </w:rPr>
              <w:t>0,000558</w:t>
            </w:r>
          </w:p>
        </w:tc>
        <w:tc>
          <w:tcPr>
            <w:tcW w:w="1276" w:type="dxa"/>
            <w:tcBorders>
              <w:top w:val="nil"/>
              <w:left w:val="nil"/>
              <w:bottom w:val="single" w:sz="4" w:space="0" w:color="auto"/>
              <w:right w:val="single" w:sz="4" w:space="0" w:color="auto"/>
            </w:tcBorders>
            <w:shd w:val="clear" w:color="auto" w:fill="auto"/>
            <w:noWrap/>
            <w:vAlign w:val="bottom"/>
          </w:tcPr>
          <w:p w14:paraId="552CD42D" w14:textId="77777777" w:rsidR="00CA3921" w:rsidRPr="00CA3921" w:rsidRDefault="00CA3921" w:rsidP="00CA3921">
            <w:pPr>
              <w:suppressAutoHyphens w:val="0"/>
              <w:jc w:val="right"/>
              <w:rPr>
                <w:color w:val="000000"/>
              </w:rPr>
            </w:pPr>
            <w:r w:rsidRPr="00CA3921">
              <w:rPr>
                <w:color w:val="000000"/>
              </w:rPr>
              <w:t xml:space="preserve">  0,000184</w:t>
            </w:r>
          </w:p>
        </w:tc>
        <w:tc>
          <w:tcPr>
            <w:tcW w:w="1276" w:type="dxa"/>
            <w:tcBorders>
              <w:top w:val="nil"/>
              <w:left w:val="nil"/>
              <w:bottom w:val="single" w:sz="4" w:space="0" w:color="auto"/>
              <w:right w:val="single" w:sz="4" w:space="0" w:color="auto"/>
            </w:tcBorders>
            <w:shd w:val="clear" w:color="auto" w:fill="auto"/>
            <w:noWrap/>
            <w:vAlign w:val="bottom"/>
          </w:tcPr>
          <w:p w14:paraId="33D49DB0" w14:textId="77777777" w:rsidR="00CA3921" w:rsidRPr="00CA3921" w:rsidRDefault="00CA3921" w:rsidP="00CA3921">
            <w:pPr>
              <w:suppressAutoHyphens w:val="0"/>
              <w:jc w:val="right"/>
              <w:rPr>
                <w:color w:val="000000"/>
              </w:rPr>
            </w:pPr>
            <w:r w:rsidRPr="00CA3921">
              <w:rPr>
                <w:color w:val="000000"/>
              </w:rPr>
              <w:t>0,000011</w:t>
            </w:r>
          </w:p>
        </w:tc>
        <w:tc>
          <w:tcPr>
            <w:tcW w:w="1276" w:type="dxa"/>
            <w:tcBorders>
              <w:top w:val="nil"/>
              <w:left w:val="nil"/>
              <w:bottom w:val="single" w:sz="4" w:space="0" w:color="auto"/>
              <w:right w:val="single" w:sz="8" w:space="0" w:color="auto"/>
            </w:tcBorders>
            <w:shd w:val="clear" w:color="auto" w:fill="auto"/>
            <w:noWrap/>
            <w:vAlign w:val="bottom"/>
          </w:tcPr>
          <w:p w14:paraId="7EB22C85" w14:textId="77777777" w:rsidR="00CA3921" w:rsidRPr="00CA3921" w:rsidRDefault="00CA3921" w:rsidP="00CA3921">
            <w:pPr>
              <w:suppressAutoHyphens w:val="0"/>
              <w:jc w:val="right"/>
              <w:rPr>
                <w:color w:val="000000"/>
              </w:rPr>
            </w:pPr>
            <w:r w:rsidRPr="00CA3921">
              <w:rPr>
                <w:color w:val="000000"/>
              </w:rPr>
              <w:t>0,000222</w:t>
            </w:r>
          </w:p>
        </w:tc>
      </w:tr>
      <w:tr w:rsidR="00CA3921" w:rsidRPr="00CA3921" w14:paraId="36E77538" w14:textId="77777777" w:rsidTr="005D2673">
        <w:trPr>
          <w:trHeight w:val="92"/>
          <w:jc w:val="center"/>
        </w:trPr>
        <w:tc>
          <w:tcPr>
            <w:tcW w:w="2709" w:type="dxa"/>
            <w:tcBorders>
              <w:top w:val="nil"/>
              <w:left w:val="single" w:sz="8" w:space="0" w:color="auto"/>
              <w:bottom w:val="single" w:sz="4" w:space="0" w:color="auto"/>
              <w:right w:val="single" w:sz="4" w:space="0" w:color="auto"/>
            </w:tcBorders>
            <w:shd w:val="clear" w:color="auto" w:fill="auto"/>
            <w:noWrap/>
            <w:vAlign w:val="bottom"/>
          </w:tcPr>
          <w:p w14:paraId="30E00CAB" w14:textId="77777777" w:rsidR="00CA3921" w:rsidRPr="00CA3921" w:rsidRDefault="00CA3921" w:rsidP="00CA3921">
            <w:pPr>
              <w:suppressAutoHyphens w:val="0"/>
              <w:rPr>
                <w:color w:val="000000"/>
              </w:rPr>
            </w:pPr>
            <w:r w:rsidRPr="00CA3921">
              <w:rPr>
                <w:color w:val="000000"/>
              </w:rPr>
              <w:t>MINÍMO</w:t>
            </w:r>
          </w:p>
        </w:tc>
        <w:tc>
          <w:tcPr>
            <w:tcW w:w="1275" w:type="dxa"/>
            <w:tcBorders>
              <w:top w:val="nil"/>
              <w:left w:val="nil"/>
              <w:bottom w:val="single" w:sz="4" w:space="0" w:color="auto"/>
              <w:right w:val="single" w:sz="4" w:space="0" w:color="auto"/>
            </w:tcBorders>
            <w:shd w:val="clear" w:color="auto" w:fill="auto"/>
            <w:noWrap/>
            <w:vAlign w:val="bottom"/>
          </w:tcPr>
          <w:p w14:paraId="1E52D523" w14:textId="77777777" w:rsidR="00CA3921" w:rsidRPr="00CA3921" w:rsidRDefault="00CA3921" w:rsidP="00CA3921">
            <w:pPr>
              <w:suppressAutoHyphens w:val="0"/>
              <w:jc w:val="right"/>
              <w:rPr>
                <w:color w:val="000000"/>
              </w:rPr>
            </w:pPr>
            <w:r w:rsidRPr="00CA3921">
              <w:rPr>
                <w:color w:val="000000"/>
              </w:rPr>
              <w:t>-0,000233</w:t>
            </w:r>
          </w:p>
        </w:tc>
        <w:tc>
          <w:tcPr>
            <w:tcW w:w="1276" w:type="dxa"/>
            <w:tcBorders>
              <w:top w:val="nil"/>
              <w:left w:val="nil"/>
              <w:bottom w:val="single" w:sz="4" w:space="0" w:color="auto"/>
              <w:right w:val="single" w:sz="4" w:space="0" w:color="auto"/>
            </w:tcBorders>
            <w:shd w:val="clear" w:color="auto" w:fill="auto"/>
            <w:noWrap/>
            <w:vAlign w:val="bottom"/>
          </w:tcPr>
          <w:p w14:paraId="6AC77176" w14:textId="77777777" w:rsidR="00CA3921" w:rsidRPr="00CA3921" w:rsidRDefault="00CA3921" w:rsidP="00CA3921">
            <w:pPr>
              <w:suppressAutoHyphens w:val="0"/>
              <w:jc w:val="right"/>
              <w:rPr>
                <w:color w:val="000000"/>
              </w:rPr>
            </w:pPr>
            <w:r w:rsidRPr="00CA3921">
              <w:rPr>
                <w:color w:val="000000"/>
              </w:rPr>
              <w:t>-0,007496</w:t>
            </w:r>
          </w:p>
        </w:tc>
        <w:tc>
          <w:tcPr>
            <w:tcW w:w="1276" w:type="dxa"/>
            <w:tcBorders>
              <w:top w:val="nil"/>
              <w:left w:val="nil"/>
              <w:bottom w:val="single" w:sz="4" w:space="0" w:color="auto"/>
              <w:right w:val="single" w:sz="4" w:space="0" w:color="auto"/>
            </w:tcBorders>
            <w:shd w:val="clear" w:color="auto" w:fill="auto"/>
            <w:noWrap/>
            <w:vAlign w:val="bottom"/>
          </w:tcPr>
          <w:p w14:paraId="00589C3B" w14:textId="77777777" w:rsidR="00CA3921" w:rsidRPr="00CA3921" w:rsidRDefault="00CA3921" w:rsidP="00CA3921">
            <w:pPr>
              <w:suppressAutoHyphens w:val="0"/>
              <w:jc w:val="right"/>
              <w:rPr>
                <w:color w:val="000000"/>
              </w:rPr>
            </w:pPr>
            <w:r w:rsidRPr="00CA3921">
              <w:rPr>
                <w:color w:val="000000"/>
              </w:rPr>
              <w:t>0,001257</w:t>
            </w:r>
          </w:p>
        </w:tc>
        <w:tc>
          <w:tcPr>
            <w:tcW w:w="1276" w:type="dxa"/>
            <w:tcBorders>
              <w:top w:val="nil"/>
              <w:left w:val="nil"/>
              <w:bottom w:val="single" w:sz="4" w:space="0" w:color="auto"/>
              <w:right w:val="single" w:sz="8" w:space="0" w:color="auto"/>
            </w:tcBorders>
            <w:shd w:val="clear" w:color="auto" w:fill="auto"/>
            <w:noWrap/>
            <w:vAlign w:val="bottom"/>
          </w:tcPr>
          <w:p w14:paraId="626E2753" w14:textId="77777777" w:rsidR="00CA3921" w:rsidRPr="00CA3921" w:rsidRDefault="00CA3921" w:rsidP="00CA3921">
            <w:pPr>
              <w:suppressAutoHyphens w:val="0"/>
              <w:jc w:val="right"/>
              <w:rPr>
                <w:color w:val="000000"/>
              </w:rPr>
            </w:pPr>
            <w:r w:rsidRPr="00CA3921">
              <w:rPr>
                <w:color w:val="000000"/>
              </w:rPr>
              <w:t>0,000436</w:t>
            </w:r>
          </w:p>
        </w:tc>
      </w:tr>
      <w:tr w:rsidR="00CA3921" w:rsidRPr="00CA3921" w14:paraId="0562438E" w14:textId="77777777" w:rsidTr="005D2673">
        <w:trPr>
          <w:trHeight w:val="147"/>
          <w:jc w:val="center"/>
        </w:trPr>
        <w:tc>
          <w:tcPr>
            <w:tcW w:w="2709" w:type="dxa"/>
            <w:tcBorders>
              <w:top w:val="nil"/>
              <w:left w:val="single" w:sz="8" w:space="0" w:color="auto"/>
              <w:bottom w:val="single" w:sz="4" w:space="0" w:color="auto"/>
              <w:right w:val="single" w:sz="4" w:space="0" w:color="auto"/>
            </w:tcBorders>
            <w:shd w:val="clear" w:color="auto" w:fill="auto"/>
            <w:noWrap/>
            <w:vAlign w:val="bottom"/>
          </w:tcPr>
          <w:p w14:paraId="6888B3F1" w14:textId="77777777" w:rsidR="00CA3921" w:rsidRPr="00CA3921" w:rsidRDefault="00CA3921" w:rsidP="00CA3921">
            <w:pPr>
              <w:suppressAutoHyphens w:val="0"/>
              <w:rPr>
                <w:color w:val="000000"/>
              </w:rPr>
            </w:pPr>
            <w:r w:rsidRPr="00CA3921">
              <w:rPr>
                <w:color w:val="000000"/>
              </w:rPr>
              <w:t>MÁXIMO</w:t>
            </w:r>
          </w:p>
        </w:tc>
        <w:tc>
          <w:tcPr>
            <w:tcW w:w="1275" w:type="dxa"/>
            <w:tcBorders>
              <w:top w:val="nil"/>
              <w:left w:val="nil"/>
              <w:bottom w:val="single" w:sz="4" w:space="0" w:color="auto"/>
              <w:right w:val="single" w:sz="4" w:space="0" w:color="auto"/>
            </w:tcBorders>
            <w:shd w:val="clear" w:color="auto" w:fill="auto"/>
            <w:noWrap/>
            <w:vAlign w:val="bottom"/>
          </w:tcPr>
          <w:p w14:paraId="5F6C1325" w14:textId="77777777" w:rsidR="00CA3921" w:rsidRPr="00CA3921" w:rsidRDefault="00CA3921" w:rsidP="00CA3921">
            <w:pPr>
              <w:suppressAutoHyphens w:val="0"/>
              <w:jc w:val="right"/>
              <w:rPr>
                <w:color w:val="000000"/>
              </w:rPr>
            </w:pPr>
            <w:r w:rsidRPr="00CA3921">
              <w:rPr>
                <w:color w:val="000000"/>
              </w:rPr>
              <w:t>0,088416</w:t>
            </w:r>
          </w:p>
        </w:tc>
        <w:tc>
          <w:tcPr>
            <w:tcW w:w="1276" w:type="dxa"/>
            <w:tcBorders>
              <w:top w:val="nil"/>
              <w:left w:val="nil"/>
              <w:bottom w:val="single" w:sz="4" w:space="0" w:color="auto"/>
              <w:right w:val="single" w:sz="4" w:space="0" w:color="auto"/>
            </w:tcBorders>
            <w:shd w:val="clear" w:color="auto" w:fill="auto"/>
            <w:noWrap/>
            <w:vAlign w:val="bottom"/>
          </w:tcPr>
          <w:p w14:paraId="5027502D" w14:textId="77777777" w:rsidR="00CA3921" w:rsidRPr="00CA3921" w:rsidRDefault="00CA3921" w:rsidP="00CA3921">
            <w:pPr>
              <w:suppressAutoHyphens w:val="0"/>
              <w:jc w:val="right"/>
              <w:rPr>
                <w:color w:val="000000"/>
              </w:rPr>
            </w:pPr>
            <w:r w:rsidRPr="00CA3921">
              <w:rPr>
                <w:color w:val="000000"/>
              </w:rPr>
              <w:t>0,039468</w:t>
            </w:r>
          </w:p>
        </w:tc>
        <w:tc>
          <w:tcPr>
            <w:tcW w:w="1276" w:type="dxa"/>
            <w:tcBorders>
              <w:top w:val="nil"/>
              <w:left w:val="nil"/>
              <w:bottom w:val="single" w:sz="4" w:space="0" w:color="auto"/>
              <w:right w:val="single" w:sz="4" w:space="0" w:color="auto"/>
            </w:tcBorders>
            <w:shd w:val="clear" w:color="auto" w:fill="auto"/>
            <w:noWrap/>
            <w:vAlign w:val="bottom"/>
          </w:tcPr>
          <w:p w14:paraId="0F3BB11B" w14:textId="77777777" w:rsidR="00CA3921" w:rsidRPr="00CA3921" w:rsidRDefault="00CA3921" w:rsidP="00CA3921">
            <w:pPr>
              <w:suppressAutoHyphens w:val="0"/>
              <w:jc w:val="right"/>
              <w:rPr>
                <w:color w:val="000000"/>
              </w:rPr>
            </w:pPr>
            <w:r w:rsidRPr="00CA3921">
              <w:rPr>
                <w:color w:val="000000"/>
              </w:rPr>
              <w:t>0,015893</w:t>
            </w:r>
          </w:p>
        </w:tc>
        <w:tc>
          <w:tcPr>
            <w:tcW w:w="1276" w:type="dxa"/>
            <w:tcBorders>
              <w:top w:val="nil"/>
              <w:left w:val="nil"/>
              <w:bottom w:val="single" w:sz="4" w:space="0" w:color="auto"/>
              <w:right w:val="single" w:sz="8" w:space="0" w:color="auto"/>
            </w:tcBorders>
            <w:shd w:val="clear" w:color="auto" w:fill="auto"/>
            <w:noWrap/>
            <w:vAlign w:val="bottom"/>
          </w:tcPr>
          <w:p w14:paraId="00061BB9" w14:textId="77777777" w:rsidR="00CA3921" w:rsidRPr="00CA3921" w:rsidRDefault="00CA3921" w:rsidP="00CA3921">
            <w:pPr>
              <w:suppressAutoHyphens w:val="0"/>
              <w:jc w:val="right"/>
              <w:rPr>
                <w:color w:val="000000"/>
              </w:rPr>
            </w:pPr>
            <w:r w:rsidRPr="00CA3921">
              <w:rPr>
                <w:color w:val="000000"/>
              </w:rPr>
              <w:t>0,048751</w:t>
            </w:r>
          </w:p>
        </w:tc>
      </w:tr>
      <w:tr w:rsidR="00CA3921" w:rsidRPr="00CA3921" w14:paraId="4B87FB73" w14:textId="77777777" w:rsidTr="005D2673">
        <w:trPr>
          <w:trHeight w:val="77"/>
          <w:jc w:val="center"/>
        </w:trPr>
        <w:tc>
          <w:tcPr>
            <w:tcW w:w="2709" w:type="dxa"/>
            <w:tcBorders>
              <w:top w:val="nil"/>
              <w:left w:val="single" w:sz="8" w:space="0" w:color="auto"/>
              <w:bottom w:val="single" w:sz="4" w:space="0" w:color="auto"/>
              <w:right w:val="single" w:sz="4" w:space="0" w:color="auto"/>
            </w:tcBorders>
            <w:shd w:val="clear" w:color="auto" w:fill="auto"/>
            <w:noWrap/>
            <w:vAlign w:val="bottom"/>
          </w:tcPr>
          <w:p w14:paraId="25C64CAC" w14:textId="77777777" w:rsidR="00CA3921" w:rsidRPr="00CA3921" w:rsidRDefault="00CA3921" w:rsidP="00CA3921">
            <w:pPr>
              <w:suppressAutoHyphens w:val="0"/>
              <w:rPr>
                <w:color w:val="000000"/>
              </w:rPr>
            </w:pPr>
            <w:r w:rsidRPr="00CA3921">
              <w:rPr>
                <w:color w:val="000000"/>
              </w:rPr>
              <w:t>SOMA</w:t>
            </w:r>
          </w:p>
        </w:tc>
        <w:tc>
          <w:tcPr>
            <w:tcW w:w="1275" w:type="dxa"/>
            <w:tcBorders>
              <w:top w:val="nil"/>
              <w:left w:val="nil"/>
              <w:bottom w:val="single" w:sz="4" w:space="0" w:color="auto"/>
              <w:right w:val="single" w:sz="4" w:space="0" w:color="auto"/>
            </w:tcBorders>
            <w:shd w:val="clear" w:color="auto" w:fill="auto"/>
            <w:noWrap/>
            <w:vAlign w:val="bottom"/>
          </w:tcPr>
          <w:p w14:paraId="43781874" w14:textId="77777777" w:rsidR="00CA3921" w:rsidRPr="00CA3921" w:rsidRDefault="00CA3921" w:rsidP="00CA3921">
            <w:pPr>
              <w:suppressAutoHyphens w:val="0"/>
              <w:jc w:val="right"/>
              <w:rPr>
                <w:color w:val="000000"/>
              </w:rPr>
            </w:pPr>
            <w:r w:rsidRPr="00CA3921">
              <w:rPr>
                <w:color w:val="000000"/>
              </w:rPr>
              <w:t>1,092883</w:t>
            </w:r>
          </w:p>
        </w:tc>
        <w:tc>
          <w:tcPr>
            <w:tcW w:w="1276" w:type="dxa"/>
            <w:tcBorders>
              <w:top w:val="nil"/>
              <w:left w:val="nil"/>
              <w:bottom w:val="single" w:sz="4" w:space="0" w:color="auto"/>
              <w:right w:val="single" w:sz="4" w:space="0" w:color="auto"/>
            </w:tcBorders>
            <w:shd w:val="clear" w:color="auto" w:fill="auto"/>
            <w:noWrap/>
            <w:vAlign w:val="bottom"/>
          </w:tcPr>
          <w:p w14:paraId="714EE3B8" w14:textId="77777777" w:rsidR="00CA3921" w:rsidRPr="00CA3921" w:rsidRDefault="00CA3921" w:rsidP="00CA3921">
            <w:pPr>
              <w:suppressAutoHyphens w:val="0"/>
              <w:jc w:val="right"/>
              <w:rPr>
                <w:color w:val="000000"/>
              </w:rPr>
            </w:pPr>
            <w:r w:rsidRPr="00CA3921">
              <w:rPr>
                <w:color w:val="000000"/>
              </w:rPr>
              <w:t>0,519153</w:t>
            </w:r>
          </w:p>
        </w:tc>
        <w:tc>
          <w:tcPr>
            <w:tcW w:w="1276" w:type="dxa"/>
            <w:tcBorders>
              <w:top w:val="nil"/>
              <w:left w:val="nil"/>
              <w:bottom w:val="single" w:sz="4" w:space="0" w:color="auto"/>
              <w:right w:val="single" w:sz="4" w:space="0" w:color="auto"/>
            </w:tcBorders>
            <w:shd w:val="clear" w:color="auto" w:fill="auto"/>
            <w:noWrap/>
            <w:vAlign w:val="bottom"/>
          </w:tcPr>
          <w:p w14:paraId="7A82F1EA" w14:textId="77777777" w:rsidR="00CA3921" w:rsidRPr="00CA3921" w:rsidRDefault="00CA3921" w:rsidP="00CA3921">
            <w:pPr>
              <w:suppressAutoHyphens w:val="0"/>
              <w:jc w:val="right"/>
              <w:rPr>
                <w:color w:val="000000"/>
              </w:rPr>
            </w:pPr>
            <w:r w:rsidRPr="00CA3921">
              <w:rPr>
                <w:color w:val="000000"/>
              </w:rPr>
              <w:t>0,159948</w:t>
            </w:r>
          </w:p>
        </w:tc>
        <w:tc>
          <w:tcPr>
            <w:tcW w:w="1276" w:type="dxa"/>
            <w:tcBorders>
              <w:top w:val="nil"/>
              <w:left w:val="nil"/>
              <w:bottom w:val="single" w:sz="4" w:space="0" w:color="auto"/>
              <w:right w:val="single" w:sz="8" w:space="0" w:color="auto"/>
            </w:tcBorders>
            <w:shd w:val="clear" w:color="auto" w:fill="auto"/>
            <w:noWrap/>
            <w:vAlign w:val="bottom"/>
          </w:tcPr>
          <w:p w14:paraId="0C87A9C1" w14:textId="77777777" w:rsidR="00CA3921" w:rsidRPr="00CA3921" w:rsidRDefault="00CA3921" w:rsidP="00CA3921">
            <w:pPr>
              <w:suppressAutoHyphens w:val="0"/>
              <w:jc w:val="right"/>
              <w:rPr>
                <w:color w:val="000000"/>
              </w:rPr>
            </w:pPr>
            <w:r w:rsidRPr="00CA3921">
              <w:rPr>
                <w:color w:val="000000"/>
              </w:rPr>
              <w:t>0,413781</w:t>
            </w:r>
          </w:p>
        </w:tc>
      </w:tr>
      <w:tr w:rsidR="00CA3921" w:rsidRPr="00CA3921" w14:paraId="1E659826" w14:textId="77777777" w:rsidTr="005D2673">
        <w:trPr>
          <w:trHeight w:val="34"/>
          <w:jc w:val="center"/>
        </w:trPr>
        <w:tc>
          <w:tcPr>
            <w:tcW w:w="2709" w:type="dxa"/>
            <w:tcBorders>
              <w:top w:val="nil"/>
              <w:left w:val="single" w:sz="8" w:space="0" w:color="auto"/>
              <w:bottom w:val="single" w:sz="8" w:space="0" w:color="auto"/>
              <w:right w:val="single" w:sz="4" w:space="0" w:color="auto"/>
            </w:tcBorders>
            <w:shd w:val="clear" w:color="auto" w:fill="auto"/>
            <w:noWrap/>
            <w:vAlign w:val="bottom"/>
          </w:tcPr>
          <w:p w14:paraId="3AC6364E" w14:textId="77777777" w:rsidR="00CA3921" w:rsidRPr="00CA3921" w:rsidRDefault="00CA3921" w:rsidP="00CA3921">
            <w:pPr>
              <w:suppressAutoHyphens w:val="0"/>
              <w:rPr>
                <w:color w:val="000000"/>
              </w:rPr>
            </w:pPr>
            <w:r w:rsidRPr="00CA3921">
              <w:rPr>
                <w:color w:val="000000"/>
              </w:rPr>
              <w:t>CONTAGEM</w:t>
            </w:r>
          </w:p>
        </w:tc>
        <w:tc>
          <w:tcPr>
            <w:tcW w:w="1275" w:type="dxa"/>
            <w:tcBorders>
              <w:top w:val="nil"/>
              <w:left w:val="nil"/>
              <w:bottom w:val="single" w:sz="8" w:space="0" w:color="auto"/>
              <w:right w:val="single" w:sz="4" w:space="0" w:color="auto"/>
            </w:tcBorders>
            <w:shd w:val="clear" w:color="auto" w:fill="auto"/>
            <w:noWrap/>
            <w:vAlign w:val="bottom"/>
          </w:tcPr>
          <w:p w14:paraId="611E2BC5" w14:textId="77777777" w:rsidR="00CA3921" w:rsidRPr="00CA3921" w:rsidRDefault="00CA3921" w:rsidP="00CA3921">
            <w:pPr>
              <w:suppressAutoHyphens w:val="0"/>
              <w:jc w:val="right"/>
              <w:rPr>
                <w:color w:val="000000"/>
              </w:rPr>
            </w:pPr>
            <w:r w:rsidRPr="00CA3921">
              <w:rPr>
                <w:color w:val="000000"/>
              </w:rPr>
              <w:t>32</w:t>
            </w:r>
          </w:p>
        </w:tc>
        <w:tc>
          <w:tcPr>
            <w:tcW w:w="1276" w:type="dxa"/>
            <w:tcBorders>
              <w:top w:val="nil"/>
              <w:left w:val="nil"/>
              <w:bottom w:val="single" w:sz="8" w:space="0" w:color="auto"/>
              <w:right w:val="single" w:sz="4" w:space="0" w:color="auto"/>
            </w:tcBorders>
            <w:shd w:val="clear" w:color="auto" w:fill="auto"/>
            <w:noWrap/>
            <w:vAlign w:val="bottom"/>
          </w:tcPr>
          <w:p w14:paraId="5D8211CF" w14:textId="77777777" w:rsidR="00CA3921" w:rsidRPr="00CA3921" w:rsidRDefault="00CA3921" w:rsidP="00CA3921">
            <w:pPr>
              <w:suppressAutoHyphens w:val="0"/>
              <w:jc w:val="right"/>
              <w:rPr>
                <w:color w:val="000000"/>
              </w:rPr>
            </w:pPr>
            <w:r w:rsidRPr="00CA3921">
              <w:rPr>
                <w:color w:val="000000"/>
              </w:rPr>
              <w:t>32</w:t>
            </w:r>
          </w:p>
        </w:tc>
        <w:tc>
          <w:tcPr>
            <w:tcW w:w="1276" w:type="dxa"/>
            <w:tcBorders>
              <w:top w:val="nil"/>
              <w:left w:val="nil"/>
              <w:bottom w:val="single" w:sz="8" w:space="0" w:color="auto"/>
              <w:right w:val="single" w:sz="4" w:space="0" w:color="auto"/>
            </w:tcBorders>
            <w:shd w:val="clear" w:color="auto" w:fill="auto"/>
            <w:noWrap/>
            <w:vAlign w:val="bottom"/>
          </w:tcPr>
          <w:p w14:paraId="61F22BF5" w14:textId="77777777" w:rsidR="00CA3921" w:rsidRPr="00CA3921" w:rsidRDefault="00CA3921" w:rsidP="00CA3921">
            <w:pPr>
              <w:suppressAutoHyphens w:val="0"/>
              <w:jc w:val="right"/>
              <w:rPr>
                <w:color w:val="000000"/>
              </w:rPr>
            </w:pPr>
            <w:r w:rsidRPr="00CA3921">
              <w:rPr>
                <w:color w:val="000000"/>
              </w:rPr>
              <w:t>32</w:t>
            </w:r>
          </w:p>
        </w:tc>
        <w:tc>
          <w:tcPr>
            <w:tcW w:w="1276" w:type="dxa"/>
            <w:tcBorders>
              <w:top w:val="nil"/>
              <w:left w:val="nil"/>
              <w:bottom w:val="single" w:sz="8" w:space="0" w:color="auto"/>
              <w:right w:val="single" w:sz="8" w:space="0" w:color="auto"/>
            </w:tcBorders>
            <w:shd w:val="clear" w:color="auto" w:fill="auto"/>
            <w:noWrap/>
            <w:vAlign w:val="bottom"/>
          </w:tcPr>
          <w:p w14:paraId="228D3637" w14:textId="77777777" w:rsidR="00CA3921" w:rsidRPr="00CA3921" w:rsidRDefault="00CA3921" w:rsidP="00CA3921">
            <w:pPr>
              <w:suppressAutoHyphens w:val="0"/>
              <w:jc w:val="right"/>
              <w:rPr>
                <w:color w:val="000000"/>
              </w:rPr>
            </w:pPr>
            <w:r w:rsidRPr="00CA3921">
              <w:rPr>
                <w:color w:val="000000"/>
              </w:rPr>
              <w:t>32</w:t>
            </w:r>
          </w:p>
        </w:tc>
      </w:tr>
    </w:tbl>
    <w:p w14:paraId="3A8ABE2D" w14:textId="77777777" w:rsidR="00CA3921" w:rsidRPr="00CA3921" w:rsidRDefault="00CA3921" w:rsidP="00CA3921">
      <w:pPr>
        <w:suppressAutoHyphens w:val="0"/>
        <w:spacing w:after="120"/>
        <w:ind w:firstLine="709"/>
        <w:jc w:val="both"/>
        <w:rPr>
          <w:sz w:val="24"/>
          <w:szCs w:val="24"/>
        </w:rPr>
      </w:pPr>
      <w:r w:rsidRPr="00CA3921">
        <w:rPr>
          <w:b/>
          <w:sz w:val="24"/>
          <w:szCs w:val="24"/>
        </w:rPr>
        <w:t>Fonte:</w:t>
      </w:r>
      <w:r w:rsidRPr="00CA3921">
        <w:rPr>
          <w:sz w:val="24"/>
          <w:szCs w:val="24"/>
        </w:rPr>
        <w:t xml:space="preserve"> Planilha projetada com uso do Excel </w:t>
      </w:r>
    </w:p>
    <w:p w14:paraId="77AE8C0D" w14:textId="40317983" w:rsidR="00CA3921" w:rsidRPr="00CA3921" w:rsidRDefault="00CA3921" w:rsidP="00CA3921">
      <w:pPr>
        <w:suppressAutoHyphens w:val="0"/>
        <w:spacing w:after="120"/>
        <w:ind w:firstLine="709"/>
        <w:jc w:val="both"/>
        <w:rPr>
          <w:sz w:val="24"/>
          <w:szCs w:val="24"/>
        </w:rPr>
      </w:pPr>
      <w:r w:rsidRPr="00CA3921">
        <w:rPr>
          <w:sz w:val="24"/>
          <w:szCs w:val="24"/>
        </w:rPr>
        <w:t xml:space="preserve">A partir dos dados da Tabela 1, percebe-se que na amostra estudada, em média, aproximadamente 3,4% do valor dos ativos referem-se a ativos fiscais, sendo os ativos fiscais diferidos os mais representativos (1,6%), seguidos dos litigiosos (1,2%). Percebe-se, também, uma grande variabilidade nos índices destes ativos, ao analisar os desvios padrão, os mínimos e </w:t>
      </w:r>
      <w:r w:rsidR="005F04CC">
        <w:rPr>
          <w:sz w:val="24"/>
          <w:szCs w:val="24"/>
        </w:rPr>
        <w:t>máximos de cada um dos índices.</w:t>
      </w:r>
    </w:p>
    <w:p w14:paraId="7E3FC867" w14:textId="77777777" w:rsidR="00CA3921" w:rsidRPr="00CA3921" w:rsidRDefault="00CA3921" w:rsidP="00CA0062">
      <w:pPr>
        <w:keepNext/>
        <w:keepLines/>
        <w:suppressAutoHyphens w:val="0"/>
        <w:spacing w:before="240" w:after="240"/>
        <w:jc w:val="both"/>
        <w:outlineLvl w:val="1"/>
        <w:rPr>
          <w:b/>
          <w:bCs/>
          <w:sz w:val="24"/>
          <w:szCs w:val="24"/>
        </w:rPr>
      </w:pPr>
      <w:bookmarkStart w:id="23" w:name="_Toc486866198"/>
      <w:r w:rsidRPr="00CA3921">
        <w:rPr>
          <w:b/>
          <w:bCs/>
          <w:sz w:val="24"/>
          <w:szCs w:val="24"/>
        </w:rPr>
        <w:lastRenderedPageBreak/>
        <w:t>4.2. Fatores determinantes no reconhecimento de ativos fiscais</w:t>
      </w:r>
      <w:bookmarkEnd w:id="23"/>
    </w:p>
    <w:p w14:paraId="6FF81705" w14:textId="77777777" w:rsidR="00CA3921" w:rsidRPr="00CA3921" w:rsidRDefault="00CA3921" w:rsidP="00CA3921">
      <w:pPr>
        <w:suppressAutoHyphens w:val="0"/>
        <w:spacing w:after="120"/>
        <w:ind w:firstLine="709"/>
        <w:jc w:val="both"/>
        <w:rPr>
          <w:sz w:val="24"/>
          <w:szCs w:val="24"/>
        </w:rPr>
      </w:pPr>
      <w:r w:rsidRPr="00CA3921">
        <w:rPr>
          <w:sz w:val="24"/>
          <w:szCs w:val="24"/>
        </w:rPr>
        <w:t xml:space="preserve">Para buscar explicação aos diferentes níveis de Ativos Fiscais Reconhecidos na amostra estudada, procedeu-se na análise de regressão múltipla, projetando a equação explicada no item 2.4. Inicialmente incluíram-se todas as variáveis explicativas no modelo, retirando uma a uma, as variáveis redundantes e com pouco poder de explicação. </w:t>
      </w:r>
    </w:p>
    <w:p w14:paraId="1B98018C" w14:textId="77777777" w:rsidR="00CA3921" w:rsidRPr="00CA3921" w:rsidRDefault="00CA3921" w:rsidP="00CA3921">
      <w:pPr>
        <w:suppressAutoHyphens w:val="0"/>
        <w:spacing w:after="120"/>
        <w:ind w:firstLine="709"/>
        <w:jc w:val="both"/>
        <w:rPr>
          <w:sz w:val="24"/>
          <w:szCs w:val="24"/>
        </w:rPr>
      </w:pPr>
      <w:r w:rsidRPr="00CA3921">
        <w:rPr>
          <w:sz w:val="24"/>
          <w:szCs w:val="24"/>
        </w:rPr>
        <w:t xml:space="preserve">Após a análise preliminar, deduz-se que os diferentes níveis de Ativos Fiscais Totais (IAFT) podem ser explicados pelo modelo projetado na Tabela 5, que será objeto de análise na sequência. </w:t>
      </w:r>
    </w:p>
    <w:p w14:paraId="31800C89" w14:textId="77777777" w:rsidR="00CA3921" w:rsidRPr="00CA3921" w:rsidRDefault="00CA3921" w:rsidP="00CA3921">
      <w:pPr>
        <w:suppressAutoHyphens w:val="0"/>
        <w:spacing w:after="120"/>
        <w:ind w:firstLine="709"/>
        <w:jc w:val="both"/>
        <w:rPr>
          <w:sz w:val="24"/>
          <w:szCs w:val="24"/>
        </w:rPr>
      </w:pPr>
      <w:r w:rsidRPr="00CA3921">
        <w:rPr>
          <w:b/>
          <w:sz w:val="24"/>
          <w:szCs w:val="24"/>
        </w:rPr>
        <w:t>Tabela 3 –</w:t>
      </w:r>
      <w:r w:rsidRPr="00CA3921">
        <w:rPr>
          <w:sz w:val="24"/>
          <w:szCs w:val="24"/>
        </w:rPr>
        <w:t xml:space="preserve"> Projeção do Modelo Final que explica a Variação do IAFT na Amostra Dependent Variable: IAFT – Índice de Ativos Fiscais Totais</w:t>
      </w:r>
    </w:p>
    <w:p w14:paraId="186DB1D9" w14:textId="77777777" w:rsidR="00CA3921" w:rsidRPr="00CA3921" w:rsidRDefault="00CA3921" w:rsidP="00CA3921">
      <w:pPr>
        <w:suppressAutoHyphens w:val="0"/>
        <w:spacing w:after="120"/>
        <w:ind w:firstLine="709"/>
        <w:rPr>
          <w:sz w:val="24"/>
          <w:szCs w:val="24"/>
        </w:rPr>
      </w:pPr>
      <w:r w:rsidRPr="00CA3921">
        <w:object w:dxaOrig="8592" w:dyaOrig="5000" w14:anchorId="75D5E9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9.85pt;height:249.85pt" o:ole="">
            <v:imagedata r:id="rId8" o:title=""/>
          </v:shape>
          <o:OLEObject Type="Embed" ProgID="Excel.Sheet.12" ShapeID="_x0000_i1025" DrawAspect="Content" ObjectID="_1565380382" r:id="rId9"/>
        </w:object>
      </w:r>
      <w:r w:rsidRPr="00CA3921">
        <w:tab/>
      </w:r>
      <w:r w:rsidRPr="00CA3921">
        <w:rPr>
          <w:b/>
          <w:sz w:val="24"/>
          <w:szCs w:val="24"/>
        </w:rPr>
        <w:t>Fonte:</w:t>
      </w:r>
      <w:r w:rsidRPr="00CA3921">
        <w:rPr>
          <w:sz w:val="24"/>
          <w:szCs w:val="24"/>
        </w:rPr>
        <w:t xml:space="preserve"> Planilha projetada com uso do EViews</w:t>
      </w:r>
    </w:p>
    <w:p w14:paraId="434C8FA6" w14:textId="77777777" w:rsidR="00CA3921" w:rsidRPr="00CA3921" w:rsidRDefault="00CA3921" w:rsidP="00CA0062">
      <w:pPr>
        <w:keepNext/>
        <w:suppressAutoHyphens w:val="0"/>
        <w:spacing w:before="240" w:after="240"/>
        <w:jc w:val="both"/>
        <w:outlineLvl w:val="3"/>
        <w:rPr>
          <w:b/>
          <w:bCs/>
          <w:sz w:val="24"/>
          <w:szCs w:val="24"/>
        </w:rPr>
      </w:pPr>
      <w:r w:rsidRPr="00CA3921">
        <w:rPr>
          <w:b/>
          <w:bCs/>
          <w:sz w:val="24"/>
          <w:szCs w:val="24"/>
        </w:rPr>
        <w:t>4.2.1 Interpretação dos coeficientes da regressão:</w:t>
      </w:r>
    </w:p>
    <w:p w14:paraId="6B2FA786" w14:textId="77777777" w:rsidR="00CA3921" w:rsidRPr="00CA3921" w:rsidRDefault="00CA3921" w:rsidP="00CA3921">
      <w:pPr>
        <w:suppressAutoHyphens w:val="0"/>
        <w:spacing w:after="120"/>
        <w:ind w:firstLine="709"/>
        <w:jc w:val="both"/>
        <w:rPr>
          <w:sz w:val="24"/>
          <w:szCs w:val="24"/>
        </w:rPr>
      </w:pPr>
      <w:r w:rsidRPr="00CA3921">
        <w:rPr>
          <w:sz w:val="24"/>
          <w:szCs w:val="24"/>
        </w:rPr>
        <w:t>IAFTit = β0 + β1IAFDit + β2IAFCit + β3IAFLit + β4LCit + β5LGit + Β6ENDTOit + β7RENTit + β8LUCRATit + β9Tjit + αi + eit</w:t>
      </w:r>
    </w:p>
    <w:p w14:paraId="1E3A9FD1" w14:textId="77777777" w:rsidR="00CA3921" w:rsidRPr="00CA3921" w:rsidRDefault="00CA3921" w:rsidP="00CA3921">
      <w:pPr>
        <w:suppressAutoHyphens w:val="0"/>
        <w:spacing w:after="120"/>
        <w:ind w:firstLine="709"/>
        <w:jc w:val="both"/>
        <w:rPr>
          <w:sz w:val="24"/>
          <w:szCs w:val="24"/>
        </w:rPr>
      </w:pPr>
      <w:r w:rsidRPr="00CA3921">
        <w:rPr>
          <w:sz w:val="24"/>
          <w:szCs w:val="24"/>
        </w:rPr>
        <w:t>β0: O Índice de Ativos Fiscais Totais da empresa “i” médio, quando não se leva em consideração a IAFDit, IAFCit, IAFLit, LCit, LGit, ENDTOit, RENTit e LUCRATit sofre redução de 3,5720980 unidades (constante = -3,5720980) no período “t”</w:t>
      </w:r>
    </w:p>
    <w:p w14:paraId="4A11CA33" w14:textId="77777777" w:rsidR="00CA3921" w:rsidRPr="00CA3921" w:rsidRDefault="00CA3921" w:rsidP="00CA3921">
      <w:pPr>
        <w:suppressAutoHyphens w:val="0"/>
        <w:spacing w:after="120"/>
        <w:ind w:firstLine="709"/>
        <w:jc w:val="both"/>
        <w:rPr>
          <w:sz w:val="24"/>
          <w:szCs w:val="24"/>
        </w:rPr>
      </w:pPr>
      <w:r w:rsidRPr="00CA3921">
        <w:rPr>
          <w:sz w:val="24"/>
          <w:szCs w:val="24"/>
        </w:rPr>
        <w:t>β1: O aumento de uma unidade no IAFDit faz com que o IAFTit aumente 1,0000010 unidades, tudo o mais mantido constante.</w:t>
      </w:r>
    </w:p>
    <w:p w14:paraId="2786E5FD" w14:textId="77777777" w:rsidR="00CA3921" w:rsidRPr="00CA3921" w:rsidRDefault="00CA3921" w:rsidP="00CA3921">
      <w:pPr>
        <w:suppressAutoHyphens w:val="0"/>
        <w:spacing w:after="120"/>
        <w:ind w:firstLine="709"/>
        <w:jc w:val="both"/>
        <w:rPr>
          <w:sz w:val="24"/>
          <w:szCs w:val="24"/>
        </w:rPr>
      </w:pPr>
      <w:r w:rsidRPr="00CA3921">
        <w:rPr>
          <w:sz w:val="24"/>
          <w:szCs w:val="24"/>
        </w:rPr>
        <w:t>β2: O aumento de uma unidade no IAFCit faz com que o IAFTit aumente 0,9999625 unidades, tudo o mais mantido constante.</w:t>
      </w:r>
    </w:p>
    <w:p w14:paraId="7D31DE1E" w14:textId="77777777" w:rsidR="00CA3921" w:rsidRPr="00CA3921" w:rsidRDefault="00CA3921" w:rsidP="00CA3921">
      <w:pPr>
        <w:suppressAutoHyphens w:val="0"/>
        <w:spacing w:after="120"/>
        <w:ind w:firstLine="709"/>
        <w:jc w:val="both"/>
        <w:rPr>
          <w:sz w:val="24"/>
          <w:szCs w:val="24"/>
        </w:rPr>
      </w:pPr>
      <w:r w:rsidRPr="00CA3921">
        <w:rPr>
          <w:sz w:val="24"/>
          <w:szCs w:val="24"/>
        </w:rPr>
        <w:t>β3: O aumento de uma unidade no IAFLit faz com que o IAFTit aumente 0,9999909 unidades, tudo o mais mantido constante.</w:t>
      </w:r>
    </w:p>
    <w:p w14:paraId="7D23227A" w14:textId="77777777" w:rsidR="00CA3921" w:rsidRPr="00CA3921" w:rsidRDefault="00CA3921" w:rsidP="00CA3921">
      <w:pPr>
        <w:suppressAutoHyphens w:val="0"/>
        <w:spacing w:after="120"/>
        <w:ind w:firstLine="709"/>
        <w:jc w:val="both"/>
        <w:rPr>
          <w:sz w:val="24"/>
          <w:szCs w:val="24"/>
        </w:rPr>
      </w:pPr>
      <w:r w:rsidRPr="00CA3921">
        <w:rPr>
          <w:sz w:val="24"/>
          <w:szCs w:val="24"/>
        </w:rPr>
        <w:t>β4: O aumento de uma unidade no LCit faz com que o IAFTit não se altere, tudo o mais mantido constante.</w:t>
      </w:r>
    </w:p>
    <w:p w14:paraId="47EE8CA5" w14:textId="77777777" w:rsidR="00CA3921" w:rsidRPr="00CA3921" w:rsidRDefault="00CA3921" w:rsidP="00CA3921">
      <w:pPr>
        <w:suppressAutoHyphens w:val="0"/>
        <w:spacing w:after="120"/>
        <w:ind w:firstLine="709"/>
        <w:jc w:val="both"/>
        <w:rPr>
          <w:sz w:val="24"/>
          <w:szCs w:val="24"/>
        </w:rPr>
      </w:pPr>
      <w:r w:rsidRPr="00CA3921">
        <w:rPr>
          <w:sz w:val="24"/>
          <w:szCs w:val="24"/>
        </w:rPr>
        <w:lastRenderedPageBreak/>
        <w:t>β5: O aumento de uma unidade na LGit faz com que o IAFTit aumente 0,0000027 unidades, tudo o mais mantido constante.</w:t>
      </w:r>
    </w:p>
    <w:p w14:paraId="25966631" w14:textId="77777777" w:rsidR="00CA3921" w:rsidRPr="00CA3921" w:rsidRDefault="00CA3921" w:rsidP="00CA3921">
      <w:pPr>
        <w:suppressAutoHyphens w:val="0"/>
        <w:spacing w:after="120"/>
        <w:ind w:firstLine="709"/>
        <w:jc w:val="both"/>
        <w:rPr>
          <w:sz w:val="24"/>
          <w:szCs w:val="24"/>
        </w:rPr>
      </w:pPr>
      <w:r w:rsidRPr="00CA3921">
        <w:rPr>
          <w:sz w:val="24"/>
          <w:szCs w:val="24"/>
        </w:rPr>
        <w:t>β6: O aumento de uma unidade no ENDTOit faz com que o IAFTit aumente 0,0000020 unidades, tudo o mais mantido constante.</w:t>
      </w:r>
    </w:p>
    <w:p w14:paraId="15DB2DE2" w14:textId="77777777" w:rsidR="00CA3921" w:rsidRPr="00CA3921" w:rsidRDefault="00CA3921" w:rsidP="00CA3921">
      <w:pPr>
        <w:suppressAutoHyphens w:val="0"/>
        <w:spacing w:after="120"/>
        <w:ind w:firstLine="709"/>
        <w:jc w:val="both"/>
        <w:rPr>
          <w:sz w:val="24"/>
          <w:szCs w:val="24"/>
        </w:rPr>
      </w:pPr>
      <w:r w:rsidRPr="00CA3921">
        <w:rPr>
          <w:sz w:val="24"/>
          <w:szCs w:val="24"/>
        </w:rPr>
        <w:t>β7: O aumento de uma unidade na RENTit faz com que o IAFTit aumente 0,0000003 unidades, tudo o mais mantido constante.</w:t>
      </w:r>
    </w:p>
    <w:p w14:paraId="147C06E7" w14:textId="77777777" w:rsidR="00CA3921" w:rsidRPr="00CA3921" w:rsidRDefault="00CA3921" w:rsidP="00CA3921">
      <w:pPr>
        <w:suppressAutoHyphens w:val="0"/>
        <w:spacing w:after="120"/>
        <w:ind w:firstLine="709"/>
        <w:jc w:val="both"/>
        <w:rPr>
          <w:sz w:val="24"/>
          <w:szCs w:val="24"/>
        </w:rPr>
      </w:pPr>
      <w:r w:rsidRPr="00CA3921">
        <w:rPr>
          <w:sz w:val="24"/>
          <w:szCs w:val="24"/>
        </w:rPr>
        <w:t>β8: O aumento de uma unidade na LUCRATit faz com que o IAFTit reduza 0,00000014 unidades, tudo o mais mantido constante.</w:t>
      </w:r>
    </w:p>
    <w:p w14:paraId="7521908D" w14:textId="77777777" w:rsidR="00CA3921" w:rsidRPr="00CA3921" w:rsidRDefault="00CA3921" w:rsidP="00CA3921">
      <w:pPr>
        <w:suppressAutoHyphens w:val="0"/>
        <w:spacing w:after="120"/>
        <w:ind w:firstLine="709"/>
        <w:jc w:val="both"/>
        <w:rPr>
          <w:sz w:val="24"/>
          <w:szCs w:val="24"/>
        </w:rPr>
      </w:pPr>
      <w:r w:rsidRPr="00CA3921">
        <w:rPr>
          <w:sz w:val="24"/>
          <w:szCs w:val="24"/>
        </w:rPr>
        <w:t xml:space="preserve">A partir do coeficiente de determinação (R²) ajustado, percebe-se que o modelo explica, aproximadamente, 100,00% a variação dos níveis de ativos fiscais totais (IAFT) na amostra pesquisada. Por indicação do teste de Hausman, a projeção do modelo deu-se por efeito aleatório. Identificou-se que o modelo não possui problemas de autocorrelação, nem de multicolinearidade. Aplicou-se, também, o teste de White, visando identificar problemas de heteroscedasticidade e constatou-se que apenas a variável endividamento (ENDTO) apresentou esta limitação. Entende-se que isso não é problema para o modelo projetado, visto que essa variável não permaneceu na projeção final. O modelo final projetado na tabela 2 indica que o índice de ativos fiscais totais (IAFT) é explicado em, aproximadamente, 100,00% pela variação das seguintes variáveis: </w:t>
      </w:r>
    </w:p>
    <w:p w14:paraId="23B359C0" w14:textId="77777777" w:rsidR="00CA3921" w:rsidRPr="00CA3921" w:rsidRDefault="00CA3921" w:rsidP="00CA3921">
      <w:pPr>
        <w:suppressAutoHyphens w:val="0"/>
        <w:spacing w:after="120"/>
        <w:ind w:firstLine="709"/>
        <w:jc w:val="both"/>
        <w:rPr>
          <w:sz w:val="24"/>
          <w:szCs w:val="24"/>
        </w:rPr>
      </w:pPr>
      <w:r w:rsidRPr="00CA3921">
        <w:rPr>
          <w:sz w:val="24"/>
          <w:szCs w:val="24"/>
        </w:rPr>
        <w:t xml:space="preserve">1. Índice de ativos fiscais diferidos (IAFD) que, pela relação positiva (1,0000010), permite inferir que, quanto maior for este índice, maior será o índice de ativos fiscais totais; </w:t>
      </w:r>
    </w:p>
    <w:p w14:paraId="3286DD36" w14:textId="77777777" w:rsidR="00CA3921" w:rsidRPr="00CA3921" w:rsidRDefault="00CA3921" w:rsidP="00CA3921">
      <w:pPr>
        <w:suppressAutoHyphens w:val="0"/>
        <w:spacing w:after="120"/>
        <w:ind w:firstLine="709"/>
        <w:jc w:val="both"/>
        <w:rPr>
          <w:sz w:val="24"/>
          <w:szCs w:val="24"/>
        </w:rPr>
      </w:pPr>
      <w:r w:rsidRPr="00CA3921">
        <w:rPr>
          <w:sz w:val="24"/>
          <w:szCs w:val="24"/>
        </w:rPr>
        <w:t xml:space="preserve">2. Índice de ativos fiscais correntes (IAFD) que, pela relação positiva (0,9999625), permite inferir que, quanto maior for este índice, maior será o índice de ativos fiscais totais; </w:t>
      </w:r>
    </w:p>
    <w:p w14:paraId="7AE13EE0" w14:textId="77777777" w:rsidR="00CA3921" w:rsidRPr="00CA3921" w:rsidRDefault="00CA3921" w:rsidP="00CA3921">
      <w:pPr>
        <w:suppressAutoHyphens w:val="0"/>
        <w:spacing w:after="120"/>
        <w:ind w:firstLine="709"/>
        <w:jc w:val="both"/>
        <w:rPr>
          <w:sz w:val="24"/>
          <w:szCs w:val="24"/>
        </w:rPr>
      </w:pPr>
      <w:r w:rsidRPr="00CA3921">
        <w:rPr>
          <w:sz w:val="24"/>
          <w:szCs w:val="24"/>
        </w:rPr>
        <w:t xml:space="preserve">3. Índice de ativos fiscais litigiosos (IAFL) que, pela relação positiva (0,9999909), permite inferir que, quanto maior for este índice, maior será o índice de ativos fiscais totais. </w:t>
      </w:r>
    </w:p>
    <w:p w14:paraId="2E36048C" w14:textId="77777777" w:rsidR="00CA3921" w:rsidRPr="00CA3921" w:rsidRDefault="00CA3921" w:rsidP="00CA0062">
      <w:pPr>
        <w:keepNext/>
        <w:keepLines/>
        <w:suppressAutoHyphens w:val="0"/>
        <w:spacing w:before="240" w:after="240"/>
        <w:jc w:val="both"/>
        <w:outlineLvl w:val="1"/>
        <w:rPr>
          <w:b/>
          <w:bCs/>
          <w:sz w:val="24"/>
          <w:szCs w:val="24"/>
        </w:rPr>
      </w:pPr>
      <w:bookmarkStart w:id="24" w:name="_Toc486866199"/>
      <w:r w:rsidRPr="00CA3921">
        <w:rPr>
          <w:b/>
          <w:bCs/>
          <w:sz w:val="24"/>
          <w:szCs w:val="24"/>
        </w:rPr>
        <w:t>5. CONCLUSÃO</w:t>
      </w:r>
      <w:bookmarkEnd w:id="24"/>
    </w:p>
    <w:p w14:paraId="69593B5C" w14:textId="77777777" w:rsidR="00CA3921" w:rsidRPr="00CA3921" w:rsidRDefault="00CA3921" w:rsidP="00CA3921">
      <w:pPr>
        <w:shd w:val="clear" w:color="auto" w:fill="FFFFFF"/>
        <w:suppressAutoHyphens w:val="0"/>
        <w:spacing w:after="120"/>
        <w:ind w:firstLine="709"/>
        <w:jc w:val="both"/>
        <w:rPr>
          <w:color w:val="000000"/>
          <w:sz w:val="24"/>
          <w:szCs w:val="24"/>
        </w:rPr>
      </w:pPr>
      <w:r w:rsidRPr="00CA3921">
        <w:rPr>
          <w:color w:val="000000"/>
          <w:sz w:val="24"/>
          <w:szCs w:val="24"/>
        </w:rPr>
        <w:t xml:space="preserve">De acordo com todas as análises realizadas nas demonstrações das instituições financeiras bancárias listadas na BM&amp;FBOVESPA entre os anos de </w:t>
      </w:r>
      <w:smartTag w:uri="urn:schemas-microsoft-com:office:smarttags" w:element="metricconverter">
        <w:smartTagPr>
          <w:attr w:name="ProductID" w:val="2013 a"/>
        </w:smartTagPr>
        <w:r w:rsidRPr="00CA3921">
          <w:rPr>
            <w:color w:val="000000"/>
            <w:sz w:val="24"/>
            <w:szCs w:val="24"/>
          </w:rPr>
          <w:t>2013 a</w:t>
        </w:r>
      </w:smartTag>
      <w:r w:rsidRPr="00CA3921">
        <w:rPr>
          <w:color w:val="000000"/>
          <w:sz w:val="24"/>
          <w:szCs w:val="24"/>
        </w:rPr>
        <w:t xml:space="preserve"> 2016, utilizando o modelo econométrico compreendido no trabalho, o estudo objetivou verificar quais são os fatores que podem ser relevantes para explicar o reconhecimento de ativos de natureza fiscal (correntes, diferidos e litigiosos), em instituições financeiras bancárias de capital aberto.</w:t>
      </w:r>
    </w:p>
    <w:p w14:paraId="1F4723B9" w14:textId="77777777" w:rsidR="00CA3921" w:rsidRPr="00CA3921" w:rsidRDefault="00CA3921" w:rsidP="00CA3921">
      <w:pPr>
        <w:shd w:val="clear" w:color="auto" w:fill="FFFFFF"/>
        <w:suppressAutoHyphens w:val="0"/>
        <w:spacing w:after="120"/>
        <w:ind w:firstLine="709"/>
        <w:jc w:val="both"/>
        <w:rPr>
          <w:color w:val="000000"/>
          <w:sz w:val="24"/>
          <w:szCs w:val="24"/>
        </w:rPr>
      </w:pPr>
      <w:r w:rsidRPr="00CA3921">
        <w:rPr>
          <w:color w:val="000000"/>
          <w:sz w:val="24"/>
          <w:szCs w:val="24"/>
        </w:rPr>
        <w:t>Da mesma forma, buscou-se identificar e descrever a natureza desses ativos, no que se refere aos fatores determinantes no reconhecimento de ativos fiscais, o modelo final projetado indica que o índice de ativos fiscais totais (IAFT) é explicado em, aproximadamente, em 100,00% pela variação positiva dos índices de ativos fiscais correntes (IAFC), diferidos (IAFD) e litigiosos (IAFL). Com isso, permitiu-se inferir que, quanto maior for esses índices (IAFC, IAFD ou IAFL), maior será o índice de ativos fiscais totais (IAFT).</w:t>
      </w:r>
    </w:p>
    <w:p w14:paraId="073227E2" w14:textId="77777777" w:rsidR="00CA3921" w:rsidRPr="00CA3921" w:rsidRDefault="00CA3921" w:rsidP="00CA3921">
      <w:pPr>
        <w:shd w:val="clear" w:color="auto" w:fill="FFFFFF"/>
        <w:suppressAutoHyphens w:val="0"/>
        <w:spacing w:after="120"/>
        <w:ind w:firstLine="709"/>
        <w:jc w:val="both"/>
        <w:rPr>
          <w:color w:val="000000"/>
          <w:sz w:val="24"/>
          <w:szCs w:val="24"/>
        </w:rPr>
      </w:pPr>
      <w:r w:rsidRPr="00CA3921">
        <w:rPr>
          <w:color w:val="000000"/>
          <w:sz w:val="24"/>
          <w:szCs w:val="24"/>
        </w:rPr>
        <w:t>Dentre os 3(três) ativos fiscais, o que teve maior participação no ativos das instituições foi o ativos fiscais diferidos sendo composto pelo Imposto de Renda e Contribuição Social diferida.</w:t>
      </w:r>
    </w:p>
    <w:p w14:paraId="2A30BB01" w14:textId="77777777" w:rsidR="00CA3921" w:rsidRPr="00CA3921" w:rsidRDefault="00CA3921" w:rsidP="00CA3921">
      <w:pPr>
        <w:shd w:val="clear" w:color="auto" w:fill="FFFFFF"/>
        <w:suppressAutoHyphens w:val="0"/>
        <w:spacing w:after="120"/>
        <w:ind w:firstLine="709"/>
        <w:jc w:val="both"/>
        <w:rPr>
          <w:color w:val="000000"/>
          <w:sz w:val="24"/>
          <w:szCs w:val="24"/>
        </w:rPr>
      </w:pPr>
      <w:r w:rsidRPr="00CA3921">
        <w:rPr>
          <w:color w:val="000000"/>
          <w:sz w:val="24"/>
          <w:szCs w:val="24"/>
        </w:rPr>
        <w:t>Na análise, podemos verificar através da tabela 2, que os ativos fiscais diferidos e litigiosos têm uma maior evidencia numérica em relação aos ativos fiscais correntes. Porém o aumento ou diminuição de qualquer um dos ativos fiscais é diretamente proporcional a variável IAFT, chegando sempre próximo ou ultrapassando um pouco a 1(um).</w:t>
      </w:r>
    </w:p>
    <w:p w14:paraId="7D585234" w14:textId="77777777" w:rsidR="008C41BC" w:rsidRDefault="007E31BC" w:rsidP="00CA3921">
      <w:pPr>
        <w:shd w:val="clear" w:color="auto" w:fill="FFFFFF"/>
        <w:suppressAutoHyphens w:val="0"/>
        <w:spacing w:after="120"/>
        <w:ind w:firstLine="709"/>
        <w:jc w:val="both"/>
        <w:rPr>
          <w:color w:val="000000"/>
          <w:sz w:val="24"/>
          <w:szCs w:val="24"/>
        </w:rPr>
      </w:pPr>
      <w:r>
        <w:rPr>
          <w:color w:val="000000"/>
          <w:sz w:val="24"/>
          <w:szCs w:val="24"/>
        </w:rPr>
        <w:lastRenderedPageBreak/>
        <w:t xml:space="preserve">Levando em base estudos anteriores, </w:t>
      </w:r>
      <w:r w:rsidR="00CA3921" w:rsidRPr="00CA3921">
        <w:rPr>
          <w:color w:val="000000"/>
          <w:sz w:val="24"/>
          <w:szCs w:val="24"/>
        </w:rPr>
        <w:t xml:space="preserve">há indícios de utilização de ativos fiscais como forma de melhorar a liquidez e resultados. </w:t>
      </w:r>
      <w:r>
        <w:rPr>
          <w:color w:val="000000"/>
          <w:sz w:val="24"/>
          <w:szCs w:val="24"/>
        </w:rPr>
        <w:t xml:space="preserve">Por exemplo, o </w:t>
      </w:r>
      <w:r w:rsidR="00CA3921" w:rsidRPr="00CA3921">
        <w:rPr>
          <w:color w:val="000000"/>
          <w:sz w:val="24"/>
          <w:szCs w:val="24"/>
        </w:rPr>
        <w:t xml:space="preserve">fato de manter no ativo, ativos fiscais que, possivelmente, tenham sua recuperação duvidosa, </w:t>
      </w:r>
      <w:r w:rsidR="008C41BC">
        <w:rPr>
          <w:color w:val="000000"/>
          <w:sz w:val="24"/>
          <w:szCs w:val="24"/>
        </w:rPr>
        <w:t>vem a impedir</w:t>
      </w:r>
      <w:r w:rsidR="00CA3921" w:rsidRPr="00CA3921">
        <w:rPr>
          <w:color w:val="000000"/>
          <w:sz w:val="24"/>
          <w:szCs w:val="24"/>
        </w:rPr>
        <w:t xml:space="preserve"> que estes valores sejam considerados como perda no resultado, o que </w:t>
      </w:r>
      <w:r w:rsidR="008C41BC">
        <w:rPr>
          <w:color w:val="000000"/>
          <w:sz w:val="24"/>
          <w:szCs w:val="24"/>
        </w:rPr>
        <w:t>explicaria</w:t>
      </w:r>
      <w:r w:rsidR="00CA3921" w:rsidRPr="00CA3921">
        <w:rPr>
          <w:color w:val="000000"/>
          <w:sz w:val="24"/>
          <w:szCs w:val="24"/>
        </w:rPr>
        <w:t>, a sua manutenção em empresas de menor rentabilidade.</w:t>
      </w:r>
    </w:p>
    <w:p w14:paraId="2A82EE28" w14:textId="5681E47F" w:rsidR="00CA3921" w:rsidRPr="00CA3921" w:rsidRDefault="00CA3921" w:rsidP="00CA3921">
      <w:pPr>
        <w:shd w:val="clear" w:color="auto" w:fill="FFFFFF"/>
        <w:suppressAutoHyphens w:val="0"/>
        <w:spacing w:after="120"/>
        <w:ind w:firstLine="709"/>
        <w:jc w:val="both"/>
        <w:rPr>
          <w:color w:val="000000"/>
          <w:sz w:val="24"/>
          <w:szCs w:val="24"/>
        </w:rPr>
      </w:pPr>
      <w:r w:rsidRPr="00CA3921">
        <w:rPr>
          <w:color w:val="000000"/>
          <w:sz w:val="24"/>
          <w:szCs w:val="24"/>
        </w:rPr>
        <w:t xml:space="preserve">Por meio do estudo proposto, foi possível levantar outras variáveis </w:t>
      </w:r>
      <w:r w:rsidR="008C41BC">
        <w:rPr>
          <w:color w:val="000000"/>
          <w:sz w:val="24"/>
          <w:szCs w:val="24"/>
        </w:rPr>
        <w:t>e outras abrangências que o estudo pode vir a ter, ressaltando o problema de multicolinearidade que obtivemos na análise do resultado da regressão múltipla. E isso oportuniza</w:t>
      </w:r>
      <w:r w:rsidRPr="00CA3921">
        <w:rPr>
          <w:color w:val="000000"/>
          <w:sz w:val="24"/>
          <w:szCs w:val="24"/>
        </w:rPr>
        <w:t xml:space="preserve"> pesquisas futuras que explorem um universo maior de empresas</w:t>
      </w:r>
      <w:r w:rsidR="008C41BC">
        <w:rPr>
          <w:color w:val="000000"/>
          <w:sz w:val="24"/>
          <w:szCs w:val="24"/>
        </w:rPr>
        <w:t>,</w:t>
      </w:r>
      <w:r w:rsidR="00EF2E17">
        <w:rPr>
          <w:color w:val="000000"/>
          <w:sz w:val="24"/>
          <w:szCs w:val="24"/>
        </w:rPr>
        <w:t xml:space="preserve"> ou mesmo outro setor,</w:t>
      </w:r>
      <w:r w:rsidR="008C41BC">
        <w:rPr>
          <w:color w:val="000000"/>
          <w:sz w:val="24"/>
          <w:szCs w:val="24"/>
        </w:rPr>
        <w:t xml:space="preserve"> diminuindo, dest</w:t>
      </w:r>
      <w:r w:rsidR="00EF2E17">
        <w:rPr>
          <w:color w:val="000000"/>
          <w:sz w:val="24"/>
          <w:szCs w:val="24"/>
        </w:rPr>
        <w:t>e</w:t>
      </w:r>
      <w:r w:rsidR="008C41BC">
        <w:rPr>
          <w:color w:val="000000"/>
          <w:sz w:val="24"/>
          <w:szCs w:val="24"/>
        </w:rPr>
        <w:t xml:space="preserve"> modo, o risco do problema</w:t>
      </w:r>
      <w:r w:rsidR="00EF2E17">
        <w:rPr>
          <w:color w:val="000000"/>
          <w:sz w:val="24"/>
          <w:szCs w:val="24"/>
        </w:rPr>
        <w:t xml:space="preserve"> citado acima.</w:t>
      </w:r>
      <w:bookmarkStart w:id="25" w:name="_Toc486367401"/>
    </w:p>
    <w:p w14:paraId="7BF7315F" w14:textId="77777777" w:rsidR="00CA3921" w:rsidRPr="00CA3921" w:rsidRDefault="00CA3921" w:rsidP="00CA3921">
      <w:pPr>
        <w:suppressAutoHyphens w:val="0"/>
        <w:spacing w:after="120"/>
        <w:ind w:firstLine="709"/>
        <w:jc w:val="both"/>
        <w:rPr>
          <w:sz w:val="24"/>
          <w:szCs w:val="24"/>
        </w:rPr>
      </w:pPr>
    </w:p>
    <w:p w14:paraId="552DF63B" w14:textId="77777777" w:rsidR="00CA3921" w:rsidRPr="00CA3921" w:rsidRDefault="00CA3921" w:rsidP="00CA0062">
      <w:pPr>
        <w:suppressAutoHyphens w:val="0"/>
        <w:spacing w:before="240" w:after="240"/>
        <w:jc w:val="both"/>
        <w:rPr>
          <w:b/>
          <w:bCs/>
          <w:sz w:val="24"/>
          <w:szCs w:val="24"/>
        </w:rPr>
      </w:pPr>
      <w:bookmarkStart w:id="26" w:name="_Toc486866200"/>
      <w:r w:rsidRPr="00CA3921">
        <w:rPr>
          <w:b/>
          <w:bCs/>
          <w:sz w:val="24"/>
          <w:szCs w:val="24"/>
        </w:rPr>
        <w:t>REFERÊNCIAS</w:t>
      </w:r>
      <w:bookmarkEnd w:id="25"/>
      <w:bookmarkEnd w:id="26"/>
    </w:p>
    <w:p w14:paraId="5F4C24DA" w14:textId="77777777" w:rsidR="00CA3921" w:rsidRPr="001C46C0" w:rsidRDefault="00CA3921" w:rsidP="00CA3921">
      <w:pPr>
        <w:suppressAutoHyphens w:val="0"/>
        <w:spacing w:after="120"/>
        <w:ind w:firstLine="709"/>
        <w:jc w:val="both"/>
        <w:rPr>
          <w:sz w:val="24"/>
          <w:szCs w:val="24"/>
          <w:shd w:val="clear" w:color="auto" w:fill="FFFFFF"/>
        </w:rPr>
      </w:pPr>
      <w:r w:rsidRPr="001C46C0">
        <w:rPr>
          <w:sz w:val="24"/>
          <w:szCs w:val="24"/>
          <w:shd w:val="clear" w:color="auto" w:fill="FFFFFF"/>
        </w:rPr>
        <w:t>AQUINO, Fanny Keller Alves de. </w:t>
      </w:r>
      <w:r w:rsidRPr="001C46C0">
        <w:rPr>
          <w:b/>
          <w:bCs/>
          <w:sz w:val="24"/>
          <w:szCs w:val="24"/>
          <w:shd w:val="clear" w:color="auto" w:fill="FFFFFF"/>
        </w:rPr>
        <w:t>A evidenciação e divulgação do uso dos depósitos judiciais pela União. </w:t>
      </w:r>
      <w:r w:rsidRPr="001C46C0">
        <w:rPr>
          <w:sz w:val="24"/>
          <w:szCs w:val="24"/>
          <w:shd w:val="clear" w:color="auto" w:fill="FFFFFF"/>
        </w:rPr>
        <w:t xml:space="preserve">2008. </w:t>
      </w:r>
      <w:smartTag w:uri="urn:schemas-microsoft-com:office:smarttags" w:element="metricconverter">
        <w:smartTagPr>
          <w:attr w:name="ProductID" w:val="93 f"/>
        </w:smartTagPr>
        <w:r w:rsidRPr="001C46C0">
          <w:rPr>
            <w:sz w:val="24"/>
            <w:szCs w:val="24"/>
            <w:shd w:val="clear" w:color="auto" w:fill="FFFFFF"/>
          </w:rPr>
          <w:t>93 f</w:t>
        </w:r>
      </w:smartTag>
      <w:r w:rsidRPr="001C46C0">
        <w:rPr>
          <w:sz w:val="24"/>
          <w:szCs w:val="24"/>
          <w:shd w:val="clear" w:color="auto" w:fill="FFFFFF"/>
        </w:rPr>
        <w:t>. Monografia (Especialização) - Curso de Contabilidade Pública, Ciências Contábeis e Atuariais da Faculdade de Economia, Administração, Contabilidade e Ciência da Informação e Documentação, Universidade de Brasília, Brasília, 2008.</w:t>
      </w:r>
    </w:p>
    <w:p w14:paraId="072E9CDC" w14:textId="77777777" w:rsidR="00CA3921" w:rsidRPr="001C46C0" w:rsidRDefault="00CA3921" w:rsidP="00CA3921">
      <w:pPr>
        <w:suppressAutoHyphens w:val="0"/>
        <w:spacing w:after="120"/>
        <w:ind w:firstLine="709"/>
        <w:jc w:val="both"/>
        <w:rPr>
          <w:sz w:val="24"/>
          <w:szCs w:val="24"/>
          <w:shd w:val="clear" w:color="auto" w:fill="FFFFFF"/>
        </w:rPr>
      </w:pPr>
      <w:r w:rsidRPr="001C46C0">
        <w:rPr>
          <w:sz w:val="24"/>
          <w:szCs w:val="24"/>
          <w:shd w:val="clear" w:color="auto" w:fill="FFFFFF"/>
        </w:rPr>
        <w:t>ANCELES, Eliana; KRONBAUER, Clóvis Antônio; PACHECO, Rejane da Rocha. Fatores Explicativos do Reconhecimento de Ativos Fiscais Correntes, Diferidos e Litigiosos: um estudo em empresas pertencentes ao ramo de agronegócios. In: CONGRESSO BRASILEIRO DE CUSTOS, 18., 2011, Rio de Janeiro.</w:t>
      </w:r>
      <w:r w:rsidRPr="001C46C0">
        <w:rPr>
          <w:sz w:val="24"/>
          <w:szCs w:val="24"/>
        </w:rPr>
        <w:t> </w:t>
      </w:r>
      <w:r w:rsidRPr="001C46C0">
        <w:rPr>
          <w:b/>
          <w:bCs/>
          <w:sz w:val="24"/>
          <w:szCs w:val="24"/>
        </w:rPr>
        <w:t>Anais... .</w:t>
      </w:r>
      <w:r w:rsidRPr="001C46C0">
        <w:rPr>
          <w:sz w:val="24"/>
          <w:szCs w:val="24"/>
        </w:rPr>
        <w:t> </w:t>
      </w:r>
      <w:r w:rsidRPr="001C46C0">
        <w:rPr>
          <w:sz w:val="24"/>
          <w:szCs w:val="24"/>
          <w:shd w:val="clear" w:color="auto" w:fill="FFFFFF"/>
        </w:rPr>
        <w:t>Rio de Janeiro: Congresso Brasileiro de Custos, 2011. p. 01 - 15. Disponível em: &lt;https://anaiscbc.emnuvens.com.br/anais/article/viewFile/462/462&gt;. Acesso em: 20 jul. 2016.</w:t>
      </w:r>
    </w:p>
    <w:p w14:paraId="22445959" w14:textId="77777777" w:rsidR="00CA3921" w:rsidRPr="001C46C0" w:rsidRDefault="00CA3921" w:rsidP="00CA3921">
      <w:pPr>
        <w:suppressAutoHyphens w:val="0"/>
        <w:spacing w:after="120"/>
        <w:ind w:firstLine="709"/>
        <w:jc w:val="both"/>
        <w:rPr>
          <w:sz w:val="24"/>
          <w:szCs w:val="24"/>
          <w:shd w:val="clear" w:color="auto" w:fill="FFFFFF"/>
        </w:rPr>
      </w:pPr>
      <w:r w:rsidRPr="001C46C0">
        <w:rPr>
          <w:sz w:val="24"/>
          <w:szCs w:val="24"/>
          <w:shd w:val="clear" w:color="auto" w:fill="FFFFFF"/>
        </w:rPr>
        <w:t>ANCELES, Eliane Karsten. </w:t>
      </w:r>
      <w:r w:rsidRPr="001C46C0">
        <w:rPr>
          <w:b/>
          <w:bCs/>
          <w:sz w:val="24"/>
          <w:szCs w:val="24"/>
          <w:shd w:val="clear" w:color="auto" w:fill="FFFFFF"/>
        </w:rPr>
        <w:t>Fatores explicativos do Reconhecimento de ativos fiscais recuperáveis, diferidos e litigiosos: </w:t>
      </w:r>
      <w:r w:rsidRPr="001C46C0">
        <w:rPr>
          <w:sz w:val="24"/>
          <w:szCs w:val="24"/>
          <w:shd w:val="clear" w:color="auto" w:fill="FFFFFF"/>
        </w:rPr>
        <w:t xml:space="preserve">Um estudo em empresas do ramo de agronegócios. 2012. </w:t>
      </w:r>
      <w:smartTag w:uri="urn:schemas-microsoft-com:office:smarttags" w:element="metricconverter">
        <w:smartTagPr>
          <w:attr w:name="ProductID" w:val="107 f"/>
        </w:smartTagPr>
        <w:r w:rsidRPr="001C46C0">
          <w:rPr>
            <w:sz w:val="24"/>
            <w:szCs w:val="24"/>
            <w:shd w:val="clear" w:color="auto" w:fill="FFFFFF"/>
          </w:rPr>
          <w:t>107 f</w:t>
        </w:r>
      </w:smartTag>
      <w:r w:rsidRPr="001C46C0">
        <w:rPr>
          <w:sz w:val="24"/>
          <w:szCs w:val="24"/>
          <w:shd w:val="clear" w:color="auto" w:fill="FFFFFF"/>
        </w:rPr>
        <w:t>. Dissertação (Mestrado) - Curso de Ciências Contábeis, Universidade do Vale do Rio dos Sinos, São Leopoldo, 2012. Disponível em: &lt;http://www.repositorio.jesuita.org.br/bitstream/handle/UNISINOS/3697/fatores_explicativos.pdf?sequence=1&gt;. Acesso em: 20 dez. 2016</w:t>
      </w:r>
    </w:p>
    <w:p w14:paraId="3324725D" w14:textId="77777777" w:rsidR="00CA3921" w:rsidRPr="001C46C0" w:rsidRDefault="00CA3921" w:rsidP="00CA3921">
      <w:pPr>
        <w:suppressAutoHyphens w:val="0"/>
        <w:spacing w:after="120"/>
        <w:ind w:firstLine="709"/>
        <w:jc w:val="both"/>
        <w:rPr>
          <w:sz w:val="24"/>
          <w:szCs w:val="24"/>
        </w:rPr>
      </w:pPr>
      <w:r w:rsidRPr="001C46C0">
        <w:rPr>
          <w:sz w:val="24"/>
          <w:szCs w:val="24"/>
        </w:rPr>
        <w:t xml:space="preserve">AQUINO, Fanny Keller Alves de. </w:t>
      </w:r>
      <w:r w:rsidRPr="001C46C0">
        <w:rPr>
          <w:b/>
          <w:sz w:val="24"/>
          <w:szCs w:val="24"/>
        </w:rPr>
        <w:t>A evidenciação e divulgação do uso dos depósitos judiciais pela União</w:t>
      </w:r>
      <w:r w:rsidRPr="001C46C0">
        <w:rPr>
          <w:sz w:val="24"/>
          <w:szCs w:val="24"/>
        </w:rPr>
        <w:t>. Trabalho de Conclusão de Curso apresentado à Universidade de Brasília, Brasília, 2008. Disponível em: &lt;http://bdjur.stj.jus.br/dspace/handle/2011/32106&gt;. Acesso em 25 jun. 2016.</w:t>
      </w:r>
    </w:p>
    <w:p w14:paraId="18443B1F" w14:textId="77777777" w:rsidR="00CA3921" w:rsidRPr="001C46C0" w:rsidRDefault="00CA3921" w:rsidP="00CA3921">
      <w:pPr>
        <w:suppressAutoHyphens w:val="0"/>
        <w:spacing w:after="120"/>
        <w:ind w:firstLine="709"/>
        <w:jc w:val="both"/>
        <w:rPr>
          <w:sz w:val="24"/>
          <w:szCs w:val="24"/>
          <w:shd w:val="clear" w:color="auto" w:fill="FFFFFF"/>
        </w:rPr>
      </w:pPr>
      <w:r w:rsidRPr="001C46C0">
        <w:rPr>
          <w:sz w:val="24"/>
          <w:szCs w:val="24"/>
          <w:shd w:val="clear" w:color="auto" w:fill="FFFFFF"/>
        </w:rPr>
        <w:t>Banco Central do Brasil. </w:t>
      </w:r>
      <w:r w:rsidRPr="001C46C0">
        <w:rPr>
          <w:b/>
          <w:sz w:val="24"/>
          <w:szCs w:val="24"/>
          <w:shd w:val="clear" w:color="auto" w:fill="FFFFFF"/>
        </w:rPr>
        <w:t>Relação de Instituições em Funcionamento no Brasil:</w:t>
      </w:r>
      <w:r w:rsidRPr="001C46C0">
        <w:rPr>
          <w:b/>
          <w:bCs/>
          <w:sz w:val="24"/>
          <w:szCs w:val="24"/>
          <w:shd w:val="clear" w:color="auto" w:fill="FFFFFF"/>
        </w:rPr>
        <w:t> </w:t>
      </w:r>
      <w:r w:rsidRPr="001C46C0">
        <w:rPr>
          <w:b/>
          <w:sz w:val="24"/>
          <w:szCs w:val="24"/>
          <w:shd w:val="clear" w:color="auto" w:fill="FFFFFF"/>
        </w:rPr>
        <w:t>Instituições financeiras</w:t>
      </w:r>
      <w:r w:rsidRPr="001C46C0">
        <w:rPr>
          <w:sz w:val="24"/>
          <w:szCs w:val="24"/>
          <w:shd w:val="clear" w:color="auto" w:fill="FFFFFF"/>
        </w:rPr>
        <w:t>. 2016. Referente ao mês de agosto. Disponível em: &lt;https://www.bcb.gov.br/fis/info/instituicoes.asp&gt;. Acesso em: 18 set. 2016.</w:t>
      </w:r>
    </w:p>
    <w:p w14:paraId="0C9CC5DE" w14:textId="77777777" w:rsidR="00CA3921" w:rsidRPr="001C46C0" w:rsidRDefault="00CA3921" w:rsidP="00CA3921">
      <w:pPr>
        <w:suppressAutoHyphens w:val="0"/>
        <w:spacing w:after="120"/>
        <w:ind w:firstLine="709"/>
        <w:jc w:val="both"/>
        <w:rPr>
          <w:sz w:val="24"/>
          <w:szCs w:val="24"/>
          <w:shd w:val="clear" w:color="auto" w:fill="FFFFFF"/>
        </w:rPr>
      </w:pPr>
      <w:r w:rsidRPr="001C46C0">
        <w:rPr>
          <w:sz w:val="24"/>
          <w:szCs w:val="24"/>
          <w:shd w:val="clear" w:color="auto" w:fill="FFFFFF"/>
        </w:rPr>
        <w:t>BECKER, Alfredo Augusto. </w:t>
      </w:r>
      <w:r w:rsidRPr="001C46C0">
        <w:rPr>
          <w:b/>
          <w:bCs/>
          <w:sz w:val="24"/>
          <w:szCs w:val="24"/>
          <w:shd w:val="clear" w:color="auto" w:fill="FFFFFF"/>
        </w:rPr>
        <w:t>Teoria geral do direito tributário. </w:t>
      </w:r>
      <w:r w:rsidRPr="001C46C0">
        <w:rPr>
          <w:sz w:val="24"/>
          <w:szCs w:val="24"/>
          <w:shd w:val="clear" w:color="auto" w:fill="FFFFFF"/>
        </w:rPr>
        <w:t>4. ed. São Paulo: Noeses, 2007.</w:t>
      </w:r>
    </w:p>
    <w:p w14:paraId="755F9290" w14:textId="77777777" w:rsidR="00CA3921" w:rsidRPr="001C46C0" w:rsidRDefault="00CA3921" w:rsidP="00CA3921">
      <w:pPr>
        <w:suppressAutoHyphens w:val="0"/>
        <w:spacing w:after="120"/>
        <w:ind w:firstLine="709"/>
        <w:jc w:val="both"/>
        <w:rPr>
          <w:sz w:val="24"/>
          <w:szCs w:val="24"/>
          <w:shd w:val="clear" w:color="auto" w:fill="FFFFFF"/>
        </w:rPr>
      </w:pPr>
      <w:r w:rsidRPr="001C46C0">
        <w:rPr>
          <w:sz w:val="24"/>
          <w:szCs w:val="24"/>
          <w:shd w:val="clear" w:color="auto" w:fill="FFFFFF"/>
        </w:rPr>
        <w:t>BM&amp;FBOVESPA;. </w:t>
      </w:r>
      <w:r w:rsidRPr="001C46C0">
        <w:rPr>
          <w:b/>
          <w:bCs/>
          <w:sz w:val="24"/>
          <w:szCs w:val="24"/>
          <w:shd w:val="clear" w:color="auto" w:fill="FFFFFF"/>
        </w:rPr>
        <w:t>Empresas Listadas. </w:t>
      </w:r>
      <w:r w:rsidRPr="001C46C0">
        <w:rPr>
          <w:sz w:val="24"/>
          <w:szCs w:val="24"/>
          <w:shd w:val="clear" w:color="auto" w:fill="FFFFFF"/>
        </w:rPr>
        <w:t>Disponível em: &lt;http://www.bmfbovespa.com.br/pt_br/produtos/listados-a-vista-e-derivativos/renda-variavel/empresas-listadas.htm&gt;. Acesso em: 24 jul. 2016.</w:t>
      </w:r>
    </w:p>
    <w:p w14:paraId="6E869200" w14:textId="77777777" w:rsidR="00CA3921" w:rsidRPr="001C46C0" w:rsidRDefault="00CA3921" w:rsidP="00CA3921">
      <w:pPr>
        <w:suppressAutoHyphens w:val="0"/>
        <w:spacing w:after="120"/>
        <w:ind w:firstLine="709"/>
        <w:jc w:val="both"/>
        <w:rPr>
          <w:sz w:val="24"/>
          <w:szCs w:val="24"/>
          <w:lang w:val="en-US"/>
        </w:rPr>
      </w:pPr>
      <w:r w:rsidRPr="001C46C0">
        <w:rPr>
          <w:sz w:val="24"/>
          <w:szCs w:val="24"/>
        </w:rPr>
        <w:t xml:space="preserve">Comitê de Pronunciamento Contábil. </w:t>
      </w:r>
      <w:r w:rsidRPr="001C46C0">
        <w:rPr>
          <w:b/>
          <w:bCs/>
          <w:sz w:val="24"/>
          <w:szCs w:val="24"/>
        </w:rPr>
        <w:t>Pronunciamento Técnico CPC 32 – Tributos sobre o Lucro</w:t>
      </w:r>
      <w:r w:rsidRPr="001C46C0">
        <w:rPr>
          <w:sz w:val="24"/>
          <w:szCs w:val="24"/>
        </w:rPr>
        <w:t xml:space="preserve">, de 17 de julho de 2009. Brasília, DF, 2009. Disponível em: &lt; </w:t>
      </w:r>
      <w:r w:rsidRPr="001C46C0">
        <w:rPr>
          <w:sz w:val="24"/>
          <w:szCs w:val="24"/>
        </w:rPr>
        <w:lastRenderedPageBreak/>
        <w:t xml:space="preserve">http://www.cpc.org.br/CPC/DocumentosEmitidos/Pronunciamentos/Pronunciamento?Id=63&gt;. </w:t>
      </w:r>
      <w:r w:rsidRPr="001C46C0">
        <w:rPr>
          <w:sz w:val="24"/>
          <w:szCs w:val="24"/>
          <w:lang w:val="en-US"/>
        </w:rPr>
        <w:t>Acesso em: 23 jun. 2016.</w:t>
      </w:r>
    </w:p>
    <w:p w14:paraId="3B9BF539" w14:textId="77777777" w:rsidR="00CA3921" w:rsidRPr="001C46C0" w:rsidRDefault="00CA3921" w:rsidP="00CA3921">
      <w:pPr>
        <w:suppressAutoHyphens w:val="0"/>
        <w:spacing w:after="120"/>
        <w:ind w:firstLine="709"/>
        <w:jc w:val="both"/>
        <w:rPr>
          <w:sz w:val="24"/>
          <w:szCs w:val="24"/>
          <w:lang w:val="en-US"/>
        </w:rPr>
      </w:pPr>
      <w:r w:rsidRPr="001C46C0">
        <w:rPr>
          <w:sz w:val="24"/>
          <w:szCs w:val="24"/>
          <w:lang w:val="en-US"/>
        </w:rPr>
        <w:t>DYRENG, Scott; HANLON, Michelle; MAYDEW, Edward L. Long-run corporate tax avoidance. Accounting Review, Sarasota, v. 83, n. 1, 2007.</w:t>
      </w:r>
    </w:p>
    <w:p w14:paraId="691B62D9" w14:textId="77777777" w:rsidR="00CA3921" w:rsidRPr="001C46C0" w:rsidRDefault="00CA3921" w:rsidP="00CA3921">
      <w:pPr>
        <w:suppressAutoHyphens w:val="0"/>
        <w:spacing w:after="120"/>
        <w:ind w:firstLine="709"/>
        <w:jc w:val="both"/>
        <w:rPr>
          <w:sz w:val="24"/>
          <w:szCs w:val="24"/>
        </w:rPr>
      </w:pPr>
      <w:r w:rsidRPr="001C46C0">
        <w:rPr>
          <w:sz w:val="24"/>
          <w:szCs w:val="24"/>
          <w:lang w:val="en-US"/>
        </w:rPr>
        <w:t xml:space="preserve">FRANK, Mary Margaret; LYNCH, Luann; REGO, Sonja Olhoft. Tax Reporting Aggressiveness and its Relation to Aggressive Financial Reporting. </w:t>
      </w:r>
      <w:r w:rsidRPr="001C46C0">
        <w:rPr>
          <w:b/>
          <w:bCs/>
          <w:sz w:val="24"/>
          <w:szCs w:val="24"/>
        </w:rPr>
        <w:t>Accounting Review</w:t>
      </w:r>
      <w:r w:rsidRPr="001C46C0">
        <w:rPr>
          <w:sz w:val="24"/>
          <w:szCs w:val="24"/>
        </w:rPr>
        <w:t>, Sarasota, v. 84, n. 2, p. 467-496, 2009.</w:t>
      </w:r>
    </w:p>
    <w:p w14:paraId="5AAC0230" w14:textId="77777777" w:rsidR="00CA3921" w:rsidRPr="001C46C0" w:rsidRDefault="00CA3921" w:rsidP="00CA3921">
      <w:pPr>
        <w:suppressAutoHyphens w:val="0"/>
        <w:spacing w:after="120"/>
        <w:ind w:firstLine="709"/>
        <w:jc w:val="both"/>
        <w:rPr>
          <w:sz w:val="24"/>
          <w:szCs w:val="24"/>
        </w:rPr>
      </w:pPr>
      <w:r w:rsidRPr="001C46C0">
        <w:rPr>
          <w:sz w:val="24"/>
          <w:szCs w:val="24"/>
        </w:rPr>
        <w:t xml:space="preserve">GODOI, C. K.; BANDEIRA-DE-MELLO, R.; SILVA, A. Pesquisa qualitativa e o debate sobre a propriedade de pesquisar. In________. (Org.) GODOI, C. K.; BANDEIRA-DE-MELLO, R.; SILVA, </w:t>
      </w:r>
      <w:r w:rsidRPr="001C46C0">
        <w:rPr>
          <w:b/>
          <w:sz w:val="24"/>
          <w:szCs w:val="24"/>
        </w:rPr>
        <w:t>A. Pesquisa qualitativa em estudos organizacionais: paradigmas, estratégias e métodos</w:t>
      </w:r>
      <w:r w:rsidRPr="001C46C0">
        <w:rPr>
          <w:sz w:val="24"/>
          <w:szCs w:val="24"/>
        </w:rPr>
        <w:t xml:space="preserve">. São Paulo: Saraiva, 2006, p. 1-16. </w:t>
      </w:r>
    </w:p>
    <w:p w14:paraId="13DCBFBC" w14:textId="77777777" w:rsidR="00CA3921" w:rsidRPr="001C46C0" w:rsidRDefault="00CA3921" w:rsidP="00CA3921">
      <w:pPr>
        <w:suppressAutoHyphens w:val="0"/>
        <w:spacing w:after="120"/>
        <w:ind w:firstLine="709"/>
        <w:jc w:val="both"/>
        <w:rPr>
          <w:sz w:val="24"/>
          <w:szCs w:val="24"/>
        </w:rPr>
      </w:pPr>
      <w:r w:rsidRPr="001C46C0">
        <w:rPr>
          <w:sz w:val="24"/>
          <w:szCs w:val="24"/>
        </w:rPr>
        <w:t>IUDÍCIBUS, S. Teoria da Contabilidade. 9. ed. São Paulo: Atlas, 2009.</w:t>
      </w:r>
    </w:p>
    <w:p w14:paraId="16B4500A" w14:textId="77777777" w:rsidR="00CA3921" w:rsidRPr="001C46C0" w:rsidRDefault="00CA3921" w:rsidP="00CA3921">
      <w:pPr>
        <w:suppressAutoHyphens w:val="0"/>
        <w:spacing w:after="120"/>
        <w:ind w:firstLine="709"/>
        <w:jc w:val="both"/>
        <w:rPr>
          <w:rFonts w:eastAsia="Calibri"/>
          <w:sz w:val="24"/>
          <w:szCs w:val="24"/>
          <w:lang w:eastAsia="en-US"/>
        </w:rPr>
      </w:pPr>
      <w:r w:rsidRPr="001C46C0">
        <w:rPr>
          <w:rFonts w:eastAsia="Calibri"/>
          <w:sz w:val="24"/>
          <w:szCs w:val="24"/>
          <w:lang w:eastAsia="en-US"/>
        </w:rPr>
        <w:t xml:space="preserve">IUDÍCIBUS, Sérgio; MARTINS, Eliseu; GELBCKE, Ernesto Rubens; SANTOS, Ariovaldo. </w:t>
      </w:r>
      <w:r w:rsidRPr="001C46C0">
        <w:rPr>
          <w:rFonts w:eastAsia="Calibri"/>
          <w:b/>
          <w:bCs/>
          <w:sz w:val="24"/>
          <w:szCs w:val="24"/>
          <w:lang w:eastAsia="en-US"/>
        </w:rPr>
        <w:t xml:space="preserve">Manual de Contabilidade Societária </w:t>
      </w:r>
      <w:r w:rsidRPr="001C46C0">
        <w:rPr>
          <w:rFonts w:eastAsia="Calibri"/>
          <w:sz w:val="24"/>
          <w:szCs w:val="24"/>
          <w:lang w:eastAsia="en-US"/>
        </w:rPr>
        <w:t>aplicável a todas as sociedades: de acordo com as normas internacionais e</w:t>
      </w:r>
      <w:r w:rsidRPr="001C46C0">
        <w:rPr>
          <w:rFonts w:eastAsia="Calibri"/>
          <w:b/>
          <w:bCs/>
          <w:sz w:val="24"/>
          <w:szCs w:val="24"/>
          <w:lang w:eastAsia="en-US"/>
        </w:rPr>
        <w:t xml:space="preserve"> </w:t>
      </w:r>
      <w:r w:rsidRPr="001C46C0">
        <w:rPr>
          <w:rFonts w:eastAsia="Calibri"/>
          <w:sz w:val="24"/>
          <w:szCs w:val="24"/>
          <w:lang w:eastAsia="en-US"/>
        </w:rPr>
        <w:t>do CPC. São Paulo: Altas, 2010.</w:t>
      </w:r>
    </w:p>
    <w:p w14:paraId="1E6F40B7" w14:textId="77777777" w:rsidR="00CA3921" w:rsidRPr="001C46C0" w:rsidRDefault="00CA3921" w:rsidP="00CA3921">
      <w:pPr>
        <w:suppressAutoHyphens w:val="0"/>
        <w:spacing w:after="120"/>
        <w:ind w:firstLine="709"/>
        <w:jc w:val="both"/>
        <w:rPr>
          <w:rFonts w:eastAsia="Calibri"/>
          <w:b/>
          <w:bCs/>
          <w:sz w:val="24"/>
          <w:szCs w:val="24"/>
          <w:lang w:eastAsia="en-US"/>
        </w:rPr>
      </w:pPr>
      <w:r w:rsidRPr="001C46C0">
        <w:rPr>
          <w:rFonts w:eastAsia="Calibri"/>
          <w:sz w:val="24"/>
          <w:szCs w:val="24"/>
          <w:lang w:eastAsia="en-US"/>
        </w:rPr>
        <w:t>IUDÍCIBUS, Sergio de. MARION, José</w:t>
      </w:r>
      <w:r w:rsidRPr="001C46C0">
        <w:rPr>
          <w:sz w:val="24"/>
          <w:szCs w:val="24"/>
        </w:rPr>
        <w:t xml:space="preserve"> Carlos. FARIA, Ana Cristina de. Introdução à Teoria da Contabilidade. São Paulo: Atlas, 2009.</w:t>
      </w:r>
    </w:p>
    <w:p w14:paraId="2D125EFC" w14:textId="77777777" w:rsidR="00CA3921" w:rsidRPr="001C46C0" w:rsidRDefault="00CA3921" w:rsidP="00CA3921">
      <w:pPr>
        <w:suppressAutoHyphens w:val="0"/>
        <w:spacing w:after="120"/>
        <w:ind w:firstLine="709"/>
        <w:jc w:val="both"/>
        <w:rPr>
          <w:sz w:val="24"/>
          <w:szCs w:val="24"/>
        </w:rPr>
      </w:pPr>
      <w:r w:rsidRPr="001C46C0">
        <w:rPr>
          <w:sz w:val="24"/>
          <w:szCs w:val="24"/>
        </w:rPr>
        <w:t xml:space="preserve">KRONBAUER, Clovis Antonio; ROJAS, José Moreno; SOUZA, Marcos Antonio de. </w:t>
      </w:r>
      <w:r w:rsidRPr="001C46C0">
        <w:rPr>
          <w:b/>
          <w:sz w:val="24"/>
          <w:szCs w:val="24"/>
        </w:rPr>
        <w:t>Tratamento Contábil dos Tributos sobre o Lucro: um estudo Comparativo entre as Normas Brasileiras da CVM e do CFC e a Norma Internacional de Contabilidade nº. 12 do IASB</w:t>
      </w:r>
      <w:r w:rsidRPr="001C46C0">
        <w:rPr>
          <w:sz w:val="24"/>
          <w:szCs w:val="24"/>
        </w:rPr>
        <w:t>. Revista de Informação Contábil, vol. 3, n. 1, 2009.</w:t>
      </w:r>
    </w:p>
    <w:p w14:paraId="34D2AD5C" w14:textId="77777777" w:rsidR="00CA3921" w:rsidRPr="001C46C0" w:rsidRDefault="00CA3921" w:rsidP="00CA3921">
      <w:pPr>
        <w:suppressAutoHyphens w:val="0"/>
        <w:spacing w:after="120"/>
        <w:ind w:firstLine="709"/>
        <w:jc w:val="both"/>
        <w:rPr>
          <w:rFonts w:eastAsia="Calibri"/>
          <w:sz w:val="24"/>
          <w:szCs w:val="24"/>
          <w:lang w:eastAsia="en-US"/>
        </w:rPr>
      </w:pPr>
      <w:r w:rsidRPr="001C46C0">
        <w:rPr>
          <w:rFonts w:eastAsia="Calibri"/>
          <w:sz w:val="24"/>
          <w:szCs w:val="24"/>
          <w:lang w:eastAsia="en-US"/>
        </w:rPr>
        <w:t xml:space="preserve">KRONBAUER, Clóvis Antonio; SOUZA, Marcos Antonio; ALVES, Tiago Wickstrom; ROJAS, José Moreno. Fatores determinantes do reconhecimento de Ativos Fiscais Diferidos. </w:t>
      </w:r>
      <w:r w:rsidRPr="001C46C0">
        <w:rPr>
          <w:rFonts w:eastAsia="Calibri"/>
          <w:b/>
          <w:bCs/>
          <w:sz w:val="24"/>
          <w:szCs w:val="24"/>
          <w:lang w:eastAsia="en-US"/>
        </w:rPr>
        <w:t>Revista Universo Contábil</w:t>
      </w:r>
      <w:r w:rsidRPr="001C46C0">
        <w:rPr>
          <w:rFonts w:eastAsia="Calibri"/>
          <w:sz w:val="24"/>
          <w:szCs w:val="24"/>
          <w:lang w:eastAsia="en-US"/>
        </w:rPr>
        <w:t>, Blumenau, v. 6, n. 4, p. 68-88, out./dez. 2010.</w:t>
      </w:r>
    </w:p>
    <w:p w14:paraId="115164A9" w14:textId="77777777" w:rsidR="00CA3921" w:rsidRPr="001C46C0" w:rsidRDefault="00CA3921" w:rsidP="00CA3921">
      <w:pPr>
        <w:suppressAutoHyphens w:val="0"/>
        <w:spacing w:after="120"/>
        <w:ind w:firstLine="709"/>
        <w:jc w:val="both"/>
        <w:rPr>
          <w:sz w:val="24"/>
          <w:szCs w:val="24"/>
        </w:rPr>
      </w:pPr>
      <w:r w:rsidRPr="001C46C0">
        <w:rPr>
          <w:sz w:val="24"/>
          <w:szCs w:val="24"/>
        </w:rPr>
        <w:t xml:space="preserve">LUSTOSA, Paulo Roberto B. Ativo e sua avaliação. In Ribeiro Filho et al. (Org.). </w:t>
      </w:r>
      <w:r w:rsidRPr="001C46C0">
        <w:rPr>
          <w:b/>
          <w:sz w:val="24"/>
          <w:szCs w:val="24"/>
        </w:rPr>
        <w:t>Estudando Teoria da Contabilidade</w:t>
      </w:r>
      <w:r w:rsidRPr="001C46C0">
        <w:rPr>
          <w:sz w:val="24"/>
          <w:szCs w:val="24"/>
        </w:rPr>
        <w:t>. São Paulo, p. 85-105, 2009.</w:t>
      </w:r>
    </w:p>
    <w:p w14:paraId="7A8F70BF" w14:textId="77777777" w:rsidR="00CA3921" w:rsidRPr="001C46C0" w:rsidRDefault="00CA3921" w:rsidP="00CA3921">
      <w:pPr>
        <w:suppressAutoHyphens w:val="0"/>
        <w:spacing w:after="120"/>
        <w:ind w:firstLine="709"/>
        <w:jc w:val="both"/>
        <w:rPr>
          <w:sz w:val="24"/>
          <w:szCs w:val="24"/>
          <w:shd w:val="clear" w:color="auto" w:fill="FFFFFF"/>
        </w:rPr>
      </w:pPr>
      <w:r w:rsidRPr="001C46C0">
        <w:rPr>
          <w:sz w:val="24"/>
          <w:szCs w:val="24"/>
          <w:shd w:val="clear" w:color="auto" w:fill="FFFFFF"/>
        </w:rPr>
        <w:t>MARCONI, Marina de Andrade; LAKATOS, Eva Maria. </w:t>
      </w:r>
      <w:r w:rsidRPr="001C46C0">
        <w:rPr>
          <w:b/>
          <w:bCs/>
          <w:sz w:val="24"/>
          <w:szCs w:val="24"/>
          <w:shd w:val="clear" w:color="auto" w:fill="FFFFFF"/>
        </w:rPr>
        <w:t>Fundamentos de Metodologia Científica. </w:t>
      </w:r>
      <w:r w:rsidRPr="001C46C0">
        <w:rPr>
          <w:sz w:val="24"/>
          <w:szCs w:val="24"/>
          <w:shd w:val="clear" w:color="auto" w:fill="FFFFFF"/>
        </w:rPr>
        <w:t>7ª. ed. São Paulo: Atlas S.a, 2010. 297 p.</w:t>
      </w:r>
    </w:p>
    <w:p w14:paraId="6BE548EB" w14:textId="77777777" w:rsidR="00CA3921" w:rsidRPr="001C46C0" w:rsidRDefault="00CA3921" w:rsidP="00CA3921">
      <w:pPr>
        <w:suppressAutoHyphens w:val="0"/>
        <w:spacing w:after="120"/>
        <w:ind w:firstLine="709"/>
        <w:jc w:val="both"/>
        <w:rPr>
          <w:sz w:val="24"/>
          <w:szCs w:val="24"/>
          <w:shd w:val="clear" w:color="auto" w:fill="FFFFFF"/>
        </w:rPr>
      </w:pPr>
      <w:r w:rsidRPr="001C46C0">
        <w:rPr>
          <w:sz w:val="24"/>
          <w:szCs w:val="24"/>
          <w:shd w:val="clear" w:color="auto" w:fill="FFFFFF"/>
        </w:rPr>
        <w:t>MOURA, Edvander; MARTINEZ, Antônio Lopo. Ativos Fiscais Diferidos nas Instituições Financeiras:: uma abordagem sobre riscos. </w:t>
      </w:r>
      <w:r w:rsidRPr="001C46C0">
        <w:rPr>
          <w:b/>
          <w:bCs/>
          <w:sz w:val="24"/>
          <w:szCs w:val="24"/>
          <w:shd w:val="clear" w:color="auto" w:fill="FFFFFF"/>
        </w:rPr>
        <w:t>Contabilidade Vista &amp; Revista, </w:t>
      </w:r>
      <w:r w:rsidRPr="001C46C0">
        <w:rPr>
          <w:sz w:val="24"/>
          <w:szCs w:val="24"/>
          <w:shd w:val="clear" w:color="auto" w:fill="FFFFFF"/>
        </w:rPr>
        <w:t>Belo Horizonte, v. 17, n. 2, p.11-30, jun. 2006. Bimestral.</w:t>
      </w:r>
    </w:p>
    <w:p w14:paraId="562B5130" w14:textId="77777777" w:rsidR="00CA3921" w:rsidRPr="001C46C0" w:rsidRDefault="00CA3921" w:rsidP="00CA3921">
      <w:pPr>
        <w:suppressAutoHyphens w:val="0"/>
        <w:spacing w:after="120"/>
        <w:ind w:firstLine="709"/>
        <w:jc w:val="both"/>
        <w:rPr>
          <w:sz w:val="24"/>
          <w:szCs w:val="24"/>
          <w:shd w:val="clear" w:color="auto" w:fill="FFFFFF"/>
        </w:rPr>
      </w:pPr>
      <w:r w:rsidRPr="001C46C0">
        <w:rPr>
          <w:sz w:val="24"/>
          <w:szCs w:val="24"/>
          <w:shd w:val="clear" w:color="auto" w:fill="FFFFFF"/>
        </w:rPr>
        <w:t>OLIVEIRA, Maurício Barcellos de. </w:t>
      </w:r>
      <w:r w:rsidRPr="001C46C0">
        <w:rPr>
          <w:b/>
          <w:sz w:val="24"/>
          <w:szCs w:val="24"/>
          <w:shd w:val="clear" w:color="auto" w:fill="FFFFFF"/>
        </w:rPr>
        <w:t>Noções básicas sobre metodologia cientifica</w:t>
      </w:r>
      <w:r w:rsidRPr="001C46C0">
        <w:rPr>
          <w:sz w:val="24"/>
          <w:szCs w:val="24"/>
          <w:shd w:val="clear" w:color="auto" w:fill="FFFFFF"/>
        </w:rPr>
        <w:t>.</w:t>
      </w:r>
      <w:r w:rsidRPr="001C46C0">
        <w:rPr>
          <w:b/>
          <w:bCs/>
          <w:sz w:val="24"/>
          <w:szCs w:val="24"/>
          <w:shd w:val="clear" w:color="auto" w:fill="FFFFFF"/>
        </w:rPr>
        <w:t> </w:t>
      </w:r>
      <w:r w:rsidRPr="001C46C0">
        <w:rPr>
          <w:sz w:val="24"/>
          <w:szCs w:val="24"/>
          <w:shd w:val="clear" w:color="auto" w:fill="FFFFFF"/>
        </w:rPr>
        <w:t>20-. Disponível em: &lt;http://mba.eci.ufmg.br/downloads/metodologia.pdf&gt;. Acesso em: 25 set. 2016.</w:t>
      </w:r>
    </w:p>
    <w:p w14:paraId="56D674FB" w14:textId="77777777" w:rsidR="00CA3921" w:rsidRPr="001C46C0" w:rsidRDefault="00CA3921" w:rsidP="00CA3921">
      <w:pPr>
        <w:suppressAutoHyphens w:val="0"/>
        <w:spacing w:after="120"/>
        <w:ind w:firstLine="709"/>
        <w:jc w:val="both"/>
        <w:rPr>
          <w:rFonts w:eastAsia="Calibri"/>
          <w:sz w:val="24"/>
          <w:szCs w:val="24"/>
          <w:lang w:eastAsia="en-US"/>
        </w:rPr>
      </w:pPr>
      <w:r w:rsidRPr="001C46C0">
        <w:rPr>
          <w:rFonts w:eastAsia="Calibri"/>
          <w:sz w:val="24"/>
          <w:szCs w:val="24"/>
          <w:lang w:eastAsia="en-US"/>
        </w:rPr>
        <w:t xml:space="preserve">OLIVEIRA; Letícia da Cruz; ALMEIDA, Sérgio Ricardo de. Os Ativos Tributários gerados nas aquisições de Café Cru Beneficiado. In Borges, Eduardo de Carvalho. </w:t>
      </w:r>
      <w:r w:rsidRPr="001C46C0">
        <w:rPr>
          <w:rFonts w:eastAsia="Calibri"/>
          <w:b/>
          <w:bCs/>
          <w:sz w:val="24"/>
          <w:szCs w:val="24"/>
          <w:lang w:eastAsia="en-US"/>
        </w:rPr>
        <w:t>Tributação do Agronegócio</w:t>
      </w:r>
      <w:r w:rsidRPr="001C46C0">
        <w:rPr>
          <w:rFonts w:eastAsia="Calibri"/>
          <w:sz w:val="24"/>
          <w:szCs w:val="24"/>
          <w:lang w:eastAsia="en-US"/>
        </w:rPr>
        <w:t>,Quartier Latin, p.333-349, 2005.</w:t>
      </w:r>
    </w:p>
    <w:p w14:paraId="7C529327" w14:textId="77777777" w:rsidR="00CA3921" w:rsidRPr="001C46C0" w:rsidRDefault="00CA3921" w:rsidP="00CA3921">
      <w:pPr>
        <w:suppressAutoHyphens w:val="0"/>
        <w:spacing w:after="120"/>
        <w:ind w:firstLine="709"/>
        <w:jc w:val="both"/>
        <w:rPr>
          <w:sz w:val="24"/>
          <w:szCs w:val="24"/>
          <w:shd w:val="clear" w:color="auto" w:fill="FFFFFF"/>
        </w:rPr>
      </w:pPr>
      <w:r w:rsidRPr="001C46C0">
        <w:rPr>
          <w:sz w:val="24"/>
          <w:szCs w:val="24"/>
          <w:shd w:val="clear" w:color="auto" w:fill="FFFFFF"/>
        </w:rPr>
        <w:t xml:space="preserve">OLIVEIRA, Valdiney Alves de; LEMES, Sirlei; ALMEIDA, Lara Cristina de. Gerenciamento de resultados Contábeis por meio de ativos fiscais diferidos. </w:t>
      </w:r>
      <w:r w:rsidRPr="001C46C0">
        <w:rPr>
          <w:b/>
          <w:sz w:val="24"/>
          <w:szCs w:val="24"/>
          <w:shd w:val="clear" w:color="auto" w:fill="FFFFFF"/>
        </w:rPr>
        <w:t>Revista UnB Contábil</w:t>
      </w:r>
      <w:r w:rsidRPr="001C46C0">
        <w:rPr>
          <w:sz w:val="24"/>
          <w:szCs w:val="24"/>
          <w:shd w:val="clear" w:color="auto" w:fill="FFFFFF"/>
        </w:rPr>
        <w:t>, v.11, n. 1-2, p. 153-169, Brasília, jan-dez. 2008.</w:t>
      </w:r>
    </w:p>
    <w:p w14:paraId="06E4346F" w14:textId="77777777" w:rsidR="00CA3921" w:rsidRPr="001C46C0" w:rsidRDefault="00CA3921" w:rsidP="00CA3921">
      <w:pPr>
        <w:suppressAutoHyphens w:val="0"/>
        <w:spacing w:after="120"/>
        <w:ind w:firstLine="709"/>
        <w:jc w:val="both"/>
        <w:rPr>
          <w:sz w:val="24"/>
          <w:szCs w:val="24"/>
        </w:rPr>
      </w:pPr>
      <w:r w:rsidRPr="001C46C0">
        <w:rPr>
          <w:sz w:val="24"/>
          <w:szCs w:val="24"/>
        </w:rPr>
        <w:t xml:space="preserve">RAUPP, Fabiano Maury; BEUREN, Ilse Maria. Metodologia da pesquisa aplicável às ciências sociais. In: BEUREN, Ilse Maria (Org.). </w:t>
      </w:r>
      <w:r w:rsidRPr="001C46C0">
        <w:rPr>
          <w:b/>
          <w:sz w:val="24"/>
          <w:szCs w:val="24"/>
        </w:rPr>
        <w:t>Como elaborar trabalhos monográficos em contabilidade: teoria e prática</w:t>
      </w:r>
      <w:r w:rsidRPr="001C46C0">
        <w:rPr>
          <w:sz w:val="24"/>
          <w:szCs w:val="24"/>
        </w:rPr>
        <w:t xml:space="preserve">. São Paulo: Atlas, 2003. p. 76-97. Disponível em: &lt; </w:t>
      </w:r>
      <w:r w:rsidRPr="001C46C0">
        <w:rPr>
          <w:sz w:val="24"/>
          <w:szCs w:val="24"/>
        </w:rPr>
        <w:lastRenderedPageBreak/>
        <w:t>http://200.17.83.38/portal/upload/com_arquivo/metodologia_de_ pesquisa_aplicavel_as_ciencias_sociais.pdf&gt;. Acesso em: 29 set. 2016</w:t>
      </w:r>
    </w:p>
    <w:p w14:paraId="7BBC4423" w14:textId="77777777" w:rsidR="00CA3921" w:rsidRPr="001C46C0" w:rsidRDefault="00CA3921" w:rsidP="00CA3921">
      <w:pPr>
        <w:suppressAutoHyphens w:val="0"/>
        <w:spacing w:after="120"/>
        <w:ind w:firstLine="709"/>
        <w:jc w:val="both"/>
        <w:rPr>
          <w:sz w:val="24"/>
          <w:szCs w:val="24"/>
        </w:rPr>
      </w:pPr>
      <w:r w:rsidRPr="001C46C0">
        <w:rPr>
          <w:sz w:val="24"/>
          <w:szCs w:val="24"/>
        </w:rPr>
        <w:t xml:space="preserve">RECH, Ilirio José; VIEIRA PEREIRA, Ivone; RIBEIRO DE OLIVEIRA, Josemar. Impostos Diferidos na Atividade Pecuária originados da Avaliação dos Ativos Biológicos pelo Valor Justo: um Estudo de seu Reconhecimento e Evidenciação nas Maiores Propriedades Rurais do Estado do Mato Grosso. Revista Universo Contábil, Blumenau, SC, v.4, n. 2, p.42-58, 2008. Disponível em: &lt; http://proxy.furb.br/ojs/index.php/universocontabil/article/view/907&gt; . Acesso em: 22 dez. 2016. </w:t>
      </w:r>
    </w:p>
    <w:p w14:paraId="008EED4D" w14:textId="77777777" w:rsidR="00CA3921" w:rsidRPr="00CA3921" w:rsidRDefault="00CA3921" w:rsidP="00CA3921">
      <w:pPr>
        <w:suppressAutoHyphens w:val="0"/>
        <w:spacing w:after="120"/>
        <w:ind w:firstLine="709"/>
        <w:jc w:val="both"/>
        <w:rPr>
          <w:rFonts w:eastAsia="Calibri"/>
          <w:sz w:val="24"/>
          <w:szCs w:val="24"/>
          <w:lang w:eastAsia="en-US"/>
        </w:rPr>
      </w:pPr>
      <w:r w:rsidRPr="001C46C0">
        <w:rPr>
          <w:rFonts w:eastAsia="Calibri"/>
          <w:sz w:val="24"/>
          <w:szCs w:val="24"/>
          <w:lang w:eastAsia="en-US"/>
        </w:rPr>
        <w:t xml:space="preserve">WOOLDRIDGE, Jeffrey. </w:t>
      </w:r>
      <w:r w:rsidRPr="001C46C0">
        <w:rPr>
          <w:rFonts w:eastAsia="Calibri"/>
          <w:b/>
          <w:bCs/>
          <w:sz w:val="24"/>
          <w:szCs w:val="24"/>
          <w:lang w:eastAsia="en-US"/>
        </w:rPr>
        <w:t>Introdução à econometria: uma abordagem moderna</w:t>
      </w:r>
      <w:r w:rsidRPr="001C46C0">
        <w:rPr>
          <w:rFonts w:eastAsia="Calibri"/>
          <w:sz w:val="24"/>
          <w:szCs w:val="24"/>
          <w:lang w:eastAsia="en-US"/>
        </w:rPr>
        <w:t>. 2.ed.São Paulo: Pioneira Thomson Learning, 2006.</w:t>
      </w:r>
    </w:p>
    <w:p w14:paraId="43A33C0B" w14:textId="77777777" w:rsidR="00E6136F" w:rsidRDefault="00E6136F"/>
    <w:p w14:paraId="6843428B" w14:textId="77777777" w:rsidR="00E6136F" w:rsidRDefault="00E6136F"/>
    <w:p w14:paraId="775CB273" w14:textId="77777777" w:rsidR="00E6136F" w:rsidRDefault="00E6136F"/>
    <w:p w14:paraId="3A36CB75" w14:textId="77777777" w:rsidR="00E6136F" w:rsidRDefault="00E6136F"/>
    <w:p w14:paraId="63280DB6" w14:textId="77777777" w:rsidR="00E6136F" w:rsidRDefault="00E6136F"/>
    <w:p w14:paraId="12A2E087" w14:textId="77777777" w:rsidR="00E6136F" w:rsidRDefault="00E6136F"/>
    <w:p w14:paraId="0D8C539E" w14:textId="77777777" w:rsidR="00E6136F" w:rsidRDefault="00E6136F"/>
    <w:p w14:paraId="5B708D31" w14:textId="77777777" w:rsidR="00E6136F" w:rsidRDefault="00E6136F"/>
    <w:p w14:paraId="07E584DE" w14:textId="77777777" w:rsidR="00E6136F" w:rsidRDefault="00E6136F"/>
    <w:p w14:paraId="0B26F9FD" w14:textId="77777777" w:rsidR="00E6136F" w:rsidRDefault="00E6136F">
      <w:bookmarkStart w:id="27" w:name="_GoBack"/>
      <w:bookmarkEnd w:id="27"/>
    </w:p>
    <w:sectPr w:rsidR="00E6136F" w:rsidSect="0036377D">
      <w:headerReference w:type="default" r:id="rId10"/>
      <w:footerReference w:type="default" r:id="rId11"/>
      <w:pgSz w:w="11900" w:h="16840"/>
      <w:pgMar w:top="1701" w:right="1134" w:bottom="1134" w:left="1701" w:header="372"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B8779E4" w14:textId="77777777" w:rsidR="00910CC8" w:rsidRDefault="00910CC8" w:rsidP="008A5824">
      <w:r>
        <w:separator/>
      </w:r>
    </w:p>
  </w:endnote>
  <w:endnote w:type="continuationSeparator" w:id="0">
    <w:p w14:paraId="40886FCB" w14:textId="77777777" w:rsidR="00910CC8" w:rsidRDefault="00910CC8" w:rsidP="008A58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altName w:val="Calibri"/>
    <w:panose1 w:val="020F0302020204030204"/>
    <w:charset w:val="00"/>
    <w:family w:val="swiss"/>
    <w:pitch w:val="variable"/>
    <w:sig w:usb0="E0002A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06965043"/>
      <w:docPartObj>
        <w:docPartGallery w:val="Page Numbers (Bottom of Page)"/>
        <w:docPartUnique/>
      </w:docPartObj>
    </w:sdtPr>
    <w:sdtEndPr/>
    <w:sdtContent>
      <w:p w14:paraId="2F6A6C1C" w14:textId="58E1264B" w:rsidR="00CA0062" w:rsidRDefault="00CA0062">
        <w:pPr>
          <w:pStyle w:val="Rodap"/>
          <w:jc w:val="right"/>
        </w:pPr>
        <w:r>
          <w:fldChar w:fldCharType="begin"/>
        </w:r>
        <w:r>
          <w:instrText>PAGE   \* MERGEFORMAT</w:instrText>
        </w:r>
        <w:r>
          <w:fldChar w:fldCharType="separate"/>
        </w:r>
        <w:r w:rsidR="00454A29">
          <w:rPr>
            <w:noProof/>
          </w:rPr>
          <w:t>14</w:t>
        </w:r>
        <w:r>
          <w:fldChar w:fldCharType="end"/>
        </w:r>
      </w:p>
    </w:sdtContent>
  </w:sdt>
  <w:p w14:paraId="0136A9DB" w14:textId="77777777" w:rsidR="00CA0062" w:rsidRDefault="00CA0062">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FBAEE65" w14:textId="77777777" w:rsidR="00910CC8" w:rsidRDefault="00910CC8" w:rsidP="008A5824">
      <w:r>
        <w:separator/>
      </w:r>
    </w:p>
  </w:footnote>
  <w:footnote w:type="continuationSeparator" w:id="0">
    <w:p w14:paraId="7E086548" w14:textId="77777777" w:rsidR="00910CC8" w:rsidRDefault="00910CC8" w:rsidP="008A582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8EC0DF" w14:textId="78FBC2A4" w:rsidR="008A5824" w:rsidRPr="00B32719" w:rsidRDefault="00B32719" w:rsidP="0036377D">
    <w:pPr>
      <w:pStyle w:val="Cabealho"/>
      <w:tabs>
        <w:tab w:val="clear" w:pos="4419"/>
        <w:tab w:val="center" w:pos="4395"/>
      </w:tabs>
      <w:rPr>
        <w:rFonts w:ascii="Arial Narrow" w:hAnsi="Arial Narrow"/>
        <w:b/>
        <w:bCs/>
        <w:color w:val="2F5496" w:themeColor="accent1" w:themeShade="BF"/>
        <w:sz w:val="32"/>
        <w14:textOutline w14:w="0" w14:cap="flat" w14:cmpd="sng" w14:algn="ctr">
          <w14:noFill/>
          <w14:prstDash w14:val="solid"/>
          <w14:round/>
        </w14:textOutline>
        <w14:props3d w14:extrusionH="57150" w14:contourW="0" w14:prstMaterial="softEdge">
          <w14:bevelT w14:w="25400" w14:h="38100" w14:prst="circle"/>
        </w14:props3d>
      </w:rPr>
    </w:pPr>
    <w:r w:rsidRPr="00B32719">
      <w:rPr>
        <w:rFonts w:ascii="Arial Narrow" w:hAnsi="Arial Narrow"/>
        <w:b/>
        <w:bCs/>
        <w:noProof/>
        <w:sz w:val="28"/>
        <w:lang w:eastAsia="pt-BR"/>
      </w:rPr>
      <w:drawing>
        <wp:anchor distT="0" distB="0" distL="114300" distR="114300" simplePos="0" relativeHeight="251658240" behindDoc="1" locked="0" layoutInCell="1" allowOverlap="1" wp14:anchorId="7CF21A66" wp14:editId="6EEBC0B9">
          <wp:simplePos x="0" y="0"/>
          <wp:positionH relativeFrom="column">
            <wp:posOffset>-570865</wp:posOffset>
          </wp:positionH>
          <wp:positionV relativeFrom="paragraph">
            <wp:posOffset>-118877</wp:posOffset>
          </wp:positionV>
          <wp:extent cx="1037041" cy="901657"/>
          <wp:effectExtent l="0" t="0" r="4445" b="0"/>
          <wp:wrapNone/>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037041" cy="901657"/>
                  </a:xfrm>
                  <a:prstGeom prst="rect">
                    <a:avLst/>
                  </a:prstGeom>
                </pic:spPr>
              </pic:pic>
            </a:graphicData>
          </a:graphic>
          <wp14:sizeRelH relativeFrom="page">
            <wp14:pctWidth>0</wp14:pctWidth>
          </wp14:sizeRelH>
          <wp14:sizeRelV relativeFrom="page">
            <wp14:pctHeight>0</wp14:pctHeight>
          </wp14:sizeRelV>
        </wp:anchor>
      </w:drawing>
    </w:r>
    <w:r w:rsidRPr="00B32719">
      <w:rPr>
        <w:rFonts w:ascii="Arial Narrow" w:hAnsi="Arial Narrow"/>
        <w:b/>
        <w:bCs/>
        <w:noProof/>
        <w:color w:val="5B9BD5" w:themeColor="accent5"/>
        <w:lang w:eastAsia="pt-BR"/>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drawing>
        <wp:anchor distT="0" distB="0" distL="114300" distR="114300" simplePos="0" relativeHeight="251657215" behindDoc="1" locked="0" layoutInCell="1" allowOverlap="1" wp14:anchorId="5D36D06F" wp14:editId="1AE72471">
          <wp:simplePos x="0" y="0"/>
          <wp:positionH relativeFrom="column">
            <wp:posOffset>4916758</wp:posOffset>
          </wp:positionH>
          <wp:positionV relativeFrom="paragraph">
            <wp:posOffset>-118414</wp:posOffset>
          </wp:positionV>
          <wp:extent cx="1369742" cy="913130"/>
          <wp:effectExtent l="50800" t="50800" r="52705" b="52070"/>
          <wp:wrapNone/>
          <wp:docPr id="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pic:cNvPicPr>
                    <a:picLocks noChangeAspect="1"/>
                  </pic:cNvPicPr>
                </pic:nvPicPr>
                <pic:blipFill>
                  <a:blip r:embed="rId2">
                    <a:alphaModFix/>
                    <a:extLst>
                      <a:ext uri="{BEBA8EAE-BF5A-486C-A8C5-ECC9F3942E4B}">
                        <a14:imgProps xmlns:a14="http://schemas.microsoft.com/office/drawing/2010/main">
                          <a14:imgLayer r:embed="rId3">
                            <a14:imgEffect>
                              <a14:saturation sat="400000"/>
                            </a14:imgEffect>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1370080" cy="913355"/>
                  </a:xfrm>
                  <a:prstGeom prst="rect">
                    <a:avLst/>
                  </a:prstGeom>
                  <a:ln>
                    <a:noFill/>
                  </a:ln>
                  <a:effectLst>
                    <a:outerShdw blurRad="190500" algn="tl" rotWithShape="0">
                      <a:srgbClr val="000000">
                        <a:alpha val="0"/>
                      </a:srgbClr>
                    </a:outerShdw>
                  </a:effectLst>
                </pic:spPr>
              </pic:pic>
            </a:graphicData>
          </a:graphic>
          <wp14:sizeRelH relativeFrom="page">
            <wp14:pctWidth>0</wp14:pctWidth>
          </wp14:sizeRelH>
          <wp14:sizeRelV relativeFrom="page">
            <wp14:pctHeight>0</wp14:pctHeight>
          </wp14:sizeRelV>
        </wp:anchor>
      </w:drawing>
    </w:r>
    <w:r w:rsidR="0036377D">
      <w:rPr>
        <w:rFonts w:ascii="Arial Narrow" w:hAnsi="Arial Narrow"/>
        <w:b/>
        <w:bCs/>
        <w:color w:val="2F5496" w:themeColor="accent1" w:themeShade="BF"/>
        <w:sz w:val="28"/>
        <w14:textOutline w14:w="0" w14:cap="flat" w14:cmpd="sng" w14:algn="ctr">
          <w14:noFill/>
          <w14:prstDash w14:val="solid"/>
          <w14:round/>
        </w14:textOutline>
        <w14:props3d w14:extrusionH="57150" w14:contourW="0" w14:prstMaterial="softEdge">
          <w14:bevelT w14:w="25400" w14:h="38100" w14:prst="circle"/>
        </w14:props3d>
      </w:rPr>
      <w:tab/>
      <w:t>7</w:t>
    </w:r>
    <w:r w:rsidR="008A5824" w:rsidRPr="00B32719">
      <w:rPr>
        <w:rFonts w:ascii="Arial Narrow" w:hAnsi="Arial Narrow"/>
        <w:b/>
        <w:bCs/>
        <w:color w:val="2F5496" w:themeColor="accent1" w:themeShade="BF"/>
        <w:sz w:val="28"/>
        <w14:textOutline w14:w="0" w14:cap="flat" w14:cmpd="sng" w14:algn="ctr">
          <w14:noFill/>
          <w14:prstDash w14:val="solid"/>
          <w14:round/>
        </w14:textOutline>
        <w14:props3d w14:extrusionH="57150" w14:contourW="0" w14:prstMaterial="softEdge">
          <w14:bevelT w14:w="25400" w14:h="38100" w14:prst="circle"/>
        </w14:props3d>
      </w:rPr>
      <w:t>º CONGRESSO UFSC DE CONTROLADORIA E FINANÇAS</w:t>
    </w:r>
  </w:p>
  <w:p w14:paraId="3F89F1C8" w14:textId="6D671891" w:rsidR="00CA25AA" w:rsidRPr="00B32719" w:rsidRDefault="0036377D" w:rsidP="0036377D">
    <w:pPr>
      <w:pStyle w:val="Cabealho"/>
      <w:rPr>
        <w:rFonts w:ascii="Arial Narrow" w:hAnsi="Arial Narrow"/>
        <w:b/>
        <w:bCs/>
        <w:sz w:val="20"/>
      </w:rPr>
    </w:pPr>
    <w:r>
      <w:rPr>
        <w:rFonts w:ascii="Arial Narrow" w:hAnsi="Arial Narrow"/>
        <w:b/>
        <w:bCs/>
        <w:color w:val="2F5496" w:themeColor="accent1" w:themeShade="BF"/>
        <w:sz w:val="22"/>
        <w14:textOutline w14:w="0" w14:cap="flat" w14:cmpd="sng" w14:algn="ctr">
          <w14:noFill/>
          <w14:prstDash w14:val="solid"/>
          <w14:round/>
        </w14:textOutline>
        <w14:props3d w14:extrusionH="57150" w14:contourW="0" w14:prstMaterial="softEdge">
          <w14:bevelT w14:w="25400" w14:h="38100" w14:prst="circle"/>
        </w14:props3d>
      </w:rPr>
      <w:tab/>
    </w:r>
    <w:r w:rsidR="00CA25AA" w:rsidRPr="00B32719">
      <w:rPr>
        <w:rFonts w:ascii="Arial Narrow" w:hAnsi="Arial Narrow"/>
        <w:b/>
        <w:bCs/>
        <w:color w:val="2F5496" w:themeColor="accent1" w:themeShade="BF"/>
        <w:sz w:val="22"/>
        <w14:textOutline w14:w="0" w14:cap="flat" w14:cmpd="sng" w14:algn="ctr">
          <w14:noFill/>
          <w14:prstDash w14:val="solid"/>
          <w14:round/>
        </w14:textOutline>
        <w14:props3d w14:extrusionH="57150" w14:contourW="0" w14:prstMaterial="softEdge">
          <w14:bevelT w14:w="25400" w14:h="38100" w14:prst="circle"/>
        </w14:props3d>
      </w:rPr>
      <w:t>7º CONGRESSO UFSC DE INICIAÇÃO CIENTÍFICA EM CONTABILIDADE</w:t>
    </w:r>
  </w:p>
  <w:p w14:paraId="2A0D61D2" w14:textId="272670C8" w:rsidR="008D4F05" w:rsidRPr="00B32719" w:rsidRDefault="0036377D" w:rsidP="0036377D">
    <w:pPr>
      <w:pStyle w:val="Cabealho"/>
      <w:spacing w:after="120"/>
      <w:rPr>
        <w:rFonts w:ascii="Arial Narrow" w:hAnsi="Arial Narrow"/>
        <w:b/>
        <w:color w:val="2F5496" w:themeColor="accent1" w:themeShade="BF"/>
        <w:sz w:val="32"/>
        <w14:shadow w14:blurRad="0" w14:dist="38100" w14:dir="2700000" w14:sx="100000" w14:sy="100000" w14:kx="0" w14:ky="0" w14:algn="tl">
          <w14:schemeClr w14:val="accent1">
            <w14:lumMod w14:val="60000"/>
            <w14:lumOff w14:val="40000"/>
          </w14:schemeClr>
        </w14:shadow>
        <w14:textOutline w14:w="6604" w14:cap="flat" w14:cmpd="sng" w14:algn="ctr">
          <w14:solidFill>
            <w14:schemeClr w14:val="tx1"/>
          </w14:solidFill>
          <w14:prstDash w14:val="solid"/>
          <w14:round/>
        </w14:textOutline>
      </w:rPr>
    </w:pPr>
    <w:r>
      <w:rPr>
        <w:rFonts w:ascii="Arial Narrow" w:hAnsi="Arial Narrow"/>
        <w:b/>
        <w:bCs/>
        <w:color w:val="2F5496" w:themeColor="accent1" w:themeShade="BF"/>
        <w:sz w:val="36"/>
        <w14:shadow w14:blurRad="0" w14:dist="38100" w14:dir="2700000" w14:sx="100000" w14:sy="100000" w14:kx="0" w14:ky="0" w14:algn="tl">
          <w14:schemeClr w14:val="accent1">
            <w14:lumMod w14:val="60000"/>
            <w14:lumOff w14:val="40000"/>
          </w14:schemeClr>
        </w14:shadow>
        <w14:textOutline w14:w="6604" w14:cap="flat" w14:cmpd="sng" w14:algn="ctr">
          <w14:solidFill>
            <w14:schemeClr w14:val="tx1"/>
          </w14:solidFill>
          <w14:prstDash w14:val="solid"/>
          <w14:round/>
        </w14:textOutline>
      </w:rPr>
      <w:tab/>
    </w:r>
    <w:r w:rsidR="00B41CAF" w:rsidRPr="00B32719">
      <w:rPr>
        <w:rFonts w:ascii="Arial Narrow" w:hAnsi="Arial Narrow"/>
        <w:b/>
        <w:bCs/>
        <w:color w:val="2F5496" w:themeColor="accent1" w:themeShade="BF"/>
        <w:sz w:val="36"/>
        <w14:shadow w14:blurRad="0" w14:dist="38100" w14:dir="2700000" w14:sx="100000" w14:sy="100000" w14:kx="0" w14:ky="0" w14:algn="tl">
          <w14:schemeClr w14:val="accent1">
            <w14:lumMod w14:val="60000"/>
            <w14:lumOff w14:val="40000"/>
          </w14:schemeClr>
        </w14:shadow>
        <w14:textOutline w14:w="6604" w14:cap="flat" w14:cmpd="sng" w14:algn="ctr">
          <w14:solidFill>
            <w14:schemeClr w14:val="tx1"/>
          </w14:solidFill>
          <w14:prstDash w14:val="solid"/>
          <w14:round/>
        </w14:textOutline>
      </w:rPr>
      <w:t>TRANSPARÊNCIA, CORRUPÇÃO E FRAUDES</w:t>
    </w:r>
  </w:p>
  <w:p w14:paraId="5E6E78CC" w14:textId="710DE635" w:rsidR="00194BA9" w:rsidRPr="00B32719" w:rsidRDefault="00CA25AA" w:rsidP="00CA25AA">
    <w:pPr>
      <w:pStyle w:val="Cabealho"/>
      <w:ind w:right="-1000"/>
      <w:jc w:val="center"/>
      <w:rPr>
        <w:rFonts w:ascii="Arial Narrow" w:hAnsi="Arial Narrow"/>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6377D">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8579D" w:rsidRPr="00B32719">
      <w:rPr>
        <w:rFonts w:ascii="Arial Narrow" w:hAnsi="Arial Narrow"/>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Florianópolis, 10 a 12 de Setembro de 2017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99735A0"/>
    <w:multiLevelType w:val="hybridMultilevel"/>
    <w:tmpl w:val="550E807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08"/>
  <w:hyphenationZone w:val="425"/>
  <w:drawingGridHorizontalSpacing w:val="100"/>
  <w:displayHorizontalDrawingGridEvery w:val="2"/>
  <w:displayVerticalDrawingGridEvery w:val="2"/>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5824"/>
    <w:rsid w:val="00052414"/>
    <w:rsid w:val="0016220D"/>
    <w:rsid w:val="0016293B"/>
    <w:rsid w:val="001679BA"/>
    <w:rsid w:val="00194BA9"/>
    <w:rsid w:val="001A4423"/>
    <w:rsid w:val="001C328B"/>
    <w:rsid w:val="001C46C0"/>
    <w:rsid w:val="001C7054"/>
    <w:rsid w:val="001F6A6D"/>
    <w:rsid w:val="002B0015"/>
    <w:rsid w:val="002B2B78"/>
    <w:rsid w:val="002B58A7"/>
    <w:rsid w:val="002F7148"/>
    <w:rsid w:val="0036377D"/>
    <w:rsid w:val="0038579D"/>
    <w:rsid w:val="00386D5A"/>
    <w:rsid w:val="003E2479"/>
    <w:rsid w:val="004020EB"/>
    <w:rsid w:val="00412C30"/>
    <w:rsid w:val="00454A29"/>
    <w:rsid w:val="00473887"/>
    <w:rsid w:val="00491708"/>
    <w:rsid w:val="004D61F7"/>
    <w:rsid w:val="005F04CC"/>
    <w:rsid w:val="00602B91"/>
    <w:rsid w:val="006048F4"/>
    <w:rsid w:val="00631DCF"/>
    <w:rsid w:val="00685BF4"/>
    <w:rsid w:val="00686527"/>
    <w:rsid w:val="00693863"/>
    <w:rsid w:val="006D3BBD"/>
    <w:rsid w:val="006F1B55"/>
    <w:rsid w:val="00725773"/>
    <w:rsid w:val="0072578D"/>
    <w:rsid w:val="0074093E"/>
    <w:rsid w:val="007E31BC"/>
    <w:rsid w:val="007F463F"/>
    <w:rsid w:val="00830155"/>
    <w:rsid w:val="00860B20"/>
    <w:rsid w:val="008856F9"/>
    <w:rsid w:val="008A5824"/>
    <w:rsid w:val="008C41BC"/>
    <w:rsid w:val="008D4F05"/>
    <w:rsid w:val="00910CC8"/>
    <w:rsid w:val="009251DE"/>
    <w:rsid w:val="00964EF5"/>
    <w:rsid w:val="009833D5"/>
    <w:rsid w:val="009A6BCC"/>
    <w:rsid w:val="009A7EAF"/>
    <w:rsid w:val="009D3268"/>
    <w:rsid w:val="00B32719"/>
    <w:rsid w:val="00B41CAF"/>
    <w:rsid w:val="00BD0F13"/>
    <w:rsid w:val="00BE6764"/>
    <w:rsid w:val="00C22918"/>
    <w:rsid w:val="00C30374"/>
    <w:rsid w:val="00C81FC4"/>
    <w:rsid w:val="00CA0062"/>
    <w:rsid w:val="00CA2367"/>
    <w:rsid w:val="00CA25AA"/>
    <w:rsid w:val="00CA3921"/>
    <w:rsid w:val="00CE5296"/>
    <w:rsid w:val="00D56A50"/>
    <w:rsid w:val="00D6736D"/>
    <w:rsid w:val="00DB526F"/>
    <w:rsid w:val="00E6136F"/>
    <w:rsid w:val="00E706D0"/>
    <w:rsid w:val="00EF2E17"/>
    <w:rsid w:val="00FA178B"/>
    <w:rsid w:val="00FE1CF2"/>
    <w:rsid w:val="00FF07B7"/>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martTagType w:namespaceuri="urn:schemas-microsoft-com:office:smarttags" w:name="PersonName"/>
  <w:smartTagType w:namespaceuri="urn:schemas-microsoft-com:office:smarttags" w:name="metricconverter"/>
  <w:shapeDefaults>
    <o:shapedefaults v:ext="edit" spidmax="6145"/>
    <o:shapelayout v:ext="edit">
      <o:idmap v:ext="edit" data="1"/>
    </o:shapelayout>
  </w:shapeDefaults>
  <w:decimalSymbol w:val=","/>
  <w:listSeparator w:val=";"/>
  <w14:docId w14:val="654D7B3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377D"/>
    <w:pPr>
      <w:suppressAutoHyphens/>
    </w:pPr>
    <w:rPr>
      <w:rFonts w:ascii="Times New Roman" w:eastAsia="Times New Roman" w:hAnsi="Times New Roman" w:cs="Times New Roman"/>
      <w:sz w:val="20"/>
      <w:szCs w:val="20"/>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8A5824"/>
    <w:pPr>
      <w:tabs>
        <w:tab w:val="center" w:pos="4419"/>
        <w:tab w:val="right" w:pos="8838"/>
      </w:tabs>
      <w:suppressAutoHyphens w:val="0"/>
    </w:pPr>
    <w:rPr>
      <w:rFonts w:asciiTheme="minorHAnsi" w:eastAsiaTheme="minorHAnsi" w:hAnsiTheme="minorHAnsi" w:cstheme="minorBidi"/>
      <w:sz w:val="24"/>
      <w:szCs w:val="24"/>
      <w:lang w:eastAsia="en-US"/>
    </w:rPr>
  </w:style>
  <w:style w:type="character" w:customStyle="1" w:styleId="CabealhoChar">
    <w:name w:val="Cabeçalho Char"/>
    <w:basedOn w:val="Fontepargpadro"/>
    <w:link w:val="Cabealho"/>
    <w:uiPriority w:val="99"/>
    <w:rsid w:val="008A5824"/>
  </w:style>
  <w:style w:type="paragraph" w:styleId="Rodap">
    <w:name w:val="footer"/>
    <w:basedOn w:val="Normal"/>
    <w:link w:val="RodapChar"/>
    <w:uiPriority w:val="99"/>
    <w:unhideWhenUsed/>
    <w:rsid w:val="008A5824"/>
    <w:pPr>
      <w:tabs>
        <w:tab w:val="center" w:pos="4419"/>
        <w:tab w:val="right" w:pos="8838"/>
      </w:tabs>
      <w:suppressAutoHyphens w:val="0"/>
    </w:pPr>
    <w:rPr>
      <w:rFonts w:asciiTheme="minorHAnsi" w:eastAsiaTheme="minorHAnsi" w:hAnsiTheme="minorHAnsi" w:cstheme="minorBidi"/>
      <w:sz w:val="24"/>
      <w:szCs w:val="24"/>
      <w:lang w:eastAsia="en-US"/>
    </w:rPr>
  </w:style>
  <w:style w:type="character" w:customStyle="1" w:styleId="RodapChar">
    <w:name w:val="Rodapé Char"/>
    <w:basedOn w:val="Fontepargpadro"/>
    <w:link w:val="Rodap"/>
    <w:uiPriority w:val="99"/>
    <w:rsid w:val="008A5824"/>
  </w:style>
  <w:style w:type="paragraph" w:styleId="NormalWeb">
    <w:name w:val="Normal (Web)"/>
    <w:basedOn w:val="Normal"/>
    <w:uiPriority w:val="99"/>
    <w:semiHidden/>
    <w:unhideWhenUsed/>
    <w:rsid w:val="008A5824"/>
    <w:pPr>
      <w:spacing w:before="100" w:beforeAutospacing="1" w:after="100" w:afterAutospacing="1"/>
    </w:pPr>
  </w:style>
  <w:style w:type="paragraph" w:styleId="PargrafodaLista">
    <w:name w:val="List Paragraph"/>
    <w:basedOn w:val="Normal"/>
    <w:uiPriority w:val="34"/>
    <w:qFormat/>
    <w:rsid w:val="001C328B"/>
    <w:pPr>
      <w:ind w:left="720"/>
      <w:contextualSpacing/>
    </w:pPr>
  </w:style>
  <w:style w:type="paragraph" w:customStyle="1" w:styleId="Texto-Resumo">
    <w:name w:val="Texto - Resumo"/>
    <w:basedOn w:val="Normal"/>
    <w:rsid w:val="006D3BBD"/>
    <w:pPr>
      <w:widowControl w:val="0"/>
      <w:suppressAutoHyphens w:val="0"/>
      <w:spacing w:after="480"/>
      <w:jc w:val="both"/>
    </w:pPr>
    <w:rPr>
      <w:rFonts w:ascii="Arial" w:hAnsi="Arial"/>
      <w:noProof/>
      <w:snapToGrid w:val="0"/>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377D"/>
    <w:pPr>
      <w:suppressAutoHyphens/>
    </w:pPr>
    <w:rPr>
      <w:rFonts w:ascii="Times New Roman" w:eastAsia="Times New Roman" w:hAnsi="Times New Roman" w:cs="Times New Roman"/>
      <w:sz w:val="20"/>
      <w:szCs w:val="20"/>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8A5824"/>
    <w:pPr>
      <w:tabs>
        <w:tab w:val="center" w:pos="4419"/>
        <w:tab w:val="right" w:pos="8838"/>
      </w:tabs>
      <w:suppressAutoHyphens w:val="0"/>
    </w:pPr>
    <w:rPr>
      <w:rFonts w:asciiTheme="minorHAnsi" w:eastAsiaTheme="minorHAnsi" w:hAnsiTheme="minorHAnsi" w:cstheme="minorBidi"/>
      <w:sz w:val="24"/>
      <w:szCs w:val="24"/>
      <w:lang w:eastAsia="en-US"/>
    </w:rPr>
  </w:style>
  <w:style w:type="character" w:customStyle="1" w:styleId="CabealhoChar">
    <w:name w:val="Cabeçalho Char"/>
    <w:basedOn w:val="Fontepargpadro"/>
    <w:link w:val="Cabealho"/>
    <w:uiPriority w:val="99"/>
    <w:rsid w:val="008A5824"/>
  </w:style>
  <w:style w:type="paragraph" w:styleId="Rodap">
    <w:name w:val="footer"/>
    <w:basedOn w:val="Normal"/>
    <w:link w:val="RodapChar"/>
    <w:uiPriority w:val="99"/>
    <w:unhideWhenUsed/>
    <w:rsid w:val="008A5824"/>
    <w:pPr>
      <w:tabs>
        <w:tab w:val="center" w:pos="4419"/>
        <w:tab w:val="right" w:pos="8838"/>
      </w:tabs>
      <w:suppressAutoHyphens w:val="0"/>
    </w:pPr>
    <w:rPr>
      <w:rFonts w:asciiTheme="minorHAnsi" w:eastAsiaTheme="minorHAnsi" w:hAnsiTheme="minorHAnsi" w:cstheme="minorBidi"/>
      <w:sz w:val="24"/>
      <w:szCs w:val="24"/>
      <w:lang w:eastAsia="en-US"/>
    </w:rPr>
  </w:style>
  <w:style w:type="character" w:customStyle="1" w:styleId="RodapChar">
    <w:name w:val="Rodapé Char"/>
    <w:basedOn w:val="Fontepargpadro"/>
    <w:link w:val="Rodap"/>
    <w:uiPriority w:val="99"/>
    <w:rsid w:val="008A5824"/>
  </w:style>
  <w:style w:type="paragraph" w:styleId="NormalWeb">
    <w:name w:val="Normal (Web)"/>
    <w:basedOn w:val="Normal"/>
    <w:uiPriority w:val="99"/>
    <w:semiHidden/>
    <w:unhideWhenUsed/>
    <w:rsid w:val="008A5824"/>
    <w:pPr>
      <w:spacing w:before="100" w:beforeAutospacing="1" w:after="100" w:afterAutospacing="1"/>
    </w:pPr>
  </w:style>
  <w:style w:type="paragraph" w:styleId="PargrafodaLista">
    <w:name w:val="List Paragraph"/>
    <w:basedOn w:val="Normal"/>
    <w:uiPriority w:val="34"/>
    <w:qFormat/>
    <w:rsid w:val="001C328B"/>
    <w:pPr>
      <w:ind w:left="720"/>
      <w:contextualSpacing/>
    </w:pPr>
  </w:style>
  <w:style w:type="paragraph" w:customStyle="1" w:styleId="Texto-Resumo">
    <w:name w:val="Texto - Resumo"/>
    <w:basedOn w:val="Normal"/>
    <w:rsid w:val="006D3BBD"/>
    <w:pPr>
      <w:widowControl w:val="0"/>
      <w:suppressAutoHyphens w:val="0"/>
      <w:spacing w:after="480"/>
      <w:jc w:val="both"/>
    </w:pPr>
    <w:rPr>
      <w:rFonts w:ascii="Arial" w:hAnsi="Arial"/>
      <w:noProof/>
      <w:snapToGrid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3845971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package" Target="embeddings/Microsoft_Excel_Worksheet1.xlsx"/></Relationships>
</file>

<file path=word/_rels/header1.xml.rels><?xml version="1.0" encoding="UTF-8" standalone="yes"?>
<Relationships xmlns="http://schemas.openxmlformats.org/package/2006/relationships"><Relationship Id="rId3" Type="http://schemas.microsoft.com/office/2007/relationships/hdphoto" Target="media/hdphoto1.wdp"/><Relationship Id="rId2" Type="http://schemas.openxmlformats.org/officeDocument/2006/relationships/image" Target="media/image3.jpeg"/><Relationship Id="rId1" Type="http://schemas.openxmlformats.org/officeDocument/2006/relationships/image" Target="media/image2.tif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14</Pages>
  <Words>6085</Words>
  <Characters>32859</Characters>
  <Application>Microsoft Office Word</Application>
  <DocSecurity>0</DocSecurity>
  <Lines>273</Lines>
  <Paragraphs>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38867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Usuário do Microsoft Office</dc:creator>
  <cp:lastModifiedBy>Patrícia Carneiro</cp:lastModifiedBy>
  <cp:revision>2</cp:revision>
  <dcterms:created xsi:type="dcterms:W3CDTF">2017-08-28T02:07:00Z</dcterms:created>
  <dcterms:modified xsi:type="dcterms:W3CDTF">2017-08-28T02:07:00Z</dcterms:modified>
</cp:coreProperties>
</file>