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5D2D" w:rsidRPr="008D2E72" w:rsidRDefault="00805D2D">
      <w:pPr>
        <w:jc w:val="center"/>
        <w:rPr>
          <w:color w:val="auto"/>
          <w:sz w:val="24"/>
          <w:szCs w:val="24"/>
        </w:rPr>
      </w:pPr>
    </w:p>
    <w:p w:rsidR="00805D2D" w:rsidRPr="008D2E72" w:rsidRDefault="00642C1A">
      <w:pPr>
        <w:jc w:val="center"/>
        <w:rPr>
          <w:b/>
          <w:color w:val="auto"/>
          <w:sz w:val="24"/>
          <w:szCs w:val="24"/>
        </w:rPr>
      </w:pPr>
      <w:r w:rsidRPr="008D2E72">
        <w:rPr>
          <w:b/>
          <w:color w:val="auto"/>
          <w:sz w:val="24"/>
          <w:szCs w:val="24"/>
        </w:rPr>
        <w:t>Escolha pública e custo da corrupção: uma análise na operação lava jato</w:t>
      </w:r>
    </w:p>
    <w:p w:rsidR="00805D2D" w:rsidRPr="008D2E72" w:rsidRDefault="00805D2D">
      <w:pPr>
        <w:jc w:val="center"/>
        <w:rPr>
          <w:b/>
          <w:color w:val="auto"/>
          <w:sz w:val="24"/>
          <w:szCs w:val="24"/>
        </w:rPr>
      </w:pPr>
    </w:p>
    <w:p w:rsidR="00805D2D" w:rsidRPr="008D2E72" w:rsidRDefault="00805D2D">
      <w:pPr>
        <w:jc w:val="center"/>
        <w:rPr>
          <w:b/>
          <w:color w:val="auto"/>
          <w:sz w:val="24"/>
          <w:szCs w:val="24"/>
        </w:rPr>
      </w:pPr>
    </w:p>
    <w:p w:rsidR="00805D2D" w:rsidRPr="008D2E72" w:rsidRDefault="00642C1A">
      <w:pPr>
        <w:jc w:val="right"/>
        <w:rPr>
          <w:b/>
          <w:color w:val="auto"/>
          <w:sz w:val="24"/>
          <w:szCs w:val="24"/>
        </w:rPr>
      </w:pPr>
      <w:r w:rsidRPr="008D2E72">
        <w:rPr>
          <w:b/>
          <w:color w:val="auto"/>
          <w:sz w:val="24"/>
          <w:szCs w:val="24"/>
        </w:rPr>
        <w:t xml:space="preserve">Jonatas Dutra </w:t>
      </w:r>
      <w:proofErr w:type="spellStart"/>
      <w:r w:rsidRPr="008D2E72">
        <w:rPr>
          <w:b/>
          <w:color w:val="auto"/>
          <w:sz w:val="24"/>
          <w:szCs w:val="24"/>
        </w:rPr>
        <w:t>Sallaberry</w:t>
      </w:r>
      <w:proofErr w:type="spellEnd"/>
    </w:p>
    <w:p w:rsidR="00805D2D" w:rsidRPr="008D2E72" w:rsidRDefault="00642C1A">
      <w:pPr>
        <w:jc w:val="right"/>
        <w:rPr>
          <w:color w:val="auto"/>
          <w:sz w:val="24"/>
          <w:szCs w:val="24"/>
        </w:rPr>
      </w:pPr>
      <w:r w:rsidRPr="008D2E72">
        <w:rPr>
          <w:color w:val="auto"/>
          <w:sz w:val="24"/>
          <w:szCs w:val="24"/>
        </w:rPr>
        <w:t>Mestre em Ciências Contábeis (</w:t>
      </w:r>
      <w:proofErr w:type="spellStart"/>
      <w:r w:rsidRPr="008D2E72">
        <w:rPr>
          <w:color w:val="auto"/>
          <w:sz w:val="24"/>
          <w:szCs w:val="24"/>
        </w:rPr>
        <w:t>UnYLeYa</w:t>
      </w:r>
      <w:proofErr w:type="spellEnd"/>
      <w:r w:rsidRPr="008D2E72">
        <w:rPr>
          <w:color w:val="auto"/>
          <w:sz w:val="24"/>
          <w:szCs w:val="24"/>
        </w:rPr>
        <w:t>)</w:t>
      </w:r>
    </w:p>
    <w:p w:rsidR="00805D2D" w:rsidRPr="008D2E72" w:rsidRDefault="00642C1A">
      <w:pPr>
        <w:jc w:val="right"/>
        <w:rPr>
          <w:color w:val="auto"/>
          <w:sz w:val="24"/>
          <w:szCs w:val="24"/>
        </w:rPr>
      </w:pPr>
      <w:r w:rsidRPr="008D2E72">
        <w:rPr>
          <w:color w:val="auto"/>
          <w:sz w:val="24"/>
          <w:szCs w:val="24"/>
        </w:rPr>
        <w:t>E-mail: jonatas.sallaberry@hotmail.com</w:t>
      </w:r>
    </w:p>
    <w:p w:rsidR="00805D2D" w:rsidRPr="008D2E72" w:rsidRDefault="00642C1A">
      <w:pPr>
        <w:jc w:val="right"/>
        <w:rPr>
          <w:b/>
          <w:color w:val="auto"/>
          <w:sz w:val="24"/>
          <w:szCs w:val="24"/>
        </w:rPr>
      </w:pPr>
      <w:r w:rsidRPr="008D2E72">
        <w:rPr>
          <w:b/>
          <w:color w:val="auto"/>
          <w:sz w:val="24"/>
          <w:szCs w:val="24"/>
        </w:rPr>
        <w:t xml:space="preserve">Liz </w:t>
      </w:r>
      <w:proofErr w:type="spellStart"/>
      <w:r w:rsidRPr="008D2E72">
        <w:rPr>
          <w:b/>
          <w:color w:val="auto"/>
          <w:sz w:val="24"/>
          <w:szCs w:val="24"/>
        </w:rPr>
        <w:t>Spinello</w:t>
      </w:r>
      <w:proofErr w:type="spellEnd"/>
      <w:r w:rsidRPr="008D2E72">
        <w:rPr>
          <w:b/>
          <w:color w:val="auto"/>
          <w:sz w:val="24"/>
          <w:szCs w:val="24"/>
        </w:rPr>
        <w:t xml:space="preserve"> </w:t>
      </w:r>
      <w:proofErr w:type="spellStart"/>
      <w:r w:rsidRPr="008D2E72">
        <w:rPr>
          <w:b/>
          <w:color w:val="auto"/>
          <w:sz w:val="24"/>
          <w:szCs w:val="24"/>
        </w:rPr>
        <w:t>Quaesner</w:t>
      </w:r>
      <w:proofErr w:type="spellEnd"/>
    </w:p>
    <w:p w:rsidR="00805D2D" w:rsidRPr="008D2E72" w:rsidRDefault="00642C1A">
      <w:pPr>
        <w:jc w:val="right"/>
        <w:rPr>
          <w:color w:val="auto"/>
          <w:sz w:val="24"/>
          <w:szCs w:val="24"/>
        </w:rPr>
      </w:pPr>
      <w:r w:rsidRPr="008D2E72">
        <w:rPr>
          <w:color w:val="auto"/>
          <w:sz w:val="24"/>
          <w:szCs w:val="24"/>
        </w:rPr>
        <w:t>Mestranda em Ciências Contábeis pela Universidade Federal do Paraná (UFPR)</w:t>
      </w:r>
    </w:p>
    <w:p w:rsidR="00805D2D" w:rsidRPr="008D2E72" w:rsidRDefault="00642C1A">
      <w:pPr>
        <w:jc w:val="right"/>
        <w:rPr>
          <w:color w:val="auto"/>
          <w:sz w:val="24"/>
          <w:szCs w:val="24"/>
        </w:rPr>
      </w:pPr>
      <w:r w:rsidRPr="008D2E72">
        <w:rPr>
          <w:color w:val="auto"/>
          <w:sz w:val="24"/>
          <w:szCs w:val="24"/>
        </w:rPr>
        <w:t xml:space="preserve">E-mail: </w:t>
      </w:r>
      <w:r w:rsidRPr="008D2E72">
        <w:rPr>
          <w:rStyle w:val="ms-font-s"/>
          <w:color w:val="auto"/>
          <w:sz w:val="24"/>
          <w:szCs w:val="24"/>
        </w:rPr>
        <w:t>liz.squaesner@gmail.com</w:t>
      </w:r>
    </w:p>
    <w:p w:rsidR="00805D2D" w:rsidRPr="008D2E72" w:rsidRDefault="00642C1A">
      <w:pPr>
        <w:jc w:val="right"/>
        <w:rPr>
          <w:b/>
          <w:color w:val="auto"/>
          <w:sz w:val="24"/>
          <w:szCs w:val="24"/>
        </w:rPr>
      </w:pPr>
      <w:proofErr w:type="spellStart"/>
      <w:r w:rsidRPr="008D2E72">
        <w:rPr>
          <w:b/>
          <w:color w:val="auto"/>
          <w:sz w:val="24"/>
          <w:szCs w:val="24"/>
        </w:rPr>
        <w:t>Mayla</w:t>
      </w:r>
      <w:proofErr w:type="spellEnd"/>
      <w:r w:rsidRPr="008D2E72">
        <w:rPr>
          <w:b/>
          <w:color w:val="auto"/>
          <w:sz w:val="24"/>
          <w:szCs w:val="24"/>
        </w:rPr>
        <w:t xml:space="preserve"> Cristina Costa</w:t>
      </w:r>
    </w:p>
    <w:p w:rsidR="00805D2D" w:rsidRPr="008D2E72" w:rsidRDefault="00642C1A">
      <w:pPr>
        <w:jc w:val="right"/>
        <w:rPr>
          <w:color w:val="auto"/>
          <w:sz w:val="24"/>
          <w:szCs w:val="24"/>
          <w:highlight w:val="yellow"/>
        </w:rPr>
      </w:pPr>
      <w:r w:rsidRPr="008D2E72">
        <w:rPr>
          <w:color w:val="auto"/>
          <w:sz w:val="24"/>
          <w:szCs w:val="24"/>
          <w:highlight w:val="white"/>
        </w:rPr>
        <w:t>Professora Doutora da Universidade Federal do Paraná (UFPR)</w:t>
      </w:r>
    </w:p>
    <w:p w:rsidR="00805D2D" w:rsidRPr="008D2E72" w:rsidRDefault="00642C1A">
      <w:pPr>
        <w:jc w:val="right"/>
        <w:rPr>
          <w:b/>
          <w:i/>
          <w:color w:val="auto"/>
          <w:sz w:val="24"/>
          <w:szCs w:val="24"/>
        </w:rPr>
      </w:pPr>
      <w:r w:rsidRPr="008D2E72">
        <w:rPr>
          <w:color w:val="auto"/>
          <w:sz w:val="24"/>
          <w:szCs w:val="24"/>
          <w:highlight w:val="white"/>
        </w:rPr>
        <w:t xml:space="preserve">E-mail: </w:t>
      </w:r>
      <w:r w:rsidRPr="008D2E72">
        <w:rPr>
          <w:color w:val="auto"/>
          <w:sz w:val="24"/>
          <w:szCs w:val="24"/>
          <w:shd w:val="clear" w:color="auto" w:fill="FFFFFF"/>
        </w:rPr>
        <w:t>mayla.c.costa@gmail.com</w:t>
      </w:r>
    </w:p>
    <w:p w:rsidR="00805D2D" w:rsidRPr="008D2E72" w:rsidRDefault="00805D2D">
      <w:pPr>
        <w:jc w:val="center"/>
        <w:rPr>
          <w:b/>
          <w:color w:val="auto"/>
          <w:sz w:val="24"/>
          <w:szCs w:val="24"/>
          <w:highlight w:val="white"/>
        </w:rPr>
      </w:pPr>
    </w:p>
    <w:p w:rsidR="00805D2D" w:rsidRPr="008D2E72" w:rsidRDefault="00805D2D">
      <w:pPr>
        <w:jc w:val="center"/>
        <w:rPr>
          <w:b/>
          <w:color w:val="auto"/>
          <w:sz w:val="24"/>
          <w:szCs w:val="24"/>
          <w:highlight w:val="white"/>
        </w:rPr>
      </w:pPr>
    </w:p>
    <w:p w:rsidR="00805D2D" w:rsidRPr="008D2E72" w:rsidRDefault="00642C1A" w:rsidP="00AF2DFB">
      <w:pPr>
        <w:pStyle w:val="Corpodotexto"/>
        <w:spacing w:after="0" w:line="240" w:lineRule="auto"/>
        <w:jc w:val="both"/>
        <w:rPr>
          <w:rFonts w:ascii="Times New Roman" w:hAnsi="Times New Roman" w:cs="Times New Roman"/>
          <w:color w:val="auto"/>
        </w:rPr>
      </w:pPr>
      <w:r w:rsidRPr="008D2E72">
        <w:rPr>
          <w:rFonts w:ascii="Times New Roman" w:hAnsi="Times New Roman" w:cs="Times New Roman"/>
          <w:b/>
          <w:color w:val="auto"/>
        </w:rPr>
        <w:t xml:space="preserve">Resumo: </w:t>
      </w:r>
      <w:r w:rsidRPr="008D2E72">
        <w:rPr>
          <w:rFonts w:ascii="Times New Roman" w:hAnsi="Times New Roman" w:cs="Times New Roman"/>
          <w:color w:val="auto"/>
        </w:rPr>
        <w:t>As inúmeras revelações sobre desvios de recursos públicos e condutas de agentes políticos por meio das diversas investigações implementadas pelos órgãos de persecução criminal têm tornado público atos de corrupção nas mais diversas formas, níveis sociais, profissões, ideologias, segmentos e empresas. Neste estudo a ênfase ocorre especificamente na denúncia protocolada sob o número 5083258-29.2014.404.7000, na Justiça Federal do Paraná que trata da estatal Petrobras. Neste cenário, explorou</w:t>
      </w:r>
      <w:r w:rsidR="002E257B" w:rsidRPr="008D2E72">
        <w:rPr>
          <w:rFonts w:ascii="Times New Roman" w:hAnsi="Times New Roman" w:cs="Times New Roman"/>
          <w:color w:val="auto"/>
        </w:rPr>
        <w:t xml:space="preserve"> </w:t>
      </w:r>
      <w:r w:rsidRPr="008D2E72">
        <w:rPr>
          <w:rFonts w:ascii="Times New Roman" w:hAnsi="Times New Roman" w:cs="Times New Roman"/>
          <w:color w:val="auto"/>
        </w:rPr>
        <w:t xml:space="preserve">uma denúncia de diversos crimes realizados no âmbito da conhecida Operação Lava Jato, genericamente apresentados como decorrentes da corrupção. Os resultados obtidos sugerem o custo de atos ou omissões de gestores que são mantidos pelo sistema de escolha dos representantes públicos, de forma direta ou indireta. Os custos decorrentes da corrupção considerados além da vantagem entregue ao agente público incorrem também pelo recolhimento de tributos, custos de transporte e operação bancária, </w:t>
      </w:r>
      <w:proofErr w:type="spellStart"/>
      <w:r w:rsidRPr="008D2E72">
        <w:rPr>
          <w:rFonts w:ascii="Times New Roman" w:hAnsi="Times New Roman" w:cs="Times New Roman"/>
          <w:color w:val="auto"/>
        </w:rPr>
        <w:t>comissionamento</w:t>
      </w:r>
      <w:proofErr w:type="spellEnd"/>
      <w:r w:rsidRPr="008D2E72">
        <w:rPr>
          <w:rFonts w:ascii="Times New Roman" w:hAnsi="Times New Roman" w:cs="Times New Roman"/>
          <w:color w:val="auto"/>
        </w:rPr>
        <w:t xml:space="preserve"> e ganho superior para a contratada. Também foi possível identificar que o valor destinado aos corruptores é a menor parcela do montante do dano causado por tal ato. </w:t>
      </w:r>
      <w:r w:rsidRPr="008D2E72">
        <w:rPr>
          <w:rStyle w:val="nfaseforte"/>
          <w:rFonts w:ascii="Times New Roman" w:hAnsi="Times New Roman" w:cs="Times New Roman"/>
          <w:b w:val="0"/>
          <w:color w:val="auto"/>
          <w:lang w:eastAsia="pt-BR"/>
        </w:rPr>
        <w:t>Considerando a prática da corrupção como atividade que envolve diferentes tipologias criminais, foi identificado que</w:t>
      </w:r>
      <w:r w:rsidR="00AF2DFB" w:rsidRPr="008D2E72">
        <w:rPr>
          <w:rStyle w:val="nfaseforte"/>
          <w:rFonts w:ascii="Times New Roman" w:hAnsi="Times New Roman" w:cs="Times New Roman"/>
          <w:b w:val="0"/>
          <w:color w:val="auto"/>
          <w:lang w:eastAsia="pt-BR"/>
        </w:rPr>
        <w:t xml:space="preserve"> </w:t>
      </w:r>
      <w:r w:rsidR="00AF2DFB" w:rsidRPr="008D2E72">
        <w:rPr>
          <w:rFonts w:ascii="Times New Roman" w:hAnsi="Times New Roman" w:cs="Times New Roman"/>
          <w:color w:val="auto"/>
        </w:rPr>
        <w:t>o custo da corrupção alcançou 17,84% do montante das obras executadas, mas o benefício dos corruptores alcança apenas 13,7% do dano ao erário público. No caso analisado, identificou-se que</w:t>
      </w:r>
      <w:r w:rsidRPr="008D2E72">
        <w:rPr>
          <w:rStyle w:val="nfaseforte"/>
          <w:rFonts w:ascii="Times New Roman" w:hAnsi="Times New Roman" w:cs="Times New Roman"/>
          <w:b w:val="0"/>
          <w:color w:val="auto"/>
          <w:lang w:eastAsia="pt-BR"/>
        </w:rPr>
        <w:t xml:space="preserve"> 26,9% dos recursos desviados destinados aos agentes são consumidos em custos de transação e operação</w:t>
      </w:r>
      <w:r w:rsidR="00AF2DFB" w:rsidRPr="008D2E72">
        <w:rPr>
          <w:rStyle w:val="nfaseforte"/>
          <w:rFonts w:ascii="Times New Roman" w:hAnsi="Times New Roman" w:cs="Times New Roman"/>
          <w:b w:val="0"/>
          <w:color w:val="auto"/>
          <w:lang w:eastAsia="pt-BR"/>
        </w:rPr>
        <w:t>.</w:t>
      </w:r>
    </w:p>
    <w:p w:rsidR="00805D2D" w:rsidRPr="008D2E72" w:rsidRDefault="00642C1A">
      <w:pPr>
        <w:jc w:val="both"/>
        <w:rPr>
          <w:color w:val="auto"/>
          <w:sz w:val="24"/>
          <w:szCs w:val="24"/>
        </w:rPr>
      </w:pPr>
      <w:r w:rsidRPr="008D2E72">
        <w:rPr>
          <w:b/>
          <w:color w:val="auto"/>
          <w:sz w:val="24"/>
          <w:szCs w:val="24"/>
        </w:rPr>
        <w:t xml:space="preserve">Palavras-Chave: </w:t>
      </w:r>
      <w:r w:rsidR="002E257B" w:rsidRPr="008D2E72">
        <w:rPr>
          <w:color w:val="auto"/>
          <w:sz w:val="24"/>
          <w:szCs w:val="24"/>
        </w:rPr>
        <w:t>C</w:t>
      </w:r>
      <w:r w:rsidRPr="008D2E72">
        <w:rPr>
          <w:color w:val="auto"/>
          <w:sz w:val="24"/>
          <w:szCs w:val="24"/>
        </w:rPr>
        <w:t xml:space="preserve">orrupção; Escolha Pública; </w:t>
      </w:r>
      <w:r w:rsidR="002E257B" w:rsidRPr="008D2E72">
        <w:rPr>
          <w:color w:val="auto"/>
          <w:sz w:val="24"/>
          <w:szCs w:val="24"/>
        </w:rPr>
        <w:t>Custo</w:t>
      </w:r>
      <w:r w:rsidRPr="008D2E72">
        <w:rPr>
          <w:color w:val="auto"/>
          <w:sz w:val="24"/>
          <w:szCs w:val="24"/>
        </w:rPr>
        <w:t xml:space="preserve"> da corrupção.</w:t>
      </w:r>
    </w:p>
    <w:p w:rsidR="00805D2D" w:rsidRPr="008D2E72" w:rsidRDefault="00805D2D">
      <w:pPr>
        <w:rPr>
          <w:b/>
          <w:color w:val="auto"/>
          <w:sz w:val="24"/>
          <w:szCs w:val="24"/>
        </w:rPr>
      </w:pPr>
    </w:p>
    <w:p w:rsidR="00805D2D" w:rsidRPr="008D2E72" w:rsidRDefault="00642C1A">
      <w:pPr>
        <w:pStyle w:val="Heading2"/>
        <w:spacing w:before="0"/>
        <w:rPr>
          <w:rFonts w:ascii="Times New Roman" w:hAnsi="Times New Roman" w:cs="Times New Roman"/>
          <w:b w:val="0"/>
          <w:color w:val="auto"/>
          <w:sz w:val="24"/>
          <w:szCs w:val="24"/>
        </w:rPr>
      </w:pPr>
      <w:r w:rsidRPr="008D2E72">
        <w:rPr>
          <w:rFonts w:ascii="Times New Roman" w:hAnsi="Times New Roman" w:cs="Times New Roman"/>
          <w:color w:val="auto"/>
          <w:sz w:val="24"/>
          <w:szCs w:val="24"/>
        </w:rPr>
        <w:t>Linha temática:</w:t>
      </w:r>
      <w:r w:rsidRPr="008D2E72">
        <w:rPr>
          <w:rFonts w:ascii="Times New Roman" w:hAnsi="Times New Roman" w:cs="Times New Roman"/>
          <w:b w:val="0"/>
          <w:color w:val="auto"/>
          <w:sz w:val="24"/>
          <w:szCs w:val="24"/>
        </w:rPr>
        <w:t xml:space="preserve"> Demais temas relevantes em contabilidade -  l) Perícia Contábil</w:t>
      </w:r>
    </w:p>
    <w:p w:rsidR="00805D2D" w:rsidRPr="008D2E72" w:rsidRDefault="00805D2D">
      <w:pPr>
        <w:rPr>
          <w:b/>
          <w:color w:val="auto"/>
          <w:sz w:val="24"/>
          <w:szCs w:val="24"/>
        </w:rPr>
      </w:pPr>
    </w:p>
    <w:p w:rsidR="00805D2D" w:rsidRPr="008D2E72" w:rsidRDefault="00642C1A">
      <w:pPr>
        <w:rPr>
          <w:b/>
          <w:color w:val="auto"/>
          <w:sz w:val="24"/>
          <w:szCs w:val="24"/>
        </w:rPr>
      </w:pPr>
      <w:r w:rsidRPr="008D2E72">
        <w:rPr>
          <w:b/>
          <w:color w:val="auto"/>
          <w:sz w:val="24"/>
          <w:szCs w:val="24"/>
        </w:rPr>
        <w:t>1. Introdução</w:t>
      </w:r>
    </w:p>
    <w:p w:rsidR="00805D2D" w:rsidRPr="008D2E72" w:rsidRDefault="00642C1A">
      <w:pPr>
        <w:pStyle w:val="Corpodotexto"/>
        <w:spacing w:after="0" w:line="240" w:lineRule="auto"/>
        <w:ind w:firstLine="737"/>
        <w:jc w:val="both"/>
        <w:rPr>
          <w:color w:val="auto"/>
        </w:rPr>
      </w:pPr>
      <w:bookmarkStart w:id="0" w:name="_GoBack"/>
      <w:bookmarkEnd w:id="0"/>
      <w:r w:rsidRPr="008D2E72">
        <w:rPr>
          <w:rFonts w:ascii="Times New Roman" w:hAnsi="Times New Roman" w:cs="Times New Roman"/>
          <w:color w:val="auto"/>
        </w:rPr>
        <w:t xml:space="preserve">As inúmeras revelações sobre desvios de recursos públicos e condutas de agentes políticos por meio da Operação denominada Lava Jato e outras mais recentes têm tornado pública atos de corrupção nas mais diversas formas, níveis sociais, profissões, ideologias, segmentos e empresas. A Transparência Internacional, organização sem fins lucrativos criada para buscar o fim da corrupção, cita que casos como a PETROBRAS e a Odebrecht </w:t>
      </w:r>
      <w:proofErr w:type="spellStart"/>
      <w:r w:rsidRPr="008D2E72">
        <w:rPr>
          <w:rFonts w:ascii="Times New Roman" w:hAnsi="Times New Roman" w:cs="Times New Roman"/>
          <w:color w:val="auto"/>
        </w:rPr>
        <w:t>demostram</w:t>
      </w:r>
      <w:proofErr w:type="spellEnd"/>
      <w:r w:rsidRPr="008D2E72">
        <w:rPr>
          <w:rFonts w:ascii="Times New Roman" w:hAnsi="Times New Roman" w:cs="Times New Roman"/>
          <w:color w:val="auto"/>
        </w:rPr>
        <w:t xml:space="preserve"> como a colusão entre empresas e políticos absorvem milhões de dólares em receitas das economias nacionais, beneficiando poucos em detrimento de muitos (https://www.transparency.org/news/feature/corruption_perceptions_index_2016. Recuperado em 20/06/2017). Esta operação contempla a maior investigação de corrupção e lavagem de dinheiro na história do Brasil.</w:t>
      </w:r>
    </w:p>
    <w:p w:rsidR="00805D2D" w:rsidRPr="008D2E72" w:rsidRDefault="00642C1A">
      <w:pPr>
        <w:pStyle w:val="Corpodotexto"/>
        <w:spacing w:after="0" w:line="240" w:lineRule="auto"/>
        <w:ind w:firstLine="737"/>
        <w:jc w:val="both"/>
        <w:rPr>
          <w:rFonts w:ascii="Times New Roman" w:hAnsi="Times New Roman" w:cs="Times New Roman"/>
          <w:color w:val="auto"/>
        </w:rPr>
      </w:pPr>
      <w:r w:rsidRPr="008D2E72">
        <w:rPr>
          <w:rFonts w:ascii="Times New Roman" w:hAnsi="Times New Roman" w:cs="Times New Roman"/>
          <w:color w:val="auto"/>
        </w:rPr>
        <w:t>Neste estudo a ênfase ocorre especificadamente na denúncia protocolada sob o número 5083258-29.2014.404.7000, na Justiça Federal do Paraná.</w:t>
      </w:r>
      <w:r w:rsidRPr="008D2E72">
        <w:rPr>
          <w:rStyle w:val="nfaseforte"/>
          <w:rFonts w:ascii="Times New Roman" w:hAnsi="Times New Roman" w:cs="Times New Roman"/>
          <w:b w:val="0"/>
          <w:color w:val="auto"/>
        </w:rPr>
        <w:t xml:space="preserve"> No processo constam </w:t>
      </w:r>
      <w:r w:rsidRPr="008D2E72">
        <w:rPr>
          <w:rStyle w:val="nfaseforte"/>
          <w:rFonts w:ascii="Times New Roman" w:hAnsi="Times New Roman" w:cs="Times New Roman"/>
          <w:b w:val="0"/>
          <w:color w:val="auto"/>
        </w:rPr>
        <w:lastRenderedPageBreak/>
        <w:t>denunciações de estruturas organizadas de desvio de recursos da estatal para agentes corruptos, após alguns procedimentos de lavagem de dinheiro.</w:t>
      </w:r>
      <w:r w:rsidRPr="008D2E72">
        <w:rPr>
          <w:rFonts w:ascii="Times New Roman" w:hAnsi="Times New Roman" w:cs="Times New Roman"/>
          <w:color w:val="auto"/>
        </w:rPr>
        <w:t xml:space="preserve"> Estima-se que o volume de recursos desviados dos cofres da Petrobras, a maior estatal do país, esteja na casa de bilhões de reais. Soma-se a isso a expressão econômica e política dos suspeitos que participaram do esquema que envolve a companhia. </w:t>
      </w:r>
    </w:p>
    <w:p w:rsidR="00805D2D" w:rsidRPr="008D2E72" w:rsidRDefault="00642C1A">
      <w:pPr>
        <w:ind w:firstLine="737"/>
        <w:jc w:val="both"/>
        <w:rPr>
          <w:color w:val="auto"/>
          <w:sz w:val="24"/>
          <w:szCs w:val="24"/>
        </w:rPr>
      </w:pPr>
      <w:r w:rsidRPr="008D2E72">
        <w:rPr>
          <w:color w:val="auto"/>
          <w:sz w:val="24"/>
          <w:szCs w:val="24"/>
        </w:rPr>
        <w:t xml:space="preserve">A corrupção consome pagamentos de recursos que se tornam improdutivos, e não produzem bens ou serviços à sociedade. Os tipos de crimes praticados revelados são vários, mas o </w:t>
      </w:r>
      <w:proofErr w:type="spellStart"/>
      <w:r w:rsidRPr="008D2E72">
        <w:rPr>
          <w:i/>
          <w:iCs/>
          <w:color w:val="auto"/>
          <w:sz w:val="24"/>
          <w:szCs w:val="24"/>
        </w:rPr>
        <w:t>modus</w:t>
      </w:r>
      <w:proofErr w:type="spellEnd"/>
      <w:r w:rsidRPr="008D2E72">
        <w:rPr>
          <w:i/>
          <w:iCs/>
          <w:color w:val="auto"/>
          <w:sz w:val="24"/>
          <w:szCs w:val="24"/>
        </w:rPr>
        <w:t xml:space="preserve"> </w:t>
      </w:r>
      <w:proofErr w:type="spellStart"/>
      <w:r w:rsidRPr="008D2E72">
        <w:rPr>
          <w:i/>
          <w:iCs/>
          <w:color w:val="auto"/>
          <w:sz w:val="24"/>
          <w:szCs w:val="24"/>
        </w:rPr>
        <w:t>operandi</w:t>
      </w:r>
      <w:proofErr w:type="spellEnd"/>
      <w:r w:rsidRPr="008D2E72">
        <w:rPr>
          <w:color w:val="auto"/>
          <w:sz w:val="24"/>
          <w:szCs w:val="24"/>
        </w:rPr>
        <w:t xml:space="preserve"> tem se mostrado bastante semelhante em diversos casos (</w:t>
      </w:r>
      <w:proofErr w:type="spellStart"/>
      <w:r w:rsidRPr="008D2E72">
        <w:rPr>
          <w:color w:val="auto"/>
          <w:sz w:val="24"/>
          <w:szCs w:val="24"/>
        </w:rPr>
        <w:t>Dallagnol</w:t>
      </w:r>
      <w:proofErr w:type="spellEnd"/>
      <w:r w:rsidRPr="008D2E72">
        <w:rPr>
          <w:color w:val="auto"/>
          <w:sz w:val="24"/>
          <w:szCs w:val="24"/>
        </w:rPr>
        <w:t xml:space="preserve">, 2017).   Em face deste entendimento, e com o objetivo de ampliar a visão e compreensão do leitor acerca dos custos de corrupção, a denúncia objeto do estudo será analisada sob as perspectivas contábil-financeira e econômica. Ainda segundo </w:t>
      </w:r>
      <w:r w:rsidRPr="008D2E72">
        <w:rPr>
          <w:rStyle w:val="nfaseforte"/>
          <w:b w:val="0"/>
          <w:color w:val="auto"/>
          <w:sz w:val="24"/>
          <w:szCs w:val="24"/>
        </w:rPr>
        <w:t>Rose-Ackerman (2002), este tipo de análise pode isolar incentivos a propinas para agentes do governo, avaliar suas consequências e sugerir reformas.</w:t>
      </w:r>
    </w:p>
    <w:p w:rsidR="00805D2D" w:rsidRPr="008D2E72" w:rsidRDefault="00642C1A">
      <w:pPr>
        <w:ind w:firstLine="737"/>
        <w:jc w:val="both"/>
        <w:rPr>
          <w:color w:val="auto"/>
          <w:sz w:val="24"/>
          <w:szCs w:val="24"/>
        </w:rPr>
      </w:pPr>
      <w:r w:rsidRPr="008D2E72">
        <w:rPr>
          <w:color w:val="auto"/>
          <w:sz w:val="24"/>
          <w:szCs w:val="24"/>
        </w:rPr>
        <w:t xml:space="preserve">A contabilidade enquanto ferramenta de análise dos fatos permite a percepção do rastro do fluxo financeiro da corrupção, pois envolve despesas de transação nos diversos níveis de lavagem, despesas de </w:t>
      </w:r>
      <w:proofErr w:type="spellStart"/>
      <w:r w:rsidRPr="008D2E72">
        <w:rPr>
          <w:color w:val="auto"/>
          <w:sz w:val="24"/>
          <w:szCs w:val="24"/>
        </w:rPr>
        <w:t>comissionamento</w:t>
      </w:r>
      <w:proofErr w:type="spellEnd"/>
      <w:r w:rsidRPr="008D2E72">
        <w:rPr>
          <w:color w:val="auto"/>
          <w:sz w:val="24"/>
          <w:szCs w:val="24"/>
        </w:rPr>
        <w:t xml:space="preserve">, o ganho da empresa beneficiada, e a manipulação dos custos originais na formação de preços. Para Marion &amp; </w:t>
      </w:r>
      <w:proofErr w:type="spellStart"/>
      <w:r w:rsidRPr="008D2E72">
        <w:rPr>
          <w:color w:val="auto"/>
          <w:sz w:val="24"/>
          <w:szCs w:val="24"/>
        </w:rPr>
        <w:t>Iudícibus</w:t>
      </w:r>
      <w:proofErr w:type="spellEnd"/>
      <w:r w:rsidRPr="008D2E72">
        <w:rPr>
          <w:color w:val="auto"/>
          <w:sz w:val="24"/>
          <w:szCs w:val="24"/>
        </w:rPr>
        <w:t xml:space="preserve"> (2000) o objetivo da contabilidade está no fornecimento de informação estruturada de natureza econômica, financeira e, subsidiariamente, física, de produtividade e social, aos usuários internos e externos à entidade objeto. Em complemento, </w:t>
      </w:r>
      <w:r w:rsidRPr="008D2E72">
        <w:rPr>
          <w:color w:val="auto"/>
          <w:sz w:val="24"/>
          <w:szCs w:val="24"/>
          <w:shd w:val="clear" w:color="auto" w:fill="FFFFFF"/>
        </w:rPr>
        <w:t xml:space="preserve">Santos </w:t>
      </w:r>
      <w:proofErr w:type="spellStart"/>
      <w:r w:rsidRPr="008D2E72">
        <w:rPr>
          <w:color w:val="auto"/>
          <w:sz w:val="24"/>
          <w:szCs w:val="24"/>
          <w:shd w:val="clear" w:color="auto" w:fill="FFFFFF"/>
        </w:rPr>
        <w:t>et</w:t>
      </w:r>
      <w:proofErr w:type="spellEnd"/>
      <w:r w:rsidRPr="008D2E72">
        <w:rPr>
          <w:color w:val="auto"/>
          <w:sz w:val="24"/>
          <w:szCs w:val="24"/>
          <w:shd w:val="clear" w:color="auto" w:fill="FFFFFF"/>
        </w:rPr>
        <w:t xml:space="preserve"> al. </w:t>
      </w:r>
      <w:r w:rsidRPr="008D2E72">
        <w:rPr>
          <w:color w:val="auto"/>
          <w:sz w:val="24"/>
          <w:szCs w:val="24"/>
        </w:rPr>
        <w:t xml:space="preserve">(2007) explicam que a informação subsidia a tomada de decisão, destes usuários. Razão pela qual se propõe que a contabilidade precisa ter um papel mais proativo na sinalização de crimes financeiros. </w:t>
      </w:r>
    </w:p>
    <w:p w:rsidR="00805D2D" w:rsidRPr="008D2E72" w:rsidRDefault="00642C1A">
      <w:pPr>
        <w:ind w:firstLine="737"/>
        <w:jc w:val="both"/>
        <w:rPr>
          <w:color w:val="auto"/>
          <w:sz w:val="24"/>
          <w:szCs w:val="24"/>
        </w:rPr>
      </w:pPr>
      <w:r w:rsidRPr="008D2E72">
        <w:rPr>
          <w:color w:val="auto"/>
          <w:sz w:val="24"/>
          <w:szCs w:val="24"/>
        </w:rPr>
        <w:t xml:space="preserve">Pela perspectiva econômica, a análise será efetuada a partir de elementos e pressupostos da teoria da escolha pública ou </w:t>
      </w:r>
      <w:proofErr w:type="spellStart"/>
      <w:r w:rsidRPr="008D2E72">
        <w:rPr>
          <w:i/>
          <w:color w:val="auto"/>
          <w:sz w:val="24"/>
          <w:szCs w:val="24"/>
        </w:rPr>
        <w:t>public</w:t>
      </w:r>
      <w:proofErr w:type="spellEnd"/>
      <w:r w:rsidRPr="008D2E72">
        <w:rPr>
          <w:i/>
          <w:color w:val="auto"/>
          <w:sz w:val="24"/>
          <w:szCs w:val="24"/>
        </w:rPr>
        <w:t xml:space="preserve"> </w:t>
      </w:r>
      <w:proofErr w:type="spellStart"/>
      <w:r w:rsidRPr="008D2E72">
        <w:rPr>
          <w:i/>
          <w:color w:val="auto"/>
          <w:sz w:val="24"/>
          <w:szCs w:val="24"/>
        </w:rPr>
        <w:t>choice</w:t>
      </w:r>
      <w:proofErr w:type="spellEnd"/>
      <w:r w:rsidRPr="008D2E72">
        <w:rPr>
          <w:color w:val="auto"/>
          <w:sz w:val="24"/>
          <w:szCs w:val="24"/>
        </w:rPr>
        <w:t xml:space="preserve"> de James Buchanan Jr, escola da economia política que explica o comportamento governamental e, em particular, o comportamento dos indivíduos a respeito do governo (</w:t>
      </w:r>
      <w:proofErr w:type="spellStart"/>
      <w:r w:rsidRPr="008D2E72">
        <w:rPr>
          <w:color w:val="auto"/>
          <w:sz w:val="24"/>
          <w:szCs w:val="24"/>
        </w:rPr>
        <w:t>Tullock</w:t>
      </w:r>
      <w:proofErr w:type="spellEnd"/>
      <w:r w:rsidRPr="008D2E72">
        <w:rPr>
          <w:color w:val="auto"/>
          <w:sz w:val="24"/>
          <w:szCs w:val="24"/>
        </w:rPr>
        <w:t xml:space="preserve">, </w:t>
      </w:r>
      <w:proofErr w:type="spellStart"/>
      <w:r w:rsidRPr="008D2E72">
        <w:rPr>
          <w:color w:val="auto"/>
          <w:sz w:val="24"/>
          <w:szCs w:val="24"/>
        </w:rPr>
        <w:t>Brady</w:t>
      </w:r>
      <w:proofErr w:type="spellEnd"/>
      <w:r w:rsidRPr="008D2E72">
        <w:rPr>
          <w:color w:val="auto"/>
          <w:sz w:val="24"/>
          <w:szCs w:val="24"/>
        </w:rPr>
        <w:t xml:space="preserve"> &amp; </w:t>
      </w:r>
      <w:proofErr w:type="spellStart"/>
      <w:r w:rsidRPr="008D2E72">
        <w:rPr>
          <w:color w:val="auto"/>
          <w:sz w:val="24"/>
          <w:szCs w:val="24"/>
        </w:rPr>
        <w:t>Selton</w:t>
      </w:r>
      <w:proofErr w:type="spellEnd"/>
      <w:r w:rsidRPr="008D2E72">
        <w:rPr>
          <w:color w:val="auto"/>
          <w:sz w:val="24"/>
          <w:szCs w:val="24"/>
        </w:rPr>
        <w:t xml:space="preserve">, 2002, p. 3). Buchanan caracterizou a </w:t>
      </w:r>
      <w:proofErr w:type="spellStart"/>
      <w:r w:rsidRPr="008D2E72">
        <w:rPr>
          <w:i/>
          <w:color w:val="auto"/>
          <w:sz w:val="24"/>
          <w:szCs w:val="24"/>
        </w:rPr>
        <w:t>public</w:t>
      </w:r>
      <w:proofErr w:type="spellEnd"/>
      <w:r w:rsidRPr="008D2E72">
        <w:rPr>
          <w:i/>
          <w:color w:val="auto"/>
          <w:sz w:val="24"/>
          <w:szCs w:val="24"/>
        </w:rPr>
        <w:t xml:space="preserve"> </w:t>
      </w:r>
      <w:proofErr w:type="spellStart"/>
      <w:r w:rsidRPr="008D2E72">
        <w:rPr>
          <w:i/>
          <w:color w:val="auto"/>
          <w:sz w:val="24"/>
          <w:szCs w:val="24"/>
        </w:rPr>
        <w:t>choice</w:t>
      </w:r>
      <w:proofErr w:type="spellEnd"/>
      <w:r w:rsidRPr="008D2E72">
        <w:rPr>
          <w:color w:val="auto"/>
          <w:sz w:val="24"/>
          <w:szCs w:val="24"/>
        </w:rPr>
        <w:t xml:space="preserve"> como “política sem romance”, afastando a ideia de que os agentes políticos buscam sempre promover o bem comum (Buchanan, 1984; 1999b; 2003a) e explicou que em regimes democráticos as decisões políticas são realizadas por indivíduos racionalistas que decidem pelo coletivo, e a capacidade de prever o impacto de suas escolhas possibilita a redução dos custos esperados tanto em casos de renúncia aos seus interesses pessoais, quanto em decisões que visem somente à maximização de utilidade esperada.</w:t>
      </w:r>
    </w:p>
    <w:p w:rsidR="00805D2D" w:rsidRPr="008D2E72" w:rsidRDefault="00642C1A">
      <w:pPr>
        <w:ind w:firstLine="737"/>
        <w:jc w:val="both"/>
        <w:rPr>
          <w:color w:val="auto"/>
        </w:rPr>
      </w:pPr>
      <w:r w:rsidRPr="008D2E72">
        <w:rPr>
          <w:color w:val="auto"/>
          <w:sz w:val="24"/>
          <w:szCs w:val="24"/>
        </w:rPr>
        <w:t xml:space="preserve">Tendo este cenário, o </w:t>
      </w:r>
      <w:r w:rsidRPr="008D2E72">
        <w:rPr>
          <w:rStyle w:val="nfaseforte"/>
          <w:b w:val="0"/>
          <w:color w:val="auto"/>
          <w:sz w:val="24"/>
          <w:szCs w:val="24"/>
        </w:rPr>
        <w:t xml:space="preserve">presente estudo exploratório de natureza qualitativa e quantitativa, tem como questão de pesquisa: Qual o impacto contábil-econômico dos custos e montantes decorrentes de atos de corrupção na denúncia </w:t>
      </w:r>
      <w:r w:rsidRPr="008D2E72">
        <w:rPr>
          <w:color w:val="auto"/>
          <w:sz w:val="24"/>
          <w:szCs w:val="24"/>
          <w:highlight w:val="white"/>
        </w:rPr>
        <w:t>5083258-29.2014.404.7000? A partir disso, tem como objetivo identificar e quantificar os</w:t>
      </w:r>
      <w:r w:rsidRPr="008D2E72">
        <w:rPr>
          <w:rStyle w:val="nfaseforte"/>
          <w:b w:val="0"/>
          <w:color w:val="auto"/>
          <w:sz w:val="24"/>
          <w:szCs w:val="24"/>
        </w:rPr>
        <w:t xml:space="preserve"> custos e montantes envolvidos nas diversas etapas do fluxo financeiro e analisá-los conforme preceitos da </w:t>
      </w:r>
      <w:proofErr w:type="spellStart"/>
      <w:r w:rsidRPr="008D2E72">
        <w:rPr>
          <w:rStyle w:val="nfaseforte"/>
          <w:b w:val="0"/>
          <w:i/>
          <w:color w:val="auto"/>
          <w:sz w:val="24"/>
          <w:szCs w:val="24"/>
        </w:rPr>
        <w:t>public</w:t>
      </w:r>
      <w:proofErr w:type="spellEnd"/>
      <w:r w:rsidRPr="008D2E72">
        <w:rPr>
          <w:rStyle w:val="nfaseforte"/>
          <w:b w:val="0"/>
          <w:i/>
          <w:color w:val="auto"/>
          <w:sz w:val="24"/>
          <w:szCs w:val="24"/>
        </w:rPr>
        <w:t xml:space="preserve"> </w:t>
      </w:r>
      <w:proofErr w:type="spellStart"/>
      <w:r w:rsidRPr="008D2E72">
        <w:rPr>
          <w:rStyle w:val="nfaseforte"/>
          <w:b w:val="0"/>
          <w:i/>
          <w:color w:val="auto"/>
          <w:sz w:val="24"/>
          <w:szCs w:val="24"/>
        </w:rPr>
        <w:t>choice</w:t>
      </w:r>
      <w:proofErr w:type="spellEnd"/>
      <w:r w:rsidRPr="008D2E72">
        <w:rPr>
          <w:rStyle w:val="nfaseforte"/>
          <w:b w:val="0"/>
          <w:color w:val="auto"/>
          <w:sz w:val="24"/>
          <w:szCs w:val="24"/>
        </w:rPr>
        <w:t xml:space="preserve">. O modelo utilizado para identificar os custos e montante de recursos foi  </w:t>
      </w:r>
      <w:proofErr w:type="spellStart"/>
      <w:r w:rsidRPr="008D2E72">
        <w:rPr>
          <w:rStyle w:val="nfaseforte"/>
          <w:b w:val="0"/>
          <w:i/>
          <w:color w:val="auto"/>
          <w:sz w:val="24"/>
          <w:szCs w:val="24"/>
        </w:rPr>
        <w:t>Paper</w:t>
      </w:r>
      <w:proofErr w:type="spellEnd"/>
      <w:r w:rsidRPr="008D2E72">
        <w:rPr>
          <w:rStyle w:val="nfaseforte"/>
          <w:b w:val="0"/>
          <w:i/>
          <w:color w:val="auto"/>
          <w:sz w:val="24"/>
          <w:szCs w:val="24"/>
        </w:rPr>
        <w:t xml:space="preserve"> </w:t>
      </w:r>
      <w:proofErr w:type="spellStart"/>
      <w:r w:rsidRPr="008D2E72">
        <w:rPr>
          <w:rStyle w:val="nfaseforte"/>
          <w:b w:val="0"/>
          <w:i/>
          <w:color w:val="auto"/>
          <w:sz w:val="24"/>
          <w:szCs w:val="24"/>
        </w:rPr>
        <w:t>Trail</w:t>
      </w:r>
      <w:proofErr w:type="spellEnd"/>
      <w:r w:rsidRPr="008D2E72">
        <w:rPr>
          <w:rStyle w:val="nfaseforte"/>
          <w:b w:val="0"/>
          <w:color w:val="auto"/>
          <w:sz w:val="24"/>
          <w:szCs w:val="24"/>
        </w:rPr>
        <w:t xml:space="preserve">, e tem como base os valores comprovadamente desviados de uma obra pública e identificados nas diversas investigações correlatas, que estão evidenciados no processo e no presente artigo.  É importante salientar que nesta denúncia objeto, a Justiça Federal já sentenciou os acusados, e validou os dados probatórios na sentença, em primeiro grau. </w:t>
      </w:r>
    </w:p>
    <w:p w:rsidR="00805D2D" w:rsidRPr="008D2E72" w:rsidRDefault="00642C1A">
      <w:pPr>
        <w:ind w:firstLine="708"/>
        <w:jc w:val="both"/>
        <w:rPr>
          <w:rStyle w:val="nfaseforte"/>
          <w:b w:val="0"/>
          <w:color w:val="auto"/>
          <w:sz w:val="24"/>
          <w:szCs w:val="24"/>
        </w:rPr>
      </w:pPr>
      <w:r w:rsidRPr="008D2E72">
        <w:rPr>
          <w:rStyle w:val="nfaseforte"/>
          <w:b w:val="0"/>
          <w:color w:val="auto"/>
          <w:sz w:val="24"/>
          <w:szCs w:val="24"/>
        </w:rPr>
        <w:t>Justifica-se pela</w:t>
      </w:r>
      <w:r w:rsidRPr="008D2E72">
        <w:rPr>
          <w:color w:val="auto"/>
          <w:sz w:val="24"/>
          <w:szCs w:val="24"/>
        </w:rPr>
        <w:t xml:space="preserve"> oportunidade de grande valia para ser explorada e estudada na academia. Inclusive a </w:t>
      </w:r>
      <w:r w:rsidRPr="008D2E72">
        <w:rPr>
          <w:rStyle w:val="nfaseforte"/>
          <w:b w:val="0"/>
          <w:color w:val="auto"/>
          <w:sz w:val="24"/>
          <w:szCs w:val="24"/>
        </w:rPr>
        <w:t>quantificação do custo financeiro e seus resultados poderão servir como base referencial para futuras investigações, além de contribuir para compreensão e conhecimento do ente público e da sociedade. Há uma lacuna nos estudos financeiros que abordam corrupção (</w:t>
      </w:r>
      <w:proofErr w:type="spellStart"/>
      <w:r w:rsidRPr="008D2E72">
        <w:rPr>
          <w:rStyle w:val="nfaseforte"/>
          <w:b w:val="0"/>
          <w:color w:val="auto"/>
          <w:sz w:val="24"/>
          <w:szCs w:val="24"/>
        </w:rPr>
        <w:t>Miari</w:t>
      </w:r>
      <w:proofErr w:type="spellEnd"/>
      <w:r w:rsidRPr="008D2E72">
        <w:rPr>
          <w:rStyle w:val="nfaseforte"/>
          <w:b w:val="0"/>
          <w:color w:val="auto"/>
          <w:sz w:val="24"/>
          <w:szCs w:val="24"/>
        </w:rPr>
        <w:t xml:space="preserve">, Mesquita, &amp; </w:t>
      </w:r>
      <w:proofErr w:type="spellStart"/>
      <w:r w:rsidRPr="008D2E72">
        <w:rPr>
          <w:rStyle w:val="nfaseforte"/>
          <w:b w:val="0"/>
          <w:color w:val="auto"/>
          <w:sz w:val="24"/>
          <w:szCs w:val="24"/>
        </w:rPr>
        <w:t>Pardini</w:t>
      </w:r>
      <w:proofErr w:type="spellEnd"/>
      <w:r w:rsidRPr="008D2E72">
        <w:rPr>
          <w:rStyle w:val="nfaseforte"/>
          <w:b w:val="0"/>
          <w:color w:val="auto"/>
          <w:sz w:val="24"/>
          <w:szCs w:val="24"/>
        </w:rPr>
        <w:t>, 2015). Indiretamente, espera-se que o estudo provoque reflexão sobre o desenvolvimento de pesquisas do tema corrupção, tendo em vista também a lacuna de pesquisas contábeis na área.</w:t>
      </w:r>
    </w:p>
    <w:p w:rsidR="00805D2D" w:rsidRPr="008D2E72" w:rsidRDefault="00642C1A">
      <w:pPr>
        <w:tabs>
          <w:tab w:val="left" w:pos="3220"/>
        </w:tabs>
        <w:ind w:firstLine="567"/>
        <w:jc w:val="both"/>
        <w:rPr>
          <w:color w:val="auto"/>
          <w:sz w:val="24"/>
          <w:szCs w:val="24"/>
        </w:rPr>
      </w:pPr>
      <w:r w:rsidRPr="008D2E72">
        <w:rPr>
          <w:rStyle w:val="nfaseforte"/>
          <w:b w:val="0"/>
          <w:color w:val="auto"/>
          <w:sz w:val="24"/>
          <w:szCs w:val="24"/>
        </w:rPr>
        <w:lastRenderedPageBreak/>
        <w:t xml:space="preserve">Por fim, o trabalho foi dividido em </w:t>
      </w:r>
      <w:r w:rsidRPr="008D2E72">
        <w:rPr>
          <w:color w:val="auto"/>
          <w:sz w:val="24"/>
          <w:szCs w:val="24"/>
        </w:rPr>
        <w:t>cinco seções, iniciando pela introdução. A seção dois contempla o quadro teórico que vai inserir o leitor no contexto dos aspectos teóricos da  teoria da escolha pública e o cenário da operação lava-jato. Assim, fundamenta toda a análise de dados. A terceira seção é composta pela explicação dos procedimentos metodológicos científicos utilizados. A quarta seção compreende os resultados obtidos e as respectivas análises. E as considerações finais e recomendações se encontram na quinta seção.</w:t>
      </w:r>
    </w:p>
    <w:p w:rsidR="00805D2D" w:rsidRPr="008D2E72" w:rsidRDefault="00805D2D">
      <w:pPr>
        <w:pStyle w:val="Corpodotexto"/>
        <w:spacing w:after="0" w:line="240" w:lineRule="auto"/>
        <w:jc w:val="both"/>
        <w:rPr>
          <w:rFonts w:ascii="Times New Roman" w:hAnsi="Times New Roman" w:cs="Times New Roman"/>
          <w:color w:val="auto"/>
        </w:rPr>
      </w:pPr>
    </w:p>
    <w:p w:rsidR="00805D2D" w:rsidRPr="008D2E72" w:rsidRDefault="00642C1A">
      <w:pPr>
        <w:pStyle w:val="Corpodotexto"/>
        <w:spacing w:after="0" w:line="240" w:lineRule="auto"/>
        <w:jc w:val="both"/>
        <w:rPr>
          <w:rFonts w:ascii="Times New Roman" w:hAnsi="Times New Roman" w:cs="Times New Roman"/>
          <w:b/>
          <w:color w:val="auto"/>
        </w:rPr>
      </w:pPr>
      <w:r w:rsidRPr="008D2E72">
        <w:rPr>
          <w:rFonts w:ascii="Times New Roman" w:hAnsi="Times New Roman" w:cs="Times New Roman"/>
          <w:b/>
          <w:color w:val="auto"/>
        </w:rPr>
        <w:t>2. Referencial Teórico</w:t>
      </w:r>
    </w:p>
    <w:p w:rsidR="00805D2D" w:rsidRPr="008D2E72" w:rsidRDefault="00642C1A">
      <w:pPr>
        <w:pStyle w:val="Corpodotexto"/>
        <w:spacing w:after="0" w:line="240" w:lineRule="auto"/>
        <w:ind w:firstLine="708"/>
        <w:jc w:val="both"/>
        <w:rPr>
          <w:rFonts w:ascii="Times New Roman" w:hAnsi="Times New Roman" w:cs="Times New Roman"/>
          <w:color w:val="auto"/>
        </w:rPr>
      </w:pPr>
      <w:r w:rsidRPr="008D2E72">
        <w:rPr>
          <w:rFonts w:ascii="Times New Roman" w:hAnsi="Times New Roman" w:cs="Times New Roman"/>
          <w:color w:val="auto"/>
        </w:rPr>
        <w:t xml:space="preserve">Tendo o objetivo de ampliar a visão e compreensão do leitor acerca dos custos de corrupção, a denúncia objeto do estudo será analisada conforme os pressupostos da teoria da </w:t>
      </w:r>
      <w:r w:rsidRPr="008D2E72">
        <w:rPr>
          <w:rFonts w:ascii="Times New Roman" w:hAnsi="Times New Roman" w:cs="Times New Roman"/>
          <w:color w:val="auto"/>
          <w:highlight w:val="white"/>
        </w:rPr>
        <w:t xml:space="preserve">escolha pública. </w:t>
      </w:r>
    </w:p>
    <w:p w:rsidR="00805D2D" w:rsidRPr="008D2E72" w:rsidRDefault="00805D2D">
      <w:pPr>
        <w:pStyle w:val="Corpodotexto"/>
        <w:spacing w:after="0" w:line="240" w:lineRule="auto"/>
        <w:jc w:val="both"/>
        <w:rPr>
          <w:rFonts w:ascii="Times New Roman" w:hAnsi="Times New Roman" w:cs="Times New Roman"/>
          <w:b/>
          <w:color w:val="auto"/>
          <w:highlight w:val="white"/>
        </w:rPr>
      </w:pPr>
    </w:p>
    <w:p w:rsidR="00805D2D" w:rsidRPr="008D2E72" w:rsidRDefault="00642C1A">
      <w:pPr>
        <w:pStyle w:val="Corpodotexto"/>
        <w:spacing w:after="0" w:line="240" w:lineRule="auto"/>
        <w:jc w:val="both"/>
        <w:rPr>
          <w:rFonts w:ascii="Times New Roman" w:hAnsi="Times New Roman" w:cs="Times New Roman"/>
          <w:color w:val="auto"/>
        </w:rPr>
      </w:pPr>
      <w:r w:rsidRPr="008D2E72">
        <w:rPr>
          <w:rFonts w:ascii="Times New Roman" w:hAnsi="Times New Roman" w:cs="Times New Roman"/>
          <w:b/>
          <w:color w:val="auto"/>
          <w:highlight w:val="white"/>
        </w:rPr>
        <w:t>2.1 Teoria da escolha pública e corrupção</w:t>
      </w:r>
    </w:p>
    <w:p w:rsidR="00805D2D" w:rsidRPr="008D2E72" w:rsidRDefault="00642C1A">
      <w:pPr>
        <w:pStyle w:val="Corpodotexto"/>
        <w:spacing w:after="0" w:line="240" w:lineRule="auto"/>
        <w:ind w:firstLine="737"/>
        <w:jc w:val="both"/>
        <w:rPr>
          <w:rFonts w:ascii="Times New Roman" w:hAnsi="Times New Roman" w:cs="Times New Roman"/>
          <w:color w:val="auto"/>
          <w:lang w:val="en-US"/>
        </w:rPr>
      </w:pPr>
      <w:r w:rsidRPr="008D2E72">
        <w:rPr>
          <w:rFonts w:ascii="Times New Roman" w:hAnsi="Times New Roman" w:cs="Times New Roman"/>
          <w:color w:val="auto"/>
          <w:highlight w:val="white"/>
        </w:rPr>
        <w:t>A teoria da escolha pública é uma escola de pensamento no campo da ciência política que contempla a aplicação de teorias e princ</w:t>
      </w:r>
      <w:r w:rsidRPr="008D2E72">
        <w:rPr>
          <w:rFonts w:ascii="Times New Roman" w:hAnsi="Times New Roman" w:cs="Times New Roman"/>
          <w:color w:val="auto"/>
        </w:rPr>
        <w:t xml:space="preserve">ípios econômicos (Buchanan, 2003b, p. 45). Em outras palavras, é análise científica do comportamento governamental e, em particular, do comportamento dos indivíduos a respeito do governo, afirma </w:t>
      </w:r>
      <w:proofErr w:type="spellStart"/>
      <w:r w:rsidRPr="008D2E72">
        <w:rPr>
          <w:rFonts w:ascii="Times New Roman" w:hAnsi="Times New Roman" w:cs="Times New Roman"/>
          <w:color w:val="auto"/>
        </w:rPr>
        <w:t>Tullock</w:t>
      </w:r>
      <w:proofErr w:type="spellEnd"/>
      <w:r w:rsidRPr="008D2E72">
        <w:rPr>
          <w:rFonts w:ascii="Times New Roman" w:hAnsi="Times New Roman" w:cs="Times New Roman"/>
          <w:color w:val="auto"/>
        </w:rPr>
        <w:t xml:space="preserve"> </w:t>
      </w:r>
      <w:proofErr w:type="spellStart"/>
      <w:r w:rsidRPr="008D2E72">
        <w:rPr>
          <w:rFonts w:ascii="Times New Roman" w:hAnsi="Times New Roman" w:cs="Times New Roman"/>
          <w:color w:val="auto"/>
        </w:rPr>
        <w:t>et</w:t>
      </w:r>
      <w:proofErr w:type="spellEnd"/>
      <w:r w:rsidRPr="008D2E72">
        <w:rPr>
          <w:rFonts w:ascii="Times New Roman" w:hAnsi="Times New Roman" w:cs="Times New Roman"/>
          <w:color w:val="auto"/>
        </w:rPr>
        <w:t xml:space="preserve"> al. (2002, p. 3).  Dentre os estudos e obras internacionais publicadas, destaca-se: </w:t>
      </w:r>
      <w:proofErr w:type="spellStart"/>
      <w:r w:rsidRPr="008D2E72">
        <w:rPr>
          <w:rFonts w:ascii="Times New Roman" w:hAnsi="Times New Roman" w:cs="Times New Roman"/>
          <w:color w:val="auto"/>
        </w:rPr>
        <w:t>Problems</w:t>
      </w:r>
      <w:proofErr w:type="spellEnd"/>
      <w:r w:rsidRPr="008D2E72">
        <w:rPr>
          <w:rFonts w:ascii="Times New Roman" w:hAnsi="Times New Roman" w:cs="Times New Roman"/>
          <w:color w:val="auto"/>
        </w:rPr>
        <w:t xml:space="preserve"> </w:t>
      </w:r>
      <w:proofErr w:type="spellStart"/>
      <w:r w:rsidRPr="008D2E72">
        <w:rPr>
          <w:rFonts w:ascii="Times New Roman" w:hAnsi="Times New Roman" w:cs="Times New Roman"/>
          <w:color w:val="auto"/>
        </w:rPr>
        <w:t>of</w:t>
      </w:r>
      <w:proofErr w:type="spellEnd"/>
      <w:r w:rsidRPr="008D2E72">
        <w:rPr>
          <w:rFonts w:ascii="Times New Roman" w:hAnsi="Times New Roman" w:cs="Times New Roman"/>
          <w:color w:val="auto"/>
        </w:rPr>
        <w:t xml:space="preserve"> </w:t>
      </w:r>
      <w:proofErr w:type="spellStart"/>
      <w:r w:rsidRPr="008D2E72">
        <w:rPr>
          <w:rFonts w:ascii="Times New Roman" w:hAnsi="Times New Roman" w:cs="Times New Roman"/>
          <w:color w:val="auto"/>
        </w:rPr>
        <w:t>majority</w:t>
      </w:r>
      <w:proofErr w:type="spellEnd"/>
      <w:r w:rsidRPr="008D2E72">
        <w:rPr>
          <w:rFonts w:ascii="Times New Roman" w:hAnsi="Times New Roman" w:cs="Times New Roman"/>
          <w:color w:val="auto"/>
        </w:rPr>
        <w:t xml:space="preserve"> </w:t>
      </w:r>
      <w:proofErr w:type="spellStart"/>
      <w:r w:rsidRPr="008D2E72">
        <w:rPr>
          <w:rFonts w:ascii="Times New Roman" w:hAnsi="Times New Roman" w:cs="Times New Roman"/>
          <w:color w:val="auto"/>
        </w:rPr>
        <w:t>voting</w:t>
      </w:r>
      <w:proofErr w:type="spellEnd"/>
      <w:r w:rsidRPr="008D2E72">
        <w:rPr>
          <w:rFonts w:ascii="Times New Roman" w:hAnsi="Times New Roman" w:cs="Times New Roman"/>
          <w:color w:val="auto"/>
        </w:rPr>
        <w:t xml:space="preserve"> (1959) de </w:t>
      </w:r>
      <w:proofErr w:type="spellStart"/>
      <w:r w:rsidRPr="008D2E72">
        <w:rPr>
          <w:rFonts w:ascii="Times New Roman" w:hAnsi="Times New Roman" w:cs="Times New Roman"/>
          <w:color w:val="auto"/>
        </w:rPr>
        <w:t>Tullock</w:t>
      </w:r>
      <w:proofErr w:type="spellEnd"/>
      <w:r w:rsidRPr="008D2E72">
        <w:rPr>
          <w:rFonts w:ascii="Times New Roman" w:hAnsi="Times New Roman" w:cs="Times New Roman"/>
          <w:color w:val="auto"/>
        </w:rPr>
        <w:t xml:space="preserve">; </w:t>
      </w:r>
      <w:proofErr w:type="spellStart"/>
      <w:r w:rsidRPr="008D2E72">
        <w:rPr>
          <w:rFonts w:ascii="Times New Roman" w:hAnsi="Times New Roman" w:cs="Times New Roman"/>
          <w:color w:val="auto"/>
        </w:rPr>
        <w:t>The</w:t>
      </w:r>
      <w:proofErr w:type="spellEnd"/>
      <w:r w:rsidRPr="008D2E72">
        <w:rPr>
          <w:rFonts w:ascii="Times New Roman" w:hAnsi="Times New Roman" w:cs="Times New Roman"/>
          <w:color w:val="auto"/>
        </w:rPr>
        <w:t xml:space="preserve"> </w:t>
      </w:r>
      <w:proofErr w:type="spellStart"/>
      <w:r w:rsidRPr="008D2E72">
        <w:rPr>
          <w:rFonts w:ascii="Times New Roman" w:hAnsi="Times New Roman" w:cs="Times New Roman"/>
          <w:color w:val="auto"/>
        </w:rPr>
        <w:t>calculus</w:t>
      </w:r>
      <w:proofErr w:type="spellEnd"/>
      <w:r w:rsidRPr="008D2E72">
        <w:rPr>
          <w:rFonts w:ascii="Times New Roman" w:hAnsi="Times New Roman" w:cs="Times New Roman"/>
          <w:color w:val="auto"/>
        </w:rPr>
        <w:t xml:space="preserve"> </w:t>
      </w:r>
      <w:proofErr w:type="spellStart"/>
      <w:r w:rsidRPr="008D2E72">
        <w:rPr>
          <w:rFonts w:ascii="Times New Roman" w:hAnsi="Times New Roman" w:cs="Times New Roman"/>
          <w:color w:val="auto"/>
        </w:rPr>
        <w:t>of</w:t>
      </w:r>
      <w:proofErr w:type="spellEnd"/>
      <w:r w:rsidRPr="008D2E72">
        <w:rPr>
          <w:rFonts w:ascii="Times New Roman" w:hAnsi="Times New Roman" w:cs="Times New Roman"/>
          <w:color w:val="auto"/>
        </w:rPr>
        <w:t xml:space="preserve"> </w:t>
      </w:r>
      <w:proofErr w:type="spellStart"/>
      <w:r w:rsidRPr="008D2E72">
        <w:rPr>
          <w:rFonts w:ascii="Times New Roman" w:hAnsi="Times New Roman" w:cs="Times New Roman"/>
          <w:color w:val="auto"/>
        </w:rPr>
        <w:t>consent</w:t>
      </w:r>
      <w:proofErr w:type="spellEnd"/>
      <w:r w:rsidRPr="008D2E72">
        <w:rPr>
          <w:rFonts w:ascii="Times New Roman" w:hAnsi="Times New Roman" w:cs="Times New Roman"/>
          <w:color w:val="auto"/>
        </w:rPr>
        <w:t xml:space="preserve"> de Buchanan, J. M., &amp; </w:t>
      </w:r>
      <w:proofErr w:type="spellStart"/>
      <w:r w:rsidRPr="008D2E72">
        <w:rPr>
          <w:rFonts w:ascii="Times New Roman" w:hAnsi="Times New Roman" w:cs="Times New Roman"/>
          <w:color w:val="auto"/>
        </w:rPr>
        <w:t>Tullock</w:t>
      </w:r>
      <w:proofErr w:type="spellEnd"/>
      <w:r w:rsidRPr="008D2E72">
        <w:rPr>
          <w:rFonts w:ascii="Times New Roman" w:hAnsi="Times New Roman" w:cs="Times New Roman"/>
          <w:color w:val="auto"/>
        </w:rPr>
        <w:t xml:space="preserve">, G. (1962). </w:t>
      </w:r>
      <w:r w:rsidRPr="008D2E72">
        <w:rPr>
          <w:rFonts w:ascii="Times New Roman" w:hAnsi="Times New Roman" w:cs="Times New Roman"/>
          <w:color w:val="auto"/>
          <w:lang w:val="en-US"/>
        </w:rPr>
        <w:t xml:space="preserve">Government failure: a primer in public choice de </w:t>
      </w:r>
      <w:proofErr w:type="spellStart"/>
      <w:r w:rsidRPr="008D2E72">
        <w:rPr>
          <w:rFonts w:ascii="Times New Roman" w:hAnsi="Times New Roman" w:cs="Times New Roman"/>
          <w:color w:val="auto"/>
          <w:lang w:val="en-US"/>
        </w:rPr>
        <w:t>Tullock</w:t>
      </w:r>
      <w:proofErr w:type="spellEnd"/>
      <w:r w:rsidRPr="008D2E72">
        <w:rPr>
          <w:rFonts w:ascii="Times New Roman" w:hAnsi="Times New Roman" w:cs="Times New Roman"/>
          <w:color w:val="auto"/>
          <w:lang w:val="en-US"/>
        </w:rPr>
        <w:t xml:space="preserve">, Brady &amp; </w:t>
      </w:r>
      <w:proofErr w:type="spellStart"/>
      <w:r w:rsidRPr="008D2E72">
        <w:rPr>
          <w:rFonts w:ascii="Times New Roman" w:hAnsi="Times New Roman" w:cs="Times New Roman"/>
          <w:color w:val="auto"/>
          <w:lang w:val="en-US"/>
        </w:rPr>
        <w:t>Seldon</w:t>
      </w:r>
      <w:proofErr w:type="spellEnd"/>
      <w:r w:rsidRPr="008D2E72">
        <w:rPr>
          <w:rFonts w:ascii="Times New Roman" w:hAnsi="Times New Roman" w:cs="Times New Roman"/>
          <w:color w:val="auto"/>
          <w:lang w:val="en-US"/>
        </w:rPr>
        <w:t xml:space="preserve"> (2002) </w:t>
      </w:r>
      <w:proofErr w:type="spellStart"/>
      <w:r w:rsidRPr="008D2E72">
        <w:rPr>
          <w:rFonts w:ascii="Times New Roman" w:hAnsi="Times New Roman" w:cs="Times New Roman"/>
          <w:color w:val="auto"/>
          <w:lang w:val="en-US"/>
        </w:rPr>
        <w:t>que</w:t>
      </w:r>
      <w:proofErr w:type="spellEnd"/>
      <w:r w:rsidRPr="008D2E72">
        <w:rPr>
          <w:rFonts w:ascii="Times New Roman" w:hAnsi="Times New Roman" w:cs="Times New Roman"/>
          <w:color w:val="auto"/>
          <w:lang w:val="en-US"/>
        </w:rPr>
        <w:t xml:space="preserve"> </w:t>
      </w:r>
      <w:proofErr w:type="spellStart"/>
      <w:r w:rsidRPr="008D2E72">
        <w:rPr>
          <w:rFonts w:ascii="Times New Roman" w:hAnsi="Times New Roman" w:cs="Times New Roman"/>
          <w:color w:val="auto"/>
          <w:lang w:val="en-US"/>
        </w:rPr>
        <w:t>contempla</w:t>
      </w:r>
      <w:proofErr w:type="spellEnd"/>
      <w:r w:rsidRPr="008D2E72">
        <w:rPr>
          <w:rFonts w:ascii="Times New Roman" w:hAnsi="Times New Roman" w:cs="Times New Roman"/>
          <w:color w:val="auto"/>
          <w:lang w:val="en-US"/>
        </w:rPr>
        <w:t xml:space="preserve"> </w:t>
      </w:r>
      <w:proofErr w:type="spellStart"/>
      <w:r w:rsidRPr="008D2E72">
        <w:rPr>
          <w:rFonts w:ascii="Times New Roman" w:hAnsi="Times New Roman" w:cs="Times New Roman"/>
          <w:color w:val="auto"/>
          <w:lang w:val="en-US"/>
        </w:rPr>
        <w:t>empirismo</w:t>
      </w:r>
      <w:proofErr w:type="spellEnd"/>
      <w:r w:rsidRPr="008D2E72">
        <w:rPr>
          <w:rFonts w:ascii="Times New Roman" w:hAnsi="Times New Roman" w:cs="Times New Roman"/>
          <w:color w:val="auto"/>
          <w:lang w:val="en-US"/>
        </w:rPr>
        <w:t xml:space="preserve"> e Public Choice – A Primer de Butler (2012). </w:t>
      </w:r>
    </w:p>
    <w:p w:rsidR="00805D2D" w:rsidRPr="008D2E72" w:rsidRDefault="00642C1A">
      <w:pPr>
        <w:ind w:firstLine="709"/>
        <w:jc w:val="both"/>
        <w:rPr>
          <w:color w:val="auto"/>
          <w:sz w:val="24"/>
          <w:szCs w:val="24"/>
        </w:rPr>
      </w:pPr>
      <w:r w:rsidRPr="008D2E72">
        <w:rPr>
          <w:color w:val="auto"/>
          <w:sz w:val="24"/>
          <w:szCs w:val="24"/>
        </w:rPr>
        <w:t xml:space="preserve">O marco ocorreu em 1986 quando o fundador James Buchanan Jr. foi laureado com o Prêmio Nobel da Academia de Estocolmo em Economia Política Constitucional (Buchanan, 2003b) por </w:t>
      </w:r>
      <w:r w:rsidRPr="008D2E72">
        <w:rPr>
          <w:color w:val="auto"/>
          <w:sz w:val="24"/>
          <w:szCs w:val="24"/>
          <w:lang w:val="pt-PT"/>
        </w:rPr>
        <w:t>explicar a natureza da exploração nos sistemas eleitorais, o interesse próprio dos políticos e dos burocratas, o poder dos grupos de interesse, e o papel potencial que as restrições constitucionais poderiam ter no processo da tomada de decisões públicas (</w:t>
      </w:r>
      <w:proofErr w:type="spellStart"/>
      <w:r w:rsidRPr="008D2E72">
        <w:rPr>
          <w:color w:val="auto"/>
          <w:sz w:val="24"/>
          <w:szCs w:val="24"/>
        </w:rPr>
        <w:t>Butler</w:t>
      </w:r>
      <w:proofErr w:type="spellEnd"/>
      <w:r w:rsidRPr="008D2E72">
        <w:rPr>
          <w:color w:val="auto"/>
          <w:sz w:val="24"/>
          <w:szCs w:val="24"/>
        </w:rPr>
        <w:t xml:space="preserve">, 2012, p.25). O coautor da teoria é o estudioso Gordon </w:t>
      </w:r>
      <w:proofErr w:type="spellStart"/>
      <w:r w:rsidRPr="008D2E72">
        <w:rPr>
          <w:color w:val="auto"/>
          <w:sz w:val="24"/>
          <w:szCs w:val="24"/>
        </w:rPr>
        <w:t>Tullock</w:t>
      </w:r>
      <w:proofErr w:type="spellEnd"/>
      <w:r w:rsidRPr="008D2E72">
        <w:rPr>
          <w:color w:val="auto"/>
          <w:sz w:val="24"/>
          <w:szCs w:val="24"/>
        </w:rPr>
        <w:t>.</w:t>
      </w:r>
    </w:p>
    <w:p w:rsidR="00805D2D" w:rsidRPr="008D2E72" w:rsidRDefault="00642C1A">
      <w:pPr>
        <w:ind w:firstLine="709"/>
        <w:jc w:val="both"/>
        <w:rPr>
          <w:color w:val="auto"/>
          <w:sz w:val="24"/>
          <w:szCs w:val="24"/>
        </w:rPr>
      </w:pPr>
      <w:r w:rsidRPr="008D2E72">
        <w:rPr>
          <w:color w:val="auto"/>
          <w:sz w:val="24"/>
          <w:szCs w:val="24"/>
        </w:rPr>
        <w:t xml:space="preserve">Neste cenário, os atores ou indivíduos envolvidos no processo decisório político e governamental são expressados por eleitores, grupos de interesses, agentes públicos, gestores políticos e legisladores que se utilizam do processo eleitoral para promover seus interesses privados, como ocorre no mercado </w:t>
      </w:r>
      <w:r w:rsidRPr="008D2E72">
        <w:rPr>
          <w:rStyle w:val="apple-converted-space"/>
          <w:color w:val="auto"/>
          <w:sz w:val="24"/>
          <w:szCs w:val="24"/>
        </w:rPr>
        <w:t>(</w:t>
      </w:r>
      <w:r w:rsidRPr="008D2E72">
        <w:rPr>
          <w:color w:val="auto"/>
          <w:sz w:val="24"/>
          <w:szCs w:val="24"/>
        </w:rPr>
        <w:t xml:space="preserve">Buchanan, 1984,1999a, 2000; </w:t>
      </w:r>
      <w:proofErr w:type="spellStart"/>
      <w:r w:rsidRPr="008D2E72">
        <w:rPr>
          <w:color w:val="auto"/>
          <w:sz w:val="24"/>
          <w:szCs w:val="24"/>
        </w:rPr>
        <w:t>Butler</w:t>
      </w:r>
      <w:proofErr w:type="spellEnd"/>
      <w:r w:rsidRPr="008D2E72">
        <w:rPr>
          <w:color w:val="auto"/>
          <w:sz w:val="24"/>
          <w:szCs w:val="24"/>
        </w:rPr>
        <w:t>, 2012). Assim, a escolha pública, então, analisa como as motivações destes indivíduos afetam o resultado de tomada de decisão coletiva (</w:t>
      </w:r>
      <w:proofErr w:type="spellStart"/>
      <w:r w:rsidRPr="008D2E72">
        <w:rPr>
          <w:color w:val="auto"/>
          <w:sz w:val="24"/>
          <w:szCs w:val="24"/>
        </w:rPr>
        <w:t>Butler</w:t>
      </w:r>
      <w:proofErr w:type="spellEnd"/>
      <w:r w:rsidRPr="008D2E72">
        <w:rPr>
          <w:color w:val="auto"/>
          <w:sz w:val="24"/>
          <w:szCs w:val="24"/>
        </w:rPr>
        <w:t>, 2012, p.25).</w:t>
      </w:r>
    </w:p>
    <w:p w:rsidR="00805D2D" w:rsidRPr="008D2E72" w:rsidRDefault="00642C1A">
      <w:pPr>
        <w:ind w:firstLine="709"/>
        <w:jc w:val="both"/>
        <w:rPr>
          <w:color w:val="auto"/>
          <w:sz w:val="24"/>
          <w:szCs w:val="24"/>
        </w:rPr>
      </w:pPr>
      <w:r w:rsidRPr="008D2E72">
        <w:rPr>
          <w:color w:val="auto"/>
          <w:sz w:val="24"/>
          <w:szCs w:val="24"/>
        </w:rPr>
        <w:t>Buchanan (1984) esclarece que decisões coletivas estão fundamentadas em regras específicas e subjetivas. Nesta acepção, o indivíduo racionalista, dotado de capacidade para prever o impacto de suas escolhas, reduz os custos esperados. Isso poder ocorrer tanto nas hipóteses de renúncia aos interesses pessoais, quanto em decisões que tenham por objeto apenas à maximização da utilidade esperada (Buchanan, 2004; Santiago, Borges &amp; Borges, 2015). Coase (1988, p.27) complementa que ao se deparar com mais de uma escolha possível, o ser humano avaliará que opção lhe oferece maior benefício, considerando os prejuízos, e optará pela que lhe for mais benéfica.</w:t>
      </w:r>
    </w:p>
    <w:p w:rsidR="00805D2D" w:rsidRPr="008D2E72" w:rsidRDefault="00642C1A">
      <w:pPr>
        <w:ind w:firstLine="709"/>
        <w:jc w:val="both"/>
        <w:rPr>
          <w:color w:val="auto"/>
          <w:sz w:val="24"/>
          <w:szCs w:val="24"/>
        </w:rPr>
      </w:pPr>
      <w:r w:rsidRPr="008D2E72">
        <w:rPr>
          <w:color w:val="auto"/>
          <w:sz w:val="24"/>
          <w:szCs w:val="24"/>
        </w:rPr>
        <w:t>Assim, ao considerarmos cinco grupos de pessoas em que um quer novas estradas, o outro se opõe violentamente porque deseja impostos mais enxutos. Um terceiro pensa que a verba pública deveria ser aplicada em defesa e o quarto em educação e cultura e o quinto em saúde, fica claro a divergência entre as opiniões. Dessa forma conflituosa torna-se impossível à condução de uma política sensata que priorize o interesse público (</w:t>
      </w:r>
      <w:proofErr w:type="spellStart"/>
      <w:r w:rsidRPr="008D2E72">
        <w:rPr>
          <w:color w:val="auto"/>
          <w:sz w:val="24"/>
          <w:szCs w:val="24"/>
        </w:rPr>
        <w:t>Butler</w:t>
      </w:r>
      <w:proofErr w:type="spellEnd"/>
      <w:r w:rsidRPr="008D2E72">
        <w:rPr>
          <w:color w:val="auto"/>
          <w:sz w:val="24"/>
          <w:szCs w:val="24"/>
        </w:rPr>
        <w:t>, 2012). E a democracia interpretada como regra da maioria, não poderia trabalhar para promover qualquer interesse geral ou público, afirma Buchanan (2003b, p. 1). Nessa forma, a concepção de que os agentes políticos buscam sempre promover o bem comum é afastada no arcabouço teórico e caracterizada por Buchanan (1999a) como “política sem romance”.</w:t>
      </w:r>
    </w:p>
    <w:p w:rsidR="00805D2D" w:rsidRPr="008D2E72" w:rsidRDefault="00642C1A">
      <w:pPr>
        <w:ind w:firstLine="709"/>
        <w:jc w:val="both"/>
        <w:rPr>
          <w:color w:val="auto"/>
          <w:sz w:val="24"/>
          <w:szCs w:val="24"/>
        </w:rPr>
      </w:pPr>
      <w:r w:rsidRPr="008D2E72">
        <w:rPr>
          <w:color w:val="auto"/>
          <w:sz w:val="24"/>
          <w:szCs w:val="24"/>
        </w:rPr>
        <w:lastRenderedPageBreak/>
        <w:t>Até porque o político em uma sociedade democrática ganha a vida ganhando as eleições (</w:t>
      </w:r>
      <w:proofErr w:type="spellStart"/>
      <w:r w:rsidRPr="008D2E72">
        <w:rPr>
          <w:color w:val="auto"/>
          <w:sz w:val="24"/>
          <w:szCs w:val="24"/>
        </w:rPr>
        <w:t>Butler</w:t>
      </w:r>
      <w:proofErr w:type="spellEnd"/>
      <w:r w:rsidRPr="008D2E72">
        <w:rPr>
          <w:color w:val="auto"/>
          <w:sz w:val="24"/>
          <w:szCs w:val="24"/>
        </w:rPr>
        <w:t>, 2012, p. 12). Nesta visão, o interesse próprio dos partidos políticos reside na obtenção dos votos. Eles precisam ganhar poder e posição (</w:t>
      </w:r>
      <w:proofErr w:type="spellStart"/>
      <w:r w:rsidRPr="008D2E72">
        <w:rPr>
          <w:color w:val="auto"/>
          <w:sz w:val="24"/>
          <w:szCs w:val="24"/>
        </w:rPr>
        <w:t>Butler</w:t>
      </w:r>
      <w:proofErr w:type="spellEnd"/>
      <w:r w:rsidRPr="008D2E72">
        <w:rPr>
          <w:color w:val="auto"/>
          <w:sz w:val="24"/>
          <w:szCs w:val="24"/>
        </w:rPr>
        <w:t xml:space="preserve">, 2012, p. 16). Contudo, esse processo pode gerar tanto benefícios quanto custos. </w:t>
      </w:r>
    </w:p>
    <w:p w:rsidR="00805D2D" w:rsidRPr="008D2E72" w:rsidRDefault="00642C1A">
      <w:pPr>
        <w:pStyle w:val="Pr-formataoHTML"/>
        <w:shd w:val="clear" w:color="auto" w:fill="FFFFFF"/>
        <w:tabs>
          <w:tab w:val="left" w:pos="709"/>
        </w:tabs>
        <w:jc w:val="both"/>
        <w:rPr>
          <w:color w:val="auto"/>
        </w:rPr>
      </w:pPr>
      <w:r w:rsidRPr="008D2E72">
        <w:rPr>
          <w:rFonts w:ascii="Times New Roman" w:hAnsi="Times New Roman" w:cs="Times New Roman"/>
          <w:color w:val="auto"/>
          <w:sz w:val="24"/>
          <w:szCs w:val="24"/>
        </w:rPr>
        <w:tab/>
        <w:t xml:space="preserve">A demanda por votos constitui um comércio ou </w:t>
      </w:r>
      <w:proofErr w:type="spellStart"/>
      <w:r w:rsidRPr="008D2E72">
        <w:rPr>
          <w:rFonts w:ascii="Times New Roman" w:hAnsi="Times New Roman" w:cs="Times New Roman"/>
          <w:i/>
          <w:color w:val="auto"/>
          <w:sz w:val="24"/>
          <w:szCs w:val="24"/>
        </w:rPr>
        <w:t>Logrolling</w:t>
      </w:r>
      <w:proofErr w:type="spellEnd"/>
      <w:r w:rsidRPr="008D2E72">
        <w:rPr>
          <w:rFonts w:ascii="Times New Roman" w:hAnsi="Times New Roman" w:cs="Times New Roman"/>
          <w:color w:val="auto"/>
          <w:sz w:val="24"/>
          <w:szCs w:val="24"/>
        </w:rPr>
        <w:t xml:space="preserve"> que se caracteriza pela conquista de apoio e trocas entre indivíduos e grupos. Inicialmente, ocorre quando um grupo sente algum problema como, por exemplo, a melhoria de estradas em sua localidade. Esse problema transforma-se em uma simples barganha com outros grupos de necessidades diferentes e indivíduos. No contexto legislativo, a votação dos pacotes de medidas, em que todos votam nos interesses uns dos outros, é uma característica de </w:t>
      </w:r>
      <w:proofErr w:type="spellStart"/>
      <w:r w:rsidRPr="008D2E72">
        <w:rPr>
          <w:rFonts w:ascii="Times New Roman" w:hAnsi="Times New Roman" w:cs="Times New Roman"/>
          <w:color w:val="auto"/>
          <w:sz w:val="24"/>
          <w:szCs w:val="24"/>
        </w:rPr>
        <w:t>logrolling</w:t>
      </w:r>
      <w:proofErr w:type="spellEnd"/>
      <w:r w:rsidRPr="008D2E72">
        <w:rPr>
          <w:rFonts w:ascii="Times New Roman" w:hAnsi="Times New Roman" w:cs="Times New Roman"/>
          <w:color w:val="auto"/>
          <w:sz w:val="24"/>
          <w:szCs w:val="24"/>
        </w:rPr>
        <w:t xml:space="preserve"> (</w:t>
      </w:r>
      <w:proofErr w:type="spellStart"/>
      <w:r w:rsidRPr="008D2E72">
        <w:rPr>
          <w:rFonts w:ascii="Times New Roman" w:hAnsi="Times New Roman" w:cs="Times New Roman"/>
          <w:color w:val="auto"/>
          <w:sz w:val="24"/>
          <w:szCs w:val="24"/>
        </w:rPr>
        <w:t>Tullock</w:t>
      </w:r>
      <w:proofErr w:type="spellEnd"/>
      <w:r w:rsidRPr="008D2E72">
        <w:rPr>
          <w:rFonts w:ascii="Times New Roman" w:hAnsi="Times New Roman" w:cs="Times New Roman"/>
          <w:color w:val="auto"/>
          <w:sz w:val="24"/>
          <w:szCs w:val="24"/>
        </w:rPr>
        <w:t xml:space="preserve">, </w:t>
      </w:r>
      <w:proofErr w:type="spellStart"/>
      <w:r w:rsidRPr="008D2E72">
        <w:rPr>
          <w:rFonts w:ascii="Times New Roman" w:hAnsi="Times New Roman" w:cs="Times New Roman"/>
          <w:color w:val="auto"/>
          <w:sz w:val="24"/>
          <w:szCs w:val="24"/>
        </w:rPr>
        <w:t>et</w:t>
      </w:r>
      <w:proofErr w:type="spellEnd"/>
      <w:r w:rsidRPr="008D2E72">
        <w:rPr>
          <w:rFonts w:ascii="Times New Roman" w:hAnsi="Times New Roman" w:cs="Times New Roman"/>
          <w:color w:val="auto"/>
          <w:sz w:val="24"/>
          <w:szCs w:val="24"/>
        </w:rPr>
        <w:t xml:space="preserve"> al.,  2002; </w:t>
      </w:r>
      <w:proofErr w:type="spellStart"/>
      <w:r w:rsidRPr="008D2E72">
        <w:rPr>
          <w:rFonts w:ascii="Times New Roman" w:hAnsi="Times New Roman" w:cs="Times New Roman"/>
          <w:color w:val="auto"/>
          <w:sz w:val="24"/>
          <w:szCs w:val="24"/>
        </w:rPr>
        <w:t>Butler</w:t>
      </w:r>
      <w:proofErr w:type="spellEnd"/>
      <w:r w:rsidRPr="008D2E72">
        <w:rPr>
          <w:rFonts w:ascii="Times New Roman" w:hAnsi="Times New Roman" w:cs="Times New Roman"/>
          <w:color w:val="auto"/>
          <w:sz w:val="24"/>
          <w:szCs w:val="24"/>
        </w:rPr>
        <w:t xml:space="preserve">, 2012). </w:t>
      </w:r>
    </w:p>
    <w:p w:rsidR="00805D2D" w:rsidRPr="008D2E72" w:rsidRDefault="00642C1A">
      <w:pPr>
        <w:pStyle w:val="Pr-formataoHTML"/>
        <w:shd w:val="clear" w:color="auto" w:fill="FFFFFF"/>
        <w:tabs>
          <w:tab w:val="left" w:pos="709"/>
        </w:tabs>
        <w:jc w:val="both"/>
        <w:rPr>
          <w:color w:val="auto"/>
        </w:rPr>
      </w:pPr>
      <w:r w:rsidRPr="008D2E72">
        <w:rPr>
          <w:rFonts w:ascii="Times New Roman" w:hAnsi="Times New Roman" w:cs="Times New Roman"/>
          <w:color w:val="auto"/>
          <w:sz w:val="24"/>
          <w:szCs w:val="24"/>
        </w:rPr>
        <w:tab/>
        <w:t xml:space="preserve">Estudos de </w:t>
      </w:r>
      <w:bookmarkStart w:id="1" w:name="bbib0013"/>
      <w:r w:rsidRPr="008D2E72">
        <w:rPr>
          <w:rStyle w:val="LinkdaInternet"/>
          <w:rFonts w:ascii="Times New Roman" w:hAnsi="Times New Roman" w:cs="Times New Roman"/>
          <w:color w:val="auto"/>
          <w:sz w:val="24"/>
          <w:szCs w:val="24"/>
          <w:u w:val="none"/>
        </w:rPr>
        <w:t xml:space="preserve">Cohen e </w:t>
      </w:r>
      <w:proofErr w:type="spellStart"/>
      <w:r w:rsidRPr="008D2E72">
        <w:rPr>
          <w:rStyle w:val="LinkdaInternet"/>
          <w:rFonts w:ascii="Times New Roman" w:hAnsi="Times New Roman" w:cs="Times New Roman"/>
          <w:color w:val="auto"/>
          <w:sz w:val="24"/>
          <w:szCs w:val="24"/>
          <w:u w:val="none"/>
        </w:rPr>
        <w:t>Malloy</w:t>
      </w:r>
      <w:proofErr w:type="spellEnd"/>
      <w:r w:rsidRPr="008D2E72">
        <w:rPr>
          <w:rStyle w:val="LinkdaInternet"/>
          <w:rFonts w:ascii="Times New Roman" w:hAnsi="Times New Roman" w:cs="Times New Roman"/>
          <w:color w:val="auto"/>
          <w:sz w:val="24"/>
          <w:szCs w:val="24"/>
          <w:u w:val="none"/>
        </w:rPr>
        <w:t xml:space="preserve"> (2014)</w:t>
      </w:r>
      <w:bookmarkEnd w:id="1"/>
      <w:r w:rsidR="00AF2DFB" w:rsidRPr="008D2E72">
        <w:rPr>
          <w:rStyle w:val="LinkdaInternet"/>
          <w:rFonts w:ascii="Times New Roman" w:hAnsi="Times New Roman" w:cs="Times New Roman"/>
          <w:color w:val="auto"/>
          <w:sz w:val="24"/>
          <w:szCs w:val="24"/>
          <w:u w:val="none"/>
        </w:rPr>
        <w:t xml:space="preserve"> </w:t>
      </w:r>
      <w:r w:rsidRPr="008D2E72">
        <w:rPr>
          <w:rFonts w:ascii="Times New Roman" w:hAnsi="Times New Roman" w:cs="Times New Roman"/>
          <w:color w:val="auto"/>
          <w:sz w:val="24"/>
          <w:szCs w:val="24"/>
          <w:lang w:val="pt-PT"/>
        </w:rPr>
        <w:t>identificam que as conexões pessoais entre os políticos e estudantes nos Estados Unidos têm um impacto significativo no comportamento do voto no senado. Desse modo, redes baseadas em conexões podem funcionar como mecanismo de logrolling, e se mantido, pode aumentar os benefícios de reciprocidade e gerar mais favor. Identificam também que o comércio de troca de favores praticado corresponde aos custos de fornecimento e dos benefícios que serão recebidos.</w:t>
      </w:r>
    </w:p>
    <w:p w:rsidR="00805D2D" w:rsidRPr="008D2E72" w:rsidRDefault="00642C1A">
      <w:pPr>
        <w:jc w:val="both"/>
        <w:rPr>
          <w:color w:val="auto"/>
        </w:rPr>
      </w:pPr>
      <w:r w:rsidRPr="008D2E72">
        <w:rPr>
          <w:color w:val="auto"/>
          <w:sz w:val="24"/>
          <w:szCs w:val="24"/>
        </w:rPr>
        <w:tab/>
        <w:t xml:space="preserve">A busca por renda ou </w:t>
      </w:r>
      <w:proofErr w:type="spellStart"/>
      <w:r w:rsidRPr="008D2E72">
        <w:rPr>
          <w:i/>
          <w:color w:val="auto"/>
          <w:sz w:val="24"/>
          <w:szCs w:val="24"/>
        </w:rPr>
        <w:t>Rent</w:t>
      </w:r>
      <w:proofErr w:type="spellEnd"/>
      <w:r w:rsidRPr="008D2E72">
        <w:rPr>
          <w:i/>
          <w:color w:val="auto"/>
          <w:sz w:val="24"/>
          <w:szCs w:val="24"/>
        </w:rPr>
        <w:t xml:space="preserve"> </w:t>
      </w:r>
      <w:proofErr w:type="spellStart"/>
      <w:r w:rsidRPr="008D2E72">
        <w:rPr>
          <w:i/>
          <w:color w:val="auto"/>
          <w:sz w:val="24"/>
          <w:szCs w:val="24"/>
        </w:rPr>
        <w:t>Seeking</w:t>
      </w:r>
      <w:proofErr w:type="spellEnd"/>
      <w:r w:rsidRPr="008D2E72">
        <w:rPr>
          <w:i/>
          <w:color w:val="auto"/>
          <w:sz w:val="24"/>
          <w:szCs w:val="24"/>
        </w:rPr>
        <w:t>,</w:t>
      </w:r>
      <w:r w:rsidRPr="008D2E72">
        <w:rPr>
          <w:color w:val="auto"/>
          <w:sz w:val="24"/>
          <w:szCs w:val="24"/>
        </w:rPr>
        <w:t xml:space="preserve"> como conceitua </w:t>
      </w:r>
      <w:proofErr w:type="spellStart"/>
      <w:r w:rsidRPr="008D2E72">
        <w:rPr>
          <w:color w:val="auto"/>
          <w:sz w:val="24"/>
          <w:szCs w:val="24"/>
        </w:rPr>
        <w:t>Tullock</w:t>
      </w:r>
      <w:proofErr w:type="spellEnd"/>
      <w:r w:rsidRPr="008D2E72">
        <w:rPr>
          <w:color w:val="auto"/>
          <w:sz w:val="24"/>
          <w:szCs w:val="24"/>
        </w:rPr>
        <w:t xml:space="preserve"> </w:t>
      </w:r>
      <w:proofErr w:type="spellStart"/>
      <w:r w:rsidRPr="008D2E72">
        <w:rPr>
          <w:color w:val="auto"/>
          <w:sz w:val="24"/>
          <w:szCs w:val="24"/>
        </w:rPr>
        <w:t>et</w:t>
      </w:r>
      <w:proofErr w:type="spellEnd"/>
      <w:r w:rsidRPr="008D2E72">
        <w:rPr>
          <w:color w:val="auto"/>
          <w:sz w:val="24"/>
          <w:szCs w:val="24"/>
        </w:rPr>
        <w:t xml:space="preserve"> al. (2002), é um método utilizado para captação de monopólios nos mercados, e que são de fato tão substanciais que faz todo sentido grupos empregarem quantidade de tempo, esforço e recursos para captação. Isto pode ocorrer com empenho de esforços e dispêndios de recursos para criação ou permanência de monopólios, por meio de processos legais, como </w:t>
      </w:r>
      <w:r w:rsidR="00AF2DFB" w:rsidRPr="008D2E72">
        <w:rPr>
          <w:color w:val="auto"/>
          <w:sz w:val="24"/>
          <w:szCs w:val="24"/>
        </w:rPr>
        <w:t>patrocínios</w:t>
      </w:r>
      <w:r w:rsidRPr="008D2E72">
        <w:rPr>
          <w:color w:val="auto"/>
          <w:sz w:val="24"/>
          <w:szCs w:val="24"/>
        </w:rPr>
        <w:t xml:space="preserve"> e contribuições para os partidos políticos, ou por meio de procedimentos ilícitos, como subornos,</w:t>
      </w:r>
      <w:r w:rsidR="00AF2DFB" w:rsidRPr="008D2E72">
        <w:rPr>
          <w:color w:val="auto"/>
          <w:sz w:val="24"/>
          <w:szCs w:val="24"/>
        </w:rPr>
        <w:t xml:space="preserve"> presentes e propinas</w:t>
      </w:r>
      <w:r w:rsidRPr="008D2E72">
        <w:rPr>
          <w:rStyle w:val="apple-converted-space"/>
          <w:color w:val="auto"/>
          <w:sz w:val="24"/>
          <w:szCs w:val="24"/>
        </w:rPr>
        <w:t>. Dessa forma, q</w:t>
      </w:r>
      <w:r w:rsidRPr="008D2E72">
        <w:rPr>
          <w:color w:val="auto"/>
          <w:sz w:val="24"/>
          <w:szCs w:val="24"/>
        </w:rPr>
        <w:t xml:space="preserve">uanto maior forem os benefícios esperados em relação aos gastos de </w:t>
      </w:r>
      <w:proofErr w:type="spellStart"/>
      <w:r w:rsidRPr="008D2E72">
        <w:rPr>
          <w:i/>
          <w:color w:val="auto"/>
          <w:sz w:val="24"/>
          <w:szCs w:val="24"/>
        </w:rPr>
        <w:t>rent</w:t>
      </w:r>
      <w:proofErr w:type="spellEnd"/>
      <w:r w:rsidRPr="008D2E72">
        <w:rPr>
          <w:i/>
          <w:color w:val="auto"/>
          <w:sz w:val="24"/>
          <w:szCs w:val="24"/>
        </w:rPr>
        <w:t xml:space="preserve"> </w:t>
      </w:r>
      <w:proofErr w:type="spellStart"/>
      <w:r w:rsidRPr="008D2E72">
        <w:rPr>
          <w:i/>
          <w:color w:val="auto"/>
          <w:sz w:val="24"/>
          <w:szCs w:val="24"/>
        </w:rPr>
        <w:t>seeking</w:t>
      </w:r>
      <w:proofErr w:type="spellEnd"/>
      <w:r w:rsidRPr="008D2E72">
        <w:rPr>
          <w:color w:val="auto"/>
          <w:sz w:val="24"/>
          <w:szCs w:val="24"/>
        </w:rPr>
        <w:t>,</w:t>
      </w:r>
      <w:hyperlink r:id="rId7" w:anchor="bib0160" w:history="1">
        <w:r w:rsidRPr="008D2E72">
          <w:rPr>
            <w:rStyle w:val="LinkdaInternet"/>
            <w:color w:val="auto"/>
            <w:sz w:val="24"/>
            <w:szCs w:val="24"/>
            <w:u w:val="none"/>
          </w:rPr>
          <w:t>mais lucrativa e atraente será esta prática</w:t>
        </w:r>
      </w:hyperlink>
      <w:r w:rsidRPr="008D2E72">
        <w:rPr>
          <w:color w:val="auto"/>
          <w:sz w:val="24"/>
          <w:szCs w:val="24"/>
        </w:rPr>
        <w:t xml:space="preserve"> (</w:t>
      </w:r>
      <w:bookmarkStart w:id="2" w:name="bbib0160"/>
      <w:r w:rsidRPr="008D2E72">
        <w:rPr>
          <w:color w:val="auto"/>
          <w:sz w:val="24"/>
          <w:szCs w:val="24"/>
        </w:rPr>
        <w:t xml:space="preserve">Khan, 2000). </w:t>
      </w:r>
    </w:p>
    <w:p w:rsidR="00805D2D" w:rsidRPr="008D2E72" w:rsidRDefault="00642C1A">
      <w:pPr>
        <w:jc w:val="both"/>
        <w:rPr>
          <w:rStyle w:val="apple-converted-space"/>
          <w:color w:val="auto"/>
          <w:sz w:val="24"/>
          <w:szCs w:val="24"/>
        </w:rPr>
      </w:pPr>
      <w:r w:rsidRPr="008D2E72">
        <w:rPr>
          <w:rStyle w:val="apple-converted-space"/>
          <w:color w:val="auto"/>
          <w:sz w:val="24"/>
          <w:szCs w:val="24"/>
        </w:rPr>
        <w:tab/>
      </w:r>
      <w:r w:rsidRPr="008D2E72">
        <w:rPr>
          <w:color w:val="auto"/>
          <w:sz w:val="24"/>
          <w:szCs w:val="24"/>
        </w:rPr>
        <w:t xml:space="preserve">As formas pelas quais os efeitos de </w:t>
      </w:r>
      <w:proofErr w:type="spellStart"/>
      <w:r w:rsidRPr="008D2E72">
        <w:rPr>
          <w:i/>
          <w:color w:val="auto"/>
          <w:sz w:val="24"/>
          <w:szCs w:val="24"/>
        </w:rPr>
        <w:t>rent</w:t>
      </w:r>
      <w:proofErr w:type="spellEnd"/>
      <w:r w:rsidRPr="008D2E72">
        <w:rPr>
          <w:i/>
          <w:color w:val="auto"/>
          <w:sz w:val="24"/>
          <w:szCs w:val="24"/>
        </w:rPr>
        <w:t xml:space="preserve"> </w:t>
      </w:r>
      <w:proofErr w:type="spellStart"/>
      <w:r w:rsidRPr="008D2E72">
        <w:rPr>
          <w:i/>
          <w:color w:val="auto"/>
          <w:sz w:val="24"/>
          <w:szCs w:val="24"/>
        </w:rPr>
        <w:t>seeking</w:t>
      </w:r>
      <w:proofErr w:type="spellEnd"/>
      <w:r w:rsidRPr="008D2E72">
        <w:rPr>
          <w:color w:val="auto"/>
          <w:sz w:val="24"/>
          <w:szCs w:val="24"/>
        </w:rPr>
        <w:t xml:space="preserve"> impõem custos na outras pessoas são diversas (</w:t>
      </w:r>
      <w:proofErr w:type="spellStart"/>
      <w:r w:rsidRPr="008D2E72">
        <w:rPr>
          <w:color w:val="auto"/>
          <w:sz w:val="24"/>
          <w:szCs w:val="24"/>
        </w:rPr>
        <w:t>Butler</w:t>
      </w:r>
      <w:proofErr w:type="spellEnd"/>
      <w:r w:rsidRPr="008D2E72">
        <w:rPr>
          <w:color w:val="auto"/>
          <w:sz w:val="24"/>
          <w:szCs w:val="24"/>
        </w:rPr>
        <w:t xml:space="preserve">, 2012). </w:t>
      </w:r>
      <w:r w:rsidRPr="008D2E72">
        <w:rPr>
          <w:rStyle w:val="apple-converted-space"/>
          <w:color w:val="auto"/>
          <w:sz w:val="24"/>
          <w:szCs w:val="24"/>
        </w:rPr>
        <w:t>Estudos de Khan (2006) apontam a existência de custos econômicos na busca por rendas. Isso inclui a perda de recursos investidos em subornos e permanência de burocratas em altos cargos. Em um segundo ponto aponta o custo social sofrido em decorrência de rendas e restrições geradas pelo poder público, o que pode ser prejudicial, pois impõe custos monetários a sociedade. Estas rendas contemplam as geradas por monopólios e argumenta que os custos de transação se elevam nestas circunstâncias</w:t>
      </w:r>
      <w:bookmarkEnd w:id="2"/>
      <w:r w:rsidRPr="008D2E72">
        <w:rPr>
          <w:rStyle w:val="apple-converted-space"/>
          <w:color w:val="auto"/>
          <w:sz w:val="24"/>
          <w:szCs w:val="24"/>
        </w:rPr>
        <w:t>.  A limitação de poder discricionário do poder político e o aumento do custo de oportunidade da corrupção</w:t>
      </w:r>
      <w:r w:rsidR="00AF2DFB" w:rsidRPr="008D2E72">
        <w:rPr>
          <w:rStyle w:val="apple-converted-space"/>
          <w:color w:val="auto"/>
          <w:sz w:val="24"/>
          <w:szCs w:val="24"/>
        </w:rPr>
        <w:t xml:space="preserve"> -</w:t>
      </w:r>
      <w:r w:rsidRPr="008D2E72">
        <w:rPr>
          <w:rStyle w:val="apple-converted-space"/>
          <w:color w:val="auto"/>
          <w:sz w:val="24"/>
          <w:szCs w:val="24"/>
        </w:rPr>
        <w:t xml:space="preserve"> por meio do aumento de salário de funcionários do poder público, </w:t>
      </w:r>
      <w:r w:rsidRPr="008D2E72">
        <w:rPr>
          <w:color w:val="auto"/>
          <w:sz w:val="24"/>
          <w:szCs w:val="24"/>
        </w:rPr>
        <w:t>maior transparência na alocação de recursos públicos e agentes para tratar da corrupção</w:t>
      </w:r>
      <w:r w:rsidR="00AF2DFB" w:rsidRPr="008D2E72">
        <w:rPr>
          <w:color w:val="auto"/>
          <w:sz w:val="24"/>
          <w:szCs w:val="24"/>
        </w:rPr>
        <w:t xml:space="preserve"> -</w:t>
      </w:r>
      <w:r w:rsidRPr="008D2E72">
        <w:rPr>
          <w:color w:val="auto"/>
          <w:sz w:val="24"/>
          <w:szCs w:val="24"/>
        </w:rPr>
        <w:t xml:space="preserve"> aumentariam o custo esperado de se envolver em atos corruptos e são prováveis e </w:t>
      </w:r>
      <w:r w:rsidRPr="008D2E72">
        <w:rPr>
          <w:rStyle w:val="apple-converted-space"/>
          <w:color w:val="auto"/>
          <w:sz w:val="24"/>
          <w:szCs w:val="24"/>
        </w:rPr>
        <w:t xml:space="preserve">poderiam contribuir para a redução desta prática. </w:t>
      </w:r>
    </w:p>
    <w:p w:rsidR="00805D2D" w:rsidRPr="008D2E72" w:rsidRDefault="00642C1A">
      <w:pPr>
        <w:pStyle w:val="Corpodotexto"/>
        <w:spacing w:after="0" w:line="240" w:lineRule="auto"/>
        <w:ind w:firstLine="709"/>
        <w:jc w:val="both"/>
        <w:rPr>
          <w:rFonts w:ascii="Times New Roman" w:hAnsi="Times New Roman" w:cs="Times New Roman"/>
          <w:color w:val="auto"/>
          <w:lang w:val="pt-PT"/>
        </w:rPr>
      </w:pPr>
      <w:r w:rsidRPr="008D2E72">
        <w:rPr>
          <w:rStyle w:val="apple-converted-space"/>
          <w:rFonts w:ascii="Times New Roman" w:hAnsi="Times New Roman" w:cs="Times New Roman"/>
          <w:color w:val="auto"/>
        </w:rPr>
        <w:t xml:space="preserve">Com relação aos custos políticos </w:t>
      </w:r>
      <w:proofErr w:type="spellStart"/>
      <w:r w:rsidRPr="008D2E72">
        <w:rPr>
          <w:rStyle w:val="apple-converted-space"/>
          <w:rFonts w:ascii="Times New Roman" w:hAnsi="Times New Roman" w:cs="Times New Roman"/>
          <w:color w:val="auto"/>
        </w:rPr>
        <w:t>Butler</w:t>
      </w:r>
      <w:proofErr w:type="spellEnd"/>
      <w:r w:rsidRPr="008D2E72">
        <w:rPr>
          <w:rStyle w:val="apple-converted-space"/>
          <w:rFonts w:ascii="Times New Roman" w:hAnsi="Times New Roman" w:cs="Times New Roman"/>
          <w:color w:val="auto"/>
        </w:rPr>
        <w:t xml:space="preserve"> (2012) expõe que o </w:t>
      </w:r>
      <w:r w:rsidRPr="008D2E72">
        <w:rPr>
          <w:rFonts w:ascii="Times New Roman" w:hAnsi="Times New Roman" w:cs="Times New Roman"/>
          <w:color w:val="auto"/>
        </w:rPr>
        <w:t xml:space="preserve">interesse de </w:t>
      </w:r>
      <w:proofErr w:type="spellStart"/>
      <w:r w:rsidRPr="008D2E72">
        <w:rPr>
          <w:rFonts w:ascii="Times New Roman" w:hAnsi="Times New Roman" w:cs="Times New Roman"/>
          <w:i/>
          <w:color w:val="auto"/>
        </w:rPr>
        <w:t>rentistas</w:t>
      </w:r>
      <w:proofErr w:type="spellEnd"/>
      <w:r w:rsidRPr="008D2E72">
        <w:rPr>
          <w:rFonts w:ascii="Times New Roman" w:hAnsi="Times New Roman" w:cs="Times New Roman"/>
          <w:color w:val="auto"/>
        </w:rPr>
        <w:t xml:space="preserve"> por concessões que podem beneficiá-los, ajuda a explicar o motivo do </w:t>
      </w:r>
      <w:r w:rsidRPr="008D2E72">
        <w:rPr>
          <w:rFonts w:ascii="Times New Roman" w:hAnsi="Times New Roman" w:cs="Times New Roman"/>
          <w:i/>
          <w:color w:val="auto"/>
        </w:rPr>
        <w:t>lobby</w:t>
      </w:r>
      <w:r w:rsidRPr="008D2E72">
        <w:rPr>
          <w:rFonts w:ascii="Times New Roman" w:hAnsi="Times New Roman" w:cs="Times New Roman"/>
          <w:color w:val="auto"/>
        </w:rPr>
        <w:t xml:space="preserve"> ser caracterizado como indústria e razões que levam os políticos a conceder tantos monopólios.</w:t>
      </w:r>
      <w:r w:rsidR="00AF2DFB" w:rsidRPr="008D2E72">
        <w:rPr>
          <w:rFonts w:ascii="Times New Roman" w:hAnsi="Times New Roman" w:cs="Times New Roman"/>
          <w:color w:val="auto"/>
        </w:rPr>
        <w:t xml:space="preserve"> </w:t>
      </w:r>
      <w:r w:rsidRPr="008D2E72">
        <w:rPr>
          <w:rFonts w:ascii="Times New Roman" w:hAnsi="Times New Roman" w:cs="Times New Roman"/>
          <w:color w:val="auto"/>
          <w:lang w:val="pt-PT"/>
        </w:rPr>
        <w:t xml:space="preserve">Os ganhos obtidos não são provenientes apenas do status na concessão de privilégios aos locatários, mas também do seu poder de ameaçar decisões adversas sobre os outros, o que pode levar a uma corrupção total, com políticos, oficiais e grupos de interesse em troca de dinheiro ou favores pessoais. </w:t>
      </w:r>
    </w:p>
    <w:p w:rsidR="00805D2D" w:rsidRPr="008D2E72" w:rsidRDefault="00642C1A">
      <w:pPr>
        <w:pStyle w:val="Corpodotexto"/>
        <w:spacing w:after="0" w:line="240" w:lineRule="auto"/>
        <w:ind w:firstLine="709"/>
        <w:jc w:val="both"/>
        <w:rPr>
          <w:rFonts w:ascii="Times New Roman" w:hAnsi="Times New Roman" w:cs="Times New Roman"/>
          <w:color w:val="auto"/>
        </w:rPr>
      </w:pPr>
      <w:r w:rsidRPr="008D2E72">
        <w:rPr>
          <w:rFonts w:ascii="Times New Roman" w:hAnsi="Times New Roman" w:cs="Times New Roman"/>
          <w:color w:val="auto"/>
        </w:rPr>
        <w:t>A temática sobre corrupção tem significativos trabalhos no âmbito comportamental - como a ética das decisões (Jones, 1991) e redes sociais (Nielsen, 2003) – e jurídico – como a relação entre governo, política e o legislativo (</w:t>
      </w:r>
      <w:proofErr w:type="spellStart"/>
      <w:r w:rsidRPr="008D2E72">
        <w:rPr>
          <w:rFonts w:ascii="Times New Roman" w:hAnsi="Times New Roman" w:cs="Times New Roman"/>
          <w:color w:val="auto"/>
        </w:rPr>
        <w:t>Schleifer</w:t>
      </w:r>
      <w:proofErr w:type="spellEnd"/>
      <w:r w:rsidRPr="008D2E72">
        <w:rPr>
          <w:rFonts w:ascii="Times New Roman" w:hAnsi="Times New Roman" w:cs="Times New Roman"/>
          <w:color w:val="auto"/>
        </w:rPr>
        <w:t xml:space="preserve"> &amp; </w:t>
      </w:r>
      <w:proofErr w:type="spellStart"/>
      <w:r w:rsidRPr="008D2E72">
        <w:rPr>
          <w:rFonts w:ascii="Times New Roman" w:hAnsi="Times New Roman" w:cs="Times New Roman"/>
          <w:color w:val="auto"/>
        </w:rPr>
        <w:t>Vishny</w:t>
      </w:r>
      <w:proofErr w:type="spellEnd"/>
      <w:r w:rsidRPr="008D2E72">
        <w:rPr>
          <w:rFonts w:ascii="Times New Roman" w:hAnsi="Times New Roman" w:cs="Times New Roman"/>
          <w:color w:val="auto"/>
        </w:rPr>
        <w:t xml:space="preserve">, 1993; </w:t>
      </w:r>
      <w:proofErr w:type="spellStart"/>
      <w:r w:rsidRPr="008D2E72">
        <w:rPr>
          <w:rFonts w:ascii="Times New Roman" w:hAnsi="Times New Roman" w:cs="Times New Roman"/>
          <w:color w:val="auto"/>
        </w:rPr>
        <w:t>Jain</w:t>
      </w:r>
      <w:proofErr w:type="spellEnd"/>
      <w:r w:rsidRPr="008D2E72">
        <w:rPr>
          <w:rFonts w:ascii="Times New Roman" w:hAnsi="Times New Roman" w:cs="Times New Roman"/>
          <w:color w:val="auto"/>
        </w:rPr>
        <w:t>, 2001) e as normas sobre corrupção (</w:t>
      </w:r>
      <w:proofErr w:type="spellStart"/>
      <w:r w:rsidRPr="008D2E72">
        <w:rPr>
          <w:rFonts w:ascii="Times New Roman" w:hAnsi="Times New Roman" w:cs="Times New Roman"/>
          <w:color w:val="auto"/>
        </w:rPr>
        <w:t>Ashforth</w:t>
      </w:r>
      <w:proofErr w:type="spellEnd"/>
      <w:r w:rsidRPr="008D2E72">
        <w:rPr>
          <w:rFonts w:ascii="Times New Roman" w:hAnsi="Times New Roman" w:cs="Times New Roman"/>
          <w:color w:val="auto"/>
        </w:rPr>
        <w:t xml:space="preserve"> &amp; </w:t>
      </w:r>
      <w:proofErr w:type="spellStart"/>
      <w:r w:rsidRPr="008D2E72">
        <w:rPr>
          <w:rFonts w:ascii="Times New Roman" w:hAnsi="Times New Roman" w:cs="Times New Roman"/>
          <w:color w:val="auto"/>
        </w:rPr>
        <w:t>Anand</w:t>
      </w:r>
      <w:proofErr w:type="spellEnd"/>
      <w:r w:rsidRPr="008D2E72">
        <w:rPr>
          <w:rFonts w:ascii="Times New Roman" w:hAnsi="Times New Roman" w:cs="Times New Roman"/>
          <w:color w:val="auto"/>
        </w:rPr>
        <w:t xml:space="preserve">, 2003). </w:t>
      </w:r>
    </w:p>
    <w:p w:rsidR="00805D2D" w:rsidRPr="008D2E72" w:rsidRDefault="00642C1A">
      <w:pPr>
        <w:pStyle w:val="Corpodotexto"/>
        <w:spacing w:after="0" w:line="240" w:lineRule="auto"/>
        <w:ind w:firstLine="709"/>
        <w:jc w:val="both"/>
        <w:rPr>
          <w:rFonts w:ascii="Times New Roman" w:hAnsi="Times New Roman" w:cs="Times New Roman"/>
          <w:color w:val="auto"/>
        </w:rPr>
      </w:pPr>
      <w:r w:rsidRPr="008D2E72">
        <w:rPr>
          <w:rFonts w:ascii="Times New Roman" w:hAnsi="Times New Roman" w:cs="Times New Roman"/>
          <w:color w:val="auto"/>
        </w:rPr>
        <w:t xml:space="preserve">Entre os estudos realizados, </w:t>
      </w:r>
      <w:proofErr w:type="spellStart"/>
      <w:r w:rsidRPr="008D2E72">
        <w:rPr>
          <w:rFonts w:ascii="Times New Roman" w:hAnsi="Times New Roman" w:cs="Times New Roman"/>
          <w:color w:val="auto"/>
        </w:rPr>
        <w:t>Klitgaard</w:t>
      </w:r>
      <w:proofErr w:type="spellEnd"/>
      <w:r w:rsidRPr="008D2E72">
        <w:rPr>
          <w:rFonts w:ascii="Times New Roman" w:hAnsi="Times New Roman" w:cs="Times New Roman"/>
          <w:color w:val="auto"/>
        </w:rPr>
        <w:t xml:space="preserve"> (1991) apresenta uma análise do ato corrupto em três ângulos: como um fenômeno multidimensional que pode ocorrer em quaisquer tipos </w:t>
      </w:r>
      <w:r w:rsidRPr="008D2E72">
        <w:rPr>
          <w:rFonts w:ascii="Times New Roman" w:hAnsi="Times New Roman" w:cs="Times New Roman"/>
          <w:color w:val="auto"/>
        </w:rPr>
        <w:lastRenderedPageBreak/>
        <w:t xml:space="preserve">de organizações; como a ação de um grupo de pessoas cujo padrão ético não se encaixa no padrão moral estabelecido pela comunidade; e ao fato de que as pessoas </w:t>
      </w:r>
      <w:r w:rsidR="00AF2DFB" w:rsidRPr="008D2E72">
        <w:rPr>
          <w:rFonts w:ascii="Times New Roman" w:hAnsi="Times New Roman" w:cs="Times New Roman"/>
          <w:color w:val="auto"/>
        </w:rPr>
        <w:t xml:space="preserve">têm </w:t>
      </w:r>
      <w:r w:rsidRPr="008D2E72">
        <w:rPr>
          <w:rFonts w:ascii="Times New Roman" w:hAnsi="Times New Roman" w:cs="Times New Roman"/>
          <w:color w:val="auto"/>
        </w:rPr>
        <w:t>vontade própria e atuam de acordo com suas perspectivas de valor moral, em vez do padrão legal estabelecido.</w:t>
      </w:r>
    </w:p>
    <w:p w:rsidR="00805D2D" w:rsidRPr="008D2E72" w:rsidRDefault="00642C1A">
      <w:pPr>
        <w:ind w:firstLine="708"/>
        <w:jc w:val="both"/>
        <w:rPr>
          <w:color w:val="auto"/>
          <w:sz w:val="24"/>
          <w:szCs w:val="24"/>
          <w:highlight w:val="white"/>
        </w:rPr>
      </w:pPr>
      <w:r w:rsidRPr="008D2E72">
        <w:rPr>
          <w:color w:val="auto"/>
          <w:sz w:val="24"/>
          <w:szCs w:val="24"/>
        </w:rPr>
        <w:t>Em que pese o papel do corrupto ser sempre mais difícil de aparecer e a parte corrompida obter maior condenação, é o corruptor que desempenha o papel mais importante na relação, devido a pressão econômica, financeira e política para obter vantagem. Nessa situação, a lógica do lucro ou do ganho financeiro nos leva a concentrar todos os nossos esforços contra os corrompidos (</w:t>
      </w:r>
      <w:r w:rsidRPr="008D2E72">
        <w:rPr>
          <w:color w:val="auto"/>
          <w:sz w:val="24"/>
          <w:szCs w:val="24"/>
          <w:shd w:val="clear" w:color="auto" w:fill="FFFFFF"/>
        </w:rPr>
        <w:t>Lameira &amp; Bertrand, 2008).</w:t>
      </w:r>
    </w:p>
    <w:p w:rsidR="00805D2D" w:rsidRPr="008D2E72" w:rsidRDefault="00642C1A">
      <w:pPr>
        <w:ind w:firstLine="708"/>
        <w:jc w:val="both"/>
        <w:rPr>
          <w:color w:val="auto"/>
          <w:sz w:val="24"/>
          <w:szCs w:val="24"/>
          <w:highlight w:val="white"/>
        </w:rPr>
      </w:pPr>
      <w:r w:rsidRPr="008D2E72">
        <w:rPr>
          <w:color w:val="auto"/>
          <w:sz w:val="24"/>
          <w:szCs w:val="24"/>
          <w:shd w:val="clear" w:color="auto" w:fill="FFFFFF"/>
        </w:rPr>
        <w:t>Criada para buscar o fim da corrupção</w:t>
      </w:r>
      <w:r w:rsidR="00AF2DFB" w:rsidRPr="008D2E72">
        <w:rPr>
          <w:color w:val="auto"/>
          <w:sz w:val="24"/>
          <w:szCs w:val="24"/>
          <w:shd w:val="clear" w:color="auto" w:fill="FFFFFF"/>
        </w:rPr>
        <w:t>,</w:t>
      </w:r>
      <w:r w:rsidRPr="008D2E72">
        <w:rPr>
          <w:color w:val="auto"/>
          <w:sz w:val="24"/>
          <w:szCs w:val="24"/>
          <w:shd w:val="clear" w:color="auto" w:fill="FFFFFF"/>
        </w:rPr>
        <w:t xml:space="preserve"> a </w:t>
      </w:r>
      <w:proofErr w:type="spellStart"/>
      <w:r w:rsidRPr="008D2E72">
        <w:rPr>
          <w:color w:val="auto"/>
          <w:sz w:val="24"/>
          <w:szCs w:val="24"/>
          <w:shd w:val="clear" w:color="auto" w:fill="FFFFFF"/>
        </w:rPr>
        <w:t>Transparencia</w:t>
      </w:r>
      <w:proofErr w:type="spellEnd"/>
      <w:r w:rsidRPr="008D2E72">
        <w:rPr>
          <w:color w:val="auto"/>
          <w:sz w:val="24"/>
          <w:szCs w:val="24"/>
          <w:shd w:val="clear" w:color="auto" w:fill="FFFFFF"/>
        </w:rPr>
        <w:t xml:space="preserve"> Internacional é uma organização não governamental que instituiu índices de percepção de corrupção para 176  países. A Dinamarca e a Nova Zelândia, apresentaram maior escore positivo 90, seguida pela Finlândia, Suécia e Suíça, respectivamente 89, 88 e 86 de pontuação. Na América Latina, o ranking da corrupção de 2016 classificou em 79º lugar o Brasil com 40 pontos de escore; em 95º  Argentina com 36 de escore; em 123º Paraguai com 30; em 166º Uruguai com 71; e em 116º Venezuela com 17 de escore. Os países que ocuparam as últimas posições 173 a 176 foram: Síria, Coréia do Norte, Sudão do Sul e Somália (Transparência Internacional, 2017). </w:t>
      </w:r>
    </w:p>
    <w:p w:rsidR="00805D2D" w:rsidRPr="008D2E72" w:rsidRDefault="00642C1A">
      <w:pPr>
        <w:jc w:val="both"/>
        <w:rPr>
          <w:color w:val="auto"/>
          <w:sz w:val="24"/>
          <w:szCs w:val="24"/>
          <w:highlight w:val="white"/>
        </w:rPr>
      </w:pPr>
      <w:r w:rsidRPr="008D2E72">
        <w:rPr>
          <w:color w:val="auto"/>
          <w:sz w:val="24"/>
          <w:szCs w:val="24"/>
          <w:shd w:val="clear" w:color="auto" w:fill="FFFFFF"/>
        </w:rPr>
        <w:tab/>
        <w:t xml:space="preserve">Tendo o contexto teórico explanado nesta seção, na próxima será abordado o cenário </w:t>
      </w:r>
      <w:r w:rsidR="00AF2DFB" w:rsidRPr="008D2E72">
        <w:rPr>
          <w:color w:val="auto"/>
          <w:sz w:val="24"/>
          <w:szCs w:val="24"/>
          <w:shd w:val="clear" w:color="auto" w:fill="FFFFFF"/>
        </w:rPr>
        <w:t xml:space="preserve">nacional </w:t>
      </w:r>
      <w:r w:rsidRPr="008D2E72">
        <w:rPr>
          <w:color w:val="auto"/>
          <w:sz w:val="24"/>
          <w:szCs w:val="24"/>
          <w:shd w:val="clear" w:color="auto" w:fill="FFFFFF"/>
        </w:rPr>
        <w:t xml:space="preserve">a </w:t>
      </w:r>
      <w:r w:rsidR="00AF2DFB" w:rsidRPr="008D2E72">
        <w:rPr>
          <w:color w:val="auto"/>
          <w:sz w:val="24"/>
          <w:szCs w:val="24"/>
          <w:shd w:val="clear" w:color="auto" w:fill="FFFFFF"/>
        </w:rPr>
        <w:t xml:space="preserve">partir da </w:t>
      </w:r>
      <w:r w:rsidRPr="008D2E72">
        <w:rPr>
          <w:color w:val="auto"/>
          <w:sz w:val="24"/>
          <w:szCs w:val="24"/>
          <w:shd w:val="clear" w:color="auto" w:fill="FFFFFF"/>
        </w:rPr>
        <w:t>Operação Lava-Jato.</w:t>
      </w:r>
    </w:p>
    <w:p w:rsidR="00805D2D" w:rsidRPr="008D2E72" w:rsidRDefault="00805D2D">
      <w:pPr>
        <w:jc w:val="both"/>
        <w:rPr>
          <w:color w:val="auto"/>
          <w:sz w:val="24"/>
          <w:szCs w:val="24"/>
          <w:shd w:val="clear" w:color="auto" w:fill="FFFFFF"/>
        </w:rPr>
      </w:pPr>
    </w:p>
    <w:p w:rsidR="00805D2D" w:rsidRPr="008D2E72" w:rsidRDefault="00642C1A">
      <w:pPr>
        <w:jc w:val="both"/>
        <w:rPr>
          <w:b/>
          <w:bCs/>
          <w:color w:val="auto"/>
          <w:sz w:val="24"/>
          <w:szCs w:val="24"/>
        </w:rPr>
      </w:pPr>
      <w:r w:rsidRPr="008D2E72">
        <w:rPr>
          <w:b/>
          <w:bCs/>
          <w:color w:val="auto"/>
          <w:sz w:val="24"/>
          <w:szCs w:val="24"/>
        </w:rPr>
        <w:t>2.2 Cenário da Lava Jato</w:t>
      </w:r>
    </w:p>
    <w:p w:rsidR="00805D2D" w:rsidRPr="008D2E72" w:rsidRDefault="00642C1A">
      <w:pPr>
        <w:pStyle w:val="Corpodotexto"/>
        <w:spacing w:after="0" w:line="240" w:lineRule="auto"/>
        <w:ind w:firstLine="737"/>
        <w:jc w:val="both"/>
        <w:rPr>
          <w:rStyle w:val="nfaseforte"/>
          <w:rFonts w:ascii="Times New Roman" w:hAnsi="Times New Roman" w:cs="Times New Roman"/>
          <w:b w:val="0"/>
          <w:bCs w:val="0"/>
          <w:color w:val="auto"/>
        </w:rPr>
      </w:pPr>
      <w:r w:rsidRPr="008D2E72">
        <w:rPr>
          <w:rFonts w:ascii="Times New Roman" w:hAnsi="Times New Roman" w:cs="Times New Roman"/>
          <w:color w:val="auto"/>
        </w:rPr>
        <w:t xml:space="preserve">A Operação Lava Jato avançou para diferentes segmentos econômicos, níveis funcionais e obras. Foram centenas de pessoas e empresas investigadas, sendo que algumas dezenas de denúncias foram protocoladas na Justiça Federal, algumas já sentenciadas. </w:t>
      </w:r>
    </w:p>
    <w:p w:rsidR="00805D2D" w:rsidRPr="008D2E72" w:rsidRDefault="00642C1A">
      <w:pPr>
        <w:pStyle w:val="Corpodotexto"/>
        <w:spacing w:after="0" w:line="240" w:lineRule="auto"/>
        <w:ind w:firstLine="737"/>
        <w:jc w:val="both"/>
        <w:rPr>
          <w:rFonts w:ascii="Times New Roman" w:hAnsi="Times New Roman" w:cs="Times New Roman"/>
          <w:color w:val="auto"/>
        </w:rPr>
      </w:pPr>
      <w:r w:rsidRPr="008D2E72">
        <w:rPr>
          <w:rFonts w:ascii="Times New Roman" w:hAnsi="Times New Roman" w:cs="Times New Roman"/>
          <w:color w:val="auto"/>
        </w:rPr>
        <w:t>O termo “Lava Jato” que denomina a reconhecida Operação Lava-Jato decorre do emprego de postos de combustíveis e lava a jato de automóveis para movimentar recursos ilícitos pertencentes a uma das organizações criminosas inicialmente investigadas. Posteriormente a investigação avançou para outros crimes e segmentos, mas o nome inicial permaneceu (MPF, 2015).</w:t>
      </w:r>
    </w:p>
    <w:p w:rsidR="00805D2D" w:rsidRPr="008D2E72" w:rsidRDefault="00642C1A">
      <w:pPr>
        <w:pStyle w:val="Corpodotexto"/>
        <w:spacing w:after="0" w:line="240" w:lineRule="auto"/>
        <w:ind w:firstLine="737"/>
        <w:jc w:val="both"/>
        <w:rPr>
          <w:rFonts w:ascii="Times New Roman" w:hAnsi="Times New Roman" w:cs="Times New Roman"/>
          <w:color w:val="auto"/>
        </w:rPr>
      </w:pPr>
      <w:r w:rsidRPr="008D2E72">
        <w:rPr>
          <w:rFonts w:ascii="Times New Roman" w:hAnsi="Times New Roman" w:cs="Times New Roman"/>
          <w:color w:val="auto"/>
        </w:rPr>
        <w:t>No primeiro momento da investigação, desenvolvido a partir de março de 2014, foram investigadas e processadas quatro organizações criminosas lideradas por doleiros, operadores do mercado paralelo de câmbio. Posteriormente, o Ministério Público Federal (MPF) recolheu provas de um imenso esquema criminoso de corrupção envolvendo obras contratadas pela Petrobras</w:t>
      </w:r>
      <w:r w:rsidR="00AF2DFB" w:rsidRPr="008D2E72">
        <w:rPr>
          <w:rFonts w:ascii="Times New Roman" w:hAnsi="Times New Roman" w:cs="Times New Roman"/>
          <w:color w:val="auto"/>
        </w:rPr>
        <w:t xml:space="preserve"> (MPF, 2015)</w:t>
      </w:r>
      <w:r w:rsidRPr="008D2E72">
        <w:rPr>
          <w:rFonts w:ascii="Times New Roman" w:hAnsi="Times New Roman" w:cs="Times New Roman"/>
          <w:color w:val="auto"/>
        </w:rPr>
        <w:t xml:space="preserve">. </w:t>
      </w:r>
    </w:p>
    <w:p w:rsidR="00805D2D" w:rsidRPr="008D2E72" w:rsidRDefault="00642C1A">
      <w:pPr>
        <w:pStyle w:val="Corpodotexto"/>
        <w:spacing w:after="0" w:line="240" w:lineRule="auto"/>
        <w:ind w:firstLine="737"/>
        <w:jc w:val="both"/>
        <w:rPr>
          <w:rFonts w:ascii="Times New Roman" w:hAnsi="Times New Roman" w:cs="Times New Roman"/>
          <w:color w:val="auto"/>
        </w:rPr>
      </w:pPr>
      <w:r w:rsidRPr="008D2E72">
        <w:rPr>
          <w:rFonts w:ascii="Times New Roman" w:hAnsi="Times New Roman" w:cs="Times New Roman"/>
          <w:color w:val="auto"/>
        </w:rPr>
        <w:t>Nesse esquema, que teria tido início há mais de dez anos, grandes empreiteiras organizadas em cartel pagavam propina para altos executivos da estatal e outros agentes públicos. O valor da propina variava de 1% a 5% do montante total de contratos bilionários superfaturados. Esse benefício indevido seria distribuído por meio de operadores financeiros do esquema, incluindo doleiros investigados na primeira etapa</w:t>
      </w:r>
      <w:r w:rsidR="00AF2DFB" w:rsidRPr="008D2E72">
        <w:rPr>
          <w:rFonts w:ascii="Times New Roman" w:hAnsi="Times New Roman" w:cs="Times New Roman"/>
          <w:color w:val="auto"/>
        </w:rPr>
        <w:t xml:space="preserve"> (MPF, 2015)</w:t>
      </w:r>
      <w:r w:rsidRPr="008D2E72">
        <w:rPr>
          <w:rFonts w:ascii="Times New Roman" w:hAnsi="Times New Roman" w:cs="Times New Roman"/>
          <w:color w:val="auto"/>
        </w:rPr>
        <w:t xml:space="preserve">. </w:t>
      </w:r>
    </w:p>
    <w:p w:rsidR="00805D2D" w:rsidRPr="008D2E72" w:rsidRDefault="00642C1A">
      <w:pPr>
        <w:pStyle w:val="Corpodotexto"/>
        <w:spacing w:after="0" w:line="240" w:lineRule="auto"/>
        <w:ind w:firstLine="737"/>
        <w:jc w:val="both"/>
        <w:rPr>
          <w:rFonts w:ascii="Times New Roman" w:hAnsi="Times New Roman" w:cs="Times New Roman"/>
          <w:color w:val="auto"/>
        </w:rPr>
      </w:pPr>
      <w:r w:rsidRPr="008D2E72">
        <w:rPr>
          <w:rFonts w:ascii="Times New Roman" w:hAnsi="Times New Roman" w:cs="Times New Roman"/>
          <w:color w:val="auto"/>
        </w:rPr>
        <w:t>Em um cenário normal, empreiteiras concorreriam entre si, em licitações, para conseguir os contratos da Petrobras, e a estatal contrataria a empresa que aceitasse fazer a obra pelo menor preço. Neste caso, as empreiteiras se cartelizaram em um “clube” para substituir uma concorrência real por uma concorrência aparente. Os preços oferecidos à Petrobras eram calculados e ajustados em reuniões secretas nas quais se definia quem ganharia o contrato e qual seria o preço, inflado em benefício privado e em prejuízo dos cofres da estatal</w:t>
      </w:r>
      <w:r w:rsidR="00AF2DFB" w:rsidRPr="008D2E72">
        <w:rPr>
          <w:rFonts w:ascii="Times New Roman" w:hAnsi="Times New Roman" w:cs="Times New Roman"/>
          <w:color w:val="auto"/>
        </w:rPr>
        <w:t xml:space="preserve"> (MPF, 2015)</w:t>
      </w:r>
      <w:r w:rsidRPr="008D2E72">
        <w:rPr>
          <w:rFonts w:ascii="Times New Roman" w:hAnsi="Times New Roman" w:cs="Times New Roman"/>
          <w:color w:val="auto"/>
        </w:rPr>
        <w:t xml:space="preserve">. </w:t>
      </w:r>
    </w:p>
    <w:p w:rsidR="00805D2D" w:rsidRPr="008D2E72" w:rsidRDefault="00642C1A">
      <w:pPr>
        <w:pStyle w:val="Corpodotexto"/>
        <w:spacing w:after="0" w:line="240" w:lineRule="auto"/>
        <w:ind w:firstLine="737"/>
        <w:jc w:val="both"/>
        <w:rPr>
          <w:rFonts w:ascii="Times New Roman" w:hAnsi="Times New Roman" w:cs="Times New Roman"/>
          <w:color w:val="auto"/>
        </w:rPr>
      </w:pPr>
      <w:r w:rsidRPr="008D2E72">
        <w:rPr>
          <w:rFonts w:ascii="Times New Roman" w:hAnsi="Times New Roman" w:cs="Times New Roman"/>
          <w:color w:val="auto"/>
        </w:rPr>
        <w:t xml:space="preserve">Para isso, era conveniente cooptar agentes públicos. Segundo a denúncia, os funcionários não só se omitiam em relação ao cartel, do qual tinham conhecimento, mas o favoreciam, restringindo convidados e incluindo a ganhadora dentre as participantes, em um jogo de cartas marcadas. Segundo levantamentos da Petrobras, eram feitas negociações diretas injustificadas, celebravam-se aditivos desnecessários e com preços excessivos, aceleravam-se </w:t>
      </w:r>
      <w:r w:rsidRPr="008D2E72">
        <w:rPr>
          <w:rFonts w:ascii="Times New Roman" w:hAnsi="Times New Roman" w:cs="Times New Roman"/>
          <w:color w:val="auto"/>
        </w:rPr>
        <w:lastRenderedPageBreak/>
        <w:t>contratações com supressão de etapas relevantes e vazavam informações sigilosas, dentre outras irregularidades.</w:t>
      </w:r>
    </w:p>
    <w:p w:rsidR="00805D2D" w:rsidRPr="008D2E72" w:rsidRDefault="00642C1A">
      <w:pPr>
        <w:pStyle w:val="Corpodotexto"/>
        <w:spacing w:after="0" w:line="240" w:lineRule="auto"/>
        <w:ind w:firstLine="737"/>
        <w:jc w:val="both"/>
        <w:rPr>
          <w:rFonts w:ascii="Times New Roman" w:hAnsi="Times New Roman" w:cs="Times New Roman"/>
          <w:color w:val="auto"/>
        </w:rPr>
      </w:pPr>
      <w:r w:rsidRPr="008D2E72">
        <w:rPr>
          <w:rFonts w:ascii="Times New Roman" w:hAnsi="Times New Roman" w:cs="Times New Roman"/>
          <w:color w:val="auto"/>
        </w:rPr>
        <w:t>Na próxima seção serão abordados os procedimentos metodológicos empregados no estudo.</w:t>
      </w:r>
    </w:p>
    <w:p w:rsidR="00805D2D" w:rsidRPr="008D2E72" w:rsidRDefault="00805D2D">
      <w:pPr>
        <w:jc w:val="both"/>
        <w:rPr>
          <w:color w:val="auto"/>
          <w:sz w:val="24"/>
          <w:szCs w:val="24"/>
        </w:rPr>
      </w:pPr>
    </w:p>
    <w:p w:rsidR="00805D2D" w:rsidRPr="008D2E72" w:rsidRDefault="00642C1A">
      <w:pPr>
        <w:pStyle w:val="Corpodotexto"/>
        <w:spacing w:after="0" w:line="240" w:lineRule="auto"/>
        <w:rPr>
          <w:rFonts w:ascii="Times New Roman" w:hAnsi="Times New Roman" w:cs="Times New Roman"/>
          <w:b/>
          <w:bCs/>
          <w:color w:val="auto"/>
        </w:rPr>
      </w:pPr>
      <w:r w:rsidRPr="008D2E72">
        <w:rPr>
          <w:rFonts w:ascii="Times New Roman" w:hAnsi="Times New Roman" w:cs="Times New Roman"/>
          <w:b/>
          <w:bCs/>
          <w:color w:val="auto"/>
        </w:rPr>
        <w:t>3. Metodologia</w:t>
      </w:r>
    </w:p>
    <w:p w:rsidR="00805D2D" w:rsidRPr="008D2E72" w:rsidRDefault="00642C1A">
      <w:pPr>
        <w:ind w:firstLine="737"/>
        <w:jc w:val="both"/>
        <w:rPr>
          <w:rFonts w:eastAsia="Calibri"/>
          <w:color w:val="auto"/>
          <w:sz w:val="24"/>
          <w:szCs w:val="24"/>
          <w:lang w:eastAsia="en-US"/>
        </w:rPr>
      </w:pPr>
      <w:r w:rsidRPr="008D2E72">
        <w:rPr>
          <w:rFonts w:eastAsia="Calibri"/>
          <w:color w:val="auto"/>
          <w:sz w:val="24"/>
          <w:szCs w:val="24"/>
          <w:lang w:eastAsia="en-US"/>
        </w:rPr>
        <w:t>Nesta etapa, o pesquisador visando entender a realidade, promove pesquisa - processo de estudo, construção, investigação e busca - que relaciona e confronta informações, fatos, dados e evidências visando à solução de um problema sobre a realidade social (</w:t>
      </w:r>
      <w:proofErr w:type="spellStart"/>
      <w:r w:rsidRPr="008D2E72">
        <w:rPr>
          <w:rFonts w:eastAsia="Calibri"/>
          <w:color w:val="auto"/>
          <w:sz w:val="24"/>
          <w:szCs w:val="24"/>
          <w:lang w:eastAsia="en-US"/>
        </w:rPr>
        <w:t>Theóphilo</w:t>
      </w:r>
      <w:proofErr w:type="spellEnd"/>
      <w:r w:rsidRPr="008D2E72">
        <w:rPr>
          <w:rFonts w:eastAsia="Calibri"/>
          <w:color w:val="auto"/>
          <w:sz w:val="24"/>
          <w:szCs w:val="24"/>
          <w:lang w:eastAsia="en-US"/>
        </w:rPr>
        <w:t xml:space="preserve"> &amp; Martins, 2009). No ambiente contábil pode-se observar, identificar, definir e solucionar problemas práticos do negócio; isso tudo requer a especificação da questão de pesquisa, o desenvolvimento de hipóteses e estratégias alternativas de implementação, ainda que implícitas (Smith, 2003).</w:t>
      </w:r>
    </w:p>
    <w:p w:rsidR="00805D2D" w:rsidRPr="008D2E72" w:rsidRDefault="00642C1A">
      <w:pPr>
        <w:ind w:firstLine="708"/>
        <w:jc w:val="both"/>
        <w:rPr>
          <w:color w:val="auto"/>
          <w:highlight w:val="white"/>
        </w:rPr>
      </w:pPr>
      <w:r w:rsidRPr="008D2E72">
        <w:rPr>
          <w:color w:val="auto"/>
          <w:sz w:val="24"/>
          <w:szCs w:val="24"/>
          <w:highlight w:val="white"/>
        </w:rPr>
        <w:t xml:space="preserve">Para tanto, a abordagem empregada na problemática foi qualitativa e quantitativa. </w:t>
      </w:r>
      <w:proofErr w:type="spellStart"/>
      <w:r w:rsidRPr="008D2E72">
        <w:rPr>
          <w:color w:val="auto"/>
          <w:sz w:val="24"/>
          <w:szCs w:val="24"/>
          <w:highlight w:val="white"/>
        </w:rPr>
        <w:t>Malhotra</w:t>
      </w:r>
      <w:proofErr w:type="spellEnd"/>
      <w:r w:rsidRPr="008D2E72">
        <w:rPr>
          <w:color w:val="auto"/>
          <w:sz w:val="24"/>
          <w:szCs w:val="24"/>
          <w:highlight w:val="white"/>
        </w:rPr>
        <w:t xml:space="preserve"> (2001, p.155) explica que a pesquisa qualitativa proporciona uma melhor visão e compreensão do contexto do problema, enquanto a pesquisa quantitativa procura quantificar os dados e aplicar alguma análise estatística”. Nesse sentido, os métodos mistos são aqueles em que uma única fonte de dados pode não ser suficiente, os resultados precisam ser explicados, os achados exploratórios precisam ser generalizados (</w:t>
      </w:r>
      <w:proofErr w:type="spellStart"/>
      <w:r w:rsidRPr="008D2E72">
        <w:rPr>
          <w:color w:val="auto"/>
          <w:sz w:val="24"/>
          <w:szCs w:val="24"/>
          <w:shd w:val="clear" w:color="auto" w:fill="FFFFFF"/>
        </w:rPr>
        <w:t>Creswell</w:t>
      </w:r>
      <w:proofErr w:type="spellEnd"/>
      <w:r w:rsidRPr="008D2E72">
        <w:rPr>
          <w:color w:val="auto"/>
          <w:sz w:val="24"/>
          <w:szCs w:val="24"/>
          <w:shd w:val="clear" w:color="auto" w:fill="FFFFFF"/>
        </w:rPr>
        <w:t xml:space="preserve"> &amp; Clark, 2015, p. 24)</w:t>
      </w:r>
      <w:r w:rsidRPr="008D2E72">
        <w:rPr>
          <w:color w:val="auto"/>
          <w:sz w:val="24"/>
          <w:szCs w:val="24"/>
          <w:highlight w:val="white"/>
        </w:rPr>
        <w:t xml:space="preserve">. </w:t>
      </w:r>
    </w:p>
    <w:p w:rsidR="00805D2D" w:rsidRPr="008D2E72" w:rsidRDefault="00642C1A">
      <w:pPr>
        <w:ind w:firstLine="708"/>
        <w:jc w:val="both"/>
        <w:rPr>
          <w:color w:val="auto"/>
          <w:highlight w:val="white"/>
        </w:rPr>
      </w:pPr>
      <w:r w:rsidRPr="008D2E72">
        <w:rPr>
          <w:color w:val="auto"/>
          <w:sz w:val="24"/>
          <w:szCs w:val="24"/>
          <w:highlight w:val="white"/>
        </w:rPr>
        <w:t xml:space="preserve">Desse modo, a abordagem qualitativa foi empregada para o analisar conteúdo, descrever, identificar custos e montantes contidos na denúncia do processo sob o número 5083258-29.2014.404.7000, na Justiça Federal do Paraná e analisá-los conforme preceitos da teoria da escolha pública. Já a quantitativa foi utilizada para quantificar e especificar valores, custos e montantes.    </w:t>
      </w:r>
    </w:p>
    <w:p w:rsidR="00805D2D" w:rsidRPr="008D2E72" w:rsidRDefault="00642C1A">
      <w:pPr>
        <w:ind w:firstLine="708"/>
        <w:jc w:val="both"/>
        <w:rPr>
          <w:color w:val="auto"/>
          <w:sz w:val="24"/>
          <w:szCs w:val="24"/>
        </w:rPr>
      </w:pPr>
      <w:r w:rsidRPr="008D2E72">
        <w:rPr>
          <w:rFonts w:eastAsia="TimesNewRomanPSMT"/>
          <w:color w:val="auto"/>
          <w:sz w:val="24"/>
          <w:szCs w:val="24"/>
          <w:highlight w:val="white"/>
        </w:rPr>
        <w:t>Em relação aos objet</w:t>
      </w:r>
      <w:r w:rsidRPr="008D2E72">
        <w:rPr>
          <w:rFonts w:eastAsia="TimesNewRomanPSMT"/>
          <w:color w:val="auto"/>
          <w:sz w:val="24"/>
          <w:szCs w:val="24"/>
        </w:rPr>
        <w:t xml:space="preserve">ivos classifica-se como exploratório, considerando proporcionar uma visão geral e aproximada de determinado assunto </w:t>
      </w:r>
      <w:r w:rsidRPr="008D2E72">
        <w:rPr>
          <w:color w:val="auto"/>
          <w:sz w:val="24"/>
          <w:szCs w:val="24"/>
        </w:rPr>
        <w:t xml:space="preserve">de forma metódica e organizada em fases utilizando-se de um conjunto de procedimentos intelectuais e técnicos dos quais depende a investigação científica </w:t>
      </w:r>
      <w:r w:rsidRPr="008D2E72">
        <w:rPr>
          <w:rFonts w:eastAsia="TimesNewRomanPSMT"/>
          <w:color w:val="auto"/>
          <w:sz w:val="24"/>
          <w:szCs w:val="24"/>
        </w:rPr>
        <w:t>(Gil, 1999).</w:t>
      </w:r>
      <w:r w:rsidRPr="008D2E72">
        <w:rPr>
          <w:color w:val="auto"/>
          <w:sz w:val="24"/>
          <w:szCs w:val="24"/>
        </w:rPr>
        <w:t xml:space="preserve"> O estudo exploratório proporciona maiores informações sobre o assunto a ser investigado, facilita a delimitação do tema, orienta a fixação de objetivos e a delimitação das hipóteses, além de encontrar novos enfoques sobre o assunto; assim seus resultados podem formar a base para futuras investigações (</w:t>
      </w:r>
      <w:proofErr w:type="spellStart"/>
      <w:r w:rsidRPr="008D2E72">
        <w:rPr>
          <w:color w:val="auto"/>
          <w:sz w:val="24"/>
          <w:szCs w:val="24"/>
        </w:rPr>
        <w:t>Walliman</w:t>
      </w:r>
      <w:proofErr w:type="spellEnd"/>
      <w:r w:rsidRPr="008D2E72">
        <w:rPr>
          <w:color w:val="auto"/>
          <w:sz w:val="24"/>
          <w:szCs w:val="24"/>
        </w:rPr>
        <w:t>, 2001).</w:t>
      </w:r>
    </w:p>
    <w:p w:rsidR="00805D2D" w:rsidRPr="008D2E72" w:rsidRDefault="00642C1A">
      <w:pPr>
        <w:ind w:firstLine="708"/>
        <w:jc w:val="both"/>
        <w:rPr>
          <w:color w:val="auto"/>
          <w:highlight w:val="white"/>
        </w:rPr>
      </w:pPr>
      <w:r w:rsidRPr="008D2E72">
        <w:rPr>
          <w:color w:val="auto"/>
          <w:sz w:val="24"/>
          <w:szCs w:val="24"/>
          <w:highlight w:val="white"/>
        </w:rPr>
        <w:t>Quanto aos procedimentos se caracteriza por ser bibliográfica e documental. Conforme Gil (1999) a bibliográfica se fundamenta nas contribuições de estudiosos e a documental é a coleta de dados em fontes primárias, pertencentes a arquivos públicos, arquivos particulares de instituições e domicílios, e fontes estatísticas (</w:t>
      </w:r>
      <w:proofErr w:type="spellStart"/>
      <w:r w:rsidRPr="008D2E72">
        <w:rPr>
          <w:color w:val="auto"/>
          <w:sz w:val="24"/>
          <w:szCs w:val="24"/>
          <w:highlight w:val="white"/>
        </w:rPr>
        <w:t>Lakatos</w:t>
      </w:r>
      <w:proofErr w:type="spellEnd"/>
      <w:r w:rsidRPr="008D2E72">
        <w:rPr>
          <w:color w:val="auto"/>
          <w:sz w:val="24"/>
          <w:szCs w:val="24"/>
          <w:highlight w:val="white"/>
        </w:rPr>
        <w:t xml:space="preserve"> e Marconi, 2001) e utiliza materiais que não receberam um tratamento analítico, podendo ser reelaborado de acordo com os objetos da pesquisa (Gil, 1999). </w:t>
      </w:r>
    </w:p>
    <w:p w:rsidR="00805D2D" w:rsidRPr="008D2E72" w:rsidRDefault="00642C1A">
      <w:pPr>
        <w:pStyle w:val="Corpodotexto"/>
        <w:spacing w:after="0" w:line="240" w:lineRule="auto"/>
        <w:ind w:firstLine="737"/>
        <w:jc w:val="both"/>
        <w:rPr>
          <w:rStyle w:val="nfaseforte"/>
          <w:rFonts w:ascii="Times New Roman" w:hAnsi="Times New Roman" w:cs="Times New Roman"/>
          <w:b w:val="0"/>
          <w:color w:val="auto"/>
        </w:rPr>
      </w:pPr>
      <w:r w:rsidRPr="008D2E72">
        <w:rPr>
          <w:rStyle w:val="nfaseforte"/>
          <w:rFonts w:ascii="Times New Roman" w:hAnsi="Times New Roman" w:cs="Times New Roman"/>
          <w:b w:val="0"/>
          <w:color w:val="auto"/>
        </w:rPr>
        <w:t xml:space="preserve">A amostra é o processo da Operação Lava Jato em que foram denunciadas duas grandes construtoras nacionais participantes de três consórcios contratados em obras de três refinarias. Para delimitar o escopo, foram selecionados apenas os contratos das obras de uma refinaria, realizada por um dos consórcios, haja vista permitir se estabelecer como critério a fonte dos recursos. </w:t>
      </w:r>
      <w:r w:rsidRPr="008D2E72">
        <w:rPr>
          <w:rFonts w:ascii="Times New Roman" w:hAnsi="Times New Roman" w:cs="Times New Roman"/>
          <w:color w:val="auto"/>
        </w:rPr>
        <w:t xml:space="preserve">Entre as diversas denúncias, o presente estudo aborda especificamente a denúncia protocolada sob o número 5083258-29.2014.404.7000, na Justiça Federal do Paraná, com chave de acesso número </w:t>
      </w:r>
      <w:r w:rsidRPr="008D2E72">
        <w:rPr>
          <w:rStyle w:val="nfaseforte"/>
          <w:rFonts w:ascii="Times New Roman" w:hAnsi="Times New Roman" w:cs="Times New Roman"/>
          <w:b w:val="0"/>
          <w:color w:val="auto"/>
        </w:rPr>
        <w:t xml:space="preserve">248371556614, disponibilizada no site da Operação Lava Jato (MPF, 2015). </w:t>
      </w:r>
    </w:p>
    <w:p w:rsidR="00805D2D" w:rsidRPr="008D2E72" w:rsidRDefault="00642C1A">
      <w:pPr>
        <w:pStyle w:val="Corpodotexto"/>
        <w:spacing w:after="0" w:line="240" w:lineRule="auto"/>
        <w:ind w:firstLine="737"/>
        <w:jc w:val="both"/>
        <w:rPr>
          <w:rFonts w:ascii="Times New Roman" w:hAnsi="Times New Roman" w:cs="Times New Roman"/>
          <w:color w:val="auto"/>
        </w:rPr>
      </w:pPr>
      <w:r w:rsidRPr="008D2E72">
        <w:rPr>
          <w:rFonts w:ascii="Times New Roman" w:hAnsi="Times New Roman" w:cs="Times New Roman"/>
          <w:color w:val="auto"/>
        </w:rPr>
        <w:t xml:space="preserve">Os operadores financeiros ou intermediários eram responsáveis não só por intermediar o pagamento da propina, mas especialmente por entregar a propina disfarçada de dinheiro ‘limpo’ aos beneficiários. Em um primeiro momento, o dinheiro saia das empreiteiras até o </w:t>
      </w:r>
      <w:r w:rsidRPr="008D2E72">
        <w:rPr>
          <w:rFonts w:ascii="Times New Roman" w:hAnsi="Times New Roman" w:cs="Times New Roman"/>
          <w:color w:val="auto"/>
        </w:rPr>
        <w:lastRenderedPageBreak/>
        <w:t>operador financeiro. Isso acontec</w:t>
      </w:r>
      <w:r w:rsidR="00AF2DFB" w:rsidRPr="008D2E72">
        <w:rPr>
          <w:rFonts w:ascii="Times New Roman" w:hAnsi="Times New Roman" w:cs="Times New Roman"/>
          <w:color w:val="auto"/>
        </w:rPr>
        <w:t>er</w:t>
      </w:r>
      <w:r w:rsidRPr="008D2E72">
        <w:rPr>
          <w:rFonts w:ascii="Times New Roman" w:hAnsi="Times New Roman" w:cs="Times New Roman"/>
          <w:color w:val="auto"/>
        </w:rPr>
        <w:t>ia por movimentação no exterior e por meio de contratos simulados com empresas de fachada. Num segundo momento, o dinheiro ia do operador financeiro até o beneficiário em espécie, por transferência no exterior ou mediante pagamento de bens.</w:t>
      </w:r>
    </w:p>
    <w:p w:rsidR="00805D2D" w:rsidRPr="008D2E72" w:rsidRDefault="00642C1A">
      <w:pPr>
        <w:pStyle w:val="Corpodotexto"/>
        <w:spacing w:after="0" w:line="240" w:lineRule="auto"/>
        <w:ind w:firstLine="737"/>
        <w:jc w:val="both"/>
        <w:rPr>
          <w:rFonts w:ascii="Times New Roman" w:hAnsi="Times New Roman" w:cs="Times New Roman"/>
          <w:color w:val="auto"/>
        </w:rPr>
      </w:pPr>
      <w:r w:rsidRPr="008D2E72">
        <w:rPr>
          <w:rFonts w:ascii="Times New Roman" w:hAnsi="Times New Roman" w:cs="Times New Roman"/>
          <w:color w:val="auto"/>
        </w:rPr>
        <w:t>Pesquisa tendo por objeto crimes com esse tipo de fluxo financeiro, típico da lavagem de dinheiro, segundo Moro (2010, p. 98-99) “pode-se partir do delito antecedente, buscando rastrear o produto específico” ou “partindo de uma investigação suspeita de lavagem de dinheiro, a investigação terá de identificar a origem dos bens, direitos ou valores”. No presente caso, parte-se das operações com indícios de lavagem para os eventuais crimes antecedentes, com a correspondente mensuração.</w:t>
      </w:r>
    </w:p>
    <w:p w:rsidR="00805D2D" w:rsidRPr="008D2E72" w:rsidRDefault="00642C1A">
      <w:pPr>
        <w:pStyle w:val="Corpodotexto"/>
        <w:spacing w:after="0" w:line="240" w:lineRule="auto"/>
        <w:ind w:firstLine="737"/>
        <w:jc w:val="both"/>
        <w:rPr>
          <w:rStyle w:val="nfaseforte"/>
          <w:rFonts w:ascii="Times New Roman" w:hAnsi="Times New Roman" w:cs="Times New Roman"/>
          <w:b w:val="0"/>
          <w:color w:val="auto"/>
        </w:rPr>
      </w:pPr>
      <w:r w:rsidRPr="008D2E72">
        <w:rPr>
          <w:rStyle w:val="nfaseforte"/>
          <w:rFonts w:ascii="Times New Roman" w:hAnsi="Times New Roman" w:cs="Times New Roman"/>
          <w:b w:val="0"/>
          <w:color w:val="auto"/>
        </w:rPr>
        <w:t xml:space="preserve">Por tratar-se da investigação de fatos pretéritos, não é comum encontrar-se o dinheiro (material físico) com o autor de suposto fato, mas é possível identificar o registro do fluxo do recurso, de entrada ou saída, que demonstra a atuação de um autor e da materialidade da transação. Em virtude disso, o desenvolvimento da análise é organizado nas etapas do fluxo financeiro, e sua apresentação é evidenciada a partir da etapa de lavagem de mais lógica evidência, a partir de um evento crítico de registro. No caso, buscou-se evidenciar seguindo a metodologia </w:t>
      </w:r>
      <w:proofErr w:type="spellStart"/>
      <w:r w:rsidRPr="008D2E72">
        <w:rPr>
          <w:rStyle w:val="nfaseforte"/>
          <w:rFonts w:ascii="Times New Roman" w:hAnsi="Times New Roman" w:cs="Times New Roman"/>
          <w:b w:val="0"/>
          <w:i/>
          <w:iCs/>
          <w:color w:val="auto"/>
        </w:rPr>
        <w:t>paper</w:t>
      </w:r>
      <w:proofErr w:type="spellEnd"/>
      <w:r w:rsidRPr="008D2E72">
        <w:rPr>
          <w:rStyle w:val="nfaseforte"/>
          <w:rFonts w:ascii="Times New Roman" w:hAnsi="Times New Roman" w:cs="Times New Roman"/>
          <w:b w:val="0"/>
          <w:i/>
          <w:iCs/>
          <w:color w:val="auto"/>
        </w:rPr>
        <w:t xml:space="preserve"> </w:t>
      </w:r>
      <w:proofErr w:type="spellStart"/>
      <w:r w:rsidRPr="008D2E72">
        <w:rPr>
          <w:rStyle w:val="nfaseforte"/>
          <w:rFonts w:ascii="Times New Roman" w:hAnsi="Times New Roman" w:cs="Times New Roman"/>
          <w:b w:val="0"/>
          <w:i/>
          <w:iCs/>
          <w:color w:val="auto"/>
        </w:rPr>
        <w:t>trail</w:t>
      </w:r>
      <w:proofErr w:type="spellEnd"/>
      <w:r w:rsidRPr="008D2E72">
        <w:rPr>
          <w:rStyle w:val="nfaseforte"/>
          <w:rFonts w:ascii="Times New Roman" w:hAnsi="Times New Roman" w:cs="Times New Roman"/>
          <w:b w:val="0"/>
          <w:color w:val="auto"/>
        </w:rPr>
        <w:t>.</w:t>
      </w:r>
    </w:p>
    <w:p w:rsidR="00805D2D" w:rsidRPr="008D2E72" w:rsidRDefault="00642C1A" w:rsidP="008C294F">
      <w:pPr>
        <w:pStyle w:val="Corpodotexto"/>
        <w:spacing w:after="0" w:line="240" w:lineRule="auto"/>
        <w:ind w:firstLine="567"/>
        <w:jc w:val="both"/>
        <w:rPr>
          <w:rFonts w:ascii="Times New Roman" w:hAnsi="Times New Roman" w:cs="Times New Roman"/>
          <w:bCs/>
          <w:color w:val="auto"/>
          <w:sz w:val="20"/>
        </w:rPr>
      </w:pPr>
      <w:r w:rsidRPr="008D2E72">
        <w:rPr>
          <w:rFonts w:ascii="Times New Roman" w:hAnsi="Times New Roman" w:cs="Times New Roman"/>
          <w:color w:val="auto"/>
          <w:sz w:val="20"/>
        </w:rPr>
        <w:t xml:space="preserve">Figura 1 – Exemplo </w:t>
      </w:r>
      <w:proofErr w:type="spellStart"/>
      <w:r w:rsidRPr="008D2E72">
        <w:rPr>
          <w:rFonts w:ascii="Times New Roman" w:hAnsi="Times New Roman" w:cs="Times New Roman"/>
          <w:i/>
          <w:color w:val="auto"/>
          <w:sz w:val="20"/>
        </w:rPr>
        <w:t>paper</w:t>
      </w:r>
      <w:proofErr w:type="spellEnd"/>
      <w:r w:rsidRPr="008D2E72">
        <w:rPr>
          <w:rFonts w:ascii="Times New Roman" w:hAnsi="Times New Roman" w:cs="Times New Roman"/>
          <w:i/>
          <w:color w:val="auto"/>
          <w:sz w:val="20"/>
        </w:rPr>
        <w:t xml:space="preserve"> </w:t>
      </w:r>
      <w:proofErr w:type="spellStart"/>
      <w:r w:rsidRPr="008D2E72">
        <w:rPr>
          <w:rFonts w:ascii="Times New Roman" w:hAnsi="Times New Roman" w:cs="Times New Roman"/>
          <w:i/>
          <w:color w:val="auto"/>
          <w:sz w:val="20"/>
        </w:rPr>
        <w:t>trail</w:t>
      </w:r>
      <w:proofErr w:type="spellEnd"/>
    </w:p>
    <w:p w:rsidR="00805D2D" w:rsidRPr="008D2E72" w:rsidRDefault="00AF2DFB" w:rsidP="008C294F">
      <w:pPr>
        <w:pStyle w:val="Corpodotexto"/>
        <w:spacing w:after="0" w:line="240" w:lineRule="auto"/>
        <w:ind w:firstLine="426"/>
        <w:jc w:val="center"/>
        <w:rPr>
          <w:rStyle w:val="nfaseforte"/>
          <w:rFonts w:ascii="Times New Roman" w:hAnsi="Times New Roman" w:cs="Times New Roman"/>
          <w:b w:val="0"/>
          <w:color w:val="auto"/>
        </w:rPr>
      </w:pPr>
      <w:r w:rsidRPr="008D2E72">
        <w:rPr>
          <w:rFonts w:ascii="Times New Roman" w:hAnsi="Times New Roman" w:cs="Times New Roman"/>
          <w:bCs/>
          <w:noProof/>
          <w:color w:val="auto"/>
          <w:bdr w:val="single" w:sz="4" w:space="0" w:color="auto"/>
          <w:lang w:eastAsia="pt-BR" w:bidi="ar-SA"/>
        </w:rPr>
        <w:drawing>
          <wp:inline distT="0" distB="0" distL="0" distR="0">
            <wp:extent cx="5238750" cy="1056409"/>
            <wp:effectExtent l="19050" t="0" r="0" b="0"/>
            <wp:docPr id="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38750" cy="1056409"/>
                    </a:xfrm>
                    <a:prstGeom prst="rect">
                      <a:avLst/>
                    </a:prstGeom>
                    <a:noFill/>
                    <a:ln w="9525">
                      <a:noFill/>
                      <a:miter lim="800000"/>
                      <a:headEnd/>
                      <a:tailEnd/>
                    </a:ln>
                  </pic:spPr>
                </pic:pic>
              </a:graphicData>
            </a:graphic>
          </wp:inline>
        </w:drawing>
      </w:r>
    </w:p>
    <w:p w:rsidR="008C294F" w:rsidRPr="008D2E72" w:rsidRDefault="008C294F">
      <w:pPr>
        <w:pStyle w:val="Corpodotexto"/>
        <w:spacing w:after="0" w:line="240" w:lineRule="auto"/>
        <w:ind w:firstLine="567"/>
        <w:rPr>
          <w:rFonts w:ascii="Times New Roman" w:hAnsi="Times New Roman" w:cs="Times New Roman"/>
          <w:color w:val="auto"/>
          <w:sz w:val="20"/>
        </w:rPr>
      </w:pPr>
      <w:r w:rsidRPr="008D2E72">
        <w:rPr>
          <w:rFonts w:ascii="Times New Roman" w:hAnsi="Times New Roman" w:cs="Times New Roman"/>
          <w:color w:val="auto"/>
          <w:sz w:val="20"/>
        </w:rPr>
        <w:t>Legenda: * Eventos Críticos</w:t>
      </w:r>
    </w:p>
    <w:p w:rsidR="00805D2D" w:rsidRPr="008D2E72" w:rsidRDefault="00642C1A">
      <w:pPr>
        <w:pStyle w:val="Corpodotexto"/>
        <w:spacing w:after="0" w:line="240" w:lineRule="auto"/>
        <w:ind w:firstLine="567"/>
        <w:rPr>
          <w:rFonts w:ascii="Times New Roman" w:hAnsi="Times New Roman" w:cs="Times New Roman"/>
          <w:color w:val="auto"/>
          <w:sz w:val="20"/>
        </w:rPr>
      </w:pPr>
      <w:r w:rsidRPr="008D2E72">
        <w:rPr>
          <w:rFonts w:ascii="Times New Roman" w:hAnsi="Times New Roman" w:cs="Times New Roman"/>
          <w:color w:val="auto"/>
          <w:sz w:val="20"/>
        </w:rPr>
        <w:t>Fonte: elaborado pelos autores</w:t>
      </w:r>
    </w:p>
    <w:p w:rsidR="00805D2D" w:rsidRPr="008D2E72" w:rsidRDefault="00805D2D">
      <w:pPr>
        <w:pStyle w:val="Corpodotexto"/>
        <w:spacing w:after="0" w:line="240" w:lineRule="auto"/>
        <w:ind w:firstLine="737"/>
        <w:jc w:val="center"/>
        <w:rPr>
          <w:rStyle w:val="nfaseforte"/>
          <w:rFonts w:ascii="Times New Roman" w:hAnsi="Times New Roman" w:cs="Times New Roman"/>
          <w:b w:val="0"/>
          <w:color w:val="auto"/>
        </w:rPr>
      </w:pPr>
    </w:p>
    <w:p w:rsidR="00805D2D" w:rsidRPr="008D2E72" w:rsidRDefault="00642C1A">
      <w:pPr>
        <w:pStyle w:val="Corpodotexto"/>
        <w:spacing w:after="0" w:line="240" w:lineRule="auto"/>
        <w:ind w:firstLine="737"/>
        <w:jc w:val="both"/>
        <w:rPr>
          <w:rStyle w:val="nfaseforte"/>
          <w:rFonts w:ascii="Times New Roman" w:hAnsi="Times New Roman" w:cs="Times New Roman"/>
          <w:b w:val="0"/>
          <w:color w:val="auto"/>
        </w:rPr>
      </w:pPr>
      <w:r w:rsidRPr="008D2E72">
        <w:rPr>
          <w:rStyle w:val="nfaseforte"/>
          <w:rFonts w:ascii="Times New Roman" w:hAnsi="Times New Roman" w:cs="Times New Roman"/>
          <w:b w:val="0"/>
          <w:color w:val="auto"/>
        </w:rPr>
        <w:t>Essas investigações visam a obtenção de evidências, indícios e provas de materialidade e de autoria do crime e ainda pode estabelecer as condições em que o crime ocorreu (</w:t>
      </w:r>
      <w:proofErr w:type="spellStart"/>
      <w:r w:rsidRPr="008D2E72">
        <w:rPr>
          <w:rStyle w:val="nfaseforte"/>
          <w:rFonts w:ascii="Times New Roman" w:hAnsi="Times New Roman" w:cs="Times New Roman"/>
          <w:b w:val="0"/>
          <w:color w:val="auto"/>
        </w:rPr>
        <w:t>Opilhar</w:t>
      </w:r>
      <w:proofErr w:type="spellEnd"/>
      <w:r w:rsidRPr="008D2E72">
        <w:rPr>
          <w:rStyle w:val="nfaseforte"/>
          <w:rFonts w:ascii="Times New Roman" w:hAnsi="Times New Roman" w:cs="Times New Roman"/>
          <w:b w:val="0"/>
          <w:color w:val="auto"/>
        </w:rPr>
        <w:t>, 2006). Essa prova é o meio destinado a convencer o juiz a respeito de uma situação ou fato (Greco Filho, 1997, p. 196).</w:t>
      </w:r>
    </w:p>
    <w:p w:rsidR="00805D2D" w:rsidRPr="008D2E72" w:rsidRDefault="00642C1A">
      <w:pPr>
        <w:pStyle w:val="Corpodotexto"/>
        <w:spacing w:after="0" w:line="240" w:lineRule="auto"/>
        <w:ind w:firstLine="737"/>
        <w:jc w:val="both"/>
        <w:rPr>
          <w:rStyle w:val="nfaseforte"/>
          <w:rFonts w:ascii="Times New Roman" w:hAnsi="Times New Roman" w:cs="Times New Roman"/>
          <w:b w:val="0"/>
          <w:color w:val="auto"/>
        </w:rPr>
      </w:pPr>
      <w:r w:rsidRPr="008D2E72">
        <w:rPr>
          <w:rStyle w:val="nfaseforte"/>
          <w:rFonts w:ascii="Times New Roman" w:hAnsi="Times New Roman" w:cs="Times New Roman"/>
          <w:b w:val="0"/>
          <w:color w:val="auto"/>
        </w:rPr>
        <w:t xml:space="preserve">Segundo </w:t>
      </w:r>
      <w:proofErr w:type="spellStart"/>
      <w:r w:rsidRPr="008D2E72">
        <w:rPr>
          <w:rStyle w:val="nfaseforte"/>
          <w:rFonts w:ascii="Times New Roman" w:hAnsi="Times New Roman" w:cs="Times New Roman"/>
          <w:b w:val="0"/>
          <w:color w:val="auto"/>
        </w:rPr>
        <w:t>Zampronha</w:t>
      </w:r>
      <w:proofErr w:type="spellEnd"/>
      <w:r w:rsidRPr="008D2E72">
        <w:rPr>
          <w:rStyle w:val="nfaseforte"/>
          <w:rFonts w:ascii="Times New Roman" w:hAnsi="Times New Roman" w:cs="Times New Roman"/>
          <w:b w:val="0"/>
          <w:color w:val="auto"/>
        </w:rPr>
        <w:t xml:space="preserve"> (2012), a técnica consiste em inverter o caminho inicial, e partindo do montante suspeito para tratar de identificar a atividade ilícita da origem, com a identificação e a reconstituição das trilhas de papel (</w:t>
      </w:r>
      <w:proofErr w:type="spellStart"/>
      <w:r w:rsidRPr="008D2E72">
        <w:rPr>
          <w:rStyle w:val="nfaseforte"/>
          <w:rFonts w:ascii="Times New Roman" w:hAnsi="Times New Roman" w:cs="Times New Roman"/>
          <w:b w:val="0"/>
          <w:i/>
          <w:color w:val="auto"/>
        </w:rPr>
        <w:t>paper</w:t>
      </w:r>
      <w:proofErr w:type="spellEnd"/>
      <w:r w:rsidRPr="008D2E72">
        <w:rPr>
          <w:rStyle w:val="nfaseforte"/>
          <w:rFonts w:ascii="Times New Roman" w:hAnsi="Times New Roman" w:cs="Times New Roman"/>
          <w:b w:val="0"/>
          <w:i/>
          <w:color w:val="auto"/>
        </w:rPr>
        <w:t xml:space="preserve"> </w:t>
      </w:r>
      <w:proofErr w:type="spellStart"/>
      <w:r w:rsidRPr="008D2E72">
        <w:rPr>
          <w:rStyle w:val="nfaseforte"/>
          <w:rFonts w:ascii="Times New Roman" w:hAnsi="Times New Roman" w:cs="Times New Roman"/>
          <w:b w:val="0"/>
          <w:i/>
          <w:color w:val="auto"/>
        </w:rPr>
        <w:t>trail</w:t>
      </w:r>
      <w:proofErr w:type="spellEnd"/>
      <w:r w:rsidRPr="008D2E72">
        <w:rPr>
          <w:rStyle w:val="nfaseforte"/>
          <w:rFonts w:ascii="Times New Roman" w:hAnsi="Times New Roman" w:cs="Times New Roman"/>
          <w:b w:val="0"/>
          <w:color w:val="auto"/>
        </w:rPr>
        <w:t xml:space="preserve">), deixadas pelo capital de origem ilegal. Essa seria a forma de se detectar autores de ações ilícitas, bem como de produção de elementos de prova que os relacionem às práticas ilegais, partindo dos atos de lavagem para as ações de crimes antecedentes. </w:t>
      </w:r>
    </w:p>
    <w:p w:rsidR="00805D2D" w:rsidRPr="008D2E72" w:rsidRDefault="00642C1A">
      <w:pPr>
        <w:pStyle w:val="Corpodotexto"/>
        <w:spacing w:after="0" w:line="240" w:lineRule="auto"/>
        <w:ind w:firstLine="737"/>
        <w:jc w:val="both"/>
        <w:rPr>
          <w:rStyle w:val="nfaseforte"/>
          <w:rFonts w:ascii="Times New Roman" w:hAnsi="Times New Roman" w:cs="Times New Roman"/>
          <w:b w:val="0"/>
          <w:color w:val="auto"/>
        </w:rPr>
      </w:pPr>
      <w:r w:rsidRPr="008D2E72">
        <w:rPr>
          <w:rStyle w:val="nfaseforte"/>
          <w:rFonts w:ascii="Times New Roman" w:hAnsi="Times New Roman" w:cs="Times New Roman"/>
          <w:b w:val="0"/>
          <w:color w:val="auto"/>
        </w:rPr>
        <w:t>O procedimento preliminar seria a coleta e análise de informações financeiras e patrimoniais com o objetivo de identificar transações suspeitas, produzir provas criminais e localizar bens, vantagens, direitos e valores provenientes direta e indiretamente de crimes.</w:t>
      </w:r>
      <w:r w:rsidR="008C294F" w:rsidRPr="008D2E72">
        <w:rPr>
          <w:rStyle w:val="nfaseforte"/>
          <w:rFonts w:ascii="Times New Roman" w:hAnsi="Times New Roman" w:cs="Times New Roman"/>
          <w:b w:val="0"/>
          <w:color w:val="auto"/>
        </w:rPr>
        <w:t xml:space="preserve"> No presente caso, analisa-se as informações disponíveis para acesso público.</w:t>
      </w:r>
    </w:p>
    <w:p w:rsidR="00805D2D" w:rsidRPr="008D2E72" w:rsidRDefault="00642C1A">
      <w:pPr>
        <w:pStyle w:val="Corpodotexto"/>
        <w:spacing w:after="0" w:line="240" w:lineRule="auto"/>
        <w:ind w:firstLine="737"/>
        <w:jc w:val="both"/>
        <w:rPr>
          <w:rStyle w:val="nfaseforte"/>
          <w:rFonts w:ascii="Times New Roman" w:hAnsi="Times New Roman" w:cs="Times New Roman"/>
          <w:b w:val="0"/>
          <w:color w:val="auto"/>
        </w:rPr>
      </w:pPr>
      <w:r w:rsidRPr="008D2E72">
        <w:rPr>
          <w:rStyle w:val="nfaseforte"/>
          <w:rFonts w:ascii="Times New Roman" w:hAnsi="Times New Roman" w:cs="Times New Roman"/>
          <w:b w:val="0"/>
          <w:color w:val="auto"/>
        </w:rPr>
        <w:t>Além de se buscar crimes eminentemente financeiros, essa metodologia também pode auxiliar na detecção de recursos de outros crimes geradores de lucros ilícitos com potencialidade de desestabilizar economias nacionais (</w:t>
      </w:r>
      <w:proofErr w:type="spellStart"/>
      <w:r w:rsidRPr="008D2E72">
        <w:rPr>
          <w:rStyle w:val="nfaseforte"/>
          <w:rFonts w:ascii="Times New Roman" w:hAnsi="Times New Roman" w:cs="Times New Roman"/>
          <w:b w:val="0"/>
          <w:color w:val="auto"/>
        </w:rPr>
        <w:t>Caparros</w:t>
      </w:r>
      <w:proofErr w:type="spellEnd"/>
      <w:r w:rsidRPr="008D2E72">
        <w:rPr>
          <w:rStyle w:val="nfaseforte"/>
          <w:rFonts w:ascii="Times New Roman" w:hAnsi="Times New Roman" w:cs="Times New Roman"/>
          <w:b w:val="0"/>
          <w:color w:val="auto"/>
        </w:rPr>
        <w:t>, 2006).</w:t>
      </w:r>
    </w:p>
    <w:p w:rsidR="00805D2D" w:rsidRPr="008D2E72" w:rsidRDefault="00642C1A">
      <w:pPr>
        <w:ind w:firstLine="737"/>
        <w:jc w:val="both"/>
        <w:rPr>
          <w:color w:val="auto"/>
          <w:sz w:val="24"/>
          <w:szCs w:val="24"/>
        </w:rPr>
      </w:pPr>
      <w:r w:rsidRPr="008D2E72">
        <w:rPr>
          <w:color w:val="auto"/>
          <w:sz w:val="24"/>
          <w:szCs w:val="24"/>
        </w:rPr>
        <w:t>Embora os atos realizados pelas pessoas denunciadas tenham diferentes tipificações criminais, no campo de estudo jurídico, o presente trabalho buscou agrupá-los num conjunto de ações desenvolvidas com o fim, meio ou resultado da corrupção, em sentido lato. Esse agrupamento de conceitos permite também o agrupamento das diferentes parcelas de recursos desviados em diferentes atos, e assim mensurar o custo da corrupção.</w:t>
      </w:r>
    </w:p>
    <w:p w:rsidR="00805D2D" w:rsidRPr="008D2E72" w:rsidRDefault="00805D2D">
      <w:pPr>
        <w:ind w:firstLine="1417"/>
        <w:jc w:val="both"/>
        <w:rPr>
          <w:color w:val="auto"/>
          <w:sz w:val="24"/>
          <w:szCs w:val="24"/>
        </w:rPr>
      </w:pPr>
    </w:p>
    <w:p w:rsidR="00805D2D" w:rsidRPr="008D2E72" w:rsidRDefault="00642C1A" w:rsidP="008C294F">
      <w:pPr>
        <w:pStyle w:val="Caption"/>
        <w:rPr>
          <w:b/>
          <w:i w:val="0"/>
          <w:color w:val="auto"/>
        </w:rPr>
      </w:pPr>
      <w:r w:rsidRPr="008D2E72">
        <w:rPr>
          <w:b/>
          <w:i w:val="0"/>
          <w:color w:val="auto"/>
        </w:rPr>
        <w:lastRenderedPageBreak/>
        <w:t>4. Análise de dados</w:t>
      </w:r>
    </w:p>
    <w:p w:rsidR="00805D2D" w:rsidRPr="008D2E72" w:rsidRDefault="00642C1A">
      <w:pPr>
        <w:pStyle w:val="Corpodotexto"/>
        <w:spacing w:after="0" w:line="240" w:lineRule="auto"/>
        <w:ind w:firstLine="737"/>
        <w:jc w:val="both"/>
        <w:rPr>
          <w:color w:val="auto"/>
        </w:rPr>
      </w:pPr>
      <w:r w:rsidRPr="008D2E72">
        <w:rPr>
          <w:rFonts w:ascii="Times New Roman" w:hAnsi="Times New Roman" w:cs="Times New Roman"/>
          <w:color w:val="auto"/>
        </w:rPr>
        <w:t>O circuito percorrido pelo dinheiro no presente caso tem como ponto de partida a entidade pública contratante (1</w:t>
      </w:r>
      <w:hyperlink r:id="rId9">
        <w:r w:rsidRPr="008D2E72">
          <w:rPr>
            <w:rStyle w:val="LinkdaInternet"/>
            <w:rFonts w:ascii="Times New Roman" w:hAnsi="Times New Roman" w:cs="Times New Roman"/>
            <w:color w:val="auto"/>
          </w:rPr>
          <w:t>ª</w:t>
        </w:r>
      </w:hyperlink>
      <w:r w:rsidRPr="008D2E72">
        <w:rPr>
          <w:rFonts w:ascii="Times New Roman" w:hAnsi="Times New Roman" w:cs="Times New Roman"/>
          <w:color w:val="auto"/>
        </w:rPr>
        <w:t xml:space="preserve"> etapa), os pagamentos à licitante contratada (2</w:t>
      </w:r>
      <w:hyperlink r:id="rId10">
        <w:r w:rsidRPr="008D2E72">
          <w:rPr>
            <w:rStyle w:val="LinkdaInternet"/>
            <w:rFonts w:ascii="Times New Roman" w:hAnsi="Times New Roman" w:cs="Times New Roman"/>
            <w:color w:val="auto"/>
          </w:rPr>
          <w:t>ª</w:t>
        </w:r>
      </w:hyperlink>
      <w:r w:rsidRPr="008D2E72">
        <w:rPr>
          <w:rFonts w:ascii="Times New Roman" w:hAnsi="Times New Roman" w:cs="Times New Roman"/>
          <w:color w:val="auto"/>
        </w:rPr>
        <w:t xml:space="preserve"> etapa), a lavagem da vantagem econômica por meio de faturamentos fictícios (3</w:t>
      </w:r>
      <w:hyperlink r:id="rId11">
        <w:r w:rsidRPr="008D2E72">
          <w:rPr>
            <w:rStyle w:val="LinkdaInternet"/>
            <w:rFonts w:ascii="Times New Roman" w:hAnsi="Times New Roman" w:cs="Times New Roman"/>
            <w:color w:val="auto"/>
          </w:rPr>
          <w:t>ª</w:t>
        </w:r>
      </w:hyperlink>
      <w:r w:rsidRPr="008D2E72">
        <w:rPr>
          <w:rFonts w:ascii="Times New Roman" w:hAnsi="Times New Roman" w:cs="Times New Roman"/>
          <w:color w:val="auto"/>
        </w:rPr>
        <w:t xml:space="preserve"> e 4</w:t>
      </w:r>
      <w:hyperlink r:id="rId12">
        <w:r w:rsidRPr="008D2E72">
          <w:rPr>
            <w:rStyle w:val="LinkdaInternet"/>
            <w:rFonts w:ascii="Times New Roman" w:hAnsi="Times New Roman" w:cs="Times New Roman"/>
            <w:color w:val="auto"/>
          </w:rPr>
          <w:t>ª</w:t>
        </w:r>
      </w:hyperlink>
      <w:r w:rsidRPr="008D2E72">
        <w:rPr>
          <w:rFonts w:ascii="Times New Roman" w:hAnsi="Times New Roman" w:cs="Times New Roman"/>
          <w:color w:val="auto"/>
        </w:rPr>
        <w:t xml:space="preserve"> etapas) e a entrega do recurso ao agente corrupto.</w:t>
      </w:r>
    </w:p>
    <w:p w:rsidR="00805D2D" w:rsidRPr="008D2E72" w:rsidRDefault="00642C1A">
      <w:pPr>
        <w:pStyle w:val="Corpodotexto"/>
        <w:spacing w:after="0" w:line="240" w:lineRule="auto"/>
        <w:ind w:firstLine="737"/>
        <w:jc w:val="both"/>
        <w:rPr>
          <w:rFonts w:ascii="Times New Roman" w:hAnsi="Times New Roman" w:cs="Times New Roman"/>
          <w:color w:val="auto"/>
        </w:rPr>
      </w:pPr>
      <w:r w:rsidRPr="008D2E72">
        <w:rPr>
          <w:rFonts w:ascii="Times New Roman" w:hAnsi="Times New Roman" w:cs="Times New Roman"/>
          <w:color w:val="auto"/>
        </w:rPr>
        <w:t xml:space="preserve">A denúncia apresentada pelo Ministério Público Federal </w:t>
      </w:r>
      <w:r w:rsidR="008C294F" w:rsidRPr="008D2E72">
        <w:rPr>
          <w:rFonts w:ascii="Times New Roman" w:hAnsi="Times New Roman" w:cs="Times New Roman"/>
          <w:color w:val="auto"/>
        </w:rPr>
        <w:t xml:space="preserve">(2015) </w:t>
      </w:r>
      <w:r w:rsidRPr="008D2E72">
        <w:rPr>
          <w:rFonts w:ascii="Times New Roman" w:hAnsi="Times New Roman" w:cs="Times New Roman"/>
          <w:color w:val="auto"/>
        </w:rPr>
        <w:t xml:space="preserve">indicou que na etapa licitatória, a primeira, haveria cartel entre as empresas, que em conluio apresentariam propostas em valores superiores ao valor de mercado para a obra em concorrência. No segundo momento, a contratada recebe os recursos do ente público por medições de serviços supostamente prestados. </w:t>
      </w:r>
    </w:p>
    <w:p w:rsidR="00805D2D" w:rsidRPr="008D2E72" w:rsidRDefault="00642C1A">
      <w:pPr>
        <w:pStyle w:val="Corpodotexto"/>
        <w:spacing w:after="0" w:line="240" w:lineRule="auto"/>
        <w:ind w:firstLine="737"/>
        <w:jc w:val="both"/>
        <w:rPr>
          <w:rFonts w:ascii="Times New Roman" w:hAnsi="Times New Roman" w:cs="Times New Roman"/>
          <w:color w:val="auto"/>
        </w:rPr>
      </w:pPr>
      <w:r w:rsidRPr="008D2E72">
        <w:rPr>
          <w:rFonts w:ascii="Times New Roman" w:hAnsi="Times New Roman" w:cs="Times New Roman"/>
          <w:color w:val="auto"/>
        </w:rPr>
        <w:t xml:space="preserve">A partir de então, dá-se início as etapas de lavagem e direcionamento dos recursos para os agentes públicos envolvidos nos atos de corrupção. No caso analisado, para o objeto da denúncia foram pelo menos duas etapas de lavagem, primeiro por meio de uma empresa que fornecia produtos e passou a prestar serviços, e a segunda que atuava tipicamente como </w:t>
      </w:r>
      <w:proofErr w:type="spellStart"/>
      <w:r w:rsidRPr="008D2E72">
        <w:rPr>
          <w:rFonts w:ascii="Times New Roman" w:hAnsi="Times New Roman" w:cs="Times New Roman"/>
          <w:color w:val="auto"/>
        </w:rPr>
        <w:t>noteira</w:t>
      </w:r>
      <w:proofErr w:type="spellEnd"/>
      <w:r w:rsidRPr="008D2E72">
        <w:rPr>
          <w:rFonts w:ascii="Times New Roman" w:hAnsi="Times New Roman" w:cs="Times New Roman"/>
          <w:color w:val="auto"/>
        </w:rPr>
        <w:t xml:space="preserve"> para justificar as saídas de recursos da etapa anterior e direcionamento dos recursos recebidos pelas </w:t>
      </w:r>
      <w:proofErr w:type="spellStart"/>
      <w:r w:rsidRPr="008D2E72">
        <w:rPr>
          <w:rFonts w:ascii="Times New Roman" w:hAnsi="Times New Roman" w:cs="Times New Roman"/>
          <w:color w:val="auto"/>
        </w:rPr>
        <w:t>noteiras</w:t>
      </w:r>
      <w:proofErr w:type="spellEnd"/>
      <w:r w:rsidRPr="008D2E72">
        <w:rPr>
          <w:rFonts w:ascii="Times New Roman" w:hAnsi="Times New Roman" w:cs="Times New Roman"/>
          <w:color w:val="auto"/>
        </w:rPr>
        <w:t>, para os efetivos agentes beneficiários.</w:t>
      </w:r>
    </w:p>
    <w:p w:rsidR="00805D2D" w:rsidRPr="008D2E72" w:rsidRDefault="00642C1A">
      <w:pPr>
        <w:pStyle w:val="Corpodotexto"/>
        <w:spacing w:after="0" w:line="240" w:lineRule="auto"/>
        <w:ind w:firstLine="737"/>
        <w:jc w:val="both"/>
        <w:rPr>
          <w:rFonts w:ascii="Times New Roman" w:hAnsi="Times New Roman" w:cs="Times New Roman"/>
          <w:color w:val="auto"/>
        </w:rPr>
      </w:pPr>
      <w:bookmarkStart w:id="3" w:name="link-4"/>
      <w:bookmarkEnd w:id="3"/>
      <w:r w:rsidRPr="008D2E72">
        <w:rPr>
          <w:rFonts w:ascii="Times New Roman" w:hAnsi="Times New Roman" w:cs="Times New Roman"/>
          <w:color w:val="auto"/>
        </w:rPr>
        <w:t xml:space="preserve">A partir da metodologia </w:t>
      </w:r>
      <w:proofErr w:type="spellStart"/>
      <w:r w:rsidRPr="008D2E72">
        <w:rPr>
          <w:rFonts w:ascii="Times New Roman" w:hAnsi="Times New Roman" w:cs="Times New Roman"/>
          <w:i/>
          <w:color w:val="auto"/>
        </w:rPr>
        <w:t>paper</w:t>
      </w:r>
      <w:proofErr w:type="spellEnd"/>
      <w:r w:rsidRPr="008D2E72">
        <w:rPr>
          <w:rFonts w:ascii="Times New Roman" w:hAnsi="Times New Roman" w:cs="Times New Roman"/>
          <w:i/>
          <w:color w:val="auto"/>
        </w:rPr>
        <w:t xml:space="preserve"> </w:t>
      </w:r>
      <w:proofErr w:type="spellStart"/>
      <w:r w:rsidRPr="008D2E72">
        <w:rPr>
          <w:rFonts w:ascii="Times New Roman" w:hAnsi="Times New Roman" w:cs="Times New Roman"/>
          <w:i/>
          <w:color w:val="auto"/>
        </w:rPr>
        <w:t>trail</w:t>
      </w:r>
      <w:proofErr w:type="spellEnd"/>
      <w:r w:rsidRPr="008D2E72">
        <w:rPr>
          <w:rFonts w:ascii="Times New Roman" w:hAnsi="Times New Roman" w:cs="Times New Roman"/>
          <w:color w:val="auto"/>
        </w:rPr>
        <w:t xml:space="preserve"> e da ordem de revelação dos fatos, optou-se por apresentar a análise seguindo o caminho inverso do fluxo financeiro, por considerar ser sequência lógica que proporciona maior facilidade de entendimento do leitor.</w:t>
      </w:r>
    </w:p>
    <w:p w:rsidR="00805D2D" w:rsidRPr="008D2E72" w:rsidRDefault="00805D2D">
      <w:pPr>
        <w:pStyle w:val="Corpodotexto"/>
        <w:spacing w:after="0" w:line="240" w:lineRule="auto"/>
        <w:ind w:firstLine="737"/>
        <w:jc w:val="both"/>
        <w:rPr>
          <w:rFonts w:ascii="Times New Roman" w:hAnsi="Times New Roman" w:cs="Times New Roman"/>
          <w:color w:val="auto"/>
        </w:rPr>
      </w:pPr>
    </w:p>
    <w:p w:rsidR="00805D2D" w:rsidRPr="008D2E72" w:rsidRDefault="00642C1A">
      <w:pPr>
        <w:rPr>
          <w:color w:val="auto"/>
          <w:szCs w:val="24"/>
        </w:rPr>
      </w:pPr>
      <w:r w:rsidRPr="008D2E72">
        <w:rPr>
          <w:color w:val="auto"/>
          <w:szCs w:val="24"/>
        </w:rPr>
        <w:t>Figura 2 – Análise de fluxo financeiro</w:t>
      </w:r>
    </w:p>
    <w:p w:rsidR="00805D2D" w:rsidRPr="008D2E72" w:rsidRDefault="00642C1A">
      <w:pPr>
        <w:jc w:val="center"/>
        <w:rPr>
          <w:color w:val="auto"/>
          <w:sz w:val="24"/>
          <w:szCs w:val="24"/>
        </w:rPr>
      </w:pPr>
      <w:r w:rsidRPr="008D2E72">
        <w:rPr>
          <w:noProof/>
          <w:color w:val="auto"/>
        </w:rPr>
        <w:drawing>
          <wp:inline distT="0" distB="0" distL="0" distR="0">
            <wp:extent cx="2200275" cy="138112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13"/>
                    <a:stretch>
                      <a:fillRect/>
                    </a:stretch>
                  </pic:blipFill>
                  <pic:spPr bwMode="auto">
                    <a:xfrm>
                      <a:off x="0" y="0"/>
                      <a:ext cx="2200275" cy="1381125"/>
                    </a:xfrm>
                    <a:prstGeom prst="rect">
                      <a:avLst/>
                    </a:prstGeom>
                  </pic:spPr>
                </pic:pic>
              </a:graphicData>
            </a:graphic>
          </wp:inline>
        </w:drawing>
      </w:r>
    </w:p>
    <w:p w:rsidR="00805D2D" w:rsidRPr="008D2E72" w:rsidRDefault="00642C1A">
      <w:pPr>
        <w:pStyle w:val="Corpodotexto"/>
        <w:spacing w:after="0" w:line="240" w:lineRule="auto"/>
        <w:ind w:firstLine="2551"/>
        <w:jc w:val="both"/>
        <w:rPr>
          <w:rFonts w:ascii="Times New Roman" w:hAnsi="Times New Roman" w:cs="Times New Roman"/>
          <w:color w:val="auto"/>
          <w:sz w:val="20"/>
        </w:rPr>
      </w:pPr>
      <w:r w:rsidRPr="008D2E72">
        <w:rPr>
          <w:rFonts w:ascii="Times New Roman" w:hAnsi="Times New Roman" w:cs="Times New Roman"/>
          <w:color w:val="auto"/>
          <w:sz w:val="20"/>
        </w:rPr>
        <w:t>Fonte: elaborado pelos autores</w:t>
      </w:r>
    </w:p>
    <w:p w:rsidR="00805D2D" w:rsidRPr="008D2E72" w:rsidRDefault="00805D2D">
      <w:pPr>
        <w:pStyle w:val="Corpodotexto"/>
        <w:spacing w:after="0" w:line="240" w:lineRule="auto"/>
        <w:ind w:firstLine="1417"/>
        <w:jc w:val="both"/>
        <w:rPr>
          <w:rFonts w:ascii="Times New Roman" w:hAnsi="Times New Roman" w:cs="Times New Roman"/>
          <w:color w:val="auto"/>
        </w:rPr>
      </w:pPr>
    </w:p>
    <w:p w:rsidR="00805D2D" w:rsidRPr="008D2E72" w:rsidRDefault="00642C1A" w:rsidP="008C294F">
      <w:pPr>
        <w:pStyle w:val="Corpodotexto"/>
        <w:rPr>
          <w:b/>
          <w:color w:val="auto"/>
        </w:rPr>
      </w:pPr>
      <w:r w:rsidRPr="008D2E72">
        <w:rPr>
          <w:b/>
          <w:color w:val="auto"/>
        </w:rPr>
        <w:t>4.1 Quarta Etapa: lavagem e entrega das vantagens aos agentes corruptos</w:t>
      </w:r>
    </w:p>
    <w:p w:rsidR="00805D2D" w:rsidRPr="008D2E72" w:rsidRDefault="00642C1A">
      <w:pPr>
        <w:pStyle w:val="Corpodotexto"/>
        <w:spacing w:after="0" w:line="240" w:lineRule="auto"/>
        <w:ind w:firstLine="737"/>
        <w:jc w:val="both"/>
        <w:rPr>
          <w:rFonts w:ascii="Times New Roman" w:hAnsi="Times New Roman" w:cs="Times New Roman"/>
          <w:color w:val="auto"/>
        </w:rPr>
      </w:pPr>
      <w:r w:rsidRPr="008D2E72">
        <w:rPr>
          <w:rFonts w:ascii="Times New Roman" w:hAnsi="Times New Roman" w:cs="Times New Roman"/>
          <w:color w:val="auto"/>
        </w:rPr>
        <w:t xml:space="preserve">Esta última etapa do fluxo financeiro consistiria no emprego de quatro empresas que agiam tipicamente como </w:t>
      </w:r>
      <w:proofErr w:type="spellStart"/>
      <w:r w:rsidRPr="008D2E72">
        <w:rPr>
          <w:rFonts w:ascii="Times New Roman" w:hAnsi="Times New Roman" w:cs="Times New Roman"/>
          <w:color w:val="auto"/>
        </w:rPr>
        <w:t>noteiras</w:t>
      </w:r>
      <w:proofErr w:type="spellEnd"/>
      <w:r w:rsidRPr="008D2E72">
        <w:rPr>
          <w:rFonts w:ascii="Times New Roman" w:hAnsi="Times New Roman" w:cs="Times New Roman"/>
          <w:color w:val="auto"/>
        </w:rPr>
        <w:t>, das quais pelo menos três não teriam atividade efetiva, para emissão de notas fiscais, recebimento dos recursos e entrega aos beneficiários. Essas empresas atuariam sob controle</w:t>
      </w:r>
      <w:r w:rsidR="00DB07D1" w:rsidRPr="008D2E72">
        <w:rPr>
          <w:rFonts w:ascii="Times New Roman" w:hAnsi="Times New Roman" w:cs="Times New Roman"/>
          <w:color w:val="auto"/>
        </w:rPr>
        <w:t xml:space="preserve"> de</w:t>
      </w:r>
      <w:r w:rsidRPr="008D2E72">
        <w:rPr>
          <w:rFonts w:ascii="Times New Roman" w:hAnsi="Times New Roman" w:cs="Times New Roman"/>
          <w:color w:val="auto"/>
        </w:rPr>
        <w:t xml:space="preserve"> pessoa que atuava como doleiro, e conhecido no cenário de crimes financeiros da última década, apesar de não constar nos seus quadros societários.</w:t>
      </w:r>
    </w:p>
    <w:p w:rsidR="00805D2D" w:rsidRPr="008D2E72" w:rsidRDefault="00642C1A">
      <w:pPr>
        <w:pStyle w:val="Corpodotexto"/>
        <w:spacing w:after="0" w:line="240" w:lineRule="auto"/>
        <w:ind w:firstLine="737"/>
        <w:jc w:val="both"/>
        <w:rPr>
          <w:rFonts w:ascii="Times New Roman" w:hAnsi="Times New Roman" w:cs="Times New Roman"/>
          <w:color w:val="auto"/>
        </w:rPr>
      </w:pPr>
      <w:r w:rsidRPr="008D2E72">
        <w:rPr>
          <w:rFonts w:ascii="Times New Roman" w:hAnsi="Times New Roman" w:cs="Times New Roman"/>
          <w:color w:val="auto"/>
        </w:rPr>
        <w:t>As quatro empresas, aqui denominadas apenas pelas suas iniciais REMG receberam um volume significativo de recursos; três dessas receberam R$ 36.876.887,75. O direcionamento dos recursos aos beneficiários indicados se deu de diversas formas identificadas, entre as quais remessas ao exterior, saques, e investimento em bens lícitos.</w:t>
      </w:r>
    </w:p>
    <w:p w:rsidR="00805D2D" w:rsidRPr="008D2E72" w:rsidRDefault="00642C1A">
      <w:pPr>
        <w:pStyle w:val="Corpodotexto"/>
        <w:spacing w:after="0" w:line="240" w:lineRule="auto"/>
        <w:ind w:firstLine="737"/>
        <w:jc w:val="both"/>
        <w:rPr>
          <w:rFonts w:ascii="Times New Roman" w:hAnsi="Times New Roman" w:cs="Times New Roman"/>
          <w:color w:val="auto"/>
        </w:rPr>
      </w:pPr>
      <w:r w:rsidRPr="008D2E72">
        <w:rPr>
          <w:rFonts w:ascii="Times New Roman" w:hAnsi="Times New Roman" w:cs="Times New Roman"/>
          <w:color w:val="auto"/>
        </w:rPr>
        <w:t xml:space="preserve">A empresa “M” comprovadamente teria remetido fraudulentamente ao exterior, por empresas do segmento laboratorial, em contratos de câmbio de importação fictícios com </w:t>
      </w:r>
      <w:proofErr w:type="spellStart"/>
      <w:r w:rsidRPr="008D2E72">
        <w:rPr>
          <w:rFonts w:ascii="Times New Roman" w:hAnsi="Times New Roman" w:cs="Times New Roman"/>
          <w:i/>
          <w:iCs/>
          <w:color w:val="auto"/>
        </w:rPr>
        <w:t>offshores</w:t>
      </w:r>
      <w:proofErr w:type="spellEnd"/>
      <w:r w:rsidRPr="008D2E72">
        <w:rPr>
          <w:rFonts w:ascii="Times New Roman" w:hAnsi="Times New Roman" w:cs="Times New Roman"/>
          <w:color w:val="auto"/>
        </w:rPr>
        <w:t xml:space="preserve"> controladas pelos envolvidos, em que os recursos saíam mas não entravam quaisquer mercadorias.</w:t>
      </w:r>
    </w:p>
    <w:p w:rsidR="00805D2D" w:rsidRPr="008D2E72" w:rsidRDefault="00642C1A">
      <w:pPr>
        <w:ind w:firstLine="737"/>
        <w:jc w:val="both"/>
        <w:rPr>
          <w:color w:val="auto"/>
          <w:sz w:val="24"/>
          <w:szCs w:val="24"/>
        </w:rPr>
      </w:pPr>
      <w:r w:rsidRPr="008D2E72">
        <w:rPr>
          <w:color w:val="auto"/>
          <w:sz w:val="24"/>
          <w:szCs w:val="24"/>
        </w:rPr>
        <w:t xml:space="preserve">Os recursos recebidos em conta pelas empresas EMG eram seguidas de transações que operacionalizavam a obtenção de numerário em espécie a fim de que fossem entregues aos agentes corruptos ou por eles indicados. Nas contas dessas empresas, teriam transitado </w:t>
      </w:r>
      <w:r w:rsidRPr="008D2E72">
        <w:rPr>
          <w:color w:val="auto"/>
          <w:sz w:val="24"/>
          <w:szCs w:val="24"/>
        </w:rPr>
        <w:lastRenderedPageBreak/>
        <w:t>recursos ilícitos, entre os anos de 2009 e 2013, que sacados ou descontados alcançaram R$ 23.715.400,97.</w:t>
      </w:r>
    </w:p>
    <w:p w:rsidR="00805D2D" w:rsidRPr="008D2E72" w:rsidRDefault="00805D2D">
      <w:pPr>
        <w:ind w:firstLine="1417"/>
        <w:jc w:val="both"/>
        <w:rPr>
          <w:color w:val="auto"/>
          <w:sz w:val="24"/>
          <w:szCs w:val="24"/>
        </w:rPr>
      </w:pPr>
    </w:p>
    <w:p w:rsidR="00805D2D" w:rsidRPr="008D2E72" w:rsidRDefault="00642C1A">
      <w:pPr>
        <w:jc w:val="center"/>
        <w:rPr>
          <w:color w:val="auto"/>
        </w:rPr>
      </w:pPr>
      <w:r w:rsidRPr="008D2E72">
        <w:rPr>
          <w:color w:val="auto"/>
        </w:rPr>
        <w:t>Tabela 1 – Saídas em espécie</w:t>
      </w:r>
    </w:p>
    <w:tbl>
      <w:tblPr>
        <w:tblW w:w="9086" w:type="dxa"/>
        <w:tblInd w:w="-20" w:type="dxa"/>
        <w:tblBorders>
          <w:top w:val="single" w:sz="8" w:space="0" w:color="000001"/>
          <w:left w:val="single" w:sz="8" w:space="0" w:color="000001"/>
        </w:tblBorders>
        <w:tblCellMar>
          <w:left w:w="40" w:type="dxa"/>
          <w:right w:w="70" w:type="dxa"/>
        </w:tblCellMar>
        <w:tblLook w:val="0000"/>
      </w:tblPr>
      <w:tblGrid>
        <w:gridCol w:w="790"/>
        <w:gridCol w:w="760"/>
        <w:gridCol w:w="988"/>
        <w:gridCol w:w="345"/>
        <w:gridCol w:w="817"/>
        <w:gridCol w:w="335"/>
        <w:gridCol w:w="887"/>
        <w:gridCol w:w="428"/>
        <w:gridCol w:w="846"/>
        <w:gridCol w:w="347"/>
        <w:gridCol w:w="884"/>
        <w:gridCol w:w="398"/>
        <w:gridCol w:w="938"/>
        <w:gridCol w:w="323"/>
      </w:tblGrid>
      <w:tr w:rsidR="00805D2D" w:rsidRPr="008D2E72">
        <w:trPr>
          <w:cantSplit/>
          <w:trHeight w:val="300"/>
        </w:trPr>
        <w:tc>
          <w:tcPr>
            <w:tcW w:w="789" w:type="dxa"/>
            <w:tcBorders>
              <w:top w:val="single" w:sz="8" w:space="0" w:color="000001"/>
              <w:left w:val="single" w:sz="8" w:space="0" w:color="000001"/>
            </w:tcBorders>
            <w:shd w:val="clear" w:color="auto" w:fill="auto"/>
            <w:tcMar>
              <w:left w:w="40" w:type="dxa"/>
            </w:tcMar>
            <w:vAlign w:val="center"/>
          </w:tcPr>
          <w:p w:rsidR="00805D2D" w:rsidRPr="008D2E72" w:rsidRDefault="00642C1A">
            <w:pPr>
              <w:suppressAutoHyphens w:val="0"/>
              <w:ind w:left="-70" w:right="-101"/>
              <w:jc w:val="center"/>
              <w:rPr>
                <w:bCs/>
                <w:color w:val="auto"/>
                <w:sz w:val="14"/>
                <w:szCs w:val="14"/>
              </w:rPr>
            </w:pPr>
            <w:r w:rsidRPr="008D2E72">
              <w:rPr>
                <w:bCs/>
                <w:color w:val="auto"/>
                <w:sz w:val="14"/>
                <w:szCs w:val="14"/>
              </w:rPr>
              <w:t>EMPRESA</w:t>
            </w:r>
          </w:p>
          <w:p w:rsidR="00805D2D" w:rsidRPr="008D2E72" w:rsidRDefault="00642C1A">
            <w:pPr>
              <w:suppressAutoHyphens w:val="0"/>
              <w:ind w:left="-70" w:right="-101"/>
              <w:jc w:val="center"/>
              <w:rPr>
                <w:bCs/>
                <w:color w:val="auto"/>
                <w:sz w:val="14"/>
                <w:szCs w:val="14"/>
              </w:rPr>
            </w:pPr>
            <w:r w:rsidRPr="008D2E72">
              <w:rPr>
                <w:bCs/>
                <w:color w:val="auto"/>
                <w:sz w:val="14"/>
                <w:szCs w:val="14"/>
              </w:rPr>
              <w:t>/ ANO</w:t>
            </w:r>
          </w:p>
        </w:tc>
        <w:tc>
          <w:tcPr>
            <w:tcW w:w="760" w:type="dxa"/>
            <w:tcBorders>
              <w:top w:val="single" w:sz="8" w:space="0" w:color="000001"/>
            </w:tcBorders>
            <w:shd w:val="clear" w:color="auto" w:fill="auto"/>
            <w:tcMar>
              <w:left w:w="70" w:type="dxa"/>
            </w:tcMar>
            <w:vAlign w:val="center"/>
          </w:tcPr>
          <w:p w:rsidR="00805D2D" w:rsidRPr="008D2E72" w:rsidRDefault="00805D2D">
            <w:pPr>
              <w:suppressAutoHyphens w:val="0"/>
              <w:snapToGrid w:val="0"/>
              <w:ind w:left="-9" w:right="-52"/>
              <w:jc w:val="center"/>
              <w:rPr>
                <w:bCs/>
                <w:color w:val="auto"/>
                <w:sz w:val="14"/>
                <w:szCs w:val="14"/>
              </w:rPr>
            </w:pPr>
          </w:p>
        </w:tc>
        <w:tc>
          <w:tcPr>
            <w:tcW w:w="988" w:type="dxa"/>
            <w:tcBorders>
              <w:top w:val="single" w:sz="8" w:space="0" w:color="000001"/>
            </w:tcBorders>
            <w:shd w:val="clear" w:color="auto" w:fill="auto"/>
            <w:tcMar>
              <w:left w:w="40" w:type="dxa"/>
            </w:tcMar>
            <w:vAlign w:val="center"/>
          </w:tcPr>
          <w:p w:rsidR="00805D2D" w:rsidRPr="008D2E72" w:rsidRDefault="00642C1A">
            <w:pPr>
              <w:suppressAutoHyphens w:val="0"/>
              <w:ind w:left="-27" w:right="-28"/>
              <w:jc w:val="center"/>
              <w:rPr>
                <w:bCs/>
                <w:color w:val="auto"/>
                <w:sz w:val="14"/>
                <w:szCs w:val="14"/>
              </w:rPr>
            </w:pPr>
            <w:r w:rsidRPr="008D2E72">
              <w:rPr>
                <w:bCs/>
                <w:color w:val="auto"/>
                <w:sz w:val="14"/>
                <w:szCs w:val="14"/>
              </w:rPr>
              <w:t>2009</w:t>
            </w:r>
          </w:p>
        </w:tc>
        <w:tc>
          <w:tcPr>
            <w:tcW w:w="345" w:type="dxa"/>
            <w:tcBorders>
              <w:top w:val="single" w:sz="8" w:space="0" w:color="000001"/>
            </w:tcBorders>
            <w:shd w:val="clear" w:color="auto" w:fill="auto"/>
            <w:tcMar>
              <w:left w:w="40" w:type="dxa"/>
            </w:tcMar>
            <w:vAlign w:val="center"/>
          </w:tcPr>
          <w:p w:rsidR="00805D2D" w:rsidRPr="008D2E72" w:rsidRDefault="00805D2D">
            <w:pPr>
              <w:suppressAutoHyphens w:val="0"/>
              <w:snapToGrid w:val="0"/>
              <w:ind w:left="-57" w:right="-108"/>
              <w:jc w:val="center"/>
              <w:rPr>
                <w:bCs/>
                <w:color w:val="auto"/>
                <w:sz w:val="14"/>
                <w:szCs w:val="14"/>
              </w:rPr>
            </w:pPr>
          </w:p>
        </w:tc>
        <w:tc>
          <w:tcPr>
            <w:tcW w:w="817" w:type="dxa"/>
            <w:tcBorders>
              <w:top w:val="single" w:sz="8" w:space="0" w:color="000001"/>
            </w:tcBorders>
            <w:shd w:val="clear" w:color="auto" w:fill="auto"/>
            <w:tcMar>
              <w:left w:w="40" w:type="dxa"/>
            </w:tcMar>
            <w:vAlign w:val="center"/>
          </w:tcPr>
          <w:p w:rsidR="00805D2D" w:rsidRPr="008D2E72" w:rsidRDefault="00642C1A">
            <w:pPr>
              <w:suppressAutoHyphens w:val="0"/>
              <w:ind w:left="-70" w:right="-70"/>
              <w:jc w:val="center"/>
              <w:rPr>
                <w:bCs/>
                <w:color w:val="auto"/>
                <w:sz w:val="14"/>
                <w:szCs w:val="14"/>
              </w:rPr>
            </w:pPr>
            <w:r w:rsidRPr="008D2E72">
              <w:rPr>
                <w:bCs/>
                <w:color w:val="auto"/>
                <w:sz w:val="14"/>
                <w:szCs w:val="14"/>
              </w:rPr>
              <w:t>2010</w:t>
            </w:r>
          </w:p>
        </w:tc>
        <w:tc>
          <w:tcPr>
            <w:tcW w:w="335" w:type="dxa"/>
            <w:tcBorders>
              <w:top w:val="single" w:sz="8" w:space="0" w:color="000001"/>
            </w:tcBorders>
            <w:shd w:val="clear" w:color="auto" w:fill="auto"/>
            <w:tcMar>
              <w:left w:w="40" w:type="dxa"/>
            </w:tcMar>
            <w:vAlign w:val="center"/>
          </w:tcPr>
          <w:p w:rsidR="00805D2D" w:rsidRPr="008D2E72" w:rsidRDefault="00805D2D">
            <w:pPr>
              <w:suppressAutoHyphens w:val="0"/>
              <w:snapToGrid w:val="0"/>
              <w:ind w:left="-70" w:right="-95"/>
              <w:jc w:val="center"/>
              <w:rPr>
                <w:bCs/>
                <w:color w:val="auto"/>
                <w:sz w:val="14"/>
                <w:szCs w:val="14"/>
              </w:rPr>
            </w:pPr>
          </w:p>
        </w:tc>
        <w:tc>
          <w:tcPr>
            <w:tcW w:w="887" w:type="dxa"/>
            <w:tcBorders>
              <w:top w:val="single" w:sz="8" w:space="0" w:color="000001"/>
            </w:tcBorders>
            <w:shd w:val="clear" w:color="auto" w:fill="auto"/>
            <w:tcMar>
              <w:left w:w="40" w:type="dxa"/>
            </w:tcMar>
            <w:vAlign w:val="center"/>
          </w:tcPr>
          <w:p w:rsidR="00805D2D" w:rsidRPr="008D2E72" w:rsidRDefault="00642C1A">
            <w:pPr>
              <w:suppressAutoHyphens w:val="0"/>
              <w:ind w:left="-22" w:right="-32"/>
              <w:jc w:val="center"/>
              <w:rPr>
                <w:bCs/>
                <w:color w:val="auto"/>
                <w:sz w:val="14"/>
                <w:szCs w:val="14"/>
              </w:rPr>
            </w:pPr>
            <w:r w:rsidRPr="008D2E72">
              <w:rPr>
                <w:bCs/>
                <w:color w:val="auto"/>
                <w:sz w:val="14"/>
                <w:szCs w:val="14"/>
              </w:rPr>
              <w:t>2011</w:t>
            </w:r>
          </w:p>
        </w:tc>
        <w:tc>
          <w:tcPr>
            <w:tcW w:w="428" w:type="dxa"/>
            <w:tcBorders>
              <w:top w:val="single" w:sz="8" w:space="0" w:color="000001"/>
            </w:tcBorders>
            <w:shd w:val="clear" w:color="auto" w:fill="auto"/>
            <w:tcMar>
              <w:left w:w="40" w:type="dxa"/>
            </w:tcMar>
            <w:vAlign w:val="center"/>
          </w:tcPr>
          <w:p w:rsidR="00805D2D" w:rsidRPr="008D2E72" w:rsidRDefault="00805D2D">
            <w:pPr>
              <w:suppressAutoHyphens w:val="0"/>
              <w:snapToGrid w:val="0"/>
              <w:ind w:left="-54" w:right="-21"/>
              <w:jc w:val="center"/>
              <w:rPr>
                <w:bCs/>
                <w:color w:val="auto"/>
                <w:sz w:val="14"/>
                <w:szCs w:val="14"/>
              </w:rPr>
            </w:pPr>
          </w:p>
        </w:tc>
        <w:tc>
          <w:tcPr>
            <w:tcW w:w="846" w:type="dxa"/>
            <w:tcBorders>
              <w:top w:val="single" w:sz="8" w:space="0" w:color="000001"/>
            </w:tcBorders>
            <w:shd w:val="clear" w:color="auto" w:fill="auto"/>
            <w:tcMar>
              <w:left w:w="40" w:type="dxa"/>
            </w:tcMar>
            <w:vAlign w:val="center"/>
          </w:tcPr>
          <w:p w:rsidR="00805D2D" w:rsidRPr="008D2E72" w:rsidRDefault="00642C1A">
            <w:pPr>
              <w:suppressAutoHyphens w:val="0"/>
              <w:ind w:left="-95" w:right="-33"/>
              <w:jc w:val="center"/>
              <w:rPr>
                <w:bCs/>
                <w:color w:val="auto"/>
                <w:sz w:val="14"/>
                <w:szCs w:val="14"/>
              </w:rPr>
            </w:pPr>
            <w:r w:rsidRPr="008D2E72">
              <w:rPr>
                <w:bCs/>
                <w:color w:val="auto"/>
                <w:sz w:val="14"/>
                <w:szCs w:val="14"/>
              </w:rPr>
              <w:t>2012</w:t>
            </w:r>
          </w:p>
        </w:tc>
        <w:tc>
          <w:tcPr>
            <w:tcW w:w="347" w:type="dxa"/>
            <w:tcBorders>
              <w:top w:val="single" w:sz="8" w:space="0" w:color="000001"/>
            </w:tcBorders>
            <w:shd w:val="clear" w:color="auto" w:fill="auto"/>
            <w:tcMar>
              <w:left w:w="40" w:type="dxa"/>
            </w:tcMar>
            <w:vAlign w:val="center"/>
          </w:tcPr>
          <w:p w:rsidR="00805D2D" w:rsidRPr="008D2E72" w:rsidRDefault="00805D2D">
            <w:pPr>
              <w:suppressAutoHyphens w:val="0"/>
              <w:snapToGrid w:val="0"/>
              <w:ind w:left="-70" w:right="-99"/>
              <w:jc w:val="center"/>
              <w:rPr>
                <w:bCs/>
                <w:color w:val="auto"/>
                <w:sz w:val="14"/>
                <w:szCs w:val="14"/>
              </w:rPr>
            </w:pPr>
          </w:p>
        </w:tc>
        <w:tc>
          <w:tcPr>
            <w:tcW w:w="884" w:type="dxa"/>
            <w:tcBorders>
              <w:top w:val="single" w:sz="8" w:space="0" w:color="000001"/>
            </w:tcBorders>
            <w:shd w:val="clear" w:color="auto" w:fill="auto"/>
            <w:tcMar>
              <w:left w:w="40" w:type="dxa"/>
            </w:tcMar>
            <w:vAlign w:val="center"/>
          </w:tcPr>
          <w:p w:rsidR="00805D2D" w:rsidRPr="008D2E72" w:rsidRDefault="00642C1A">
            <w:pPr>
              <w:suppressAutoHyphens w:val="0"/>
              <w:ind w:left="-70"/>
              <w:jc w:val="center"/>
              <w:rPr>
                <w:bCs/>
                <w:color w:val="auto"/>
                <w:sz w:val="14"/>
                <w:szCs w:val="14"/>
              </w:rPr>
            </w:pPr>
            <w:r w:rsidRPr="008D2E72">
              <w:rPr>
                <w:bCs/>
                <w:color w:val="auto"/>
                <w:sz w:val="14"/>
                <w:szCs w:val="14"/>
              </w:rPr>
              <w:t>2013</w:t>
            </w:r>
          </w:p>
        </w:tc>
        <w:tc>
          <w:tcPr>
            <w:tcW w:w="398" w:type="dxa"/>
            <w:tcBorders>
              <w:top w:val="single" w:sz="8" w:space="0" w:color="000001"/>
            </w:tcBorders>
            <w:shd w:val="clear" w:color="auto" w:fill="auto"/>
            <w:tcMar>
              <w:left w:w="40" w:type="dxa"/>
            </w:tcMar>
            <w:vAlign w:val="center"/>
          </w:tcPr>
          <w:p w:rsidR="00805D2D" w:rsidRPr="008D2E72" w:rsidRDefault="00805D2D">
            <w:pPr>
              <w:suppressAutoHyphens w:val="0"/>
              <w:snapToGrid w:val="0"/>
              <w:ind w:left="-86" w:right="-36"/>
              <w:jc w:val="center"/>
              <w:rPr>
                <w:bCs/>
                <w:color w:val="auto"/>
                <w:sz w:val="14"/>
                <w:szCs w:val="14"/>
              </w:rPr>
            </w:pPr>
          </w:p>
        </w:tc>
        <w:tc>
          <w:tcPr>
            <w:tcW w:w="938" w:type="dxa"/>
            <w:tcBorders>
              <w:top w:val="single" w:sz="8" w:space="0" w:color="000001"/>
            </w:tcBorders>
            <w:shd w:val="clear" w:color="auto" w:fill="auto"/>
            <w:tcMar>
              <w:left w:w="40" w:type="dxa"/>
            </w:tcMar>
            <w:vAlign w:val="center"/>
          </w:tcPr>
          <w:p w:rsidR="00805D2D" w:rsidRPr="008D2E72" w:rsidRDefault="00642C1A">
            <w:pPr>
              <w:suppressAutoHyphens w:val="0"/>
              <w:ind w:left="-80" w:right="-35"/>
              <w:jc w:val="center"/>
              <w:rPr>
                <w:bCs/>
                <w:color w:val="auto"/>
                <w:sz w:val="14"/>
                <w:szCs w:val="14"/>
              </w:rPr>
            </w:pPr>
            <w:r w:rsidRPr="008D2E72">
              <w:rPr>
                <w:bCs/>
                <w:color w:val="auto"/>
                <w:sz w:val="14"/>
                <w:szCs w:val="14"/>
              </w:rPr>
              <w:t>TOTAL</w:t>
            </w:r>
          </w:p>
        </w:tc>
        <w:tc>
          <w:tcPr>
            <w:tcW w:w="323" w:type="dxa"/>
            <w:tcBorders>
              <w:top w:val="single" w:sz="8" w:space="0" w:color="000001"/>
              <w:left w:val="single" w:sz="8" w:space="0" w:color="000001"/>
              <w:right w:val="single" w:sz="8" w:space="0" w:color="000001"/>
            </w:tcBorders>
            <w:shd w:val="clear" w:color="auto" w:fill="auto"/>
            <w:tcMar>
              <w:left w:w="60" w:type="dxa"/>
            </w:tcMar>
            <w:vAlign w:val="center"/>
          </w:tcPr>
          <w:p w:rsidR="00805D2D" w:rsidRPr="008D2E72" w:rsidRDefault="00805D2D">
            <w:pPr>
              <w:suppressAutoHyphens w:val="0"/>
              <w:snapToGrid w:val="0"/>
              <w:ind w:left="-132" w:right="-46"/>
              <w:jc w:val="center"/>
              <w:rPr>
                <w:bCs/>
                <w:color w:val="auto"/>
                <w:sz w:val="14"/>
                <w:szCs w:val="14"/>
              </w:rPr>
            </w:pPr>
          </w:p>
        </w:tc>
      </w:tr>
      <w:tr w:rsidR="00805D2D" w:rsidRPr="008D2E72">
        <w:trPr>
          <w:cantSplit/>
          <w:trHeight w:val="300"/>
        </w:trPr>
        <w:tc>
          <w:tcPr>
            <w:tcW w:w="789" w:type="dxa"/>
            <w:vMerge w:val="restart"/>
            <w:tcBorders>
              <w:top w:val="single" w:sz="8" w:space="0" w:color="000001"/>
              <w:left w:val="single" w:sz="8" w:space="0" w:color="000001"/>
            </w:tcBorders>
            <w:shd w:val="clear" w:color="auto" w:fill="auto"/>
            <w:tcMar>
              <w:left w:w="40" w:type="dxa"/>
            </w:tcMar>
            <w:vAlign w:val="center"/>
          </w:tcPr>
          <w:p w:rsidR="00805D2D" w:rsidRPr="008D2E72" w:rsidRDefault="00642C1A">
            <w:pPr>
              <w:suppressAutoHyphens w:val="0"/>
              <w:ind w:left="-70" w:right="-101"/>
              <w:jc w:val="center"/>
              <w:rPr>
                <w:bCs/>
                <w:color w:val="auto"/>
                <w:sz w:val="14"/>
                <w:szCs w:val="14"/>
              </w:rPr>
            </w:pPr>
            <w:r w:rsidRPr="008D2E72">
              <w:rPr>
                <w:bCs/>
                <w:color w:val="auto"/>
                <w:sz w:val="14"/>
                <w:szCs w:val="14"/>
              </w:rPr>
              <w:t>“E”</w:t>
            </w:r>
          </w:p>
        </w:tc>
        <w:tc>
          <w:tcPr>
            <w:tcW w:w="760" w:type="dxa"/>
            <w:tcBorders>
              <w:top w:val="single" w:sz="8" w:space="0" w:color="000001"/>
              <w:left w:val="single" w:sz="4" w:space="0" w:color="000001"/>
              <w:bottom w:val="single" w:sz="4" w:space="0" w:color="000001"/>
            </w:tcBorders>
            <w:shd w:val="clear" w:color="auto" w:fill="auto"/>
            <w:tcMar>
              <w:left w:w="55" w:type="dxa"/>
            </w:tcMar>
            <w:vAlign w:val="bottom"/>
          </w:tcPr>
          <w:p w:rsidR="00805D2D" w:rsidRPr="008D2E72" w:rsidRDefault="00642C1A">
            <w:pPr>
              <w:suppressAutoHyphens w:val="0"/>
              <w:ind w:left="-9" w:right="-52"/>
              <w:rPr>
                <w:color w:val="auto"/>
                <w:sz w:val="14"/>
                <w:szCs w:val="14"/>
              </w:rPr>
            </w:pPr>
            <w:r w:rsidRPr="008D2E72">
              <w:rPr>
                <w:color w:val="auto"/>
                <w:sz w:val="14"/>
                <w:szCs w:val="14"/>
              </w:rPr>
              <w:t>CRÉDITOS</w:t>
            </w:r>
          </w:p>
        </w:tc>
        <w:tc>
          <w:tcPr>
            <w:tcW w:w="988" w:type="dxa"/>
            <w:tcBorders>
              <w:top w:val="single" w:sz="8" w:space="0" w:color="000001"/>
              <w:left w:val="single" w:sz="4" w:space="0" w:color="000001"/>
              <w:bottom w:val="single" w:sz="4" w:space="0" w:color="000001"/>
            </w:tcBorders>
            <w:shd w:val="clear" w:color="auto" w:fill="auto"/>
            <w:vAlign w:val="bottom"/>
          </w:tcPr>
          <w:p w:rsidR="00805D2D" w:rsidRPr="008D2E72" w:rsidRDefault="00642C1A">
            <w:pPr>
              <w:suppressAutoHyphens w:val="0"/>
              <w:ind w:left="-27" w:right="-28"/>
              <w:jc w:val="right"/>
              <w:rPr>
                <w:color w:val="auto"/>
                <w:sz w:val="14"/>
                <w:szCs w:val="14"/>
              </w:rPr>
            </w:pPr>
            <w:r w:rsidRPr="008D2E72">
              <w:rPr>
                <w:color w:val="auto"/>
                <w:sz w:val="14"/>
                <w:szCs w:val="14"/>
              </w:rPr>
              <w:t>2.815.613,08</w:t>
            </w:r>
          </w:p>
        </w:tc>
        <w:tc>
          <w:tcPr>
            <w:tcW w:w="345" w:type="dxa"/>
            <w:tcBorders>
              <w:top w:val="single" w:sz="8" w:space="0" w:color="000001"/>
              <w:left w:val="single" w:sz="4" w:space="0" w:color="000001"/>
              <w:bottom w:val="single" w:sz="4" w:space="0" w:color="000001"/>
            </w:tcBorders>
            <w:shd w:val="clear" w:color="auto" w:fill="auto"/>
            <w:vAlign w:val="bottom"/>
          </w:tcPr>
          <w:p w:rsidR="00805D2D" w:rsidRPr="008D2E72" w:rsidRDefault="00805D2D">
            <w:pPr>
              <w:suppressAutoHyphens w:val="0"/>
              <w:snapToGrid w:val="0"/>
              <w:ind w:left="-57" w:right="-108"/>
              <w:jc w:val="center"/>
              <w:rPr>
                <w:color w:val="auto"/>
                <w:sz w:val="14"/>
                <w:szCs w:val="14"/>
              </w:rPr>
            </w:pPr>
          </w:p>
        </w:tc>
        <w:tc>
          <w:tcPr>
            <w:tcW w:w="817" w:type="dxa"/>
            <w:tcBorders>
              <w:top w:val="single" w:sz="8" w:space="0" w:color="000001"/>
              <w:left w:val="single" w:sz="4" w:space="0" w:color="000001"/>
              <w:bottom w:val="single" w:sz="4" w:space="0" w:color="000001"/>
            </w:tcBorders>
            <w:shd w:val="clear" w:color="auto" w:fill="auto"/>
            <w:vAlign w:val="bottom"/>
          </w:tcPr>
          <w:p w:rsidR="00805D2D" w:rsidRPr="008D2E72" w:rsidRDefault="00642C1A">
            <w:pPr>
              <w:suppressAutoHyphens w:val="0"/>
              <w:ind w:left="-70" w:right="-70"/>
              <w:jc w:val="right"/>
              <w:rPr>
                <w:color w:val="auto"/>
                <w:sz w:val="14"/>
                <w:szCs w:val="14"/>
              </w:rPr>
            </w:pPr>
            <w:r w:rsidRPr="008D2E72">
              <w:rPr>
                <w:color w:val="auto"/>
                <w:sz w:val="14"/>
                <w:szCs w:val="14"/>
              </w:rPr>
              <w:t>21.700.721,79</w:t>
            </w:r>
          </w:p>
        </w:tc>
        <w:tc>
          <w:tcPr>
            <w:tcW w:w="335" w:type="dxa"/>
            <w:tcBorders>
              <w:top w:val="single" w:sz="8" w:space="0" w:color="000001"/>
              <w:left w:val="single" w:sz="4" w:space="0" w:color="000001"/>
              <w:bottom w:val="single" w:sz="4" w:space="0" w:color="000001"/>
            </w:tcBorders>
            <w:shd w:val="clear" w:color="auto" w:fill="auto"/>
            <w:vAlign w:val="bottom"/>
          </w:tcPr>
          <w:p w:rsidR="00805D2D" w:rsidRPr="008D2E72" w:rsidRDefault="00805D2D">
            <w:pPr>
              <w:suppressAutoHyphens w:val="0"/>
              <w:snapToGrid w:val="0"/>
              <w:ind w:left="-70" w:right="-95"/>
              <w:jc w:val="center"/>
              <w:rPr>
                <w:color w:val="auto"/>
                <w:sz w:val="14"/>
                <w:szCs w:val="14"/>
              </w:rPr>
            </w:pPr>
          </w:p>
        </w:tc>
        <w:tc>
          <w:tcPr>
            <w:tcW w:w="887" w:type="dxa"/>
            <w:tcBorders>
              <w:top w:val="single" w:sz="8" w:space="0" w:color="000001"/>
              <w:left w:val="single" w:sz="4" w:space="0" w:color="000001"/>
              <w:bottom w:val="single" w:sz="4" w:space="0" w:color="000001"/>
            </w:tcBorders>
            <w:shd w:val="clear" w:color="auto" w:fill="auto"/>
            <w:vAlign w:val="bottom"/>
          </w:tcPr>
          <w:p w:rsidR="00805D2D" w:rsidRPr="008D2E72" w:rsidRDefault="00642C1A">
            <w:pPr>
              <w:suppressAutoHyphens w:val="0"/>
              <w:ind w:left="-22" w:right="-32"/>
              <w:jc w:val="right"/>
              <w:rPr>
                <w:color w:val="auto"/>
                <w:sz w:val="14"/>
                <w:szCs w:val="14"/>
              </w:rPr>
            </w:pPr>
            <w:r w:rsidRPr="008D2E72">
              <w:rPr>
                <w:color w:val="auto"/>
                <w:sz w:val="14"/>
                <w:szCs w:val="14"/>
              </w:rPr>
              <w:t>11.308.843,19</w:t>
            </w:r>
          </w:p>
        </w:tc>
        <w:tc>
          <w:tcPr>
            <w:tcW w:w="428" w:type="dxa"/>
            <w:tcBorders>
              <w:top w:val="single" w:sz="8" w:space="0" w:color="000001"/>
              <w:left w:val="single" w:sz="4" w:space="0" w:color="000001"/>
              <w:bottom w:val="single" w:sz="4" w:space="0" w:color="000001"/>
            </w:tcBorders>
            <w:shd w:val="clear" w:color="auto" w:fill="auto"/>
            <w:vAlign w:val="bottom"/>
          </w:tcPr>
          <w:p w:rsidR="00805D2D" w:rsidRPr="008D2E72" w:rsidRDefault="00642C1A">
            <w:pPr>
              <w:suppressAutoHyphens w:val="0"/>
              <w:ind w:left="-54" w:right="-21"/>
              <w:rPr>
                <w:color w:val="auto"/>
                <w:sz w:val="14"/>
                <w:szCs w:val="14"/>
              </w:rPr>
            </w:pPr>
            <w:r w:rsidRPr="008D2E72">
              <w:rPr>
                <w:color w:val="auto"/>
                <w:sz w:val="14"/>
                <w:szCs w:val="14"/>
              </w:rPr>
              <w:t> </w:t>
            </w:r>
          </w:p>
        </w:tc>
        <w:tc>
          <w:tcPr>
            <w:tcW w:w="846" w:type="dxa"/>
            <w:tcBorders>
              <w:top w:val="single" w:sz="8" w:space="0" w:color="000001"/>
              <w:left w:val="single" w:sz="4" w:space="0" w:color="000001"/>
              <w:bottom w:val="single" w:sz="4" w:space="0" w:color="000001"/>
            </w:tcBorders>
            <w:shd w:val="clear" w:color="auto" w:fill="auto"/>
            <w:vAlign w:val="bottom"/>
          </w:tcPr>
          <w:p w:rsidR="00805D2D" w:rsidRPr="008D2E72" w:rsidRDefault="00642C1A">
            <w:pPr>
              <w:suppressAutoHyphens w:val="0"/>
              <w:ind w:left="-95" w:right="-33"/>
              <w:jc w:val="right"/>
              <w:rPr>
                <w:color w:val="auto"/>
                <w:sz w:val="14"/>
                <w:szCs w:val="14"/>
              </w:rPr>
            </w:pPr>
            <w:r w:rsidRPr="008D2E72">
              <w:rPr>
                <w:color w:val="auto"/>
                <w:sz w:val="14"/>
                <w:szCs w:val="14"/>
              </w:rPr>
              <w:t>9.715.926,06</w:t>
            </w:r>
          </w:p>
        </w:tc>
        <w:tc>
          <w:tcPr>
            <w:tcW w:w="347" w:type="dxa"/>
            <w:tcBorders>
              <w:top w:val="single" w:sz="8" w:space="0" w:color="000001"/>
              <w:left w:val="single" w:sz="4" w:space="0" w:color="000001"/>
              <w:bottom w:val="single" w:sz="4" w:space="0" w:color="000001"/>
            </w:tcBorders>
            <w:shd w:val="clear" w:color="auto" w:fill="auto"/>
            <w:vAlign w:val="bottom"/>
          </w:tcPr>
          <w:p w:rsidR="00805D2D" w:rsidRPr="008D2E72" w:rsidRDefault="00805D2D">
            <w:pPr>
              <w:suppressAutoHyphens w:val="0"/>
              <w:snapToGrid w:val="0"/>
              <w:ind w:left="-70" w:right="-99"/>
              <w:jc w:val="center"/>
              <w:rPr>
                <w:color w:val="auto"/>
                <w:sz w:val="14"/>
                <w:szCs w:val="14"/>
              </w:rPr>
            </w:pPr>
          </w:p>
        </w:tc>
        <w:tc>
          <w:tcPr>
            <w:tcW w:w="884" w:type="dxa"/>
            <w:tcBorders>
              <w:top w:val="single" w:sz="8" w:space="0" w:color="000001"/>
              <w:left w:val="single" w:sz="4" w:space="0" w:color="000001"/>
              <w:bottom w:val="single" w:sz="4" w:space="0" w:color="000001"/>
            </w:tcBorders>
            <w:shd w:val="clear" w:color="auto" w:fill="auto"/>
            <w:vAlign w:val="bottom"/>
          </w:tcPr>
          <w:p w:rsidR="00805D2D" w:rsidRPr="008D2E72" w:rsidRDefault="00642C1A">
            <w:pPr>
              <w:suppressAutoHyphens w:val="0"/>
              <w:ind w:left="-70"/>
              <w:jc w:val="right"/>
              <w:rPr>
                <w:color w:val="auto"/>
                <w:sz w:val="14"/>
                <w:szCs w:val="14"/>
              </w:rPr>
            </w:pPr>
            <w:r w:rsidRPr="008D2E72">
              <w:rPr>
                <w:color w:val="auto"/>
                <w:sz w:val="14"/>
                <w:szCs w:val="14"/>
              </w:rPr>
              <w:t>2.630.970,77</w:t>
            </w:r>
          </w:p>
        </w:tc>
        <w:tc>
          <w:tcPr>
            <w:tcW w:w="398" w:type="dxa"/>
            <w:tcBorders>
              <w:top w:val="single" w:sz="8" w:space="0" w:color="000001"/>
              <w:left w:val="single" w:sz="4" w:space="0" w:color="000001"/>
              <w:bottom w:val="single" w:sz="4" w:space="0" w:color="000001"/>
            </w:tcBorders>
            <w:shd w:val="clear" w:color="auto" w:fill="auto"/>
            <w:vAlign w:val="bottom"/>
          </w:tcPr>
          <w:p w:rsidR="00805D2D" w:rsidRPr="008D2E72" w:rsidRDefault="00805D2D">
            <w:pPr>
              <w:suppressAutoHyphens w:val="0"/>
              <w:snapToGrid w:val="0"/>
              <w:ind w:left="-86" w:right="-36"/>
              <w:jc w:val="center"/>
              <w:rPr>
                <w:color w:val="auto"/>
                <w:sz w:val="14"/>
                <w:szCs w:val="14"/>
              </w:rPr>
            </w:pPr>
          </w:p>
        </w:tc>
        <w:tc>
          <w:tcPr>
            <w:tcW w:w="938" w:type="dxa"/>
            <w:tcBorders>
              <w:top w:val="single" w:sz="8" w:space="0" w:color="000001"/>
              <w:left w:val="single" w:sz="4" w:space="0" w:color="000001"/>
              <w:bottom w:val="single" w:sz="4" w:space="0" w:color="000001"/>
            </w:tcBorders>
            <w:shd w:val="clear" w:color="auto" w:fill="auto"/>
            <w:vAlign w:val="bottom"/>
          </w:tcPr>
          <w:p w:rsidR="00805D2D" w:rsidRPr="008D2E72" w:rsidRDefault="00642C1A">
            <w:pPr>
              <w:suppressAutoHyphens w:val="0"/>
              <w:ind w:left="-80" w:right="-35"/>
              <w:jc w:val="right"/>
              <w:rPr>
                <w:bCs/>
                <w:color w:val="auto"/>
                <w:sz w:val="14"/>
                <w:szCs w:val="14"/>
              </w:rPr>
            </w:pPr>
            <w:r w:rsidRPr="008D2E72">
              <w:rPr>
                <w:bCs/>
                <w:color w:val="auto"/>
                <w:sz w:val="14"/>
                <w:szCs w:val="14"/>
              </w:rPr>
              <w:t>48.172.074,89</w:t>
            </w:r>
          </w:p>
        </w:tc>
        <w:tc>
          <w:tcPr>
            <w:tcW w:w="323" w:type="dxa"/>
            <w:tcBorders>
              <w:top w:val="single" w:sz="8" w:space="0" w:color="000001"/>
              <w:left w:val="single" w:sz="4" w:space="0" w:color="000001"/>
              <w:bottom w:val="single" w:sz="4" w:space="0" w:color="000001"/>
              <w:right w:val="single" w:sz="8" w:space="0" w:color="000001"/>
            </w:tcBorders>
            <w:shd w:val="clear" w:color="auto" w:fill="auto"/>
            <w:vAlign w:val="bottom"/>
          </w:tcPr>
          <w:p w:rsidR="00805D2D" w:rsidRPr="008D2E72" w:rsidRDefault="00642C1A">
            <w:pPr>
              <w:suppressAutoHyphens w:val="0"/>
              <w:ind w:left="-132" w:right="-46"/>
              <w:rPr>
                <w:color w:val="auto"/>
                <w:sz w:val="14"/>
                <w:szCs w:val="14"/>
              </w:rPr>
            </w:pPr>
            <w:r w:rsidRPr="008D2E72">
              <w:rPr>
                <w:color w:val="auto"/>
                <w:sz w:val="14"/>
                <w:szCs w:val="14"/>
              </w:rPr>
              <w:t> </w:t>
            </w:r>
          </w:p>
        </w:tc>
      </w:tr>
      <w:tr w:rsidR="00805D2D" w:rsidRPr="008D2E72">
        <w:trPr>
          <w:cantSplit/>
          <w:trHeight w:val="300"/>
        </w:trPr>
        <w:tc>
          <w:tcPr>
            <w:tcW w:w="789" w:type="dxa"/>
            <w:vMerge/>
            <w:tcBorders>
              <w:top w:val="single" w:sz="8" w:space="0" w:color="000001"/>
              <w:left w:val="single" w:sz="8" w:space="0" w:color="000001"/>
            </w:tcBorders>
            <w:shd w:val="clear" w:color="auto" w:fill="auto"/>
            <w:tcMar>
              <w:left w:w="40" w:type="dxa"/>
            </w:tcMar>
            <w:vAlign w:val="center"/>
          </w:tcPr>
          <w:p w:rsidR="00805D2D" w:rsidRPr="008D2E72" w:rsidRDefault="00805D2D">
            <w:pPr>
              <w:rPr>
                <w:color w:val="auto"/>
                <w:sz w:val="14"/>
                <w:szCs w:val="14"/>
              </w:rPr>
            </w:pPr>
          </w:p>
        </w:tc>
        <w:tc>
          <w:tcPr>
            <w:tcW w:w="760" w:type="dxa"/>
            <w:tcBorders>
              <w:top w:val="single" w:sz="4" w:space="0" w:color="000001"/>
              <w:left w:val="single" w:sz="4" w:space="0" w:color="000001"/>
              <w:bottom w:val="single" w:sz="4" w:space="0" w:color="000001"/>
            </w:tcBorders>
            <w:shd w:val="clear" w:color="auto" w:fill="auto"/>
            <w:tcMar>
              <w:left w:w="55" w:type="dxa"/>
            </w:tcMar>
            <w:vAlign w:val="bottom"/>
          </w:tcPr>
          <w:p w:rsidR="00805D2D" w:rsidRPr="008D2E72" w:rsidRDefault="00642C1A">
            <w:pPr>
              <w:suppressAutoHyphens w:val="0"/>
              <w:ind w:left="-9" w:right="-52"/>
              <w:rPr>
                <w:color w:val="auto"/>
                <w:sz w:val="14"/>
                <w:szCs w:val="14"/>
              </w:rPr>
            </w:pPr>
            <w:r w:rsidRPr="008D2E72">
              <w:rPr>
                <w:color w:val="auto"/>
                <w:sz w:val="14"/>
                <w:szCs w:val="14"/>
              </w:rPr>
              <w:t>DÉBITOS</w:t>
            </w:r>
          </w:p>
        </w:tc>
        <w:tc>
          <w:tcPr>
            <w:tcW w:w="988" w:type="dxa"/>
            <w:tcBorders>
              <w:top w:val="single" w:sz="4" w:space="0" w:color="000001"/>
              <w:left w:val="single" w:sz="4" w:space="0" w:color="000001"/>
              <w:bottom w:val="single" w:sz="4" w:space="0" w:color="000001"/>
            </w:tcBorders>
            <w:shd w:val="clear" w:color="auto" w:fill="auto"/>
            <w:vAlign w:val="bottom"/>
          </w:tcPr>
          <w:p w:rsidR="00805D2D" w:rsidRPr="008D2E72" w:rsidRDefault="00642C1A">
            <w:pPr>
              <w:suppressAutoHyphens w:val="0"/>
              <w:ind w:left="-27" w:right="-28"/>
              <w:jc w:val="right"/>
              <w:rPr>
                <w:color w:val="auto"/>
                <w:sz w:val="14"/>
                <w:szCs w:val="14"/>
              </w:rPr>
            </w:pPr>
            <w:r w:rsidRPr="008D2E72">
              <w:rPr>
                <w:color w:val="auto"/>
                <w:sz w:val="14"/>
                <w:szCs w:val="14"/>
              </w:rPr>
              <w:t>2.657.682,96</w:t>
            </w:r>
          </w:p>
        </w:tc>
        <w:tc>
          <w:tcPr>
            <w:tcW w:w="345" w:type="dxa"/>
            <w:tcBorders>
              <w:top w:val="single" w:sz="4" w:space="0" w:color="000001"/>
              <w:left w:val="single" w:sz="4" w:space="0" w:color="000001"/>
              <w:bottom w:val="single" w:sz="4" w:space="0" w:color="000001"/>
            </w:tcBorders>
            <w:shd w:val="clear" w:color="auto" w:fill="auto"/>
            <w:vAlign w:val="bottom"/>
          </w:tcPr>
          <w:p w:rsidR="00805D2D" w:rsidRPr="008D2E72" w:rsidRDefault="00805D2D">
            <w:pPr>
              <w:suppressAutoHyphens w:val="0"/>
              <w:snapToGrid w:val="0"/>
              <w:ind w:left="-57" w:right="-108"/>
              <w:jc w:val="center"/>
              <w:rPr>
                <w:color w:val="auto"/>
                <w:sz w:val="14"/>
                <w:szCs w:val="14"/>
              </w:rPr>
            </w:pPr>
          </w:p>
        </w:tc>
        <w:tc>
          <w:tcPr>
            <w:tcW w:w="817" w:type="dxa"/>
            <w:tcBorders>
              <w:top w:val="single" w:sz="4" w:space="0" w:color="000001"/>
              <w:left w:val="single" w:sz="4" w:space="0" w:color="000001"/>
              <w:bottom w:val="single" w:sz="4" w:space="0" w:color="000001"/>
            </w:tcBorders>
            <w:shd w:val="clear" w:color="auto" w:fill="auto"/>
            <w:vAlign w:val="bottom"/>
          </w:tcPr>
          <w:p w:rsidR="00805D2D" w:rsidRPr="008D2E72" w:rsidRDefault="00642C1A">
            <w:pPr>
              <w:suppressAutoHyphens w:val="0"/>
              <w:ind w:left="-70" w:right="-70"/>
              <w:jc w:val="right"/>
              <w:rPr>
                <w:color w:val="auto"/>
                <w:sz w:val="14"/>
                <w:szCs w:val="14"/>
              </w:rPr>
            </w:pPr>
            <w:r w:rsidRPr="008D2E72">
              <w:rPr>
                <w:color w:val="auto"/>
                <w:sz w:val="14"/>
                <w:szCs w:val="14"/>
              </w:rPr>
              <w:t>21.548.369,95</w:t>
            </w:r>
          </w:p>
        </w:tc>
        <w:tc>
          <w:tcPr>
            <w:tcW w:w="335" w:type="dxa"/>
            <w:tcBorders>
              <w:top w:val="single" w:sz="4" w:space="0" w:color="000001"/>
              <w:left w:val="single" w:sz="4" w:space="0" w:color="000001"/>
              <w:bottom w:val="single" w:sz="4" w:space="0" w:color="000001"/>
            </w:tcBorders>
            <w:shd w:val="clear" w:color="auto" w:fill="auto"/>
            <w:vAlign w:val="bottom"/>
          </w:tcPr>
          <w:p w:rsidR="00805D2D" w:rsidRPr="008D2E72" w:rsidRDefault="00805D2D">
            <w:pPr>
              <w:suppressAutoHyphens w:val="0"/>
              <w:snapToGrid w:val="0"/>
              <w:ind w:left="-70" w:right="-95"/>
              <w:jc w:val="center"/>
              <w:rPr>
                <w:color w:val="auto"/>
                <w:sz w:val="14"/>
                <w:szCs w:val="14"/>
              </w:rPr>
            </w:pPr>
          </w:p>
        </w:tc>
        <w:tc>
          <w:tcPr>
            <w:tcW w:w="887" w:type="dxa"/>
            <w:tcBorders>
              <w:top w:val="single" w:sz="4" w:space="0" w:color="000001"/>
              <w:left w:val="single" w:sz="4" w:space="0" w:color="000001"/>
              <w:bottom w:val="single" w:sz="4" w:space="0" w:color="000001"/>
            </w:tcBorders>
            <w:shd w:val="clear" w:color="auto" w:fill="auto"/>
            <w:vAlign w:val="bottom"/>
          </w:tcPr>
          <w:p w:rsidR="00805D2D" w:rsidRPr="008D2E72" w:rsidRDefault="00642C1A">
            <w:pPr>
              <w:suppressAutoHyphens w:val="0"/>
              <w:ind w:left="-22" w:right="-32"/>
              <w:jc w:val="right"/>
              <w:rPr>
                <w:color w:val="auto"/>
                <w:sz w:val="14"/>
                <w:szCs w:val="14"/>
              </w:rPr>
            </w:pPr>
            <w:r w:rsidRPr="008D2E72">
              <w:rPr>
                <w:color w:val="auto"/>
                <w:sz w:val="14"/>
                <w:szCs w:val="14"/>
              </w:rPr>
              <w:t>10.577.054,39</w:t>
            </w:r>
          </w:p>
        </w:tc>
        <w:tc>
          <w:tcPr>
            <w:tcW w:w="428" w:type="dxa"/>
            <w:tcBorders>
              <w:top w:val="single" w:sz="4" w:space="0" w:color="000001"/>
              <w:left w:val="single" w:sz="4" w:space="0" w:color="000001"/>
              <w:bottom w:val="single" w:sz="4" w:space="0" w:color="000001"/>
            </w:tcBorders>
            <w:shd w:val="clear" w:color="auto" w:fill="auto"/>
            <w:vAlign w:val="bottom"/>
          </w:tcPr>
          <w:p w:rsidR="00805D2D" w:rsidRPr="008D2E72" w:rsidRDefault="00642C1A">
            <w:pPr>
              <w:suppressAutoHyphens w:val="0"/>
              <w:ind w:left="-54" w:right="-21"/>
              <w:rPr>
                <w:color w:val="auto"/>
                <w:sz w:val="14"/>
                <w:szCs w:val="14"/>
              </w:rPr>
            </w:pPr>
            <w:r w:rsidRPr="008D2E72">
              <w:rPr>
                <w:color w:val="auto"/>
                <w:sz w:val="14"/>
                <w:szCs w:val="14"/>
              </w:rPr>
              <w:t> </w:t>
            </w:r>
          </w:p>
        </w:tc>
        <w:tc>
          <w:tcPr>
            <w:tcW w:w="846" w:type="dxa"/>
            <w:tcBorders>
              <w:top w:val="single" w:sz="4" w:space="0" w:color="000001"/>
              <w:left w:val="single" w:sz="4" w:space="0" w:color="000001"/>
              <w:bottom w:val="single" w:sz="4" w:space="0" w:color="000001"/>
            </w:tcBorders>
            <w:shd w:val="clear" w:color="auto" w:fill="auto"/>
            <w:vAlign w:val="bottom"/>
          </w:tcPr>
          <w:p w:rsidR="00805D2D" w:rsidRPr="008D2E72" w:rsidRDefault="00642C1A">
            <w:pPr>
              <w:suppressAutoHyphens w:val="0"/>
              <w:ind w:left="-95" w:right="-33"/>
              <w:jc w:val="right"/>
              <w:rPr>
                <w:color w:val="auto"/>
                <w:sz w:val="14"/>
                <w:szCs w:val="14"/>
              </w:rPr>
            </w:pPr>
            <w:r w:rsidRPr="008D2E72">
              <w:rPr>
                <w:color w:val="auto"/>
                <w:sz w:val="14"/>
                <w:szCs w:val="14"/>
              </w:rPr>
              <w:t>10.174.079,93</w:t>
            </w:r>
          </w:p>
        </w:tc>
        <w:tc>
          <w:tcPr>
            <w:tcW w:w="347" w:type="dxa"/>
            <w:tcBorders>
              <w:top w:val="single" w:sz="4" w:space="0" w:color="000001"/>
              <w:left w:val="single" w:sz="4" w:space="0" w:color="000001"/>
              <w:bottom w:val="single" w:sz="4" w:space="0" w:color="000001"/>
            </w:tcBorders>
            <w:shd w:val="clear" w:color="auto" w:fill="auto"/>
            <w:vAlign w:val="bottom"/>
          </w:tcPr>
          <w:p w:rsidR="00805D2D" w:rsidRPr="008D2E72" w:rsidRDefault="00805D2D">
            <w:pPr>
              <w:suppressAutoHyphens w:val="0"/>
              <w:snapToGrid w:val="0"/>
              <w:ind w:left="-70" w:right="-99"/>
              <w:jc w:val="center"/>
              <w:rPr>
                <w:color w:val="auto"/>
                <w:sz w:val="14"/>
                <w:szCs w:val="14"/>
              </w:rPr>
            </w:pPr>
          </w:p>
        </w:tc>
        <w:tc>
          <w:tcPr>
            <w:tcW w:w="884" w:type="dxa"/>
            <w:tcBorders>
              <w:top w:val="single" w:sz="4" w:space="0" w:color="000001"/>
              <w:left w:val="single" w:sz="4" w:space="0" w:color="000001"/>
              <w:bottom w:val="single" w:sz="4" w:space="0" w:color="000001"/>
            </w:tcBorders>
            <w:shd w:val="clear" w:color="auto" w:fill="auto"/>
            <w:vAlign w:val="bottom"/>
          </w:tcPr>
          <w:p w:rsidR="00805D2D" w:rsidRPr="008D2E72" w:rsidRDefault="00642C1A">
            <w:pPr>
              <w:suppressAutoHyphens w:val="0"/>
              <w:ind w:left="-70"/>
              <w:jc w:val="right"/>
              <w:rPr>
                <w:color w:val="auto"/>
                <w:sz w:val="14"/>
                <w:szCs w:val="14"/>
              </w:rPr>
            </w:pPr>
            <w:r w:rsidRPr="008D2E72">
              <w:rPr>
                <w:color w:val="auto"/>
                <w:sz w:val="14"/>
                <w:szCs w:val="14"/>
              </w:rPr>
              <w:t>2.512.700,00</w:t>
            </w:r>
          </w:p>
        </w:tc>
        <w:tc>
          <w:tcPr>
            <w:tcW w:w="398" w:type="dxa"/>
            <w:tcBorders>
              <w:top w:val="single" w:sz="4" w:space="0" w:color="000001"/>
              <w:left w:val="single" w:sz="4" w:space="0" w:color="000001"/>
              <w:bottom w:val="single" w:sz="4" w:space="0" w:color="000001"/>
            </w:tcBorders>
            <w:shd w:val="clear" w:color="auto" w:fill="auto"/>
            <w:vAlign w:val="bottom"/>
          </w:tcPr>
          <w:p w:rsidR="00805D2D" w:rsidRPr="008D2E72" w:rsidRDefault="00805D2D">
            <w:pPr>
              <w:suppressAutoHyphens w:val="0"/>
              <w:snapToGrid w:val="0"/>
              <w:ind w:left="-86" w:right="-36"/>
              <w:jc w:val="center"/>
              <w:rPr>
                <w:color w:val="auto"/>
                <w:sz w:val="14"/>
                <w:szCs w:val="14"/>
              </w:rPr>
            </w:pPr>
          </w:p>
        </w:tc>
        <w:tc>
          <w:tcPr>
            <w:tcW w:w="938" w:type="dxa"/>
            <w:tcBorders>
              <w:top w:val="single" w:sz="4" w:space="0" w:color="000001"/>
              <w:left w:val="single" w:sz="4" w:space="0" w:color="000001"/>
              <w:bottom w:val="single" w:sz="4" w:space="0" w:color="000001"/>
            </w:tcBorders>
            <w:shd w:val="clear" w:color="auto" w:fill="auto"/>
            <w:vAlign w:val="bottom"/>
          </w:tcPr>
          <w:p w:rsidR="00805D2D" w:rsidRPr="008D2E72" w:rsidRDefault="00642C1A">
            <w:pPr>
              <w:suppressAutoHyphens w:val="0"/>
              <w:ind w:left="-80" w:right="-35"/>
              <w:jc w:val="right"/>
              <w:rPr>
                <w:bCs/>
                <w:color w:val="auto"/>
                <w:sz w:val="14"/>
                <w:szCs w:val="14"/>
              </w:rPr>
            </w:pPr>
            <w:r w:rsidRPr="008D2E72">
              <w:rPr>
                <w:bCs/>
                <w:color w:val="auto"/>
                <w:sz w:val="14"/>
                <w:szCs w:val="14"/>
              </w:rPr>
              <w:t>47.469.887,23</w:t>
            </w:r>
          </w:p>
        </w:tc>
        <w:tc>
          <w:tcPr>
            <w:tcW w:w="323" w:type="dxa"/>
            <w:tcBorders>
              <w:top w:val="single" w:sz="4" w:space="0" w:color="000001"/>
              <w:left w:val="single" w:sz="4" w:space="0" w:color="000001"/>
              <w:bottom w:val="single" w:sz="4" w:space="0" w:color="000001"/>
              <w:right w:val="single" w:sz="8" w:space="0" w:color="000001"/>
            </w:tcBorders>
            <w:shd w:val="clear" w:color="auto" w:fill="auto"/>
            <w:vAlign w:val="bottom"/>
          </w:tcPr>
          <w:p w:rsidR="00805D2D" w:rsidRPr="008D2E72" w:rsidRDefault="00642C1A">
            <w:pPr>
              <w:suppressAutoHyphens w:val="0"/>
              <w:ind w:left="-132" w:right="-46"/>
              <w:rPr>
                <w:color w:val="auto"/>
                <w:sz w:val="14"/>
                <w:szCs w:val="14"/>
              </w:rPr>
            </w:pPr>
            <w:r w:rsidRPr="008D2E72">
              <w:rPr>
                <w:color w:val="auto"/>
                <w:sz w:val="14"/>
                <w:szCs w:val="14"/>
              </w:rPr>
              <w:t> </w:t>
            </w:r>
          </w:p>
        </w:tc>
      </w:tr>
      <w:tr w:rsidR="00805D2D" w:rsidRPr="008D2E72">
        <w:trPr>
          <w:cantSplit/>
          <w:trHeight w:val="300"/>
        </w:trPr>
        <w:tc>
          <w:tcPr>
            <w:tcW w:w="789" w:type="dxa"/>
            <w:vMerge/>
            <w:tcBorders>
              <w:top w:val="single" w:sz="8" w:space="0" w:color="000001"/>
              <w:left w:val="single" w:sz="8" w:space="0" w:color="000001"/>
            </w:tcBorders>
            <w:shd w:val="clear" w:color="auto" w:fill="auto"/>
            <w:tcMar>
              <w:left w:w="40" w:type="dxa"/>
            </w:tcMar>
            <w:vAlign w:val="center"/>
          </w:tcPr>
          <w:p w:rsidR="00805D2D" w:rsidRPr="008D2E72" w:rsidRDefault="00805D2D">
            <w:pPr>
              <w:rPr>
                <w:color w:val="auto"/>
                <w:sz w:val="14"/>
                <w:szCs w:val="14"/>
              </w:rPr>
            </w:pPr>
          </w:p>
        </w:tc>
        <w:tc>
          <w:tcPr>
            <w:tcW w:w="760" w:type="dxa"/>
            <w:tcBorders>
              <w:top w:val="single" w:sz="8" w:space="0" w:color="000001"/>
              <w:left w:val="single" w:sz="4" w:space="0" w:color="000001"/>
              <w:bottom w:val="single" w:sz="8" w:space="0" w:color="000001"/>
            </w:tcBorders>
            <w:shd w:val="clear" w:color="auto" w:fill="auto"/>
            <w:tcMar>
              <w:left w:w="55" w:type="dxa"/>
            </w:tcMar>
            <w:vAlign w:val="bottom"/>
          </w:tcPr>
          <w:p w:rsidR="00805D2D" w:rsidRPr="008D2E72" w:rsidRDefault="00642C1A">
            <w:pPr>
              <w:suppressAutoHyphens w:val="0"/>
              <w:ind w:left="-9" w:right="-52"/>
              <w:rPr>
                <w:color w:val="auto"/>
                <w:sz w:val="14"/>
                <w:szCs w:val="14"/>
              </w:rPr>
            </w:pPr>
            <w:r w:rsidRPr="008D2E72">
              <w:rPr>
                <w:color w:val="auto"/>
                <w:sz w:val="14"/>
                <w:szCs w:val="14"/>
              </w:rPr>
              <w:t>SAQUES</w:t>
            </w:r>
          </w:p>
        </w:tc>
        <w:tc>
          <w:tcPr>
            <w:tcW w:w="988" w:type="dxa"/>
            <w:tcBorders>
              <w:top w:val="single" w:sz="8" w:space="0" w:color="000001"/>
              <w:left w:val="single" w:sz="4" w:space="0" w:color="000001"/>
              <w:bottom w:val="single" w:sz="8" w:space="0" w:color="000001"/>
            </w:tcBorders>
            <w:shd w:val="clear" w:color="auto" w:fill="auto"/>
            <w:vAlign w:val="bottom"/>
          </w:tcPr>
          <w:p w:rsidR="00805D2D" w:rsidRPr="008D2E72" w:rsidRDefault="00642C1A">
            <w:pPr>
              <w:suppressAutoHyphens w:val="0"/>
              <w:ind w:left="-27" w:right="-28"/>
              <w:jc w:val="right"/>
              <w:rPr>
                <w:color w:val="auto"/>
                <w:sz w:val="14"/>
                <w:szCs w:val="14"/>
              </w:rPr>
            </w:pPr>
            <w:r w:rsidRPr="008D2E72">
              <w:rPr>
                <w:color w:val="auto"/>
                <w:sz w:val="14"/>
                <w:szCs w:val="14"/>
              </w:rPr>
              <w:t>1.607.770,96</w:t>
            </w:r>
          </w:p>
        </w:tc>
        <w:tc>
          <w:tcPr>
            <w:tcW w:w="345" w:type="dxa"/>
            <w:tcBorders>
              <w:top w:val="single" w:sz="8" w:space="0" w:color="000001"/>
              <w:left w:val="single" w:sz="4" w:space="0" w:color="000001"/>
              <w:bottom w:val="single" w:sz="8" w:space="0" w:color="000001"/>
            </w:tcBorders>
            <w:shd w:val="clear" w:color="auto" w:fill="auto"/>
            <w:vAlign w:val="bottom"/>
          </w:tcPr>
          <w:p w:rsidR="00805D2D" w:rsidRPr="008D2E72" w:rsidRDefault="00642C1A">
            <w:pPr>
              <w:suppressAutoHyphens w:val="0"/>
              <w:ind w:left="-57" w:right="-108"/>
              <w:jc w:val="center"/>
              <w:rPr>
                <w:color w:val="auto"/>
                <w:sz w:val="14"/>
                <w:szCs w:val="14"/>
              </w:rPr>
            </w:pPr>
            <w:r w:rsidRPr="008D2E72">
              <w:rPr>
                <w:color w:val="auto"/>
                <w:sz w:val="14"/>
                <w:szCs w:val="14"/>
              </w:rPr>
              <w:t>57,1%</w:t>
            </w:r>
          </w:p>
        </w:tc>
        <w:tc>
          <w:tcPr>
            <w:tcW w:w="817" w:type="dxa"/>
            <w:tcBorders>
              <w:top w:val="single" w:sz="8" w:space="0" w:color="000001"/>
              <w:left w:val="single" w:sz="4" w:space="0" w:color="000001"/>
              <w:bottom w:val="single" w:sz="8" w:space="0" w:color="000001"/>
            </w:tcBorders>
            <w:shd w:val="clear" w:color="auto" w:fill="auto"/>
            <w:vAlign w:val="bottom"/>
          </w:tcPr>
          <w:p w:rsidR="00805D2D" w:rsidRPr="008D2E72" w:rsidRDefault="00642C1A">
            <w:pPr>
              <w:suppressAutoHyphens w:val="0"/>
              <w:ind w:left="-70" w:right="-70"/>
              <w:jc w:val="right"/>
              <w:rPr>
                <w:color w:val="auto"/>
                <w:sz w:val="14"/>
                <w:szCs w:val="14"/>
              </w:rPr>
            </w:pPr>
            <w:r w:rsidRPr="008D2E72">
              <w:rPr>
                <w:color w:val="auto"/>
                <w:sz w:val="14"/>
                <w:szCs w:val="14"/>
              </w:rPr>
              <w:t>5.320.238,00</w:t>
            </w:r>
          </w:p>
        </w:tc>
        <w:tc>
          <w:tcPr>
            <w:tcW w:w="335" w:type="dxa"/>
            <w:tcBorders>
              <w:top w:val="single" w:sz="8" w:space="0" w:color="000001"/>
              <w:left w:val="single" w:sz="4" w:space="0" w:color="000001"/>
              <w:bottom w:val="single" w:sz="8" w:space="0" w:color="000001"/>
            </w:tcBorders>
            <w:shd w:val="clear" w:color="auto" w:fill="auto"/>
            <w:vAlign w:val="bottom"/>
          </w:tcPr>
          <w:p w:rsidR="00805D2D" w:rsidRPr="008D2E72" w:rsidRDefault="00642C1A">
            <w:pPr>
              <w:suppressAutoHyphens w:val="0"/>
              <w:ind w:left="-70" w:right="-95"/>
              <w:jc w:val="center"/>
              <w:rPr>
                <w:color w:val="auto"/>
                <w:sz w:val="14"/>
                <w:szCs w:val="14"/>
              </w:rPr>
            </w:pPr>
            <w:r w:rsidRPr="008D2E72">
              <w:rPr>
                <w:color w:val="auto"/>
                <w:sz w:val="14"/>
                <w:szCs w:val="14"/>
              </w:rPr>
              <w:t>24,5%</w:t>
            </w:r>
          </w:p>
        </w:tc>
        <w:tc>
          <w:tcPr>
            <w:tcW w:w="887" w:type="dxa"/>
            <w:tcBorders>
              <w:top w:val="single" w:sz="8" w:space="0" w:color="000001"/>
              <w:left w:val="single" w:sz="4" w:space="0" w:color="000001"/>
              <w:bottom w:val="single" w:sz="8" w:space="0" w:color="000001"/>
            </w:tcBorders>
            <w:shd w:val="clear" w:color="auto" w:fill="auto"/>
            <w:vAlign w:val="bottom"/>
          </w:tcPr>
          <w:p w:rsidR="00805D2D" w:rsidRPr="008D2E72" w:rsidRDefault="00642C1A">
            <w:pPr>
              <w:suppressAutoHyphens w:val="0"/>
              <w:ind w:left="-22" w:right="-32"/>
              <w:jc w:val="right"/>
              <w:rPr>
                <w:color w:val="auto"/>
                <w:sz w:val="14"/>
                <w:szCs w:val="14"/>
              </w:rPr>
            </w:pPr>
            <w:r w:rsidRPr="008D2E72">
              <w:rPr>
                <w:color w:val="auto"/>
                <w:sz w:val="14"/>
                <w:szCs w:val="14"/>
              </w:rPr>
              <w:t>325.543,00</w:t>
            </w:r>
          </w:p>
        </w:tc>
        <w:tc>
          <w:tcPr>
            <w:tcW w:w="428" w:type="dxa"/>
            <w:tcBorders>
              <w:top w:val="single" w:sz="8" w:space="0" w:color="000001"/>
              <w:left w:val="single" w:sz="4" w:space="0" w:color="000001"/>
              <w:bottom w:val="single" w:sz="8" w:space="0" w:color="000001"/>
            </w:tcBorders>
            <w:shd w:val="clear" w:color="auto" w:fill="auto"/>
            <w:vAlign w:val="bottom"/>
          </w:tcPr>
          <w:p w:rsidR="00805D2D" w:rsidRPr="008D2E72" w:rsidRDefault="00642C1A">
            <w:pPr>
              <w:suppressAutoHyphens w:val="0"/>
              <w:ind w:left="-54" w:right="-21"/>
              <w:jc w:val="right"/>
              <w:rPr>
                <w:color w:val="auto"/>
                <w:sz w:val="14"/>
                <w:szCs w:val="14"/>
              </w:rPr>
            </w:pPr>
            <w:r w:rsidRPr="008D2E72">
              <w:rPr>
                <w:color w:val="auto"/>
                <w:sz w:val="14"/>
                <w:szCs w:val="14"/>
              </w:rPr>
              <w:t>2,9%</w:t>
            </w:r>
          </w:p>
        </w:tc>
        <w:tc>
          <w:tcPr>
            <w:tcW w:w="846" w:type="dxa"/>
            <w:tcBorders>
              <w:top w:val="single" w:sz="8" w:space="0" w:color="000001"/>
              <w:left w:val="single" w:sz="4" w:space="0" w:color="000001"/>
              <w:bottom w:val="single" w:sz="8" w:space="0" w:color="000001"/>
            </w:tcBorders>
            <w:shd w:val="clear" w:color="auto" w:fill="auto"/>
            <w:vAlign w:val="bottom"/>
          </w:tcPr>
          <w:p w:rsidR="00805D2D" w:rsidRPr="008D2E72" w:rsidRDefault="00642C1A">
            <w:pPr>
              <w:suppressAutoHyphens w:val="0"/>
              <w:ind w:left="-95" w:right="-33"/>
              <w:jc w:val="right"/>
              <w:rPr>
                <w:color w:val="auto"/>
                <w:sz w:val="14"/>
                <w:szCs w:val="14"/>
              </w:rPr>
            </w:pPr>
            <w:r w:rsidRPr="008D2E72">
              <w:rPr>
                <w:color w:val="auto"/>
                <w:sz w:val="14"/>
                <w:szCs w:val="14"/>
              </w:rPr>
              <w:t>1.698.620,86</w:t>
            </w:r>
          </w:p>
        </w:tc>
        <w:tc>
          <w:tcPr>
            <w:tcW w:w="347" w:type="dxa"/>
            <w:tcBorders>
              <w:top w:val="single" w:sz="8" w:space="0" w:color="000001"/>
              <w:left w:val="single" w:sz="4" w:space="0" w:color="000001"/>
              <w:bottom w:val="single" w:sz="8" w:space="0" w:color="000001"/>
            </w:tcBorders>
            <w:shd w:val="clear" w:color="auto" w:fill="auto"/>
            <w:vAlign w:val="bottom"/>
          </w:tcPr>
          <w:p w:rsidR="00805D2D" w:rsidRPr="008D2E72" w:rsidRDefault="00642C1A">
            <w:pPr>
              <w:suppressAutoHyphens w:val="0"/>
              <w:ind w:left="-70" w:right="-99"/>
              <w:jc w:val="center"/>
              <w:rPr>
                <w:color w:val="auto"/>
                <w:sz w:val="14"/>
                <w:szCs w:val="14"/>
              </w:rPr>
            </w:pPr>
            <w:r w:rsidRPr="008D2E72">
              <w:rPr>
                <w:color w:val="auto"/>
                <w:sz w:val="14"/>
                <w:szCs w:val="14"/>
              </w:rPr>
              <w:t>17,5%</w:t>
            </w:r>
          </w:p>
        </w:tc>
        <w:tc>
          <w:tcPr>
            <w:tcW w:w="884" w:type="dxa"/>
            <w:tcBorders>
              <w:top w:val="single" w:sz="8" w:space="0" w:color="000001"/>
              <w:left w:val="single" w:sz="4" w:space="0" w:color="000001"/>
              <w:bottom w:val="single" w:sz="8" w:space="0" w:color="000001"/>
            </w:tcBorders>
            <w:shd w:val="clear" w:color="auto" w:fill="auto"/>
            <w:vAlign w:val="bottom"/>
          </w:tcPr>
          <w:p w:rsidR="00805D2D" w:rsidRPr="008D2E72" w:rsidRDefault="00642C1A">
            <w:pPr>
              <w:suppressAutoHyphens w:val="0"/>
              <w:ind w:left="-70"/>
              <w:jc w:val="right"/>
              <w:rPr>
                <w:color w:val="auto"/>
                <w:sz w:val="14"/>
                <w:szCs w:val="14"/>
              </w:rPr>
            </w:pPr>
            <w:r w:rsidRPr="008D2E72">
              <w:rPr>
                <w:color w:val="auto"/>
                <w:sz w:val="14"/>
                <w:szCs w:val="14"/>
              </w:rPr>
              <w:t>1.493.700,00</w:t>
            </w:r>
          </w:p>
        </w:tc>
        <w:tc>
          <w:tcPr>
            <w:tcW w:w="398" w:type="dxa"/>
            <w:tcBorders>
              <w:top w:val="single" w:sz="8" w:space="0" w:color="000001"/>
              <w:left w:val="single" w:sz="4" w:space="0" w:color="000001"/>
              <w:bottom w:val="single" w:sz="8" w:space="0" w:color="000001"/>
            </w:tcBorders>
            <w:shd w:val="clear" w:color="auto" w:fill="auto"/>
            <w:vAlign w:val="bottom"/>
          </w:tcPr>
          <w:p w:rsidR="00805D2D" w:rsidRPr="008D2E72" w:rsidRDefault="00642C1A">
            <w:pPr>
              <w:suppressAutoHyphens w:val="0"/>
              <w:ind w:left="-86" w:right="-36"/>
              <w:jc w:val="center"/>
              <w:rPr>
                <w:color w:val="auto"/>
                <w:sz w:val="14"/>
                <w:szCs w:val="14"/>
              </w:rPr>
            </w:pPr>
            <w:r w:rsidRPr="008D2E72">
              <w:rPr>
                <w:color w:val="auto"/>
                <w:sz w:val="14"/>
                <w:szCs w:val="14"/>
              </w:rPr>
              <w:t>56,8%</w:t>
            </w:r>
          </w:p>
        </w:tc>
        <w:tc>
          <w:tcPr>
            <w:tcW w:w="938" w:type="dxa"/>
            <w:tcBorders>
              <w:top w:val="single" w:sz="8" w:space="0" w:color="000001"/>
              <w:left w:val="single" w:sz="4" w:space="0" w:color="000001"/>
              <w:bottom w:val="single" w:sz="8" w:space="0" w:color="000001"/>
            </w:tcBorders>
            <w:shd w:val="clear" w:color="auto" w:fill="auto"/>
            <w:vAlign w:val="bottom"/>
          </w:tcPr>
          <w:p w:rsidR="00805D2D" w:rsidRPr="008D2E72" w:rsidRDefault="00642C1A">
            <w:pPr>
              <w:suppressAutoHyphens w:val="0"/>
              <w:ind w:left="-80" w:right="-35"/>
              <w:jc w:val="right"/>
              <w:rPr>
                <w:bCs/>
                <w:color w:val="auto"/>
                <w:sz w:val="14"/>
                <w:szCs w:val="14"/>
              </w:rPr>
            </w:pPr>
            <w:r w:rsidRPr="008D2E72">
              <w:rPr>
                <w:bCs/>
                <w:color w:val="auto"/>
                <w:sz w:val="14"/>
                <w:szCs w:val="14"/>
              </w:rPr>
              <w:t>10.445.872,82</w:t>
            </w:r>
          </w:p>
        </w:tc>
        <w:tc>
          <w:tcPr>
            <w:tcW w:w="323" w:type="dxa"/>
            <w:tcBorders>
              <w:top w:val="single" w:sz="8" w:space="0" w:color="000001"/>
              <w:left w:val="single" w:sz="4" w:space="0" w:color="000001"/>
              <w:bottom w:val="single" w:sz="8" w:space="0" w:color="000001"/>
              <w:right w:val="single" w:sz="8" w:space="0" w:color="000001"/>
            </w:tcBorders>
            <w:shd w:val="clear" w:color="auto" w:fill="auto"/>
            <w:vAlign w:val="bottom"/>
          </w:tcPr>
          <w:p w:rsidR="00805D2D" w:rsidRPr="008D2E72" w:rsidRDefault="00642C1A">
            <w:pPr>
              <w:suppressAutoHyphens w:val="0"/>
              <w:ind w:left="-132" w:right="-46"/>
              <w:jc w:val="right"/>
              <w:rPr>
                <w:color w:val="auto"/>
                <w:sz w:val="14"/>
                <w:szCs w:val="14"/>
              </w:rPr>
            </w:pPr>
            <w:r w:rsidRPr="008D2E72">
              <w:rPr>
                <w:color w:val="auto"/>
                <w:sz w:val="14"/>
                <w:szCs w:val="14"/>
              </w:rPr>
              <w:t>21,7%</w:t>
            </w:r>
          </w:p>
        </w:tc>
      </w:tr>
      <w:tr w:rsidR="00805D2D" w:rsidRPr="008D2E72">
        <w:trPr>
          <w:cantSplit/>
          <w:trHeight w:val="300"/>
        </w:trPr>
        <w:tc>
          <w:tcPr>
            <w:tcW w:w="789" w:type="dxa"/>
            <w:vMerge w:val="restart"/>
            <w:tcBorders>
              <w:left w:val="single" w:sz="8" w:space="0" w:color="000001"/>
            </w:tcBorders>
            <w:shd w:val="clear" w:color="auto" w:fill="auto"/>
            <w:tcMar>
              <w:left w:w="40" w:type="dxa"/>
            </w:tcMar>
            <w:vAlign w:val="center"/>
          </w:tcPr>
          <w:p w:rsidR="00805D2D" w:rsidRPr="008D2E72" w:rsidRDefault="00642C1A">
            <w:pPr>
              <w:suppressAutoHyphens w:val="0"/>
              <w:ind w:left="-70" w:right="-101"/>
              <w:jc w:val="center"/>
              <w:rPr>
                <w:bCs/>
                <w:color w:val="auto"/>
                <w:sz w:val="14"/>
                <w:szCs w:val="14"/>
              </w:rPr>
            </w:pPr>
            <w:r w:rsidRPr="008D2E72">
              <w:rPr>
                <w:bCs/>
                <w:color w:val="auto"/>
                <w:sz w:val="14"/>
                <w:szCs w:val="14"/>
              </w:rPr>
              <w:t>“G”</w:t>
            </w:r>
          </w:p>
        </w:tc>
        <w:tc>
          <w:tcPr>
            <w:tcW w:w="760" w:type="dxa"/>
            <w:tcBorders>
              <w:top w:val="single" w:sz="4" w:space="0" w:color="000001"/>
              <w:left w:val="single" w:sz="4" w:space="0" w:color="000001"/>
              <w:bottom w:val="single" w:sz="4" w:space="0" w:color="000001"/>
            </w:tcBorders>
            <w:shd w:val="clear" w:color="auto" w:fill="auto"/>
            <w:tcMar>
              <w:left w:w="55" w:type="dxa"/>
            </w:tcMar>
            <w:vAlign w:val="bottom"/>
          </w:tcPr>
          <w:p w:rsidR="00805D2D" w:rsidRPr="008D2E72" w:rsidRDefault="00642C1A">
            <w:pPr>
              <w:suppressAutoHyphens w:val="0"/>
              <w:ind w:left="-9" w:right="-52"/>
              <w:rPr>
                <w:color w:val="auto"/>
                <w:sz w:val="14"/>
                <w:szCs w:val="14"/>
              </w:rPr>
            </w:pPr>
            <w:r w:rsidRPr="008D2E72">
              <w:rPr>
                <w:color w:val="auto"/>
                <w:sz w:val="14"/>
                <w:szCs w:val="14"/>
              </w:rPr>
              <w:t>CRÉDITOS</w:t>
            </w:r>
          </w:p>
        </w:tc>
        <w:tc>
          <w:tcPr>
            <w:tcW w:w="988" w:type="dxa"/>
            <w:tcBorders>
              <w:top w:val="single" w:sz="4" w:space="0" w:color="000001"/>
              <w:left w:val="single" w:sz="4" w:space="0" w:color="000001"/>
              <w:bottom w:val="single" w:sz="4" w:space="0" w:color="000001"/>
            </w:tcBorders>
            <w:shd w:val="clear" w:color="auto" w:fill="auto"/>
            <w:vAlign w:val="bottom"/>
          </w:tcPr>
          <w:p w:rsidR="00805D2D" w:rsidRPr="008D2E72" w:rsidRDefault="00642C1A">
            <w:pPr>
              <w:suppressAutoHyphens w:val="0"/>
              <w:ind w:left="-27" w:right="-28"/>
              <w:jc w:val="right"/>
              <w:rPr>
                <w:color w:val="auto"/>
                <w:sz w:val="14"/>
                <w:szCs w:val="14"/>
              </w:rPr>
            </w:pPr>
            <w:r w:rsidRPr="008D2E72">
              <w:rPr>
                <w:color w:val="auto"/>
                <w:sz w:val="14"/>
                <w:szCs w:val="14"/>
              </w:rPr>
              <w:t>1.216.010,37</w:t>
            </w:r>
          </w:p>
        </w:tc>
        <w:tc>
          <w:tcPr>
            <w:tcW w:w="345" w:type="dxa"/>
            <w:tcBorders>
              <w:top w:val="single" w:sz="4" w:space="0" w:color="000001"/>
              <w:left w:val="single" w:sz="4" w:space="0" w:color="000001"/>
              <w:bottom w:val="single" w:sz="4" w:space="0" w:color="000001"/>
            </w:tcBorders>
            <w:shd w:val="clear" w:color="auto" w:fill="auto"/>
            <w:vAlign w:val="bottom"/>
          </w:tcPr>
          <w:p w:rsidR="00805D2D" w:rsidRPr="008D2E72" w:rsidRDefault="00805D2D">
            <w:pPr>
              <w:suppressAutoHyphens w:val="0"/>
              <w:snapToGrid w:val="0"/>
              <w:ind w:left="-57" w:right="-108"/>
              <w:jc w:val="center"/>
              <w:rPr>
                <w:color w:val="auto"/>
                <w:sz w:val="14"/>
                <w:szCs w:val="14"/>
              </w:rPr>
            </w:pPr>
          </w:p>
        </w:tc>
        <w:tc>
          <w:tcPr>
            <w:tcW w:w="817" w:type="dxa"/>
            <w:tcBorders>
              <w:top w:val="single" w:sz="4" w:space="0" w:color="000001"/>
              <w:left w:val="single" w:sz="4" w:space="0" w:color="000001"/>
              <w:bottom w:val="single" w:sz="4" w:space="0" w:color="000001"/>
            </w:tcBorders>
            <w:shd w:val="clear" w:color="auto" w:fill="auto"/>
            <w:vAlign w:val="bottom"/>
          </w:tcPr>
          <w:p w:rsidR="00805D2D" w:rsidRPr="008D2E72" w:rsidRDefault="00642C1A">
            <w:pPr>
              <w:suppressAutoHyphens w:val="0"/>
              <w:ind w:left="-70" w:right="-70"/>
              <w:jc w:val="right"/>
              <w:rPr>
                <w:color w:val="auto"/>
                <w:sz w:val="14"/>
                <w:szCs w:val="14"/>
              </w:rPr>
            </w:pPr>
            <w:r w:rsidRPr="008D2E72">
              <w:rPr>
                <w:color w:val="auto"/>
                <w:sz w:val="14"/>
                <w:szCs w:val="14"/>
              </w:rPr>
              <w:t>16.755.459,38</w:t>
            </w:r>
          </w:p>
        </w:tc>
        <w:tc>
          <w:tcPr>
            <w:tcW w:w="335" w:type="dxa"/>
            <w:tcBorders>
              <w:top w:val="single" w:sz="4" w:space="0" w:color="000001"/>
              <w:left w:val="single" w:sz="4" w:space="0" w:color="000001"/>
              <w:bottom w:val="single" w:sz="4" w:space="0" w:color="000001"/>
            </w:tcBorders>
            <w:shd w:val="clear" w:color="auto" w:fill="auto"/>
            <w:vAlign w:val="bottom"/>
          </w:tcPr>
          <w:p w:rsidR="00805D2D" w:rsidRPr="008D2E72" w:rsidRDefault="00805D2D">
            <w:pPr>
              <w:suppressAutoHyphens w:val="0"/>
              <w:snapToGrid w:val="0"/>
              <w:ind w:left="-70" w:right="-95"/>
              <w:jc w:val="center"/>
              <w:rPr>
                <w:color w:val="auto"/>
                <w:sz w:val="14"/>
                <w:szCs w:val="14"/>
              </w:rPr>
            </w:pPr>
          </w:p>
        </w:tc>
        <w:tc>
          <w:tcPr>
            <w:tcW w:w="887" w:type="dxa"/>
            <w:tcBorders>
              <w:top w:val="single" w:sz="4" w:space="0" w:color="000001"/>
              <w:left w:val="single" w:sz="4" w:space="0" w:color="000001"/>
              <w:bottom w:val="single" w:sz="4" w:space="0" w:color="000001"/>
            </w:tcBorders>
            <w:shd w:val="clear" w:color="auto" w:fill="auto"/>
            <w:vAlign w:val="bottom"/>
          </w:tcPr>
          <w:p w:rsidR="00805D2D" w:rsidRPr="008D2E72" w:rsidRDefault="00642C1A">
            <w:pPr>
              <w:suppressAutoHyphens w:val="0"/>
              <w:ind w:left="-22" w:right="-32"/>
              <w:jc w:val="right"/>
              <w:rPr>
                <w:color w:val="auto"/>
                <w:sz w:val="14"/>
                <w:szCs w:val="14"/>
              </w:rPr>
            </w:pPr>
            <w:r w:rsidRPr="008D2E72">
              <w:rPr>
                <w:color w:val="auto"/>
                <w:sz w:val="14"/>
                <w:szCs w:val="14"/>
              </w:rPr>
              <w:t>20.008.845,08</w:t>
            </w:r>
          </w:p>
        </w:tc>
        <w:tc>
          <w:tcPr>
            <w:tcW w:w="428" w:type="dxa"/>
            <w:tcBorders>
              <w:top w:val="single" w:sz="4" w:space="0" w:color="000001"/>
              <w:left w:val="single" w:sz="4" w:space="0" w:color="000001"/>
              <w:bottom w:val="single" w:sz="4" w:space="0" w:color="000001"/>
            </w:tcBorders>
            <w:shd w:val="clear" w:color="auto" w:fill="auto"/>
            <w:vAlign w:val="bottom"/>
          </w:tcPr>
          <w:p w:rsidR="00805D2D" w:rsidRPr="008D2E72" w:rsidRDefault="00642C1A">
            <w:pPr>
              <w:suppressAutoHyphens w:val="0"/>
              <w:ind w:left="-54" w:right="-21"/>
              <w:rPr>
                <w:color w:val="auto"/>
                <w:sz w:val="14"/>
                <w:szCs w:val="14"/>
              </w:rPr>
            </w:pPr>
            <w:r w:rsidRPr="008D2E72">
              <w:rPr>
                <w:color w:val="auto"/>
                <w:sz w:val="14"/>
                <w:szCs w:val="14"/>
              </w:rPr>
              <w:t> </w:t>
            </w:r>
          </w:p>
        </w:tc>
        <w:tc>
          <w:tcPr>
            <w:tcW w:w="846" w:type="dxa"/>
            <w:tcBorders>
              <w:top w:val="single" w:sz="4" w:space="0" w:color="000001"/>
              <w:left w:val="single" w:sz="4" w:space="0" w:color="000001"/>
              <w:bottom w:val="single" w:sz="4" w:space="0" w:color="000001"/>
            </w:tcBorders>
            <w:shd w:val="clear" w:color="auto" w:fill="auto"/>
            <w:vAlign w:val="bottom"/>
          </w:tcPr>
          <w:p w:rsidR="00805D2D" w:rsidRPr="008D2E72" w:rsidRDefault="00642C1A">
            <w:pPr>
              <w:suppressAutoHyphens w:val="0"/>
              <w:ind w:left="-95" w:right="-33"/>
              <w:jc w:val="right"/>
              <w:rPr>
                <w:color w:val="auto"/>
                <w:sz w:val="14"/>
                <w:szCs w:val="14"/>
              </w:rPr>
            </w:pPr>
            <w:r w:rsidRPr="008D2E72">
              <w:rPr>
                <w:color w:val="auto"/>
                <w:sz w:val="14"/>
                <w:szCs w:val="14"/>
              </w:rPr>
              <w:t>14.072.070,86</w:t>
            </w:r>
          </w:p>
        </w:tc>
        <w:tc>
          <w:tcPr>
            <w:tcW w:w="347" w:type="dxa"/>
            <w:tcBorders>
              <w:top w:val="single" w:sz="4" w:space="0" w:color="000001"/>
              <w:left w:val="single" w:sz="4" w:space="0" w:color="000001"/>
              <w:bottom w:val="single" w:sz="4" w:space="0" w:color="000001"/>
            </w:tcBorders>
            <w:shd w:val="clear" w:color="auto" w:fill="auto"/>
            <w:vAlign w:val="bottom"/>
          </w:tcPr>
          <w:p w:rsidR="00805D2D" w:rsidRPr="008D2E72" w:rsidRDefault="00805D2D">
            <w:pPr>
              <w:suppressAutoHyphens w:val="0"/>
              <w:snapToGrid w:val="0"/>
              <w:ind w:left="-70" w:right="-99"/>
              <w:jc w:val="center"/>
              <w:rPr>
                <w:color w:val="auto"/>
                <w:sz w:val="14"/>
                <w:szCs w:val="14"/>
              </w:rPr>
            </w:pPr>
          </w:p>
        </w:tc>
        <w:tc>
          <w:tcPr>
            <w:tcW w:w="884" w:type="dxa"/>
            <w:tcBorders>
              <w:top w:val="single" w:sz="4" w:space="0" w:color="000001"/>
              <w:left w:val="single" w:sz="4" w:space="0" w:color="000001"/>
              <w:bottom w:val="single" w:sz="4" w:space="0" w:color="000001"/>
            </w:tcBorders>
            <w:shd w:val="clear" w:color="auto" w:fill="auto"/>
            <w:vAlign w:val="bottom"/>
          </w:tcPr>
          <w:p w:rsidR="00805D2D" w:rsidRPr="008D2E72" w:rsidRDefault="00642C1A">
            <w:pPr>
              <w:suppressAutoHyphens w:val="0"/>
              <w:ind w:left="-70"/>
              <w:jc w:val="right"/>
              <w:rPr>
                <w:color w:val="auto"/>
                <w:sz w:val="14"/>
                <w:szCs w:val="14"/>
              </w:rPr>
            </w:pPr>
            <w:r w:rsidRPr="008D2E72">
              <w:rPr>
                <w:color w:val="auto"/>
                <w:sz w:val="14"/>
                <w:szCs w:val="14"/>
              </w:rPr>
              <w:t>6.475.046,53</w:t>
            </w:r>
          </w:p>
        </w:tc>
        <w:tc>
          <w:tcPr>
            <w:tcW w:w="398" w:type="dxa"/>
            <w:tcBorders>
              <w:top w:val="single" w:sz="4" w:space="0" w:color="000001"/>
              <w:left w:val="single" w:sz="4" w:space="0" w:color="000001"/>
              <w:bottom w:val="single" w:sz="4" w:space="0" w:color="000001"/>
            </w:tcBorders>
            <w:shd w:val="clear" w:color="auto" w:fill="auto"/>
            <w:vAlign w:val="bottom"/>
          </w:tcPr>
          <w:p w:rsidR="00805D2D" w:rsidRPr="008D2E72" w:rsidRDefault="00805D2D">
            <w:pPr>
              <w:suppressAutoHyphens w:val="0"/>
              <w:snapToGrid w:val="0"/>
              <w:ind w:left="-86" w:right="-36"/>
              <w:jc w:val="center"/>
              <w:rPr>
                <w:color w:val="auto"/>
                <w:sz w:val="14"/>
                <w:szCs w:val="14"/>
              </w:rPr>
            </w:pPr>
          </w:p>
        </w:tc>
        <w:tc>
          <w:tcPr>
            <w:tcW w:w="938" w:type="dxa"/>
            <w:tcBorders>
              <w:top w:val="single" w:sz="4" w:space="0" w:color="000001"/>
              <w:left w:val="single" w:sz="4" w:space="0" w:color="000001"/>
              <w:bottom w:val="single" w:sz="4" w:space="0" w:color="000001"/>
            </w:tcBorders>
            <w:shd w:val="clear" w:color="auto" w:fill="auto"/>
            <w:vAlign w:val="bottom"/>
          </w:tcPr>
          <w:p w:rsidR="00805D2D" w:rsidRPr="008D2E72" w:rsidRDefault="00642C1A">
            <w:pPr>
              <w:suppressAutoHyphens w:val="0"/>
              <w:ind w:left="-80" w:right="-35"/>
              <w:jc w:val="right"/>
              <w:rPr>
                <w:bCs/>
                <w:color w:val="auto"/>
                <w:sz w:val="14"/>
                <w:szCs w:val="14"/>
              </w:rPr>
            </w:pPr>
            <w:r w:rsidRPr="008D2E72">
              <w:rPr>
                <w:bCs/>
                <w:color w:val="auto"/>
                <w:sz w:val="14"/>
                <w:szCs w:val="14"/>
              </w:rPr>
              <w:t>58.527.432,22</w:t>
            </w:r>
          </w:p>
        </w:tc>
        <w:tc>
          <w:tcPr>
            <w:tcW w:w="323" w:type="dxa"/>
            <w:tcBorders>
              <w:top w:val="single" w:sz="4" w:space="0" w:color="000001"/>
              <w:left w:val="single" w:sz="4" w:space="0" w:color="000001"/>
              <w:bottom w:val="single" w:sz="4" w:space="0" w:color="000001"/>
              <w:right w:val="single" w:sz="8" w:space="0" w:color="000001"/>
            </w:tcBorders>
            <w:shd w:val="clear" w:color="auto" w:fill="auto"/>
            <w:vAlign w:val="bottom"/>
          </w:tcPr>
          <w:p w:rsidR="00805D2D" w:rsidRPr="008D2E72" w:rsidRDefault="00642C1A">
            <w:pPr>
              <w:suppressAutoHyphens w:val="0"/>
              <w:ind w:left="-132" w:right="-46"/>
              <w:rPr>
                <w:color w:val="auto"/>
                <w:sz w:val="14"/>
                <w:szCs w:val="14"/>
              </w:rPr>
            </w:pPr>
            <w:r w:rsidRPr="008D2E72">
              <w:rPr>
                <w:color w:val="auto"/>
                <w:sz w:val="14"/>
                <w:szCs w:val="14"/>
              </w:rPr>
              <w:t> </w:t>
            </w:r>
          </w:p>
        </w:tc>
      </w:tr>
      <w:tr w:rsidR="00805D2D" w:rsidRPr="008D2E72">
        <w:trPr>
          <w:cantSplit/>
          <w:trHeight w:val="300"/>
        </w:trPr>
        <w:tc>
          <w:tcPr>
            <w:tcW w:w="789" w:type="dxa"/>
            <w:vMerge/>
            <w:tcBorders>
              <w:left w:val="single" w:sz="8" w:space="0" w:color="000001"/>
            </w:tcBorders>
            <w:shd w:val="clear" w:color="auto" w:fill="auto"/>
            <w:tcMar>
              <w:left w:w="40" w:type="dxa"/>
            </w:tcMar>
            <w:vAlign w:val="center"/>
          </w:tcPr>
          <w:p w:rsidR="00805D2D" w:rsidRPr="008D2E72" w:rsidRDefault="00805D2D">
            <w:pPr>
              <w:rPr>
                <w:color w:val="auto"/>
                <w:sz w:val="14"/>
                <w:szCs w:val="14"/>
              </w:rPr>
            </w:pPr>
          </w:p>
        </w:tc>
        <w:tc>
          <w:tcPr>
            <w:tcW w:w="760" w:type="dxa"/>
            <w:tcBorders>
              <w:top w:val="single" w:sz="4" w:space="0" w:color="000001"/>
              <w:left w:val="single" w:sz="4" w:space="0" w:color="000001"/>
              <w:bottom w:val="single" w:sz="4" w:space="0" w:color="000001"/>
            </w:tcBorders>
            <w:shd w:val="clear" w:color="auto" w:fill="auto"/>
            <w:tcMar>
              <w:left w:w="55" w:type="dxa"/>
            </w:tcMar>
            <w:vAlign w:val="bottom"/>
          </w:tcPr>
          <w:p w:rsidR="00805D2D" w:rsidRPr="008D2E72" w:rsidRDefault="00642C1A">
            <w:pPr>
              <w:suppressAutoHyphens w:val="0"/>
              <w:ind w:left="-9" w:right="-52"/>
              <w:rPr>
                <w:color w:val="auto"/>
                <w:sz w:val="14"/>
                <w:szCs w:val="14"/>
              </w:rPr>
            </w:pPr>
            <w:r w:rsidRPr="008D2E72">
              <w:rPr>
                <w:color w:val="auto"/>
                <w:sz w:val="14"/>
                <w:szCs w:val="14"/>
              </w:rPr>
              <w:t>DÉBITOS</w:t>
            </w:r>
          </w:p>
        </w:tc>
        <w:tc>
          <w:tcPr>
            <w:tcW w:w="988" w:type="dxa"/>
            <w:tcBorders>
              <w:top w:val="single" w:sz="4" w:space="0" w:color="000001"/>
              <w:left w:val="single" w:sz="4" w:space="0" w:color="000001"/>
              <w:bottom w:val="single" w:sz="4" w:space="0" w:color="000001"/>
            </w:tcBorders>
            <w:shd w:val="clear" w:color="auto" w:fill="auto"/>
            <w:vAlign w:val="bottom"/>
          </w:tcPr>
          <w:p w:rsidR="00805D2D" w:rsidRPr="008D2E72" w:rsidRDefault="00642C1A">
            <w:pPr>
              <w:suppressAutoHyphens w:val="0"/>
              <w:ind w:left="-27" w:right="-28"/>
              <w:jc w:val="right"/>
              <w:rPr>
                <w:color w:val="auto"/>
                <w:sz w:val="14"/>
                <w:szCs w:val="14"/>
              </w:rPr>
            </w:pPr>
            <w:r w:rsidRPr="008D2E72">
              <w:rPr>
                <w:color w:val="auto"/>
                <w:sz w:val="14"/>
                <w:szCs w:val="14"/>
              </w:rPr>
              <w:t>1.180.288,00</w:t>
            </w:r>
          </w:p>
        </w:tc>
        <w:tc>
          <w:tcPr>
            <w:tcW w:w="345" w:type="dxa"/>
            <w:tcBorders>
              <w:top w:val="single" w:sz="4" w:space="0" w:color="000001"/>
              <w:left w:val="single" w:sz="4" w:space="0" w:color="000001"/>
              <w:bottom w:val="single" w:sz="4" w:space="0" w:color="000001"/>
            </w:tcBorders>
            <w:shd w:val="clear" w:color="auto" w:fill="auto"/>
            <w:vAlign w:val="bottom"/>
          </w:tcPr>
          <w:p w:rsidR="00805D2D" w:rsidRPr="008D2E72" w:rsidRDefault="00805D2D">
            <w:pPr>
              <w:suppressAutoHyphens w:val="0"/>
              <w:snapToGrid w:val="0"/>
              <w:ind w:left="-57" w:right="-108"/>
              <w:jc w:val="center"/>
              <w:rPr>
                <w:color w:val="auto"/>
                <w:sz w:val="14"/>
                <w:szCs w:val="14"/>
              </w:rPr>
            </w:pPr>
          </w:p>
        </w:tc>
        <w:tc>
          <w:tcPr>
            <w:tcW w:w="817" w:type="dxa"/>
            <w:tcBorders>
              <w:top w:val="single" w:sz="4" w:space="0" w:color="000001"/>
              <w:left w:val="single" w:sz="4" w:space="0" w:color="000001"/>
              <w:bottom w:val="single" w:sz="4" w:space="0" w:color="000001"/>
            </w:tcBorders>
            <w:shd w:val="clear" w:color="auto" w:fill="auto"/>
            <w:vAlign w:val="bottom"/>
          </w:tcPr>
          <w:p w:rsidR="00805D2D" w:rsidRPr="008D2E72" w:rsidRDefault="00642C1A">
            <w:pPr>
              <w:suppressAutoHyphens w:val="0"/>
              <w:ind w:left="-70" w:right="-70"/>
              <w:jc w:val="right"/>
              <w:rPr>
                <w:color w:val="auto"/>
                <w:sz w:val="14"/>
                <w:szCs w:val="14"/>
              </w:rPr>
            </w:pPr>
            <w:r w:rsidRPr="008D2E72">
              <w:rPr>
                <w:color w:val="auto"/>
                <w:sz w:val="14"/>
                <w:szCs w:val="14"/>
              </w:rPr>
              <w:t>12.940.369,99</w:t>
            </w:r>
          </w:p>
        </w:tc>
        <w:tc>
          <w:tcPr>
            <w:tcW w:w="335" w:type="dxa"/>
            <w:tcBorders>
              <w:top w:val="single" w:sz="4" w:space="0" w:color="000001"/>
              <w:left w:val="single" w:sz="4" w:space="0" w:color="000001"/>
              <w:bottom w:val="single" w:sz="4" w:space="0" w:color="000001"/>
            </w:tcBorders>
            <w:shd w:val="clear" w:color="auto" w:fill="auto"/>
            <w:vAlign w:val="bottom"/>
          </w:tcPr>
          <w:p w:rsidR="00805D2D" w:rsidRPr="008D2E72" w:rsidRDefault="00805D2D">
            <w:pPr>
              <w:suppressAutoHyphens w:val="0"/>
              <w:snapToGrid w:val="0"/>
              <w:ind w:left="-70" w:right="-95"/>
              <w:jc w:val="center"/>
              <w:rPr>
                <w:color w:val="auto"/>
                <w:sz w:val="14"/>
                <w:szCs w:val="14"/>
              </w:rPr>
            </w:pPr>
          </w:p>
        </w:tc>
        <w:tc>
          <w:tcPr>
            <w:tcW w:w="887" w:type="dxa"/>
            <w:tcBorders>
              <w:top w:val="single" w:sz="4" w:space="0" w:color="000001"/>
              <w:left w:val="single" w:sz="4" w:space="0" w:color="000001"/>
              <w:bottom w:val="single" w:sz="4" w:space="0" w:color="000001"/>
            </w:tcBorders>
            <w:shd w:val="clear" w:color="auto" w:fill="auto"/>
            <w:vAlign w:val="bottom"/>
          </w:tcPr>
          <w:p w:rsidR="00805D2D" w:rsidRPr="008D2E72" w:rsidRDefault="00642C1A">
            <w:pPr>
              <w:suppressAutoHyphens w:val="0"/>
              <w:ind w:left="-22" w:right="-32"/>
              <w:jc w:val="right"/>
              <w:rPr>
                <w:color w:val="auto"/>
                <w:sz w:val="14"/>
                <w:szCs w:val="14"/>
              </w:rPr>
            </w:pPr>
            <w:r w:rsidRPr="008D2E72">
              <w:rPr>
                <w:color w:val="auto"/>
                <w:sz w:val="14"/>
                <w:szCs w:val="14"/>
              </w:rPr>
              <w:t>10.398.011,34</w:t>
            </w:r>
          </w:p>
        </w:tc>
        <w:tc>
          <w:tcPr>
            <w:tcW w:w="428" w:type="dxa"/>
            <w:tcBorders>
              <w:top w:val="single" w:sz="4" w:space="0" w:color="000001"/>
              <w:left w:val="single" w:sz="4" w:space="0" w:color="000001"/>
              <w:bottom w:val="single" w:sz="4" w:space="0" w:color="000001"/>
            </w:tcBorders>
            <w:shd w:val="clear" w:color="auto" w:fill="auto"/>
            <w:vAlign w:val="bottom"/>
          </w:tcPr>
          <w:p w:rsidR="00805D2D" w:rsidRPr="008D2E72" w:rsidRDefault="00642C1A">
            <w:pPr>
              <w:suppressAutoHyphens w:val="0"/>
              <w:ind w:left="-54" w:right="-21"/>
              <w:rPr>
                <w:color w:val="auto"/>
                <w:sz w:val="14"/>
                <w:szCs w:val="14"/>
              </w:rPr>
            </w:pPr>
            <w:r w:rsidRPr="008D2E72">
              <w:rPr>
                <w:color w:val="auto"/>
                <w:sz w:val="14"/>
                <w:szCs w:val="14"/>
              </w:rPr>
              <w:t> </w:t>
            </w:r>
          </w:p>
        </w:tc>
        <w:tc>
          <w:tcPr>
            <w:tcW w:w="846" w:type="dxa"/>
            <w:tcBorders>
              <w:top w:val="single" w:sz="4" w:space="0" w:color="000001"/>
              <w:left w:val="single" w:sz="4" w:space="0" w:color="000001"/>
              <w:bottom w:val="single" w:sz="4" w:space="0" w:color="000001"/>
            </w:tcBorders>
            <w:shd w:val="clear" w:color="auto" w:fill="auto"/>
            <w:vAlign w:val="bottom"/>
          </w:tcPr>
          <w:p w:rsidR="00805D2D" w:rsidRPr="008D2E72" w:rsidRDefault="00642C1A">
            <w:pPr>
              <w:suppressAutoHyphens w:val="0"/>
              <w:ind w:left="-95" w:right="-33"/>
              <w:jc w:val="right"/>
              <w:rPr>
                <w:color w:val="auto"/>
                <w:sz w:val="14"/>
                <w:szCs w:val="14"/>
              </w:rPr>
            </w:pPr>
            <w:r w:rsidRPr="008D2E72">
              <w:rPr>
                <w:color w:val="auto"/>
                <w:sz w:val="14"/>
                <w:szCs w:val="14"/>
              </w:rPr>
              <w:t>26.907.363,57</w:t>
            </w:r>
          </w:p>
        </w:tc>
        <w:tc>
          <w:tcPr>
            <w:tcW w:w="347" w:type="dxa"/>
            <w:tcBorders>
              <w:top w:val="single" w:sz="4" w:space="0" w:color="000001"/>
              <w:left w:val="single" w:sz="4" w:space="0" w:color="000001"/>
              <w:bottom w:val="single" w:sz="4" w:space="0" w:color="000001"/>
            </w:tcBorders>
            <w:shd w:val="clear" w:color="auto" w:fill="auto"/>
            <w:vAlign w:val="bottom"/>
          </w:tcPr>
          <w:p w:rsidR="00805D2D" w:rsidRPr="008D2E72" w:rsidRDefault="00805D2D">
            <w:pPr>
              <w:suppressAutoHyphens w:val="0"/>
              <w:snapToGrid w:val="0"/>
              <w:ind w:left="-70" w:right="-99"/>
              <w:jc w:val="center"/>
              <w:rPr>
                <w:color w:val="auto"/>
                <w:sz w:val="14"/>
                <w:szCs w:val="14"/>
              </w:rPr>
            </w:pPr>
          </w:p>
        </w:tc>
        <w:tc>
          <w:tcPr>
            <w:tcW w:w="884" w:type="dxa"/>
            <w:tcBorders>
              <w:top w:val="single" w:sz="4" w:space="0" w:color="000001"/>
              <w:left w:val="single" w:sz="4" w:space="0" w:color="000001"/>
              <w:bottom w:val="single" w:sz="4" w:space="0" w:color="000001"/>
            </w:tcBorders>
            <w:shd w:val="clear" w:color="auto" w:fill="auto"/>
            <w:vAlign w:val="bottom"/>
          </w:tcPr>
          <w:p w:rsidR="00805D2D" w:rsidRPr="008D2E72" w:rsidRDefault="00642C1A">
            <w:pPr>
              <w:suppressAutoHyphens w:val="0"/>
              <w:ind w:left="-70"/>
              <w:jc w:val="right"/>
              <w:rPr>
                <w:color w:val="auto"/>
                <w:sz w:val="14"/>
                <w:szCs w:val="14"/>
              </w:rPr>
            </w:pPr>
            <w:r w:rsidRPr="008D2E72">
              <w:rPr>
                <w:color w:val="auto"/>
                <w:sz w:val="14"/>
                <w:szCs w:val="14"/>
              </w:rPr>
              <w:t>6.760.622,16</w:t>
            </w:r>
          </w:p>
        </w:tc>
        <w:tc>
          <w:tcPr>
            <w:tcW w:w="398" w:type="dxa"/>
            <w:tcBorders>
              <w:top w:val="single" w:sz="4" w:space="0" w:color="000001"/>
              <w:left w:val="single" w:sz="4" w:space="0" w:color="000001"/>
              <w:bottom w:val="single" w:sz="4" w:space="0" w:color="000001"/>
            </w:tcBorders>
            <w:shd w:val="clear" w:color="auto" w:fill="auto"/>
            <w:vAlign w:val="bottom"/>
          </w:tcPr>
          <w:p w:rsidR="00805D2D" w:rsidRPr="008D2E72" w:rsidRDefault="00805D2D">
            <w:pPr>
              <w:suppressAutoHyphens w:val="0"/>
              <w:snapToGrid w:val="0"/>
              <w:ind w:left="-86" w:right="-36"/>
              <w:jc w:val="center"/>
              <w:rPr>
                <w:color w:val="auto"/>
                <w:sz w:val="14"/>
                <w:szCs w:val="14"/>
              </w:rPr>
            </w:pPr>
          </w:p>
        </w:tc>
        <w:tc>
          <w:tcPr>
            <w:tcW w:w="938" w:type="dxa"/>
            <w:tcBorders>
              <w:top w:val="single" w:sz="4" w:space="0" w:color="000001"/>
              <w:left w:val="single" w:sz="4" w:space="0" w:color="000001"/>
              <w:bottom w:val="single" w:sz="4" w:space="0" w:color="000001"/>
            </w:tcBorders>
            <w:shd w:val="clear" w:color="auto" w:fill="auto"/>
            <w:vAlign w:val="bottom"/>
          </w:tcPr>
          <w:p w:rsidR="00805D2D" w:rsidRPr="008D2E72" w:rsidRDefault="00642C1A">
            <w:pPr>
              <w:suppressAutoHyphens w:val="0"/>
              <w:ind w:left="-80" w:right="-35"/>
              <w:jc w:val="right"/>
              <w:rPr>
                <w:bCs/>
                <w:color w:val="auto"/>
                <w:sz w:val="14"/>
                <w:szCs w:val="14"/>
              </w:rPr>
            </w:pPr>
            <w:r w:rsidRPr="008D2E72">
              <w:rPr>
                <w:bCs/>
                <w:color w:val="auto"/>
                <w:sz w:val="14"/>
                <w:szCs w:val="14"/>
              </w:rPr>
              <w:t>58.186.655,06</w:t>
            </w:r>
          </w:p>
        </w:tc>
        <w:tc>
          <w:tcPr>
            <w:tcW w:w="323" w:type="dxa"/>
            <w:tcBorders>
              <w:top w:val="single" w:sz="4" w:space="0" w:color="000001"/>
              <w:left w:val="single" w:sz="4" w:space="0" w:color="000001"/>
              <w:bottom w:val="single" w:sz="4" w:space="0" w:color="000001"/>
              <w:right w:val="single" w:sz="8" w:space="0" w:color="000001"/>
            </w:tcBorders>
            <w:shd w:val="clear" w:color="auto" w:fill="auto"/>
            <w:vAlign w:val="bottom"/>
          </w:tcPr>
          <w:p w:rsidR="00805D2D" w:rsidRPr="008D2E72" w:rsidRDefault="00642C1A">
            <w:pPr>
              <w:suppressAutoHyphens w:val="0"/>
              <w:ind w:left="-132" w:right="-46"/>
              <w:rPr>
                <w:color w:val="auto"/>
                <w:sz w:val="14"/>
                <w:szCs w:val="14"/>
              </w:rPr>
            </w:pPr>
            <w:r w:rsidRPr="008D2E72">
              <w:rPr>
                <w:color w:val="auto"/>
                <w:sz w:val="14"/>
                <w:szCs w:val="14"/>
              </w:rPr>
              <w:t> </w:t>
            </w:r>
          </w:p>
        </w:tc>
      </w:tr>
      <w:tr w:rsidR="00805D2D" w:rsidRPr="008D2E72">
        <w:trPr>
          <w:cantSplit/>
          <w:trHeight w:val="300"/>
        </w:trPr>
        <w:tc>
          <w:tcPr>
            <w:tcW w:w="789" w:type="dxa"/>
            <w:vMerge/>
            <w:tcBorders>
              <w:left w:val="single" w:sz="8" w:space="0" w:color="000001"/>
            </w:tcBorders>
            <w:shd w:val="clear" w:color="auto" w:fill="auto"/>
            <w:tcMar>
              <w:left w:w="40" w:type="dxa"/>
            </w:tcMar>
            <w:vAlign w:val="center"/>
          </w:tcPr>
          <w:p w:rsidR="00805D2D" w:rsidRPr="008D2E72" w:rsidRDefault="00805D2D">
            <w:pPr>
              <w:rPr>
                <w:color w:val="auto"/>
                <w:sz w:val="14"/>
                <w:szCs w:val="14"/>
              </w:rPr>
            </w:pPr>
          </w:p>
        </w:tc>
        <w:tc>
          <w:tcPr>
            <w:tcW w:w="760" w:type="dxa"/>
            <w:tcBorders>
              <w:top w:val="single" w:sz="8" w:space="0" w:color="000001"/>
              <w:left w:val="single" w:sz="4" w:space="0" w:color="000001"/>
              <w:bottom w:val="single" w:sz="8" w:space="0" w:color="000001"/>
            </w:tcBorders>
            <w:shd w:val="clear" w:color="auto" w:fill="auto"/>
            <w:tcMar>
              <w:left w:w="55" w:type="dxa"/>
            </w:tcMar>
            <w:vAlign w:val="bottom"/>
          </w:tcPr>
          <w:p w:rsidR="00805D2D" w:rsidRPr="008D2E72" w:rsidRDefault="00642C1A">
            <w:pPr>
              <w:suppressAutoHyphens w:val="0"/>
              <w:ind w:left="-9" w:right="-52"/>
              <w:rPr>
                <w:color w:val="auto"/>
                <w:sz w:val="14"/>
                <w:szCs w:val="14"/>
              </w:rPr>
            </w:pPr>
            <w:r w:rsidRPr="008D2E72">
              <w:rPr>
                <w:color w:val="auto"/>
                <w:sz w:val="14"/>
                <w:szCs w:val="14"/>
              </w:rPr>
              <w:t>SAQUES</w:t>
            </w:r>
          </w:p>
        </w:tc>
        <w:tc>
          <w:tcPr>
            <w:tcW w:w="988" w:type="dxa"/>
            <w:tcBorders>
              <w:top w:val="single" w:sz="8" w:space="0" w:color="000001"/>
              <w:left w:val="single" w:sz="4" w:space="0" w:color="000001"/>
              <w:bottom w:val="single" w:sz="8" w:space="0" w:color="000001"/>
            </w:tcBorders>
            <w:shd w:val="clear" w:color="auto" w:fill="auto"/>
            <w:vAlign w:val="bottom"/>
          </w:tcPr>
          <w:p w:rsidR="00805D2D" w:rsidRPr="008D2E72" w:rsidRDefault="00642C1A">
            <w:pPr>
              <w:suppressAutoHyphens w:val="0"/>
              <w:ind w:left="-27" w:right="-28"/>
              <w:rPr>
                <w:color w:val="auto"/>
                <w:sz w:val="14"/>
                <w:szCs w:val="14"/>
              </w:rPr>
            </w:pPr>
            <w:r w:rsidRPr="008D2E72">
              <w:rPr>
                <w:color w:val="auto"/>
                <w:sz w:val="14"/>
                <w:szCs w:val="14"/>
              </w:rPr>
              <w:t> </w:t>
            </w:r>
          </w:p>
        </w:tc>
        <w:tc>
          <w:tcPr>
            <w:tcW w:w="345" w:type="dxa"/>
            <w:tcBorders>
              <w:top w:val="single" w:sz="8" w:space="0" w:color="000001"/>
              <w:left w:val="single" w:sz="4" w:space="0" w:color="000001"/>
              <w:bottom w:val="single" w:sz="8" w:space="0" w:color="000001"/>
            </w:tcBorders>
            <w:shd w:val="clear" w:color="auto" w:fill="auto"/>
            <w:vAlign w:val="bottom"/>
          </w:tcPr>
          <w:p w:rsidR="00805D2D" w:rsidRPr="008D2E72" w:rsidRDefault="00642C1A">
            <w:pPr>
              <w:suppressAutoHyphens w:val="0"/>
              <w:ind w:left="-57" w:right="-108"/>
              <w:jc w:val="center"/>
              <w:rPr>
                <w:color w:val="auto"/>
                <w:sz w:val="14"/>
                <w:szCs w:val="14"/>
              </w:rPr>
            </w:pPr>
            <w:r w:rsidRPr="008D2E72">
              <w:rPr>
                <w:color w:val="auto"/>
                <w:sz w:val="14"/>
                <w:szCs w:val="14"/>
              </w:rPr>
              <w:t>0,0%</w:t>
            </w:r>
          </w:p>
        </w:tc>
        <w:tc>
          <w:tcPr>
            <w:tcW w:w="817" w:type="dxa"/>
            <w:tcBorders>
              <w:top w:val="single" w:sz="8" w:space="0" w:color="000001"/>
              <w:left w:val="single" w:sz="4" w:space="0" w:color="000001"/>
              <w:bottom w:val="single" w:sz="8" w:space="0" w:color="000001"/>
            </w:tcBorders>
            <w:shd w:val="clear" w:color="auto" w:fill="auto"/>
            <w:vAlign w:val="bottom"/>
          </w:tcPr>
          <w:p w:rsidR="00805D2D" w:rsidRPr="008D2E72" w:rsidRDefault="00642C1A">
            <w:pPr>
              <w:suppressAutoHyphens w:val="0"/>
              <w:ind w:left="-70" w:right="-70"/>
              <w:jc w:val="right"/>
              <w:rPr>
                <w:color w:val="auto"/>
                <w:sz w:val="14"/>
                <w:szCs w:val="14"/>
              </w:rPr>
            </w:pPr>
            <w:r w:rsidRPr="008D2E72">
              <w:rPr>
                <w:color w:val="auto"/>
                <w:sz w:val="14"/>
                <w:szCs w:val="14"/>
              </w:rPr>
              <w:t>946.945,37</w:t>
            </w:r>
          </w:p>
        </w:tc>
        <w:tc>
          <w:tcPr>
            <w:tcW w:w="335" w:type="dxa"/>
            <w:tcBorders>
              <w:top w:val="single" w:sz="8" w:space="0" w:color="000001"/>
              <w:left w:val="single" w:sz="4" w:space="0" w:color="000001"/>
              <w:bottom w:val="single" w:sz="8" w:space="0" w:color="000001"/>
            </w:tcBorders>
            <w:shd w:val="clear" w:color="auto" w:fill="auto"/>
            <w:vAlign w:val="bottom"/>
          </w:tcPr>
          <w:p w:rsidR="00805D2D" w:rsidRPr="008D2E72" w:rsidRDefault="00642C1A">
            <w:pPr>
              <w:suppressAutoHyphens w:val="0"/>
              <w:ind w:left="-70" w:right="-95"/>
              <w:jc w:val="center"/>
              <w:rPr>
                <w:color w:val="auto"/>
                <w:sz w:val="14"/>
                <w:szCs w:val="14"/>
              </w:rPr>
            </w:pPr>
            <w:r w:rsidRPr="008D2E72">
              <w:rPr>
                <w:color w:val="auto"/>
                <w:sz w:val="14"/>
                <w:szCs w:val="14"/>
              </w:rPr>
              <w:t>5,7%</w:t>
            </w:r>
          </w:p>
        </w:tc>
        <w:tc>
          <w:tcPr>
            <w:tcW w:w="887" w:type="dxa"/>
            <w:tcBorders>
              <w:top w:val="single" w:sz="8" w:space="0" w:color="000001"/>
              <w:left w:val="single" w:sz="4" w:space="0" w:color="000001"/>
              <w:bottom w:val="single" w:sz="8" w:space="0" w:color="000001"/>
            </w:tcBorders>
            <w:shd w:val="clear" w:color="auto" w:fill="auto"/>
            <w:vAlign w:val="bottom"/>
          </w:tcPr>
          <w:p w:rsidR="00805D2D" w:rsidRPr="008D2E72" w:rsidRDefault="00642C1A">
            <w:pPr>
              <w:suppressAutoHyphens w:val="0"/>
              <w:ind w:left="-22" w:right="-32"/>
              <w:jc w:val="right"/>
              <w:rPr>
                <w:color w:val="auto"/>
                <w:sz w:val="14"/>
                <w:szCs w:val="14"/>
              </w:rPr>
            </w:pPr>
            <w:r w:rsidRPr="008D2E72">
              <w:rPr>
                <w:color w:val="auto"/>
                <w:sz w:val="14"/>
                <w:szCs w:val="14"/>
              </w:rPr>
              <w:t>19.000,00</w:t>
            </w:r>
          </w:p>
        </w:tc>
        <w:tc>
          <w:tcPr>
            <w:tcW w:w="428" w:type="dxa"/>
            <w:tcBorders>
              <w:top w:val="single" w:sz="8" w:space="0" w:color="000001"/>
              <w:left w:val="single" w:sz="4" w:space="0" w:color="000001"/>
              <w:bottom w:val="single" w:sz="8" w:space="0" w:color="000001"/>
            </w:tcBorders>
            <w:shd w:val="clear" w:color="auto" w:fill="auto"/>
            <w:vAlign w:val="bottom"/>
          </w:tcPr>
          <w:p w:rsidR="00805D2D" w:rsidRPr="008D2E72" w:rsidRDefault="00642C1A">
            <w:pPr>
              <w:suppressAutoHyphens w:val="0"/>
              <w:ind w:left="-54" w:right="-21"/>
              <w:jc w:val="right"/>
              <w:rPr>
                <w:color w:val="auto"/>
                <w:sz w:val="14"/>
                <w:szCs w:val="14"/>
              </w:rPr>
            </w:pPr>
            <w:r w:rsidRPr="008D2E72">
              <w:rPr>
                <w:color w:val="auto"/>
                <w:sz w:val="14"/>
                <w:szCs w:val="14"/>
              </w:rPr>
              <w:t>0,1%</w:t>
            </w:r>
          </w:p>
        </w:tc>
        <w:tc>
          <w:tcPr>
            <w:tcW w:w="846" w:type="dxa"/>
            <w:tcBorders>
              <w:top w:val="single" w:sz="8" w:space="0" w:color="000001"/>
              <w:left w:val="single" w:sz="4" w:space="0" w:color="000001"/>
              <w:bottom w:val="single" w:sz="8" w:space="0" w:color="000001"/>
            </w:tcBorders>
            <w:shd w:val="clear" w:color="auto" w:fill="auto"/>
            <w:vAlign w:val="bottom"/>
          </w:tcPr>
          <w:p w:rsidR="00805D2D" w:rsidRPr="008D2E72" w:rsidRDefault="00642C1A">
            <w:pPr>
              <w:suppressAutoHyphens w:val="0"/>
              <w:ind w:left="-95" w:right="-33"/>
              <w:jc w:val="right"/>
              <w:rPr>
                <w:color w:val="auto"/>
                <w:sz w:val="14"/>
                <w:szCs w:val="14"/>
              </w:rPr>
            </w:pPr>
            <w:r w:rsidRPr="008D2E72">
              <w:rPr>
                <w:color w:val="auto"/>
                <w:sz w:val="14"/>
                <w:szCs w:val="14"/>
              </w:rPr>
              <w:t>670.000,00</w:t>
            </w:r>
          </w:p>
        </w:tc>
        <w:tc>
          <w:tcPr>
            <w:tcW w:w="347" w:type="dxa"/>
            <w:tcBorders>
              <w:top w:val="single" w:sz="8" w:space="0" w:color="000001"/>
              <w:left w:val="single" w:sz="4" w:space="0" w:color="000001"/>
              <w:bottom w:val="single" w:sz="8" w:space="0" w:color="000001"/>
            </w:tcBorders>
            <w:shd w:val="clear" w:color="auto" w:fill="auto"/>
            <w:vAlign w:val="bottom"/>
          </w:tcPr>
          <w:p w:rsidR="00805D2D" w:rsidRPr="008D2E72" w:rsidRDefault="00642C1A">
            <w:pPr>
              <w:suppressAutoHyphens w:val="0"/>
              <w:ind w:left="-70" w:right="-99"/>
              <w:jc w:val="center"/>
              <w:rPr>
                <w:color w:val="auto"/>
                <w:sz w:val="14"/>
                <w:szCs w:val="14"/>
              </w:rPr>
            </w:pPr>
            <w:r w:rsidRPr="008D2E72">
              <w:rPr>
                <w:color w:val="auto"/>
                <w:sz w:val="14"/>
                <w:szCs w:val="14"/>
              </w:rPr>
              <w:t>4,8%</w:t>
            </w:r>
          </w:p>
        </w:tc>
        <w:tc>
          <w:tcPr>
            <w:tcW w:w="884" w:type="dxa"/>
            <w:tcBorders>
              <w:top w:val="single" w:sz="8" w:space="0" w:color="000001"/>
              <w:left w:val="single" w:sz="4" w:space="0" w:color="000001"/>
              <w:bottom w:val="single" w:sz="8" w:space="0" w:color="000001"/>
            </w:tcBorders>
            <w:shd w:val="clear" w:color="auto" w:fill="auto"/>
            <w:vAlign w:val="bottom"/>
          </w:tcPr>
          <w:p w:rsidR="00805D2D" w:rsidRPr="008D2E72" w:rsidRDefault="00642C1A">
            <w:pPr>
              <w:suppressAutoHyphens w:val="0"/>
              <w:ind w:left="-70"/>
              <w:rPr>
                <w:color w:val="auto"/>
                <w:sz w:val="14"/>
                <w:szCs w:val="14"/>
              </w:rPr>
            </w:pPr>
            <w:r w:rsidRPr="008D2E72">
              <w:rPr>
                <w:color w:val="auto"/>
                <w:sz w:val="14"/>
                <w:szCs w:val="14"/>
              </w:rPr>
              <w:t> </w:t>
            </w:r>
          </w:p>
        </w:tc>
        <w:tc>
          <w:tcPr>
            <w:tcW w:w="398" w:type="dxa"/>
            <w:tcBorders>
              <w:top w:val="single" w:sz="8" w:space="0" w:color="000001"/>
              <w:left w:val="single" w:sz="4" w:space="0" w:color="000001"/>
              <w:bottom w:val="single" w:sz="8" w:space="0" w:color="000001"/>
            </w:tcBorders>
            <w:shd w:val="clear" w:color="auto" w:fill="auto"/>
            <w:vAlign w:val="bottom"/>
          </w:tcPr>
          <w:p w:rsidR="00805D2D" w:rsidRPr="008D2E72" w:rsidRDefault="00642C1A">
            <w:pPr>
              <w:suppressAutoHyphens w:val="0"/>
              <w:ind w:left="-86" w:right="-36"/>
              <w:jc w:val="center"/>
              <w:rPr>
                <w:color w:val="auto"/>
                <w:sz w:val="14"/>
                <w:szCs w:val="14"/>
              </w:rPr>
            </w:pPr>
            <w:r w:rsidRPr="008D2E72">
              <w:rPr>
                <w:color w:val="auto"/>
                <w:sz w:val="14"/>
                <w:szCs w:val="14"/>
              </w:rPr>
              <w:t>0,0%</w:t>
            </w:r>
          </w:p>
        </w:tc>
        <w:tc>
          <w:tcPr>
            <w:tcW w:w="938" w:type="dxa"/>
            <w:tcBorders>
              <w:top w:val="single" w:sz="8" w:space="0" w:color="000001"/>
              <w:left w:val="single" w:sz="4" w:space="0" w:color="000001"/>
              <w:bottom w:val="single" w:sz="8" w:space="0" w:color="000001"/>
            </w:tcBorders>
            <w:shd w:val="clear" w:color="auto" w:fill="auto"/>
            <w:vAlign w:val="bottom"/>
          </w:tcPr>
          <w:p w:rsidR="00805D2D" w:rsidRPr="008D2E72" w:rsidRDefault="00642C1A">
            <w:pPr>
              <w:suppressAutoHyphens w:val="0"/>
              <w:ind w:left="-80" w:right="-35"/>
              <w:jc w:val="right"/>
              <w:rPr>
                <w:bCs/>
                <w:color w:val="auto"/>
                <w:sz w:val="14"/>
                <w:szCs w:val="14"/>
              </w:rPr>
            </w:pPr>
            <w:r w:rsidRPr="008D2E72">
              <w:rPr>
                <w:bCs/>
                <w:color w:val="auto"/>
                <w:sz w:val="14"/>
                <w:szCs w:val="14"/>
              </w:rPr>
              <w:t>1.635.945,37</w:t>
            </w:r>
          </w:p>
        </w:tc>
        <w:tc>
          <w:tcPr>
            <w:tcW w:w="323" w:type="dxa"/>
            <w:tcBorders>
              <w:top w:val="single" w:sz="8" w:space="0" w:color="000001"/>
              <w:left w:val="single" w:sz="4" w:space="0" w:color="000001"/>
              <w:bottom w:val="single" w:sz="8" w:space="0" w:color="000001"/>
              <w:right w:val="single" w:sz="8" w:space="0" w:color="000001"/>
            </w:tcBorders>
            <w:shd w:val="clear" w:color="auto" w:fill="auto"/>
            <w:vAlign w:val="bottom"/>
          </w:tcPr>
          <w:p w:rsidR="00805D2D" w:rsidRPr="008D2E72" w:rsidRDefault="00642C1A">
            <w:pPr>
              <w:suppressAutoHyphens w:val="0"/>
              <w:ind w:left="-132" w:right="-46"/>
              <w:jc w:val="right"/>
              <w:rPr>
                <w:color w:val="auto"/>
                <w:sz w:val="14"/>
                <w:szCs w:val="14"/>
              </w:rPr>
            </w:pPr>
            <w:r w:rsidRPr="008D2E72">
              <w:rPr>
                <w:color w:val="auto"/>
                <w:sz w:val="14"/>
                <w:szCs w:val="14"/>
              </w:rPr>
              <w:t>2,8%</w:t>
            </w:r>
          </w:p>
        </w:tc>
      </w:tr>
      <w:tr w:rsidR="00805D2D" w:rsidRPr="008D2E72">
        <w:trPr>
          <w:cantSplit/>
          <w:trHeight w:val="300"/>
        </w:trPr>
        <w:tc>
          <w:tcPr>
            <w:tcW w:w="789" w:type="dxa"/>
            <w:vMerge w:val="restart"/>
            <w:tcBorders>
              <w:left w:val="single" w:sz="8" w:space="0" w:color="000001"/>
            </w:tcBorders>
            <w:shd w:val="clear" w:color="auto" w:fill="auto"/>
            <w:tcMar>
              <w:left w:w="40" w:type="dxa"/>
            </w:tcMar>
            <w:vAlign w:val="center"/>
          </w:tcPr>
          <w:p w:rsidR="00805D2D" w:rsidRPr="008D2E72" w:rsidRDefault="00642C1A">
            <w:pPr>
              <w:suppressAutoHyphens w:val="0"/>
              <w:ind w:left="-70" w:right="-101"/>
              <w:jc w:val="center"/>
              <w:rPr>
                <w:bCs/>
                <w:color w:val="auto"/>
                <w:sz w:val="14"/>
                <w:szCs w:val="14"/>
              </w:rPr>
            </w:pPr>
            <w:r w:rsidRPr="008D2E72">
              <w:rPr>
                <w:bCs/>
                <w:color w:val="auto"/>
                <w:sz w:val="14"/>
                <w:szCs w:val="14"/>
              </w:rPr>
              <w:t>“M”</w:t>
            </w:r>
          </w:p>
        </w:tc>
        <w:tc>
          <w:tcPr>
            <w:tcW w:w="760" w:type="dxa"/>
            <w:tcBorders>
              <w:top w:val="single" w:sz="4" w:space="0" w:color="000001"/>
              <w:left w:val="single" w:sz="4" w:space="0" w:color="000001"/>
              <w:bottom w:val="single" w:sz="4" w:space="0" w:color="000001"/>
            </w:tcBorders>
            <w:shd w:val="clear" w:color="auto" w:fill="auto"/>
            <w:tcMar>
              <w:left w:w="55" w:type="dxa"/>
            </w:tcMar>
            <w:vAlign w:val="bottom"/>
          </w:tcPr>
          <w:p w:rsidR="00805D2D" w:rsidRPr="008D2E72" w:rsidRDefault="00642C1A">
            <w:pPr>
              <w:suppressAutoHyphens w:val="0"/>
              <w:ind w:left="-9" w:right="-52"/>
              <w:rPr>
                <w:color w:val="auto"/>
                <w:sz w:val="14"/>
                <w:szCs w:val="14"/>
              </w:rPr>
            </w:pPr>
            <w:r w:rsidRPr="008D2E72">
              <w:rPr>
                <w:color w:val="auto"/>
                <w:sz w:val="14"/>
                <w:szCs w:val="14"/>
              </w:rPr>
              <w:t>CRÉDITOS</w:t>
            </w:r>
          </w:p>
        </w:tc>
        <w:tc>
          <w:tcPr>
            <w:tcW w:w="988" w:type="dxa"/>
            <w:tcBorders>
              <w:top w:val="single" w:sz="4" w:space="0" w:color="000001"/>
              <w:left w:val="single" w:sz="4" w:space="0" w:color="000001"/>
              <w:bottom w:val="single" w:sz="4" w:space="0" w:color="000001"/>
            </w:tcBorders>
            <w:shd w:val="clear" w:color="auto" w:fill="auto"/>
            <w:vAlign w:val="bottom"/>
          </w:tcPr>
          <w:p w:rsidR="00805D2D" w:rsidRPr="008D2E72" w:rsidRDefault="00642C1A">
            <w:pPr>
              <w:suppressAutoHyphens w:val="0"/>
              <w:ind w:left="-27" w:right="-28"/>
              <w:jc w:val="right"/>
              <w:rPr>
                <w:color w:val="auto"/>
                <w:sz w:val="14"/>
                <w:szCs w:val="14"/>
              </w:rPr>
            </w:pPr>
            <w:r w:rsidRPr="008D2E72">
              <w:rPr>
                <w:color w:val="auto"/>
                <w:sz w:val="14"/>
                <w:szCs w:val="14"/>
              </w:rPr>
              <w:t>9.015.100,23</w:t>
            </w:r>
          </w:p>
        </w:tc>
        <w:tc>
          <w:tcPr>
            <w:tcW w:w="345" w:type="dxa"/>
            <w:tcBorders>
              <w:top w:val="single" w:sz="4" w:space="0" w:color="000001"/>
              <w:left w:val="single" w:sz="4" w:space="0" w:color="000001"/>
              <w:bottom w:val="single" w:sz="4" w:space="0" w:color="000001"/>
            </w:tcBorders>
            <w:shd w:val="clear" w:color="auto" w:fill="auto"/>
            <w:vAlign w:val="bottom"/>
          </w:tcPr>
          <w:p w:rsidR="00805D2D" w:rsidRPr="008D2E72" w:rsidRDefault="00805D2D">
            <w:pPr>
              <w:suppressAutoHyphens w:val="0"/>
              <w:snapToGrid w:val="0"/>
              <w:ind w:left="-57" w:right="-108"/>
              <w:jc w:val="center"/>
              <w:rPr>
                <w:color w:val="auto"/>
                <w:sz w:val="14"/>
                <w:szCs w:val="14"/>
              </w:rPr>
            </w:pPr>
          </w:p>
        </w:tc>
        <w:tc>
          <w:tcPr>
            <w:tcW w:w="817" w:type="dxa"/>
            <w:tcBorders>
              <w:top w:val="single" w:sz="4" w:space="0" w:color="000001"/>
              <w:left w:val="single" w:sz="4" w:space="0" w:color="000001"/>
              <w:bottom w:val="single" w:sz="4" w:space="0" w:color="000001"/>
            </w:tcBorders>
            <w:shd w:val="clear" w:color="auto" w:fill="auto"/>
            <w:vAlign w:val="bottom"/>
          </w:tcPr>
          <w:p w:rsidR="00805D2D" w:rsidRPr="008D2E72" w:rsidRDefault="00642C1A">
            <w:pPr>
              <w:suppressAutoHyphens w:val="0"/>
              <w:ind w:left="-70" w:right="-70"/>
              <w:jc w:val="right"/>
              <w:rPr>
                <w:color w:val="auto"/>
                <w:sz w:val="14"/>
                <w:szCs w:val="14"/>
              </w:rPr>
            </w:pPr>
            <w:r w:rsidRPr="008D2E72">
              <w:rPr>
                <w:color w:val="auto"/>
                <w:sz w:val="14"/>
                <w:szCs w:val="14"/>
              </w:rPr>
              <w:t>20.830.230,20</w:t>
            </w:r>
          </w:p>
        </w:tc>
        <w:tc>
          <w:tcPr>
            <w:tcW w:w="335" w:type="dxa"/>
            <w:tcBorders>
              <w:top w:val="single" w:sz="4" w:space="0" w:color="000001"/>
              <w:left w:val="single" w:sz="4" w:space="0" w:color="000001"/>
              <w:bottom w:val="single" w:sz="4" w:space="0" w:color="000001"/>
            </w:tcBorders>
            <w:shd w:val="clear" w:color="auto" w:fill="auto"/>
            <w:vAlign w:val="bottom"/>
          </w:tcPr>
          <w:p w:rsidR="00805D2D" w:rsidRPr="008D2E72" w:rsidRDefault="00805D2D">
            <w:pPr>
              <w:suppressAutoHyphens w:val="0"/>
              <w:snapToGrid w:val="0"/>
              <w:ind w:left="-70" w:right="-95"/>
              <w:jc w:val="center"/>
              <w:rPr>
                <w:color w:val="auto"/>
                <w:sz w:val="14"/>
                <w:szCs w:val="14"/>
              </w:rPr>
            </w:pPr>
          </w:p>
        </w:tc>
        <w:tc>
          <w:tcPr>
            <w:tcW w:w="887" w:type="dxa"/>
            <w:tcBorders>
              <w:top w:val="single" w:sz="4" w:space="0" w:color="000001"/>
              <w:left w:val="single" w:sz="4" w:space="0" w:color="000001"/>
              <w:bottom w:val="single" w:sz="4" w:space="0" w:color="000001"/>
            </w:tcBorders>
            <w:shd w:val="clear" w:color="auto" w:fill="auto"/>
            <w:vAlign w:val="bottom"/>
          </w:tcPr>
          <w:p w:rsidR="00805D2D" w:rsidRPr="008D2E72" w:rsidRDefault="00642C1A">
            <w:pPr>
              <w:suppressAutoHyphens w:val="0"/>
              <w:ind w:left="-22" w:right="-32"/>
              <w:jc w:val="right"/>
              <w:rPr>
                <w:color w:val="auto"/>
                <w:sz w:val="14"/>
                <w:szCs w:val="14"/>
              </w:rPr>
            </w:pPr>
            <w:r w:rsidRPr="008D2E72">
              <w:rPr>
                <w:color w:val="auto"/>
                <w:sz w:val="14"/>
                <w:szCs w:val="14"/>
              </w:rPr>
              <w:t>36.277.172,46</w:t>
            </w:r>
          </w:p>
        </w:tc>
        <w:tc>
          <w:tcPr>
            <w:tcW w:w="428" w:type="dxa"/>
            <w:tcBorders>
              <w:top w:val="single" w:sz="4" w:space="0" w:color="000001"/>
              <w:left w:val="single" w:sz="4" w:space="0" w:color="000001"/>
              <w:bottom w:val="single" w:sz="4" w:space="0" w:color="000001"/>
            </w:tcBorders>
            <w:shd w:val="clear" w:color="auto" w:fill="auto"/>
            <w:vAlign w:val="bottom"/>
          </w:tcPr>
          <w:p w:rsidR="00805D2D" w:rsidRPr="008D2E72" w:rsidRDefault="00642C1A">
            <w:pPr>
              <w:suppressAutoHyphens w:val="0"/>
              <w:ind w:left="-54" w:right="-21"/>
              <w:rPr>
                <w:color w:val="auto"/>
                <w:sz w:val="14"/>
                <w:szCs w:val="14"/>
              </w:rPr>
            </w:pPr>
            <w:r w:rsidRPr="008D2E72">
              <w:rPr>
                <w:color w:val="auto"/>
                <w:sz w:val="14"/>
                <w:szCs w:val="14"/>
              </w:rPr>
              <w:t> </w:t>
            </w:r>
          </w:p>
        </w:tc>
        <w:tc>
          <w:tcPr>
            <w:tcW w:w="846" w:type="dxa"/>
            <w:tcBorders>
              <w:top w:val="single" w:sz="4" w:space="0" w:color="000001"/>
              <w:left w:val="single" w:sz="4" w:space="0" w:color="000001"/>
              <w:bottom w:val="single" w:sz="4" w:space="0" w:color="000001"/>
            </w:tcBorders>
            <w:shd w:val="clear" w:color="auto" w:fill="auto"/>
            <w:vAlign w:val="bottom"/>
          </w:tcPr>
          <w:p w:rsidR="00805D2D" w:rsidRPr="008D2E72" w:rsidRDefault="00642C1A">
            <w:pPr>
              <w:suppressAutoHyphens w:val="0"/>
              <w:ind w:left="-95" w:right="-33"/>
              <w:jc w:val="right"/>
              <w:rPr>
                <w:color w:val="auto"/>
                <w:sz w:val="14"/>
                <w:szCs w:val="14"/>
              </w:rPr>
            </w:pPr>
            <w:r w:rsidRPr="008D2E72">
              <w:rPr>
                <w:color w:val="auto"/>
                <w:sz w:val="14"/>
                <w:szCs w:val="14"/>
              </w:rPr>
              <w:t>8.187.914,26</w:t>
            </w:r>
          </w:p>
        </w:tc>
        <w:tc>
          <w:tcPr>
            <w:tcW w:w="347" w:type="dxa"/>
            <w:tcBorders>
              <w:top w:val="single" w:sz="4" w:space="0" w:color="000001"/>
              <w:left w:val="single" w:sz="4" w:space="0" w:color="000001"/>
              <w:bottom w:val="single" w:sz="4" w:space="0" w:color="000001"/>
            </w:tcBorders>
            <w:shd w:val="clear" w:color="auto" w:fill="auto"/>
            <w:vAlign w:val="bottom"/>
          </w:tcPr>
          <w:p w:rsidR="00805D2D" w:rsidRPr="008D2E72" w:rsidRDefault="00805D2D">
            <w:pPr>
              <w:suppressAutoHyphens w:val="0"/>
              <w:snapToGrid w:val="0"/>
              <w:ind w:left="-70" w:right="-99"/>
              <w:jc w:val="center"/>
              <w:rPr>
                <w:color w:val="auto"/>
                <w:sz w:val="14"/>
                <w:szCs w:val="14"/>
              </w:rPr>
            </w:pPr>
          </w:p>
        </w:tc>
        <w:tc>
          <w:tcPr>
            <w:tcW w:w="884" w:type="dxa"/>
            <w:tcBorders>
              <w:top w:val="single" w:sz="4" w:space="0" w:color="000001"/>
              <w:left w:val="single" w:sz="4" w:space="0" w:color="000001"/>
              <w:bottom w:val="single" w:sz="4" w:space="0" w:color="000001"/>
            </w:tcBorders>
            <w:shd w:val="clear" w:color="auto" w:fill="auto"/>
            <w:vAlign w:val="bottom"/>
          </w:tcPr>
          <w:p w:rsidR="00805D2D" w:rsidRPr="008D2E72" w:rsidRDefault="00642C1A">
            <w:pPr>
              <w:suppressAutoHyphens w:val="0"/>
              <w:ind w:left="-70"/>
              <w:jc w:val="right"/>
              <w:rPr>
                <w:color w:val="auto"/>
                <w:sz w:val="14"/>
                <w:szCs w:val="14"/>
              </w:rPr>
            </w:pPr>
            <w:r w:rsidRPr="008D2E72">
              <w:rPr>
                <w:color w:val="auto"/>
                <w:sz w:val="14"/>
                <w:szCs w:val="14"/>
              </w:rPr>
              <w:t>1.754.363,78</w:t>
            </w:r>
          </w:p>
        </w:tc>
        <w:tc>
          <w:tcPr>
            <w:tcW w:w="398" w:type="dxa"/>
            <w:tcBorders>
              <w:top w:val="single" w:sz="4" w:space="0" w:color="000001"/>
              <w:left w:val="single" w:sz="4" w:space="0" w:color="000001"/>
              <w:bottom w:val="single" w:sz="4" w:space="0" w:color="000001"/>
            </w:tcBorders>
            <w:shd w:val="clear" w:color="auto" w:fill="auto"/>
            <w:vAlign w:val="bottom"/>
          </w:tcPr>
          <w:p w:rsidR="00805D2D" w:rsidRPr="008D2E72" w:rsidRDefault="00805D2D">
            <w:pPr>
              <w:suppressAutoHyphens w:val="0"/>
              <w:snapToGrid w:val="0"/>
              <w:ind w:left="-86" w:right="-36"/>
              <w:jc w:val="center"/>
              <w:rPr>
                <w:color w:val="auto"/>
                <w:sz w:val="14"/>
                <w:szCs w:val="14"/>
              </w:rPr>
            </w:pPr>
          </w:p>
        </w:tc>
        <w:tc>
          <w:tcPr>
            <w:tcW w:w="938" w:type="dxa"/>
            <w:tcBorders>
              <w:top w:val="single" w:sz="4" w:space="0" w:color="000001"/>
              <w:left w:val="single" w:sz="4" w:space="0" w:color="000001"/>
              <w:bottom w:val="single" w:sz="4" w:space="0" w:color="000001"/>
            </w:tcBorders>
            <w:shd w:val="clear" w:color="auto" w:fill="auto"/>
            <w:vAlign w:val="bottom"/>
          </w:tcPr>
          <w:p w:rsidR="00805D2D" w:rsidRPr="008D2E72" w:rsidRDefault="00642C1A">
            <w:pPr>
              <w:suppressAutoHyphens w:val="0"/>
              <w:ind w:left="-80" w:right="-35"/>
              <w:jc w:val="right"/>
              <w:rPr>
                <w:bCs/>
                <w:color w:val="auto"/>
                <w:sz w:val="14"/>
                <w:szCs w:val="14"/>
              </w:rPr>
            </w:pPr>
            <w:r w:rsidRPr="008D2E72">
              <w:rPr>
                <w:bCs/>
                <w:color w:val="auto"/>
                <w:sz w:val="14"/>
                <w:szCs w:val="14"/>
              </w:rPr>
              <w:t>76.064.780,93</w:t>
            </w:r>
          </w:p>
        </w:tc>
        <w:tc>
          <w:tcPr>
            <w:tcW w:w="323" w:type="dxa"/>
            <w:tcBorders>
              <w:top w:val="single" w:sz="4" w:space="0" w:color="000001"/>
              <w:left w:val="single" w:sz="4" w:space="0" w:color="000001"/>
              <w:bottom w:val="single" w:sz="4" w:space="0" w:color="000001"/>
              <w:right w:val="single" w:sz="8" w:space="0" w:color="000001"/>
            </w:tcBorders>
            <w:shd w:val="clear" w:color="auto" w:fill="auto"/>
            <w:vAlign w:val="bottom"/>
          </w:tcPr>
          <w:p w:rsidR="00805D2D" w:rsidRPr="008D2E72" w:rsidRDefault="00642C1A">
            <w:pPr>
              <w:suppressAutoHyphens w:val="0"/>
              <w:ind w:left="-132" w:right="-46"/>
              <w:rPr>
                <w:color w:val="auto"/>
                <w:sz w:val="14"/>
                <w:szCs w:val="14"/>
              </w:rPr>
            </w:pPr>
            <w:r w:rsidRPr="008D2E72">
              <w:rPr>
                <w:color w:val="auto"/>
                <w:sz w:val="14"/>
                <w:szCs w:val="14"/>
              </w:rPr>
              <w:t> </w:t>
            </w:r>
          </w:p>
        </w:tc>
      </w:tr>
      <w:tr w:rsidR="00805D2D" w:rsidRPr="008D2E72">
        <w:trPr>
          <w:cantSplit/>
          <w:trHeight w:val="300"/>
        </w:trPr>
        <w:tc>
          <w:tcPr>
            <w:tcW w:w="789" w:type="dxa"/>
            <w:vMerge/>
            <w:tcBorders>
              <w:left w:val="single" w:sz="8" w:space="0" w:color="000001"/>
            </w:tcBorders>
            <w:shd w:val="clear" w:color="auto" w:fill="auto"/>
            <w:tcMar>
              <w:left w:w="40" w:type="dxa"/>
            </w:tcMar>
            <w:vAlign w:val="center"/>
          </w:tcPr>
          <w:p w:rsidR="00805D2D" w:rsidRPr="008D2E72" w:rsidRDefault="00805D2D">
            <w:pPr>
              <w:rPr>
                <w:color w:val="auto"/>
                <w:sz w:val="14"/>
                <w:szCs w:val="14"/>
              </w:rPr>
            </w:pPr>
          </w:p>
        </w:tc>
        <w:tc>
          <w:tcPr>
            <w:tcW w:w="760" w:type="dxa"/>
            <w:tcBorders>
              <w:top w:val="single" w:sz="4" w:space="0" w:color="000001"/>
              <w:left w:val="single" w:sz="4" w:space="0" w:color="000001"/>
              <w:bottom w:val="single" w:sz="4" w:space="0" w:color="000001"/>
            </w:tcBorders>
            <w:shd w:val="clear" w:color="auto" w:fill="auto"/>
            <w:tcMar>
              <w:left w:w="55" w:type="dxa"/>
            </w:tcMar>
            <w:vAlign w:val="bottom"/>
          </w:tcPr>
          <w:p w:rsidR="00805D2D" w:rsidRPr="008D2E72" w:rsidRDefault="00642C1A">
            <w:pPr>
              <w:suppressAutoHyphens w:val="0"/>
              <w:ind w:left="-9" w:right="-52"/>
              <w:rPr>
                <w:color w:val="auto"/>
                <w:sz w:val="14"/>
                <w:szCs w:val="14"/>
              </w:rPr>
            </w:pPr>
            <w:r w:rsidRPr="008D2E72">
              <w:rPr>
                <w:color w:val="auto"/>
                <w:sz w:val="14"/>
                <w:szCs w:val="14"/>
              </w:rPr>
              <w:t>DÉBITOS</w:t>
            </w:r>
          </w:p>
        </w:tc>
        <w:tc>
          <w:tcPr>
            <w:tcW w:w="988" w:type="dxa"/>
            <w:tcBorders>
              <w:top w:val="single" w:sz="4" w:space="0" w:color="000001"/>
              <w:left w:val="single" w:sz="4" w:space="0" w:color="000001"/>
              <w:bottom w:val="single" w:sz="4" w:space="0" w:color="000001"/>
            </w:tcBorders>
            <w:shd w:val="clear" w:color="auto" w:fill="auto"/>
            <w:vAlign w:val="bottom"/>
          </w:tcPr>
          <w:p w:rsidR="00805D2D" w:rsidRPr="008D2E72" w:rsidRDefault="00642C1A">
            <w:pPr>
              <w:suppressAutoHyphens w:val="0"/>
              <w:ind w:left="-27" w:right="-28"/>
              <w:jc w:val="right"/>
              <w:rPr>
                <w:color w:val="auto"/>
                <w:sz w:val="14"/>
                <w:szCs w:val="14"/>
              </w:rPr>
            </w:pPr>
            <w:r w:rsidRPr="008D2E72">
              <w:rPr>
                <w:color w:val="auto"/>
                <w:sz w:val="14"/>
                <w:szCs w:val="14"/>
              </w:rPr>
              <w:t>8.760.637,55</w:t>
            </w:r>
          </w:p>
        </w:tc>
        <w:tc>
          <w:tcPr>
            <w:tcW w:w="345" w:type="dxa"/>
            <w:tcBorders>
              <w:top w:val="single" w:sz="4" w:space="0" w:color="000001"/>
              <w:left w:val="single" w:sz="4" w:space="0" w:color="000001"/>
              <w:bottom w:val="single" w:sz="4" w:space="0" w:color="000001"/>
            </w:tcBorders>
            <w:shd w:val="clear" w:color="auto" w:fill="auto"/>
            <w:vAlign w:val="bottom"/>
          </w:tcPr>
          <w:p w:rsidR="00805D2D" w:rsidRPr="008D2E72" w:rsidRDefault="00805D2D">
            <w:pPr>
              <w:suppressAutoHyphens w:val="0"/>
              <w:snapToGrid w:val="0"/>
              <w:ind w:left="-57" w:right="-108"/>
              <w:jc w:val="center"/>
              <w:rPr>
                <w:color w:val="auto"/>
                <w:sz w:val="14"/>
                <w:szCs w:val="14"/>
              </w:rPr>
            </w:pPr>
          </w:p>
        </w:tc>
        <w:tc>
          <w:tcPr>
            <w:tcW w:w="817" w:type="dxa"/>
            <w:tcBorders>
              <w:top w:val="single" w:sz="4" w:space="0" w:color="000001"/>
              <w:left w:val="single" w:sz="4" w:space="0" w:color="000001"/>
              <w:bottom w:val="single" w:sz="4" w:space="0" w:color="000001"/>
            </w:tcBorders>
            <w:shd w:val="clear" w:color="auto" w:fill="auto"/>
            <w:vAlign w:val="bottom"/>
          </w:tcPr>
          <w:p w:rsidR="00805D2D" w:rsidRPr="008D2E72" w:rsidRDefault="00642C1A">
            <w:pPr>
              <w:suppressAutoHyphens w:val="0"/>
              <w:ind w:left="-70" w:right="-70"/>
              <w:jc w:val="right"/>
              <w:rPr>
                <w:color w:val="auto"/>
                <w:sz w:val="14"/>
                <w:szCs w:val="14"/>
              </w:rPr>
            </w:pPr>
            <w:r w:rsidRPr="008D2E72">
              <w:rPr>
                <w:color w:val="auto"/>
                <w:sz w:val="14"/>
                <w:szCs w:val="14"/>
              </w:rPr>
              <w:t>19.971.045,45</w:t>
            </w:r>
          </w:p>
        </w:tc>
        <w:tc>
          <w:tcPr>
            <w:tcW w:w="335" w:type="dxa"/>
            <w:tcBorders>
              <w:top w:val="single" w:sz="4" w:space="0" w:color="000001"/>
              <w:left w:val="single" w:sz="4" w:space="0" w:color="000001"/>
              <w:bottom w:val="single" w:sz="4" w:space="0" w:color="000001"/>
            </w:tcBorders>
            <w:shd w:val="clear" w:color="auto" w:fill="auto"/>
            <w:vAlign w:val="bottom"/>
          </w:tcPr>
          <w:p w:rsidR="00805D2D" w:rsidRPr="008D2E72" w:rsidRDefault="00805D2D">
            <w:pPr>
              <w:suppressAutoHyphens w:val="0"/>
              <w:snapToGrid w:val="0"/>
              <w:ind w:left="-70" w:right="-95"/>
              <w:jc w:val="center"/>
              <w:rPr>
                <w:color w:val="auto"/>
                <w:sz w:val="14"/>
                <w:szCs w:val="14"/>
              </w:rPr>
            </w:pPr>
          </w:p>
        </w:tc>
        <w:tc>
          <w:tcPr>
            <w:tcW w:w="887" w:type="dxa"/>
            <w:tcBorders>
              <w:top w:val="single" w:sz="4" w:space="0" w:color="000001"/>
              <w:left w:val="single" w:sz="4" w:space="0" w:color="000001"/>
              <w:bottom w:val="single" w:sz="4" w:space="0" w:color="000001"/>
            </w:tcBorders>
            <w:shd w:val="clear" w:color="auto" w:fill="auto"/>
            <w:vAlign w:val="bottom"/>
          </w:tcPr>
          <w:p w:rsidR="00805D2D" w:rsidRPr="008D2E72" w:rsidRDefault="00642C1A">
            <w:pPr>
              <w:suppressAutoHyphens w:val="0"/>
              <w:ind w:left="-22" w:right="-32"/>
              <w:jc w:val="right"/>
              <w:rPr>
                <w:color w:val="auto"/>
                <w:sz w:val="14"/>
                <w:szCs w:val="14"/>
              </w:rPr>
            </w:pPr>
            <w:r w:rsidRPr="008D2E72">
              <w:rPr>
                <w:color w:val="auto"/>
                <w:sz w:val="14"/>
                <w:szCs w:val="14"/>
              </w:rPr>
              <w:t>35.739.750,08</w:t>
            </w:r>
          </w:p>
        </w:tc>
        <w:tc>
          <w:tcPr>
            <w:tcW w:w="428" w:type="dxa"/>
            <w:tcBorders>
              <w:top w:val="single" w:sz="4" w:space="0" w:color="000001"/>
              <w:left w:val="single" w:sz="4" w:space="0" w:color="000001"/>
              <w:bottom w:val="single" w:sz="4" w:space="0" w:color="000001"/>
            </w:tcBorders>
            <w:shd w:val="clear" w:color="auto" w:fill="auto"/>
            <w:vAlign w:val="bottom"/>
          </w:tcPr>
          <w:p w:rsidR="00805D2D" w:rsidRPr="008D2E72" w:rsidRDefault="00642C1A">
            <w:pPr>
              <w:suppressAutoHyphens w:val="0"/>
              <w:ind w:left="-54" w:right="-21"/>
              <w:rPr>
                <w:color w:val="auto"/>
                <w:sz w:val="14"/>
                <w:szCs w:val="14"/>
              </w:rPr>
            </w:pPr>
            <w:r w:rsidRPr="008D2E72">
              <w:rPr>
                <w:color w:val="auto"/>
                <w:sz w:val="14"/>
                <w:szCs w:val="14"/>
              </w:rPr>
              <w:t> </w:t>
            </w:r>
          </w:p>
        </w:tc>
        <w:tc>
          <w:tcPr>
            <w:tcW w:w="846" w:type="dxa"/>
            <w:tcBorders>
              <w:top w:val="single" w:sz="4" w:space="0" w:color="000001"/>
              <w:left w:val="single" w:sz="4" w:space="0" w:color="000001"/>
              <w:bottom w:val="single" w:sz="4" w:space="0" w:color="000001"/>
            </w:tcBorders>
            <w:shd w:val="clear" w:color="auto" w:fill="auto"/>
            <w:vAlign w:val="bottom"/>
          </w:tcPr>
          <w:p w:rsidR="00805D2D" w:rsidRPr="008D2E72" w:rsidRDefault="00642C1A">
            <w:pPr>
              <w:suppressAutoHyphens w:val="0"/>
              <w:ind w:left="-95" w:right="-33"/>
              <w:jc w:val="right"/>
              <w:rPr>
                <w:color w:val="auto"/>
                <w:sz w:val="14"/>
                <w:szCs w:val="14"/>
              </w:rPr>
            </w:pPr>
            <w:r w:rsidRPr="008D2E72">
              <w:rPr>
                <w:color w:val="auto"/>
                <w:sz w:val="14"/>
                <w:szCs w:val="14"/>
              </w:rPr>
              <w:t>7.967.398,69</w:t>
            </w:r>
          </w:p>
        </w:tc>
        <w:tc>
          <w:tcPr>
            <w:tcW w:w="347" w:type="dxa"/>
            <w:tcBorders>
              <w:top w:val="single" w:sz="4" w:space="0" w:color="000001"/>
              <w:left w:val="single" w:sz="4" w:space="0" w:color="000001"/>
              <w:bottom w:val="single" w:sz="4" w:space="0" w:color="000001"/>
            </w:tcBorders>
            <w:shd w:val="clear" w:color="auto" w:fill="auto"/>
            <w:vAlign w:val="bottom"/>
          </w:tcPr>
          <w:p w:rsidR="00805D2D" w:rsidRPr="008D2E72" w:rsidRDefault="00805D2D">
            <w:pPr>
              <w:suppressAutoHyphens w:val="0"/>
              <w:snapToGrid w:val="0"/>
              <w:ind w:left="-70" w:right="-99"/>
              <w:jc w:val="center"/>
              <w:rPr>
                <w:color w:val="auto"/>
                <w:sz w:val="14"/>
                <w:szCs w:val="14"/>
              </w:rPr>
            </w:pPr>
          </w:p>
        </w:tc>
        <w:tc>
          <w:tcPr>
            <w:tcW w:w="884" w:type="dxa"/>
            <w:tcBorders>
              <w:top w:val="single" w:sz="4" w:space="0" w:color="000001"/>
              <w:left w:val="single" w:sz="4" w:space="0" w:color="000001"/>
              <w:bottom w:val="single" w:sz="4" w:space="0" w:color="000001"/>
            </w:tcBorders>
            <w:shd w:val="clear" w:color="auto" w:fill="auto"/>
            <w:vAlign w:val="bottom"/>
          </w:tcPr>
          <w:p w:rsidR="00805D2D" w:rsidRPr="008D2E72" w:rsidRDefault="00642C1A">
            <w:pPr>
              <w:suppressAutoHyphens w:val="0"/>
              <w:ind w:left="-70"/>
              <w:jc w:val="right"/>
              <w:rPr>
                <w:color w:val="auto"/>
                <w:sz w:val="14"/>
                <w:szCs w:val="14"/>
              </w:rPr>
            </w:pPr>
            <w:r w:rsidRPr="008D2E72">
              <w:rPr>
                <w:color w:val="auto"/>
                <w:sz w:val="14"/>
                <w:szCs w:val="14"/>
              </w:rPr>
              <w:t>2.202.246,25</w:t>
            </w:r>
          </w:p>
        </w:tc>
        <w:tc>
          <w:tcPr>
            <w:tcW w:w="398" w:type="dxa"/>
            <w:tcBorders>
              <w:top w:val="single" w:sz="4" w:space="0" w:color="000001"/>
              <w:left w:val="single" w:sz="4" w:space="0" w:color="000001"/>
              <w:bottom w:val="single" w:sz="4" w:space="0" w:color="000001"/>
            </w:tcBorders>
            <w:shd w:val="clear" w:color="auto" w:fill="auto"/>
            <w:vAlign w:val="bottom"/>
          </w:tcPr>
          <w:p w:rsidR="00805D2D" w:rsidRPr="008D2E72" w:rsidRDefault="00805D2D">
            <w:pPr>
              <w:suppressAutoHyphens w:val="0"/>
              <w:snapToGrid w:val="0"/>
              <w:ind w:left="-86" w:right="-36"/>
              <w:jc w:val="center"/>
              <w:rPr>
                <w:color w:val="auto"/>
                <w:sz w:val="14"/>
                <w:szCs w:val="14"/>
              </w:rPr>
            </w:pPr>
          </w:p>
        </w:tc>
        <w:tc>
          <w:tcPr>
            <w:tcW w:w="938" w:type="dxa"/>
            <w:tcBorders>
              <w:top w:val="single" w:sz="4" w:space="0" w:color="000001"/>
              <w:left w:val="single" w:sz="4" w:space="0" w:color="000001"/>
              <w:bottom w:val="single" w:sz="4" w:space="0" w:color="000001"/>
            </w:tcBorders>
            <w:shd w:val="clear" w:color="auto" w:fill="auto"/>
            <w:vAlign w:val="bottom"/>
          </w:tcPr>
          <w:p w:rsidR="00805D2D" w:rsidRPr="008D2E72" w:rsidRDefault="00642C1A">
            <w:pPr>
              <w:suppressAutoHyphens w:val="0"/>
              <w:ind w:left="-80" w:right="-35"/>
              <w:jc w:val="right"/>
              <w:rPr>
                <w:bCs/>
                <w:color w:val="auto"/>
                <w:sz w:val="14"/>
                <w:szCs w:val="14"/>
              </w:rPr>
            </w:pPr>
            <w:r w:rsidRPr="008D2E72">
              <w:rPr>
                <w:bCs/>
                <w:color w:val="auto"/>
                <w:sz w:val="14"/>
                <w:szCs w:val="14"/>
              </w:rPr>
              <w:t>74.641.078,02</w:t>
            </w:r>
          </w:p>
        </w:tc>
        <w:tc>
          <w:tcPr>
            <w:tcW w:w="323" w:type="dxa"/>
            <w:tcBorders>
              <w:top w:val="single" w:sz="4" w:space="0" w:color="000001"/>
              <w:left w:val="single" w:sz="4" w:space="0" w:color="000001"/>
              <w:bottom w:val="single" w:sz="4" w:space="0" w:color="000001"/>
              <w:right w:val="single" w:sz="8" w:space="0" w:color="000001"/>
            </w:tcBorders>
            <w:shd w:val="clear" w:color="auto" w:fill="auto"/>
            <w:vAlign w:val="bottom"/>
          </w:tcPr>
          <w:p w:rsidR="00805D2D" w:rsidRPr="008D2E72" w:rsidRDefault="00642C1A">
            <w:pPr>
              <w:suppressAutoHyphens w:val="0"/>
              <w:ind w:left="-132" w:right="-46"/>
              <w:rPr>
                <w:color w:val="auto"/>
                <w:sz w:val="14"/>
                <w:szCs w:val="14"/>
              </w:rPr>
            </w:pPr>
            <w:r w:rsidRPr="008D2E72">
              <w:rPr>
                <w:color w:val="auto"/>
                <w:sz w:val="14"/>
                <w:szCs w:val="14"/>
              </w:rPr>
              <w:t> </w:t>
            </w:r>
          </w:p>
        </w:tc>
      </w:tr>
      <w:tr w:rsidR="00805D2D" w:rsidRPr="008D2E72">
        <w:trPr>
          <w:cantSplit/>
          <w:trHeight w:val="300"/>
        </w:trPr>
        <w:tc>
          <w:tcPr>
            <w:tcW w:w="789" w:type="dxa"/>
            <w:vMerge/>
            <w:tcBorders>
              <w:left w:val="single" w:sz="8" w:space="0" w:color="000001"/>
            </w:tcBorders>
            <w:shd w:val="clear" w:color="auto" w:fill="auto"/>
            <w:tcMar>
              <w:left w:w="40" w:type="dxa"/>
            </w:tcMar>
            <w:vAlign w:val="center"/>
          </w:tcPr>
          <w:p w:rsidR="00805D2D" w:rsidRPr="008D2E72" w:rsidRDefault="00805D2D">
            <w:pPr>
              <w:rPr>
                <w:color w:val="auto"/>
                <w:sz w:val="14"/>
                <w:szCs w:val="14"/>
              </w:rPr>
            </w:pPr>
          </w:p>
        </w:tc>
        <w:tc>
          <w:tcPr>
            <w:tcW w:w="760" w:type="dxa"/>
            <w:tcBorders>
              <w:top w:val="single" w:sz="8" w:space="0" w:color="000001"/>
              <w:left w:val="single" w:sz="4" w:space="0" w:color="000001"/>
              <w:bottom w:val="single" w:sz="8" w:space="0" w:color="000001"/>
            </w:tcBorders>
            <w:shd w:val="clear" w:color="auto" w:fill="auto"/>
            <w:tcMar>
              <w:left w:w="55" w:type="dxa"/>
            </w:tcMar>
            <w:vAlign w:val="bottom"/>
          </w:tcPr>
          <w:p w:rsidR="00805D2D" w:rsidRPr="008D2E72" w:rsidRDefault="00642C1A">
            <w:pPr>
              <w:suppressAutoHyphens w:val="0"/>
              <w:ind w:left="-9" w:right="-52"/>
              <w:rPr>
                <w:color w:val="auto"/>
                <w:sz w:val="14"/>
                <w:szCs w:val="14"/>
              </w:rPr>
            </w:pPr>
            <w:r w:rsidRPr="008D2E72">
              <w:rPr>
                <w:color w:val="auto"/>
                <w:sz w:val="14"/>
                <w:szCs w:val="14"/>
              </w:rPr>
              <w:t>SAQUES</w:t>
            </w:r>
          </w:p>
        </w:tc>
        <w:tc>
          <w:tcPr>
            <w:tcW w:w="988" w:type="dxa"/>
            <w:tcBorders>
              <w:top w:val="single" w:sz="8" w:space="0" w:color="000001"/>
              <w:left w:val="single" w:sz="4" w:space="0" w:color="000001"/>
              <w:bottom w:val="single" w:sz="8" w:space="0" w:color="000001"/>
            </w:tcBorders>
            <w:shd w:val="clear" w:color="auto" w:fill="auto"/>
            <w:vAlign w:val="bottom"/>
          </w:tcPr>
          <w:p w:rsidR="00805D2D" w:rsidRPr="008D2E72" w:rsidRDefault="00642C1A">
            <w:pPr>
              <w:suppressAutoHyphens w:val="0"/>
              <w:ind w:left="-27" w:right="-28"/>
              <w:jc w:val="right"/>
              <w:rPr>
                <w:color w:val="auto"/>
                <w:sz w:val="14"/>
                <w:szCs w:val="14"/>
              </w:rPr>
            </w:pPr>
            <w:r w:rsidRPr="008D2E72">
              <w:rPr>
                <w:color w:val="auto"/>
                <w:sz w:val="14"/>
                <w:szCs w:val="14"/>
              </w:rPr>
              <w:t>5.164.583,66</w:t>
            </w:r>
          </w:p>
        </w:tc>
        <w:tc>
          <w:tcPr>
            <w:tcW w:w="345" w:type="dxa"/>
            <w:tcBorders>
              <w:top w:val="single" w:sz="8" w:space="0" w:color="000001"/>
              <w:left w:val="single" w:sz="4" w:space="0" w:color="000001"/>
              <w:bottom w:val="single" w:sz="8" w:space="0" w:color="000001"/>
            </w:tcBorders>
            <w:shd w:val="clear" w:color="auto" w:fill="auto"/>
            <w:vAlign w:val="bottom"/>
          </w:tcPr>
          <w:p w:rsidR="00805D2D" w:rsidRPr="008D2E72" w:rsidRDefault="00642C1A">
            <w:pPr>
              <w:suppressAutoHyphens w:val="0"/>
              <w:ind w:left="-57" w:right="-108"/>
              <w:jc w:val="center"/>
              <w:rPr>
                <w:color w:val="auto"/>
                <w:sz w:val="14"/>
                <w:szCs w:val="14"/>
              </w:rPr>
            </w:pPr>
            <w:r w:rsidRPr="008D2E72">
              <w:rPr>
                <w:color w:val="auto"/>
                <w:sz w:val="14"/>
                <w:szCs w:val="14"/>
              </w:rPr>
              <w:t>57,3%</w:t>
            </w:r>
          </w:p>
        </w:tc>
        <w:tc>
          <w:tcPr>
            <w:tcW w:w="817" w:type="dxa"/>
            <w:tcBorders>
              <w:top w:val="single" w:sz="8" w:space="0" w:color="000001"/>
              <w:left w:val="single" w:sz="4" w:space="0" w:color="000001"/>
              <w:bottom w:val="single" w:sz="8" w:space="0" w:color="000001"/>
            </w:tcBorders>
            <w:shd w:val="clear" w:color="auto" w:fill="auto"/>
            <w:vAlign w:val="bottom"/>
          </w:tcPr>
          <w:p w:rsidR="00805D2D" w:rsidRPr="008D2E72" w:rsidRDefault="00642C1A">
            <w:pPr>
              <w:suppressAutoHyphens w:val="0"/>
              <w:ind w:left="-70" w:right="-70"/>
              <w:jc w:val="right"/>
              <w:rPr>
                <w:color w:val="auto"/>
                <w:sz w:val="14"/>
                <w:szCs w:val="14"/>
              </w:rPr>
            </w:pPr>
            <w:r w:rsidRPr="008D2E72">
              <w:rPr>
                <w:color w:val="auto"/>
                <w:sz w:val="14"/>
                <w:szCs w:val="14"/>
              </w:rPr>
              <w:t>1.116.900,00</w:t>
            </w:r>
          </w:p>
        </w:tc>
        <w:tc>
          <w:tcPr>
            <w:tcW w:w="335" w:type="dxa"/>
            <w:tcBorders>
              <w:top w:val="single" w:sz="8" w:space="0" w:color="000001"/>
              <w:left w:val="single" w:sz="4" w:space="0" w:color="000001"/>
              <w:bottom w:val="single" w:sz="8" w:space="0" w:color="000001"/>
            </w:tcBorders>
            <w:shd w:val="clear" w:color="auto" w:fill="auto"/>
            <w:vAlign w:val="bottom"/>
          </w:tcPr>
          <w:p w:rsidR="00805D2D" w:rsidRPr="008D2E72" w:rsidRDefault="00642C1A">
            <w:pPr>
              <w:suppressAutoHyphens w:val="0"/>
              <w:ind w:left="-70" w:right="-95"/>
              <w:jc w:val="center"/>
              <w:rPr>
                <w:color w:val="auto"/>
                <w:sz w:val="14"/>
                <w:szCs w:val="14"/>
              </w:rPr>
            </w:pPr>
            <w:r w:rsidRPr="008D2E72">
              <w:rPr>
                <w:color w:val="auto"/>
                <w:sz w:val="14"/>
                <w:szCs w:val="14"/>
              </w:rPr>
              <w:t>5,4%</w:t>
            </w:r>
          </w:p>
        </w:tc>
        <w:tc>
          <w:tcPr>
            <w:tcW w:w="887" w:type="dxa"/>
            <w:tcBorders>
              <w:top w:val="single" w:sz="8" w:space="0" w:color="000001"/>
              <w:left w:val="single" w:sz="4" w:space="0" w:color="000001"/>
              <w:bottom w:val="single" w:sz="8" w:space="0" w:color="000001"/>
            </w:tcBorders>
            <w:shd w:val="clear" w:color="auto" w:fill="auto"/>
            <w:vAlign w:val="bottom"/>
          </w:tcPr>
          <w:p w:rsidR="00805D2D" w:rsidRPr="008D2E72" w:rsidRDefault="00642C1A">
            <w:pPr>
              <w:suppressAutoHyphens w:val="0"/>
              <w:ind w:left="-22" w:right="-32"/>
              <w:jc w:val="right"/>
              <w:rPr>
                <w:color w:val="auto"/>
                <w:sz w:val="14"/>
                <w:szCs w:val="14"/>
              </w:rPr>
            </w:pPr>
            <w:r w:rsidRPr="008D2E72">
              <w:rPr>
                <w:color w:val="auto"/>
                <w:sz w:val="14"/>
                <w:szCs w:val="14"/>
              </w:rPr>
              <w:t>375.273,00</w:t>
            </w:r>
          </w:p>
        </w:tc>
        <w:tc>
          <w:tcPr>
            <w:tcW w:w="428" w:type="dxa"/>
            <w:tcBorders>
              <w:top w:val="single" w:sz="8" w:space="0" w:color="000001"/>
              <w:left w:val="single" w:sz="4" w:space="0" w:color="000001"/>
              <w:bottom w:val="single" w:sz="8" w:space="0" w:color="000001"/>
            </w:tcBorders>
            <w:shd w:val="clear" w:color="auto" w:fill="auto"/>
            <w:vAlign w:val="bottom"/>
          </w:tcPr>
          <w:p w:rsidR="00805D2D" w:rsidRPr="008D2E72" w:rsidRDefault="00642C1A">
            <w:pPr>
              <w:suppressAutoHyphens w:val="0"/>
              <w:ind w:left="-54" w:right="-21"/>
              <w:jc w:val="right"/>
              <w:rPr>
                <w:color w:val="auto"/>
                <w:sz w:val="14"/>
                <w:szCs w:val="14"/>
              </w:rPr>
            </w:pPr>
            <w:r w:rsidRPr="008D2E72">
              <w:rPr>
                <w:color w:val="auto"/>
                <w:sz w:val="14"/>
                <w:szCs w:val="14"/>
              </w:rPr>
              <w:t>1,0%</w:t>
            </w:r>
          </w:p>
        </w:tc>
        <w:tc>
          <w:tcPr>
            <w:tcW w:w="846" w:type="dxa"/>
            <w:tcBorders>
              <w:top w:val="single" w:sz="8" w:space="0" w:color="000001"/>
              <w:left w:val="single" w:sz="4" w:space="0" w:color="000001"/>
              <w:bottom w:val="single" w:sz="8" w:space="0" w:color="000001"/>
            </w:tcBorders>
            <w:shd w:val="clear" w:color="auto" w:fill="auto"/>
            <w:vAlign w:val="bottom"/>
          </w:tcPr>
          <w:p w:rsidR="00805D2D" w:rsidRPr="008D2E72" w:rsidRDefault="00642C1A">
            <w:pPr>
              <w:suppressAutoHyphens w:val="0"/>
              <w:ind w:left="-95" w:right="-33"/>
              <w:jc w:val="right"/>
              <w:rPr>
                <w:color w:val="auto"/>
                <w:sz w:val="14"/>
                <w:szCs w:val="14"/>
              </w:rPr>
            </w:pPr>
            <w:r w:rsidRPr="008D2E72">
              <w:rPr>
                <w:color w:val="auto"/>
                <w:sz w:val="14"/>
                <w:szCs w:val="14"/>
              </w:rPr>
              <w:t>1.404.000,00</w:t>
            </w:r>
          </w:p>
        </w:tc>
        <w:tc>
          <w:tcPr>
            <w:tcW w:w="347" w:type="dxa"/>
            <w:tcBorders>
              <w:top w:val="single" w:sz="8" w:space="0" w:color="000001"/>
              <w:left w:val="single" w:sz="4" w:space="0" w:color="000001"/>
              <w:bottom w:val="single" w:sz="8" w:space="0" w:color="000001"/>
            </w:tcBorders>
            <w:shd w:val="clear" w:color="auto" w:fill="auto"/>
            <w:vAlign w:val="bottom"/>
          </w:tcPr>
          <w:p w:rsidR="00805D2D" w:rsidRPr="008D2E72" w:rsidRDefault="00642C1A">
            <w:pPr>
              <w:suppressAutoHyphens w:val="0"/>
              <w:ind w:left="-70" w:right="-99"/>
              <w:jc w:val="center"/>
              <w:rPr>
                <w:color w:val="auto"/>
                <w:sz w:val="14"/>
                <w:szCs w:val="14"/>
              </w:rPr>
            </w:pPr>
            <w:r w:rsidRPr="008D2E72">
              <w:rPr>
                <w:color w:val="auto"/>
                <w:sz w:val="14"/>
                <w:szCs w:val="14"/>
              </w:rPr>
              <w:t>17,2%</w:t>
            </w:r>
          </w:p>
        </w:tc>
        <w:tc>
          <w:tcPr>
            <w:tcW w:w="884" w:type="dxa"/>
            <w:tcBorders>
              <w:top w:val="single" w:sz="8" w:space="0" w:color="000001"/>
              <w:left w:val="single" w:sz="4" w:space="0" w:color="000001"/>
              <w:bottom w:val="single" w:sz="8" w:space="0" w:color="000001"/>
            </w:tcBorders>
            <w:shd w:val="clear" w:color="auto" w:fill="auto"/>
            <w:vAlign w:val="bottom"/>
          </w:tcPr>
          <w:p w:rsidR="00805D2D" w:rsidRPr="008D2E72" w:rsidRDefault="00642C1A">
            <w:pPr>
              <w:suppressAutoHyphens w:val="0"/>
              <w:ind w:left="-70"/>
              <w:jc w:val="right"/>
              <w:rPr>
                <w:color w:val="auto"/>
                <w:sz w:val="14"/>
                <w:szCs w:val="14"/>
              </w:rPr>
            </w:pPr>
            <w:r w:rsidRPr="008D2E72">
              <w:rPr>
                <w:color w:val="auto"/>
                <w:sz w:val="14"/>
                <w:szCs w:val="14"/>
              </w:rPr>
              <w:t>1.030.460,00</w:t>
            </w:r>
          </w:p>
        </w:tc>
        <w:tc>
          <w:tcPr>
            <w:tcW w:w="398" w:type="dxa"/>
            <w:tcBorders>
              <w:top w:val="single" w:sz="8" w:space="0" w:color="000001"/>
              <w:left w:val="single" w:sz="4" w:space="0" w:color="000001"/>
              <w:bottom w:val="single" w:sz="8" w:space="0" w:color="000001"/>
            </w:tcBorders>
            <w:shd w:val="clear" w:color="auto" w:fill="auto"/>
            <w:vAlign w:val="bottom"/>
          </w:tcPr>
          <w:p w:rsidR="00805D2D" w:rsidRPr="008D2E72" w:rsidRDefault="00642C1A">
            <w:pPr>
              <w:suppressAutoHyphens w:val="0"/>
              <w:ind w:left="-86" w:right="-36"/>
              <w:jc w:val="center"/>
              <w:rPr>
                <w:color w:val="auto"/>
                <w:sz w:val="14"/>
                <w:szCs w:val="14"/>
              </w:rPr>
            </w:pPr>
            <w:r w:rsidRPr="008D2E72">
              <w:rPr>
                <w:color w:val="auto"/>
                <w:sz w:val="14"/>
                <w:szCs w:val="14"/>
              </w:rPr>
              <w:t>58,7%</w:t>
            </w:r>
          </w:p>
        </w:tc>
        <w:tc>
          <w:tcPr>
            <w:tcW w:w="938" w:type="dxa"/>
            <w:tcBorders>
              <w:top w:val="single" w:sz="8" w:space="0" w:color="000001"/>
              <w:left w:val="single" w:sz="4" w:space="0" w:color="000001"/>
              <w:bottom w:val="single" w:sz="8" w:space="0" w:color="000001"/>
            </w:tcBorders>
            <w:shd w:val="clear" w:color="auto" w:fill="auto"/>
            <w:vAlign w:val="bottom"/>
          </w:tcPr>
          <w:p w:rsidR="00805D2D" w:rsidRPr="008D2E72" w:rsidRDefault="00642C1A">
            <w:pPr>
              <w:suppressAutoHyphens w:val="0"/>
              <w:ind w:left="-80" w:right="-35"/>
              <w:jc w:val="right"/>
              <w:rPr>
                <w:bCs/>
                <w:color w:val="auto"/>
                <w:sz w:val="14"/>
                <w:szCs w:val="14"/>
              </w:rPr>
            </w:pPr>
            <w:r w:rsidRPr="008D2E72">
              <w:rPr>
                <w:bCs/>
                <w:color w:val="auto"/>
                <w:sz w:val="14"/>
                <w:szCs w:val="14"/>
              </w:rPr>
              <w:t>9.091.216,66</w:t>
            </w:r>
          </w:p>
        </w:tc>
        <w:tc>
          <w:tcPr>
            <w:tcW w:w="323" w:type="dxa"/>
            <w:tcBorders>
              <w:top w:val="single" w:sz="8" w:space="0" w:color="000001"/>
              <w:left w:val="single" w:sz="4" w:space="0" w:color="000001"/>
              <w:bottom w:val="single" w:sz="8" w:space="0" w:color="000001"/>
              <w:right w:val="single" w:sz="8" w:space="0" w:color="000001"/>
            </w:tcBorders>
            <w:shd w:val="clear" w:color="auto" w:fill="auto"/>
            <w:vAlign w:val="bottom"/>
          </w:tcPr>
          <w:p w:rsidR="00805D2D" w:rsidRPr="008D2E72" w:rsidRDefault="00642C1A">
            <w:pPr>
              <w:suppressAutoHyphens w:val="0"/>
              <w:ind w:left="-132" w:right="-46"/>
              <w:jc w:val="right"/>
              <w:rPr>
                <w:color w:val="auto"/>
                <w:sz w:val="14"/>
                <w:szCs w:val="14"/>
              </w:rPr>
            </w:pPr>
            <w:r w:rsidRPr="008D2E72">
              <w:rPr>
                <w:color w:val="auto"/>
                <w:sz w:val="14"/>
                <w:szCs w:val="14"/>
              </w:rPr>
              <w:t>12,0%</w:t>
            </w:r>
          </w:p>
        </w:tc>
      </w:tr>
      <w:tr w:rsidR="00805D2D" w:rsidRPr="008D2E72">
        <w:trPr>
          <w:cantSplit/>
          <w:trHeight w:val="300"/>
        </w:trPr>
        <w:tc>
          <w:tcPr>
            <w:tcW w:w="789" w:type="dxa"/>
            <w:vMerge w:val="restart"/>
            <w:tcBorders>
              <w:left w:val="single" w:sz="8" w:space="0" w:color="000001"/>
            </w:tcBorders>
            <w:shd w:val="clear" w:color="auto" w:fill="auto"/>
            <w:tcMar>
              <w:left w:w="40" w:type="dxa"/>
            </w:tcMar>
            <w:vAlign w:val="center"/>
          </w:tcPr>
          <w:p w:rsidR="00805D2D" w:rsidRPr="008D2E72" w:rsidRDefault="00642C1A">
            <w:pPr>
              <w:tabs>
                <w:tab w:val="left" w:pos="1140"/>
              </w:tabs>
              <w:suppressAutoHyphens w:val="0"/>
              <w:ind w:left="-70" w:right="-101"/>
              <w:jc w:val="center"/>
              <w:rPr>
                <w:bCs/>
                <w:color w:val="auto"/>
                <w:sz w:val="14"/>
                <w:szCs w:val="14"/>
              </w:rPr>
            </w:pPr>
            <w:r w:rsidRPr="008D2E72">
              <w:rPr>
                <w:bCs/>
                <w:color w:val="auto"/>
                <w:sz w:val="14"/>
                <w:szCs w:val="14"/>
              </w:rPr>
              <w:t>“R”</w:t>
            </w:r>
          </w:p>
        </w:tc>
        <w:tc>
          <w:tcPr>
            <w:tcW w:w="760" w:type="dxa"/>
            <w:tcBorders>
              <w:top w:val="single" w:sz="4" w:space="0" w:color="000001"/>
              <w:left w:val="single" w:sz="4" w:space="0" w:color="000001"/>
              <w:bottom w:val="single" w:sz="4" w:space="0" w:color="000001"/>
            </w:tcBorders>
            <w:shd w:val="clear" w:color="auto" w:fill="auto"/>
            <w:tcMar>
              <w:left w:w="55" w:type="dxa"/>
            </w:tcMar>
            <w:vAlign w:val="bottom"/>
          </w:tcPr>
          <w:p w:rsidR="00805D2D" w:rsidRPr="008D2E72" w:rsidRDefault="00642C1A">
            <w:pPr>
              <w:suppressAutoHyphens w:val="0"/>
              <w:ind w:left="-9" w:right="-52"/>
              <w:rPr>
                <w:color w:val="auto"/>
                <w:sz w:val="14"/>
                <w:szCs w:val="14"/>
              </w:rPr>
            </w:pPr>
            <w:r w:rsidRPr="008D2E72">
              <w:rPr>
                <w:color w:val="auto"/>
                <w:sz w:val="14"/>
                <w:szCs w:val="14"/>
              </w:rPr>
              <w:t>CRÉDITOS</w:t>
            </w:r>
          </w:p>
        </w:tc>
        <w:tc>
          <w:tcPr>
            <w:tcW w:w="988" w:type="dxa"/>
            <w:tcBorders>
              <w:top w:val="single" w:sz="4" w:space="0" w:color="000001"/>
              <w:left w:val="single" w:sz="4" w:space="0" w:color="000001"/>
              <w:bottom w:val="single" w:sz="4" w:space="0" w:color="000001"/>
            </w:tcBorders>
            <w:shd w:val="clear" w:color="auto" w:fill="auto"/>
            <w:vAlign w:val="bottom"/>
          </w:tcPr>
          <w:p w:rsidR="00805D2D" w:rsidRPr="008D2E72" w:rsidRDefault="00642C1A">
            <w:pPr>
              <w:suppressAutoHyphens w:val="0"/>
              <w:ind w:left="-27" w:right="-28"/>
              <w:jc w:val="right"/>
              <w:rPr>
                <w:color w:val="auto"/>
                <w:sz w:val="14"/>
                <w:szCs w:val="14"/>
              </w:rPr>
            </w:pPr>
            <w:r w:rsidRPr="008D2E72">
              <w:rPr>
                <w:color w:val="auto"/>
                <w:sz w:val="14"/>
                <w:szCs w:val="14"/>
              </w:rPr>
              <w:t>3.564.357,31</w:t>
            </w:r>
          </w:p>
        </w:tc>
        <w:tc>
          <w:tcPr>
            <w:tcW w:w="345" w:type="dxa"/>
            <w:tcBorders>
              <w:top w:val="single" w:sz="4" w:space="0" w:color="000001"/>
              <w:left w:val="single" w:sz="4" w:space="0" w:color="000001"/>
              <w:bottom w:val="single" w:sz="4" w:space="0" w:color="000001"/>
            </w:tcBorders>
            <w:shd w:val="clear" w:color="auto" w:fill="auto"/>
            <w:vAlign w:val="bottom"/>
          </w:tcPr>
          <w:p w:rsidR="00805D2D" w:rsidRPr="008D2E72" w:rsidRDefault="00805D2D">
            <w:pPr>
              <w:suppressAutoHyphens w:val="0"/>
              <w:snapToGrid w:val="0"/>
              <w:ind w:left="-57" w:right="-108"/>
              <w:jc w:val="center"/>
              <w:rPr>
                <w:color w:val="auto"/>
                <w:sz w:val="14"/>
                <w:szCs w:val="14"/>
              </w:rPr>
            </w:pPr>
          </w:p>
        </w:tc>
        <w:tc>
          <w:tcPr>
            <w:tcW w:w="817" w:type="dxa"/>
            <w:tcBorders>
              <w:top w:val="single" w:sz="4" w:space="0" w:color="000001"/>
              <w:left w:val="single" w:sz="4" w:space="0" w:color="000001"/>
              <w:bottom w:val="single" w:sz="4" w:space="0" w:color="000001"/>
            </w:tcBorders>
            <w:shd w:val="clear" w:color="auto" w:fill="auto"/>
            <w:vAlign w:val="bottom"/>
          </w:tcPr>
          <w:p w:rsidR="00805D2D" w:rsidRPr="008D2E72" w:rsidRDefault="00642C1A">
            <w:pPr>
              <w:suppressAutoHyphens w:val="0"/>
              <w:ind w:left="-70" w:right="-70"/>
              <w:jc w:val="right"/>
              <w:rPr>
                <w:color w:val="auto"/>
                <w:sz w:val="14"/>
                <w:szCs w:val="14"/>
              </w:rPr>
            </w:pPr>
            <w:r w:rsidRPr="008D2E72">
              <w:rPr>
                <w:color w:val="auto"/>
                <w:sz w:val="14"/>
                <w:szCs w:val="14"/>
              </w:rPr>
              <w:t>8.667.290,91</w:t>
            </w:r>
          </w:p>
        </w:tc>
        <w:tc>
          <w:tcPr>
            <w:tcW w:w="335" w:type="dxa"/>
            <w:tcBorders>
              <w:top w:val="single" w:sz="4" w:space="0" w:color="000001"/>
              <w:left w:val="single" w:sz="4" w:space="0" w:color="000001"/>
              <w:bottom w:val="single" w:sz="4" w:space="0" w:color="000001"/>
            </w:tcBorders>
            <w:shd w:val="clear" w:color="auto" w:fill="auto"/>
            <w:vAlign w:val="bottom"/>
          </w:tcPr>
          <w:p w:rsidR="00805D2D" w:rsidRPr="008D2E72" w:rsidRDefault="00805D2D">
            <w:pPr>
              <w:suppressAutoHyphens w:val="0"/>
              <w:snapToGrid w:val="0"/>
              <w:ind w:left="-70" w:right="-95"/>
              <w:jc w:val="center"/>
              <w:rPr>
                <w:color w:val="auto"/>
                <w:sz w:val="14"/>
                <w:szCs w:val="14"/>
              </w:rPr>
            </w:pPr>
          </w:p>
        </w:tc>
        <w:tc>
          <w:tcPr>
            <w:tcW w:w="887" w:type="dxa"/>
            <w:tcBorders>
              <w:top w:val="single" w:sz="4" w:space="0" w:color="000001"/>
              <w:left w:val="single" w:sz="4" w:space="0" w:color="000001"/>
              <w:bottom w:val="single" w:sz="4" w:space="0" w:color="000001"/>
            </w:tcBorders>
            <w:shd w:val="clear" w:color="auto" w:fill="auto"/>
            <w:vAlign w:val="bottom"/>
          </w:tcPr>
          <w:p w:rsidR="00805D2D" w:rsidRPr="008D2E72" w:rsidRDefault="00642C1A">
            <w:pPr>
              <w:suppressAutoHyphens w:val="0"/>
              <w:ind w:left="-22" w:right="-32"/>
              <w:jc w:val="right"/>
              <w:rPr>
                <w:color w:val="auto"/>
                <w:sz w:val="14"/>
                <w:szCs w:val="14"/>
              </w:rPr>
            </w:pPr>
            <w:r w:rsidRPr="008D2E72">
              <w:rPr>
                <w:color w:val="auto"/>
                <w:sz w:val="14"/>
                <w:szCs w:val="14"/>
              </w:rPr>
              <w:t>4.466.921,28</w:t>
            </w:r>
          </w:p>
        </w:tc>
        <w:tc>
          <w:tcPr>
            <w:tcW w:w="428" w:type="dxa"/>
            <w:tcBorders>
              <w:top w:val="single" w:sz="4" w:space="0" w:color="000001"/>
              <w:left w:val="single" w:sz="4" w:space="0" w:color="000001"/>
              <w:bottom w:val="single" w:sz="4" w:space="0" w:color="000001"/>
            </w:tcBorders>
            <w:shd w:val="clear" w:color="auto" w:fill="auto"/>
            <w:vAlign w:val="bottom"/>
          </w:tcPr>
          <w:p w:rsidR="00805D2D" w:rsidRPr="008D2E72" w:rsidRDefault="00642C1A">
            <w:pPr>
              <w:suppressAutoHyphens w:val="0"/>
              <w:ind w:left="-54" w:right="-21"/>
              <w:rPr>
                <w:color w:val="auto"/>
                <w:sz w:val="14"/>
                <w:szCs w:val="14"/>
              </w:rPr>
            </w:pPr>
            <w:r w:rsidRPr="008D2E72">
              <w:rPr>
                <w:color w:val="auto"/>
                <w:sz w:val="14"/>
                <w:szCs w:val="14"/>
              </w:rPr>
              <w:t> </w:t>
            </w:r>
          </w:p>
        </w:tc>
        <w:tc>
          <w:tcPr>
            <w:tcW w:w="846" w:type="dxa"/>
            <w:tcBorders>
              <w:top w:val="single" w:sz="4" w:space="0" w:color="000001"/>
              <w:left w:val="single" w:sz="4" w:space="0" w:color="000001"/>
              <w:bottom w:val="single" w:sz="4" w:space="0" w:color="000001"/>
            </w:tcBorders>
            <w:shd w:val="clear" w:color="auto" w:fill="auto"/>
            <w:vAlign w:val="bottom"/>
          </w:tcPr>
          <w:p w:rsidR="00805D2D" w:rsidRPr="008D2E72" w:rsidRDefault="00642C1A">
            <w:pPr>
              <w:suppressAutoHyphens w:val="0"/>
              <w:ind w:left="-95" w:right="-33"/>
              <w:jc w:val="right"/>
              <w:rPr>
                <w:color w:val="auto"/>
                <w:sz w:val="14"/>
                <w:szCs w:val="14"/>
              </w:rPr>
            </w:pPr>
            <w:r w:rsidRPr="008D2E72">
              <w:rPr>
                <w:color w:val="auto"/>
                <w:sz w:val="14"/>
                <w:szCs w:val="14"/>
              </w:rPr>
              <w:t>136.152,54</w:t>
            </w:r>
          </w:p>
        </w:tc>
        <w:tc>
          <w:tcPr>
            <w:tcW w:w="347" w:type="dxa"/>
            <w:tcBorders>
              <w:top w:val="single" w:sz="4" w:space="0" w:color="000001"/>
              <w:left w:val="single" w:sz="4" w:space="0" w:color="000001"/>
              <w:bottom w:val="single" w:sz="4" w:space="0" w:color="000001"/>
            </w:tcBorders>
            <w:shd w:val="clear" w:color="auto" w:fill="auto"/>
            <w:vAlign w:val="bottom"/>
          </w:tcPr>
          <w:p w:rsidR="00805D2D" w:rsidRPr="008D2E72" w:rsidRDefault="00805D2D">
            <w:pPr>
              <w:suppressAutoHyphens w:val="0"/>
              <w:snapToGrid w:val="0"/>
              <w:ind w:left="-70" w:right="-99"/>
              <w:jc w:val="center"/>
              <w:rPr>
                <w:color w:val="auto"/>
                <w:sz w:val="14"/>
                <w:szCs w:val="14"/>
              </w:rPr>
            </w:pPr>
          </w:p>
        </w:tc>
        <w:tc>
          <w:tcPr>
            <w:tcW w:w="884" w:type="dxa"/>
            <w:tcBorders>
              <w:top w:val="single" w:sz="4" w:space="0" w:color="000001"/>
              <w:left w:val="single" w:sz="4" w:space="0" w:color="000001"/>
              <w:bottom w:val="single" w:sz="4" w:space="0" w:color="000001"/>
            </w:tcBorders>
            <w:shd w:val="clear" w:color="auto" w:fill="auto"/>
            <w:vAlign w:val="bottom"/>
          </w:tcPr>
          <w:p w:rsidR="00805D2D" w:rsidRPr="008D2E72" w:rsidRDefault="00642C1A">
            <w:pPr>
              <w:suppressAutoHyphens w:val="0"/>
              <w:ind w:left="-70"/>
              <w:rPr>
                <w:color w:val="auto"/>
                <w:sz w:val="14"/>
                <w:szCs w:val="14"/>
              </w:rPr>
            </w:pPr>
            <w:r w:rsidRPr="008D2E72">
              <w:rPr>
                <w:color w:val="auto"/>
                <w:sz w:val="14"/>
                <w:szCs w:val="14"/>
              </w:rPr>
              <w:t> </w:t>
            </w:r>
          </w:p>
        </w:tc>
        <w:tc>
          <w:tcPr>
            <w:tcW w:w="398" w:type="dxa"/>
            <w:tcBorders>
              <w:top w:val="single" w:sz="4" w:space="0" w:color="000001"/>
              <w:left w:val="single" w:sz="4" w:space="0" w:color="000001"/>
              <w:bottom w:val="single" w:sz="4" w:space="0" w:color="000001"/>
            </w:tcBorders>
            <w:shd w:val="clear" w:color="auto" w:fill="auto"/>
            <w:vAlign w:val="bottom"/>
          </w:tcPr>
          <w:p w:rsidR="00805D2D" w:rsidRPr="008D2E72" w:rsidRDefault="00805D2D">
            <w:pPr>
              <w:suppressAutoHyphens w:val="0"/>
              <w:snapToGrid w:val="0"/>
              <w:ind w:left="-86" w:right="-36"/>
              <w:jc w:val="center"/>
              <w:rPr>
                <w:color w:val="auto"/>
                <w:sz w:val="14"/>
                <w:szCs w:val="14"/>
              </w:rPr>
            </w:pPr>
          </w:p>
        </w:tc>
        <w:tc>
          <w:tcPr>
            <w:tcW w:w="938" w:type="dxa"/>
            <w:tcBorders>
              <w:top w:val="single" w:sz="4" w:space="0" w:color="000001"/>
              <w:left w:val="single" w:sz="4" w:space="0" w:color="000001"/>
              <w:bottom w:val="single" w:sz="4" w:space="0" w:color="000001"/>
            </w:tcBorders>
            <w:shd w:val="clear" w:color="auto" w:fill="auto"/>
            <w:vAlign w:val="bottom"/>
          </w:tcPr>
          <w:p w:rsidR="00805D2D" w:rsidRPr="008D2E72" w:rsidRDefault="00642C1A">
            <w:pPr>
              <w:suppressAutoHyphens w:val="0"/>
              <w:ind w:left="-80" w:right="-35"/>
              <w:jc w:val="right"/>
              <w:rPr>
                <w:bCs/>
                <w:color w:val="auto"/>
                <w:sz w:val="14"/>
                <w:szCs w:val="14"/>
              </w:rPr>
            </w:pPr>
            <w:r w:rsidRPr="008D2E72">
              <w:rPr>
                <w:bCs/>
                <w:color w:val="auto"/>
                <w:sz w:val="14"/>
                <w:szCs w:val="14"/>
              </w:rPr>
              <w:t>16.834.722,04</w:t>
            </w:r>
          </w:p>
        </w:tc>
        <w:tc>
          <w:tcPr>
            <w:tcW w:w="323" w:type="dxa"/>
            <w:tcBorders>
              <w:top w:val="single" w:sz="4" w:space="0" w:color="000001"/>
              <w:left w:val="single" w:sz="4" w:space="0" w:color="000001"/>
              <w:bottom w:val="single" w:sz="4" w:space="0" w:color="000001"/>
              <w:right w:val="single" w:sz="8" w:space="0" w:color="000001"/>
            </w:tcBorders>
            <w:shd w:val="clear" w:color="auto" w:fill="auto"/>
            <w:vAlign w:val="bottom"/>
          </w:tcPr>
          <w:p w:rsidR="00805D2D" w:rsidRPr="008D2E72" w:rsidRDefault="00642C1A">
            <w:pPr>
              <w:suppressAutoHyphens w:val="0"/>
              <w:ind w:left="-132" w:right="-46"/>
              <w:rPr>
                <w:color w:val="auto"/>
                <w:sz w:val="14"/>
                <w:szCs w:val="14"/>
              </w:rPr>
            </w:pPr>
            <w:r w:rsidRPr="008D2E72">
              <w:rPr>
                <w:color w:val="auto"/>
                <w:sz w:val="14"/>
                <w:szCs w:val="14"/>
              </w:rPr>
              <w:t> </w:t>
            </w:r>
          </w:p>
        </w:tc>
      </w:tr>
      <w:tr w:rsidR="00805D2D" w:rsidRPr="008D2E72">
        <w:trPr>
          <w:cantSplit/>
          <w:trHeight w:val="300"/>
        </w:trPr>
        <w:tc>
          <w:tcPr>
            <w:tcW w:w="789" w:type="dxa"/>
            <w:vMerge/>
            <w:tcBorders>
              <w:left w:val="single" w:sz="8" w:space="0" w:color="000001"/>
            </w:tcBorders>
            <w:shd w:val="clear" w:color="auto" w:fill="auto"/>
            <w:tcMar>
              <w:left w:w="40" w:type="dxa"/>
            </w:tcMar>
            <w:vAlign w:val="center"/>
          </w:tcPr>
          <w:p w:rsidR="00805D2D" w:rsidRPr="008D2E72" w:rsidRDefault="00805D2D">
            <w:pPr>
              <w:rPr>
                <w:color w:val="auto"/>
                <w:sz w:val="14"/>
                <w:szCs w:val="14"/>
              </w:rPr>
            </w:pPr>
          </w:p>
        </w:tc>
        <w:tc>
          <w:tcPr>
            <w:tcW w:w="760" w:type="dxa"/>
            <w:tcBorders>
              <w:top w:val="single" w:sz="4" w:space="0" w:color="000001"/>
              <w:left w:val="single" w:sz="4" w:space="0" w:color="000001"/>
              <w:bottom w:val="single" w:sz="4" w:space="0" w:color="000001"/>
            </w:tcBorders>
            <w:shd w:val="clear" w:color="auto" w:fill="auto"/>
            <w:tcMar>
              <w:left w:w="55" w:type="dxa"/>
            </w:tcMar>
            <w:vAlign w:val="bottom"/>
          </w:tcPr>
          <w:p w:rsidR="00805D2D" w:rsidRPr="008D2E72" w:rsidRDefault="00642C1A">
            <w:pPr>
              <w:suppressAutoHyphens w:val="0"/>
              <w:ind w:left="-9" w:right="-52"/>
              <w:rPr>
                <w:color w:val="auto"/>
                <w:sz w:val="14"/>
                <w:szCs w:val="14"/>
              </w:rPr>
            </w:pPr>
            <w:r w:rsidRPr="008D2E72">
              <w:rPr>
                <w:color w:val="auto"/>
                <w:sz w:val="14"/>
                <w:szCs w:val="14"/>
              </w:rPr>
              <w:t>DÉBITOS</w:t>
            </w:r>
          </w:p>
        </w:tc>
        <w:tc>
          <w:tcPr>
            <w:tcW w:w="988" w:type="dxa"/>
            <w:tcBorders>
              <w:top w:val="single" w:sz="4" w:space="0" w:color="000001"/>
              <w:left w:val="single" w:sz="4" w:space="0" w:color="000001"/>
              <w:bottom w:val="single" w:sz="4" w:space="0" w:color="000001"/>
            </w:tcBorders>
            <w:shd w:val="clear" w:color="auto" w:fill="auto"/>
            <w:vAlign w:val="bottom"/>
          </w:tcPr>
          <w:p w:rsidR="00805D2D" w:rsidRPr="008D2E72" w:rsidRDefault="00642C1A">
            <w:pPr>
              <w:suppressAutoHyphens w:val="0"/>
              <w:ind w:left="-27" w:right="-28"/>
              <w:jc w:val="right"/>
              <w:rPr>
                <w:color w:val="auto"/>
                <w:sz w:val="14"/>
                <w:szCs w:val="14"/>
              </w:rPr>
            </w:pPr>
            <w:r w:rsidRPr="008D2E72">
              <w:rPr>
                <w:color w:val="auto"/>
                <w:sz w:val="14"/>
                <w:szCs w:val="14"/>
              </w:rPr>
              <w:t>3.820.402,50</w:t>
            </w:r>
          </w:p>
        </w:tc>
        <w:tc>
          <w:tcPr>
            <w:tcW w:w="345" w:type="dxa"/>
            <w:tcBorders>
              <w:top w:val="single" w:sz="4" w:space="0" w:color="000001"/>
              <w:left w:val="single" w:sz="4" w:space="0" w:color="000001"/>
              <w:bottom w:val="single" w:sz="4" w:space="0" w:color="000001"/>
            </w:tcBorders>
            <w:shd w:val="clear" w:color="auto" w:fill="auto"/>
            <w:vAlign w:val="bottom"/>
          </w:tcPr>
          <w:p w:rsidR="00805D2D" w:rsidRPr="008D2E72" w:rsidRDefault="00805D2D">
            <w:pPr>
              <w:suppressAutoHyphens w:val="0"/>
              <w:snapToGrid w:val="0"/>
              <w:ind w:left="-57" w:right="-108"/>
              <w:jc w:val="center"/>
              <w:rPr>
                <w:color w:val="auto"/>
                <w:sz w:val="14"/>
                <w:szCs w:val="14"/>
              </w:rPr>
            </w:pPr>
          </w:p>
        </w:tc>
        <w:tc>
          <w:tcPr>
            <w:tcW w:w="817" w:type="dxa"/>
            <w:tcBorders>
              <w:top w:val="single" w:sz="4" w:space="0" w:color="000001"/>
              <w:left w:val="single" w:sz="4" w:space="0" w:color="000001"/>
              <w:bottom w:val="single" w:sz="4" w:space="0" w:color="000001"/>
            </w:tcBorders>
            <w:shd w:val="clear" w:color="auto" w:fill="auto"/>
            <w:vAlign w:val="bottom"/>
          </w:tcPr>
          <w:p w:rsidR="00805D2D" w:rsidRPr="008D2E72" w:rsidRDefault="00642C1A">
            <w:pPr>
              <w:suppressAutoHyphens w:val="0"/>
              <w:ind w:left="-70" w:right="-70"/>
              <w:jc w:val="right"/>
              <w:rPr>
                <w:color w:val="auto"/>
                <w:sz w:val="14"/>
                <w:szCs w:val="14"/>
              </w:rPr>
            </w:pPr>
            <w:r w:rsidRPr="008D2E72">
              <w:rPr>
                <w:color w:val="auto"/>
                <w:sz w:val="14"/>
                <w:szCs w:val="14"/>
              </w:rPr>
              <w:t>11.108.276,30</w:t>
            </w:r>
          </w:p>
        </w:tc>
        <w:tc>
          <w:tcPr>
            <w:tcW w:w="335" w:type="dxa"/>
            <w:tcBorders>
              <w:top w:val="single" w:sz="4" w:space="0" w:color="000001"/>
              <w:left w:val="single" w:sz="4" w:space="0" w:color="000001"/>
              <w:bottom w:val="single" w:sz="4" w:space="0" w:color="000001"/>
            </w:tcBorders>
            <w:shd w:val="clear" w:color="auto" w:fill="auto"/>
            <w:vAlign w:val="bottom"/>
          </w:tcPr>
          <w:p w:rsidR="00805D2D" w:rsidRPr="008D2E72" w:rsidRDefault="00805D2D">
            <w:pPr>
              <w:suppressAutoHyphens w:val="0"/>
              <w:snapToGrid w:val="0"/>
              <w:ind w:left="-70" w:right="-95"/>
              <w:jc w:val="center"/>
              <w:rPr>
                <w:color w:val="auto"/>
                <w:sz w:val="14"/>
                <w:szCs w:val="14"/>
              </w:rPr>
            </w:pPr>
          </w:p>
        </w:tc>
        <w:tc>
          <w:tcPr>
            <w:tcW w:w="887" w:type="dxa"/>
            <w:tcBorders>
              <w:top w:val="single" w:sz="4" w:space="0" w:color="000001"/>
              <w:left w:val="single" w:sz="4" w:space="0" w:color="000001"/>
              <w:bottom w:val="single" w:sz="4" w:space="0" w:color="000001"/>
            </w:tcBorders>
            <w:shd w:val="clear" w:color="auto" w:fill="auto"/>
            <w:vAlign w:val="bottom"/>
          </w:tcPr>
          <w:p w:rsidR="00805D2D" w:rsidRPr="008D2E72" w:rsidRDefault="00642C1A">
            <w:pPr>
              <w:suppressAutoHyphens w:val="0"/>
              <w:ind w:left="-22" w:right="-32"/>
              <w:jc w:val="right"/>
              <w:rPr>
                <w:color w:val="auto"/>
                <w:sz w:val="14"/>
                <w:szCs w:val="14"/>
              </w:rPr>
            </w:pPr>
            <w:r w:rsidRPr="008D2E72">
              <w:rPr>
                <w:color w:val="auto"/>
                <w:sz w:val="14"/>
                <w:szCs w:val="14"/>
              </w:rPr>
              <w:t>4.002.357,14</w:t>
            </w:r>
          </w:p>
        </w:tc>
        <w:tc>
          <w:tcPr>
            <w:tcW w:w="428" w:type="dxa"/>
            <w:tcBorders>
              <w:top w:val="single" w:sz="4" w:space="0" w:color="000001"/>
              <w:left w:val="single" w:sz="4" w:space="0" w:color="000001"/>
              <w:bottom w:val="single" w:sz="4" w:space="0" w:color="000001"/>
            </w:tcBorders>
            <w:shd w:val="clear" w:color="auto" w:fill="auto"/>
            <w:vAlign w:val="bottom"/>
          </w:tcPr>
          <w:p w:rsidR="00805D2D" w:rsidRPr="008D2E72" w:rsidRDefault="00642C1A">
            <w:pPr>
              <w:suppressAutoHyphens w:val="0"/>
              <w:ind w:left="-54" w:right="-21"/>
              <w:rPr>
                <w:color w:val="auto"/>
                <w:sz w:val="14"/>
                <w:szCs w:val="14"/>
              </w:rPr>
            </w:pPr>
            <w:r w:rsidRPr="008D2E72">
              <w:rPr>
                <w:color w:val="auto"/>
                <w:sz w:val="14"/>
                <w:szCs w:val="14"/>
              </w:rPr>
              <w:t> </w:t>
            </w:r>
          </w:p>
        </w:tc>
        <w:tc>
          <w:tcPr>
            <w:tcW w:w="846" w:type="dxa"/>
            <w:tcBorders>
              <w:top w:val="single" w:sz="4" w:space="0" w:color="000001"/>
              <w:left w:val="single" w:sz="4" w:space="0" w:color="000001"/>
              <w:bottom w:val="single" w:sz="4" w:space="0" w:color="000001"/>
            </w:tcBorders>
            <w:shd w:val="clear" w:color="auto" w:fill="auto"/>
            <w:vAlign w:val="bottom"/>
          </w:tcPr>
          <w:p w:rsidR="00805D2D" w:rsidRPr="008D2E72" w:rsidRDefault="00642C1A">
            <w:pPr>
              <w:suppressAutoHyphens w:val="0"/>
              <w:ind w:left="-95" w:right="-33"/>
              <w:rPr>
                <w:color w:val="auto"/>
                <w:sz w:val="14"/>
                <w:szCs w:val="14"/>
              </w:rPr>
            </w:pPr>
            <w:r w:rsidRPr="008D2E72">
              <w:rPr>
                <w:color w:val="auto"/>
                <w:sz w:val="14"/>
                <w:szCs w:val="14"/>
              </w:rPr>
              <w:t> </w:t>
            </w:r>
          </w:p>
        </w:tc>
        <w:tc>
          <w:tcPr>
            <w:tcW w:w="347" w:type="dxa"/>
            <w:tcBorders>
              <w:top w:val="single" w:sz="4" w:space="0" w:color="000001"/>
              <w:left w:val="single" w:sz="4" w:space="0" w:color="000001"/>
              <w:bottom w:val="single" w:sz="4" w:space="0" w:color="000001"/>
            </w:tcBorders>
            <w:shd w:val="clear" w:color="auto" w:fill="auto"/>
            <w:vAlign w:val="bottom"/>
          </w:tcPr>
          <w:p w:rsidR="00805D2D" w:rsidRPr="008D2E72" w:rsidRDefault="00805D2D">
            <w:pPr>
              <w:suppressAutoHyphens w:val="0"/>
              <w:snapToGrid w:val="0"/>
              <w:ind w:left="-70" w:right="-99"/>
              <w:jc w:val="center"/>
              <w:rPr>
                <w:color w:val="auto"/>
                <w:sz w:val="14"/>
                <w:szCs w:val="14"/>
              </w:rPr>
            </w:pPr>
          </w:p>
        </w:tc>
        <w:tc>
          <w:tcPr>
            <w:tcW w:w="884" w:type="dxa"/>
            <w:tcBorders>
              <w:top w:val="single" w:sz="4" w:space="0" w:color="000001"/>
              <w:left w:val="single" w:sz="4" w:space="0" w:color="000001"/>
              <w:bottom w:val="single" w:sz="4" w:space="0" w:color="000001"/>
            </w:tcBorders>
            <w:shd w:val="clear" w:color="auto" w:fill="auto"/>
            <w:vAlign w:val="bottom"/>
          </w:tcPr>
          <w:p w:rsidR="00805D2D" w:rsidRPr="008D2E72" w:rsidRDefault="00642C1A">
            <w:pPr>
              <w:suppressAutoHyphens w:val="0"/>
              <w:ind w:left="-70"/>
              <w:rPr>
                <w:color w:val="auto"/>
                <w:sz w:val="14"/>
                <w:szCs w:val="14"/>
              </w:rPr>
            </w:pPr>
            <w:r w:rsidRPr="008D2E72">
              <w:rPr>
                <w:color w:val="auto"/>
                <w:sz w:val="14"/>
                <w:szCs w:val="14"/>
              </w:rPr>
              <w:t> </w:t>
            </w:r>
          </w:p>
        </w:tc>
        <w:tc>
          <w:tcPr>
            <w:tcW w:w="398" w:type="dxa"/>
            <w:tcBorders>
              <w:top w:val="single" w:sz="4" w:space="0" w:color="000001"/>
              <w:left w:val="single" w:sz="4" w:space="0" w:color="000001"/>
              <w:bottom w:val="single" w:sz="4" w:space="0" w:color="000001"/>
            </w:tcBorders>
            <w:shd w:val="clear" w:color="auto" w:fill="auto"/>
            <w:vAlign w:val="bottom"/>
          </w:tcPr>
          <w:p w:rsidR="00805D2D" w:rsidRPr="008D2E72" w:rsidRDefault="00805D2D">
            <w:pPr>
              <w:suppressAutoHyphens w:val="0"/>
              <w:snapToGrid w:val="0"/>
              <w:ind w:left="-86" w:right="-36"/>
              <w:jc w:val="center"/>
              <w:rPr>
                <w:color w:val="auto"/>
                <w:sz w:val="14"/>
                <w:szCs w:val="14"/>
              </w:rPr>
            </w:pPr>
          </w:p>
        </w:tc>
        <w:tc>
          <w:tcPr>
            <w:tcW w:w="938" w:type="dxa"/>
            <w:tcBorders>
              <w:top w:val="single" w:sz="4" w:space="0" w:color="000001"/>
              <w:left w:val="single" w:sz="4" w:space="0" w:color="000001"/>
              <w:bottom w:val="single" w:sz="4" w:space="0" w:color="000001"/>
            </w:tcBorders>
            <w:shd w:val="clear" w:color="auto" w:fill="auto"/>
            <w:vAlign w:val="bottom"/>
          </w:tcPr>
          <w:p w:rsidR="00805D2D" w:rsidRPr="008D2E72" w:rsidRDefault="00642C1A">
            <w:pPr>
              <w:suppressAutoHyphens w:val="0"/>
              <w:ind w:left="-80" w:right="-35"/>
              <w:jc w:val="right"/>
              <w:rPr>
                <w:bCs/>
                <w:color w:val="auto"/>
                <w:sz w:val="14"/>
                <w:szCs w:val="14"/>
              </w:rPr>
            </w:pPr>
            <w:r w:rsidRPr="008D2E72">
              <w:rPr>
                <w:bCs/>
                <w:color w:val="auto"/>
                <w:sz w:val="14"/>
                <w:szCs w:val="14"/>
              </w:rPr>
              <w:t>18.931.035,94</w:t>
            </w:r>
          </w:p>
        </w:tc>
        <w:tc>
          <w:tcPr>
            <w:tcW w:w="323" w:type="dxa"/>
            <w:tcBorders>
              <w:top w:val="single" w:sz="4" w:space="0" w:color="000001"/>
              <w:left w:val="single" w:sz="4" w:space="0" w:color="000001"/>
              <w:bottom w:val="single" w:sz="4" w:space="0" w:color="000001"/>
              <w:right w:val="single" w:sz="8" w:space="0" w:color="000001"/>
            </w:tcBorders>
            <w:shd w:val="clear" w:color="auto" w:fill="auto"/>
            <w:vAlign w:val="bottom"/>
          </w:tcPr>
          <w:p w:rsidR="00805D2D" w:rsidRPr="008D2E72" w:rsidRDefault="00642C1A">
            <w:pPr>
              <w:suppressAutoHyphens w:val="0"/>
              <w:ind w:left="-132" w:right="-46"/>
              <w:rPr>
                <w:color w:val="auto"/>
                <w:sz w:val="14"/>
                <w:szCs w:val="14"/>
              </w:rPr>
            </w:pPr>
            <w:r w:rsidRPr="008D2E72">
              <w:rPr>
                <w:color w:val="auto"/>
                <w:sz w:val="14"/>
                <w:szCs w:val="14"/>
              </w:rPr>
              <w:t> </w:t>
            </w:r>
          </w:p>
        </w:tc>
      </w:tr>
      <w:tr w:rsidR="00805D2D" w:rsidRPr="008D2E72">
        <w:trPr>
          <w:cantSplit/>
          <w:trHeight w:val="300"/>
        </w:trPr>
        <w:tc>
          <w:tcPr>
            <w:tcW w:w="789" w:type="dxa"/>
            <w:vMerge/>
            <w:tcBorders>
              <w:left w:val="single" w:sz="8" w:space="0" w:color="000001"/>
            </w:tcBorders>
            <w:shd w:val="clear" w:color="auto" w:fill="auto"/>
            <w:tcMar>
              <w:left w:w="40" w:type="dxa"/>
            </w:tcMar>
            <w:vAlign w:val="center"/>
          </w:tcPr>
          <w:p w:rsidR="00805D2D" w:rsidRPr="008D2E72" w:rsidRDefault="00805D2D">
            <w:pPr>
              <w:rPr>
                <w:color w:val="auto"/>
                <w:sz w:val="14"/>
                <w:szCs w:val="14"/>
              </w:rPr>
            </w:pPr>
          </w:p>
        </w:tc>
        <w:tc>
          <w:tcPr>
            <w:tcW w:w="760" w:type="dxa"/>
            <w:tcBorders>
              <w:top w:val="single" w:sz="8" w:space="0" w:color="000001"/>
              <w:left w:val="single" w:sz="4" w:space="0" w:color="000001"/>
              <w:bottom w:val="single" w:sz="8" w:space="0" w:color="000001"/>
            </w:tcBorders>
            <w:shd w:val="clear" w:color="auto" w:fill="auto"/>
            <w:tcMar>
              <w:left w:w="55" w:type="dxa"/>
            </w:tcMar>
            <w:vAlign w:val="bottom"/>
          </w:tcPr>
          <w:p w:rsidR="00805D2D" w:rsidRPr="008D2E72" w:rsidRDefault="00642C1A">
            <w:pPr>
              <w:suppressAutoHyphens w:val="0"/>
              <w:ind w:left="-9" w:right="-52"/>
              <w:rPr>
                <w:color w:val="auto"/>
                <w:sz w:val="14"/>
                <w:szCs w:val="14"/>
              </w:rPr>
            </w:pPr>
            <w:r w:rsidRPr="008D2E72">
              <w:rPr>
                <w:color w:val="auto"/>
                <w:sz w:val="14"/>
                <w:szCs w:val="14"/>
              </w:rPr>
              <w:t>SAQUES</w:t>
            </w:r>
          </w:p>
        </w:tc>
        <w:tc>
          <w:tcPr>
            <w:tcW w:w="988" w:type="dxa"/>
            <w:tcBorders>
              <w:top w:val="single" w:sz="8" w:space="0" w:color="000001"/>
              <w:left w:val="single" w:sz="4" w:space="0" w:color="000001"/>
              <w:bottom w:val="single" w:sz="8" w:space="0" w:color="000001"/>
            </w:tcBorders>
            <w:shd w:val="clear" w:color="auto" w:fill="auto"/>
            <w:vAlign w:val="bottom"/>
          </w:tcPr>
          <w:p w:rsidR="00805D2D" w:rsidRPr="008D2E72" w:rsidRDefault="00642C1A">
            <w:pPr>
              <w:suppressAutoHyphens w:val="0"/>
              <w:ind w:left="-27" w:right="-28"/>
              <w:jc w:val="right"/>
              <w:rPr>
                <w:color w:val="auto"/>
                <w:sz w:val="14"/>
                <w:szCs w:val="14"/>
              </w:rPr>
            </w:pPr>
            <w:r w:rsidRPr="008D2E72">
              <w:rPr>
                <w:color w:val="auto"/>
                <w:sz w:val="14"/>
                <w:szCs w:val="14"/>
              </w:rPr>
              <w:t>2.371.130,24</w:t>
            </w:r>
          </w:p>
        </w:tc>
        <w:tc>
          <w:tcPr>
            <w:tcW w:w="345" w:type="dxa"/>
            <w:tcBorders>
              <w:top w:val="single" w:sz="8" w:space="0" w:color="000001"/>
              <w:left w:val="single" w:sz="4" w:space="0" w:color="000001"/>
              <w:bottom w:val="single" w:sz="8" w:space="0" w:color="000001"/>
            </w:tcBorders>
            <w:shd w:val="clear" w:color="auto" w:fill="auto"/>
            <w:vAlign w:val="bottom"/>
          </w:tcPr>
          <w:p w:rsidR="00805D2D" w:rsidRPr="008D2E72" w:rsidRDefault="00642C1A">
            <w:pPr>
              <w:suppressAutoHyphens w:val="0"/>
              <w:ind w:left="-57" w:right="-108"/>
              <w:jc w:val="center"/>
              <w:rPr>
                <w:color w:val="auto"/>
                <w:sz w:val="14"/>
                <w:szCs w:val="14"/>
              </w:rPr>
            </w:pPr>
            <w:r w:rsidRPr="008D2E72">
              <w:rPr>
                <w:color w:val="auto"/>
                <w:sz w:val="14"/>
                <w:szCs w:val="14"/>
              </w:rPr>
              <w:t>66,5%</w:t>
            </w:r>
          </w:p>
        </w:tc>
        <w:tc>
          <w:tcPr>
            <w:tcW w:w="817" w:type="dxa"/>
            <w:tcBorders>
              <w:top w:val="single" w:sz="8" w:space="0" w:color="000001"/>
              <w:left w:val="single" w:sz="4" w:space="0" w:color="000001"/>
              <w:bottom w:val="single" w:sz="8" w:space="0" w:color="000001"/>
            </w:tcBorders>
            <w:shd w:val="clear" w:color="auto" w:fill="auto"/>
            <w:vAlign w:val="bottom"/>
          </w:tcPr>
          <w:p w:rsidR="00805D2D" w:rsidRPr="008D2E72" w:rsidRDefault="00642C1A">
            <w:pPr>
              <w:suppressAutoHyphens w:val="0"/>
              <w:ind w:left="-70" w:right="-70"/>
              <w:jc w:val="right"/>
              <w:rPr>
                <w:color w:val="auto"/>
                <w:sz w:val="14"/>
                <w:szCs w:val="14"/>
              </w:rPr>
            </w:pPr>
            <w:r w:rsidRPr="008D2E72">
              <w:rPr>
                <w:color w:val="auto"/>
                <w:sz w:val="14"/>
                <w:szCs w:val="14"/>
              </w:rPr>
              <w:t>128.810,88</w:t>
            </w:r>
          </w:p>
        </w:tc>
        <w:tc>
          <w:tcPr>
            <w:tcW w:w="335" w:type="dxa"/>
            <w:tcBorders>
              <w:top w:val="single" w:sz="8" w:space="0" w:color="000001"/>
              <w:left w:val="single" w:sz="4" w:space="0" w:color="000001"/>
              <w:bottom w:val="single" w:sz="8" w:space="0" w:color="000001"/>
            </w:tcBorders>
            <w:shd w:val="clear" w:color="auto" w:fill="auto"/>
            <w:vAlign w:val="bottom"/>
          </w:tcPr>
          <w:p w:rsidR="00805D2D" w:rsidRPr="008D2E72" w:rsidRDefault="00642C1A">
            <w:pPr>
              <w:suppressAutoHyphens w:val="0"/>
              <w:ind w:left="-70" w:right="-95"/>
              <w:jc w:val="center"/>
              <w:rPr>
                <w:color w:val="auto"/>
                <w:sz w:val="14"/>
                <w:szCs w:val="14"/>
              </w:rPr>
            </w:pPr>
            <w:r w:rsidRPr="008D2E72">
              <w:rPr>
                <w:color w:val="auto"/>
                <w:sz w:val="14"/>
                <w:szCs w:val="14"/>
              </w:rPr>
              <w:t>1,5%</w:t>
            </w:r>
          </w:p>
        </w:tc>
        <w:tc>
          <w:tcPr>
            <w:tcW w:w="887" w:type="dxa"/>
            <w:tcBorders>
              <w:top w:val="single" w:sz="8" w:space="0" w:color="000001"/>
              <w:left w:val="single" w:sz="4" w:space="0" w:color="000001"/>
              <w:bottom w:val="single" w:sz="8" w:space="0" w:color="000001"/>
            </w:tcBorders>
            <w:shd w:val="clear" w:color="auto" w:fill="auto"/>
            <w:vAlign w:val="bottom"/>
          </w:tcPr>
          <w:p w:rsidR="00805D2D" w:rsidRPr="008D2E72" w:rsidRDefault="00642C1A">
            <w:pPr>
              <w:suppressAutoHyphens w:val="0"/>
              <w:ind w:left="-22" w:right="-32"/>
              <w:jc w:val="right"/>
              <w:rPr>
                <w:color w:val="auto"/>
                <w:sz w:val="14"/>
                <w:szCs w:val="14"/>
              </w:rPr>
            </w:pPr>
            <w:r w:rsidRPr="008D2E72">
              <w:rPr>
                <w:color w:val="auto"/>
                <w:sz w:val="14"/>
                <w:szCs w:val="14"/>
              </w:rPr>
              <w:t>42.425,00</w:t>
            </w:r>
          </w:p>
        </w:tc>
        <w:tc>
          <w:tcPr>
            <w:tcW w:w="428" w:type="dxa"/>
            <w:tcBorders>
              <w:top w:val="single" w:sz="8" w:space="0" w:color="000001"/>
              <w:left w:val="single" w:sz="4" w:space="0" w:color="000001"/>
              <w:bottom w:val="single" w:sz="8" w:space="0" w:color="000001"/>
            </w:tcBorders>
            <w:shd w:val="clear" w:color="auto" w:fill="auto"/>
            <w:vAlign w:val="bottom"/>
          </w:tcPr>
          <w:p w:rsidR="00805D2D" w:rsidRPr="008D2E72" w:rsidRDefault="00642C1A">
            <w:pPr>
              <w:suppressAutoHyphens w:val="0"/>
              <w:ind w:left="-54" w:right="-21"/>
              <w:jc w:val="right"/>
              <w:rPr>
                <w:color w:val="auto"/>
                <w:sz w:val="14"/>
                <w:szCs w:val="14"/>
              </w:rPr>
            </w:pPr>
            <w:r w:rsidRPr="008D2E72">
              <w:rPr>
                <w:color w:val="auto"/>
                <w:sz w:val="14"/>
                <w:szCs w:val="14"/>
              </w:rPr>
              <w:t>1,0%</w:t>
            </w:r>
          </w:p>
        </w:tc>
        <w:tc>
          <w:tcPr>
            <w:tcW w:w="846" w:type="dxa"/>
            <w:tcBorders>
              <w:top w:val="single" w:sz="8" w:space="0" w:color="000001"/>
              <w:left w:val="single" w:sz="4" w:space="0" w:color="000001"/>
              <w:bottom w:val="single" w:sz="8" w:space="0" w:color="000001"/>
            </w:tcBorders>
            <w:shd w:val="clear" w:color="auto" w:fill="auto"/>
            <w:vAlign w:val="bottom"/>
          </w:tcPr>
          <w:p w:rsidR="00805D2D" w:rsidRPr="008D2E72" w:rsidRDefault="00642C1A">
            <w:pPr>
              <w:suppressAutoHyphens w:val="0"/>
              <w:ind w:left="-95" w:right="-33"/>
              <w:rPr>
                <w:color w:val="auto"/>
                <w:sz w:val="14"/>
                <w:szCs w:val="14"/>
              </w:rPr>
            </w:pPr>
            <w:r w:rsidRPr="008D2E72">
              <w:rPr>
                <w:color w:val="auto"/>
                <w:sz w:val="14"/>
                <w:szCs w:val="14"/>
              </w:rPr>
              <w:t> </w:t>
            </w:r>
          </w:p>
        </w:tc>
        <w:tc>
          <w:tcPr>
            <w:tcW w:w="347" w:type="dxa"/>
            <w:tcBorders>
              <w:top w:val="single" w:sz="8" w:space="0" w:color="000001"/>
              <w:left w:val="single" w:sz="4" w:space="0" w:color="000001"/>
              <w:bottom w:val="single" w:sz="8" w:space="0" w:color="000001"/>
            </w:tcBorders>
            <w:shd w:val="clear" w:color="auto" w:fill="auto"/>
            <w:vAlign w:val="bottom"/>
          </w:tcPr>
          <w:p w:rsidR="00805D2D" w:rsidRPr="008D2E72" w:rsidRDefault="00805D2D">
            <w:pPr>
              <w:suppressAutoHyphens w:val="0"/>
              <w:snapToGrid w:val="0"/>
              <w:ind w:left="-70" w:right="-99"/>
              <w:jc w:val="center"/>
              <w:rPr>
                <w:color w:val="auto"/>
                <w:sz w:val="14"/>
                <w:szCs w:val="14"/>
              </w:rPr>
            </w:pPr>
          </w:p>
        </w:tc>
        <w:tc>
          <w:tcPr>
            <w:tcW w:w="884" w:type="dxa"/>
            <w:tcBorders>
              <w:top w:val="single" w:sz="8" w:space="0" w:color="000001"/>
              <w:left w:val="single" w:sz="4" w:space="0" w:color="000001"/>
              <w:bottom w:val="single" w:sz="8" w:space="0" w:color="000001"/>
            </w:tcBorders>
            <w:shd w:val="clear" w:color="auto" w:fill="auto"/>
            <w:vAlign w:val="bottom"/>
          </w:tcPr>
          <w:p w:rsidR="00805D2D" w:rsidRPr="008D2E72" w:rsidRDefault="00642C1A">
            <w:pPr>
              <w:suppressAutoHyphens w:val="0"/>
              <w:ind w:left="-70"/>
              <w:rPr>
                <w:color w:val="auto"/>
                <w:sz w:val="14"/>
                <w:szCs w:val="14"/>
              </w:rPr>
            </w:pPr>
            <w:r w:rsidRPr="008D2E72">
              <w:rPr>
                <w:color w:val="auto"/>
                <w:sz w:val="14"/>
                <w:szCs w:val="14"/>
              </w:rPr>
              <w:t> </w:t>
            </w:r>
          </w:p>
        </w:tc>
        <w:tc>
          <w:tcPr>
            <w:tcW w:w="398" w:type="dxa"/>
            <w:tcBorders>
              <w:top w:val="single" w:sz="8" w:space="0" w:color="000001"/>
              <w:left w:val="single" w:sz="4" w:space="0" w:color="000001"/>
              <w:bottom w:val="single" w:sz="8" w:space="0" w:color="000001"/>
            </w:tcBorders>
            <w:shd w:val="clear" w:color="auto" w:fill="auto"/>
            <w:vAlign w:val="bottom"/>
          </w:tcPr>
          <w:p w:rsidR="00805D2D" w:rsidRPr="008D2E72" w:rsidRDefault="00805D2D">
            <w:pPr>
              <w:suppressAutoHyphens w:val="0"/>
              <w:snapToGrid w:val="0"/>
              <w:ind w:left="-86" w:right="-36"/>
              <w:jc w:val="center"/>
              <w:rPr>
                <w:color w:val="auto"/>
                <w:sz w:val="14"/>
                <w:szCs w:val="14"/>
              </w:rPr>
            </w:pPr>
          </w:p>
        </w:tc>
        <w:tc>
          <w:tcPr>
            <w:tcW w:w="938" w:type="dxa"/>
            <w:tcBorders>
              <w:top w:val="single" w:sz="8" w:space="0" w:color="000001"/>
              <w:left w:val="single" w:sz="4" w:space="0" w:color="000001"/>
              <w:bottom w:val="single" w:sz="8" w:space="0" w:color="000001"/>
            </w:tcBorders>
            <w:shd w:val="clear" w:color="auto" w:fill="auto"/>
            <w:vAlign w:val="bottom"/>
          </w:tcPr>
          <w:p w:rsidR="00805D2D" w:rsidRPr="008D2E72" w:rsidRDefault="00642C1A">
            <w:pPr>
              <w:suppressAutoHyphens w:val="0"/>
              <w:ind w:left="-80" w:right="-35"/>
              <w:jc w:val="right"/>
              <w:rPr>
                <w:bCs/>
                <w:color w:val="auto"/>
                <w:sz w:val="14"/>
                <w:szCs w:val="14"/>
              </w:rPr>
            </w:pPr>
            <w:r w:rsidRPr="008D2E72">
              <w:rPr>
                <w:bCs/>
                <w:color w:val="auto"/>
                <w:sz w:val="14"/>
                <w:szCs w:val="14"/>
              </w:rPr>
              <w:t>2.542.366,12</w:t>
            </w:r>
          </w:p>
        </w:tc>
        <w:tc>
          <w:tcPr>
            <w:tcW w:w="323" w:type="dxa"/>
            <w:tcBorders>
              <w:top w:val="single" w:sz="8" w:space="0" w:color="000001"/>
              <w:left w:val="single" w:sz="4" w:space="0" w:color="000001"/>
              <w:bottom w:val="single" w:sz="8" w:space="0" w:color="000001"/>
              <w:right w:val="single" w:sz="8" w:space="0" w:color="000001"/>
            </w:tcBorders>
            <w:shd w:val="clear" w:color="auto" w:fill="auto"/>
            <w:vAlign w:val="bottom"/>
          </w:tcPr>
          <w:p w:rsidR="00805D2D" w:rsidRPr="008D2E72" w:rsidRDefault="00642C1A">
            <w:pPr>
              <w:suppressAutoHyphens w:val="0"/>
              <w:ind w:left="-132" w:right="-46"/>
              <w:jc w:val="right"/>
              <w:rPr>
                <w:color w:val="auto"/>
                <w:sz w:val="14"/>
                <w:szCs w:val="14"/>
              </w:rPr>
            </w:pPr>
            <w:r w:rsidRPr="008D2E72">
              <w:rPr>
                <w:color w:val="auto"/>
                <w:sz w:val="14"/>
                <w:szCs w:val="14"/>
              </w:rPr>
              <w:t>15,1%</w:t>
            </w:r>
          </w:p>
        </w:tc>
      </w:tr>
      <w:tr w:rsidR="00805D2D" w:rsidRPr="008D2E72">
        <w:trPr>
          <w:cantSplit/>
          <w:trHeight w:val="300"/>
        </w:trPr>
        <w:tc>
          <w:tcPr>
            <w:tcW w:w="789" w:type="dxa"/>
            <w:tcBorders>
              <w:left w:val="single" w:sz="8" w:space="0" w:color="000001"/>
            </w:tcBorders>
            <w:shd w:val="clear" w:color="auto" w:fill="auto"/>
            <w:tcMar>
              <w:left w:w="40" w:type="dxa"/>
            </w:tcMar>
            <w:vAlign w:val="center"/>
          </w:tcPr>
          <w:p w:rsidR="00805D2D" w:rsidRPr="008D2E72" w:rsidRDefault="00642C1A">
            <w:pPr>
              <w:suppressAutoHyphens w:val="0"/>
              <w:ind w:left="-70" w:right="-101"/>
              <w:jc w:val="center"/>
              <w:rPr>
                <w:bCs/>
                <w:color w:val="auto"/>
                <w:sz w:val="14"/>
                <w:szCs w:val="14"/>
              </w:rPr>
            </w:pPr>
            <w:r w:rsidRPr="008D2E72">
              <w:rPr>
                <w:bCs/>
                <w:color w:val="auto"/>
                <w:sz w:val="14"/>
                <w:szCs w:val="14"/>
              </w:rPr>
              <w:t>TOTAL  CRÉDITOS</w:t>
            </w:r>
          </w:p>
        </w:tc>
        <w:tc>
          <w:tcPr>
            <w:tcW w:w="760" w:type="dxa"/>
            <w:tcBorders>
              <w:left w:val="single" w:sz="4" w:space="0" w:color="000001"/>
            </w:tcBorders>
            <w:shd w:val="clear" w:color="auto" w:fill="auto"/>
            <w:tcMar>
              <w:left w:w="55" w:type="dxa"/>
            </w:tcMar>
            <w:vAlign w:val="center"/>
          </w:tcPr>
          <w:p w:rsidR="00805D2D" w:rsidRPr="008D2E72" w:rsidRDefault="00642C1A">
            <w:pPr>
              <w:suppressAutoHyphens w:val="0"/>
              <w:ind w:left="-9" w:right="-52"/>
              <w:jc w:val="right"/>
              <w:rPr>
                <w:bCs/>
                <w:color w:val="auto"/>
                <w:sz w:val="14"/>
                <w:szCs w:val="14"/>
              </w:rPr>
            </w:pPr>
            <w:r w:rsidRPr="008D2E72">
              <w:rPr>
                <w:bCs/>
                <w:color w:val="auto"/>
                <w:sz w:val="14"/>
                <w:szCs w:val="14"/>
              </w:rPr>
              <w:t> </w:t>
            </w:r>
          </w:p>
        </w:tc>
        <w:tc>
          <w:tcPr>
            <w:tcW w:w="988" w:type="dxa"/>
            <w:tcBorders>
              <w:left w:val="single" w:sz="4" w:space="0" w:color="000001"/>
            </w:tcBorders>
            <w:shd w:val="clear" w:color="auto" w:fill="auto"/>
            <w:vAlign w:val="center"/>
          </w:tcPr>
          <w:p w:rsidR="00805D2D" w:rsidRPr="008D2E72" w:rsidRDefault="00642C1A">
            <w:pPr>
              <w:suppressAutoHyphens w:val="0"/>
              <w:ind w:left="-27" w:right="-28"/>
              <w:jc w:val="right"/>
              <w:rPr>
                <w:bCs/>
                <w:color w:val="auto"/>
                <w:sz w:val="14"/>
                <w:szCs w:val="14"/>
              </w:rPr>
            </w:pPr>
            <w:r w:rsidRPr="008D2E72">
              <w:rPr>
                <w:bCs/>
                <w:color w:val="auto"/>
                <w:sz w:val="14"/>
                <w:szCs w:val="14"/>
              </w:rPr>
              <w:t>16.611.080,99</w:t>
            </w:r>
          </w:p>
        </w:tc>
        <w:tc>
          <w:tcPr>
            <w:tcW w:w="345" w:type="dxa"/>
            <w:tcBorders>
              <w:left w:val="single" w:sz="4" w:space="0" w:color="000001"/>
            </w:tcBorders>
            <w:shd w:val="clear" w:color="auto" w:fill="auto"/>
            <w:vAlign w:val="center"/>
          </w:tcPr>
          <w:p w:rsidR="00805D2D" w:rsidRPr="008D2E72" w:rsidRDefault="00805D2D">
            <w:pPr>
              <w:suppressAutoHyphens w:val="0"/>
              <w:snapToGrid w:val="0"/>
              <w:ind w:left="-57" w:right="-108"/>
              <w:jc w:val="right"/>
              <w:rPr>
                <w:bCs/>
                <w:color w:val="auto"/>
                <w:sz w:val="14"/>
                <w:szCs w:val="14"/>
              </w:rPr>
            </w:pPr>
          </w:p>
        </w:tc>
        <w:tc>
          <w:tcPr>
            <w:tcW w:w="817" w:type="dxa"/>
            <w:tcBorders>
              <w:left w:val="single" w:sz="4" w:space="0" w:color="000001"/>
            </w:tcBorders>
            <w:shd w:val="clear" w:color="auto" w:fill="auto"/>
            <w:vAlign w:val="center"/>
          </w:tcPr>
          <w:p w:rsidR="00805D2D" w:rsidRPr="008D2E72" w:rsidRDefault="00642C1A">
            <w:pPr>
              <w:suppressAutoHyphens w:val="0"/>
              <w:ind w:left="-70" w:right="-70"/>
              <w:jc w:val="right"/>
              <w:rPr>
                <w:bCs/>
                <w:color w:val="auto"/>
                <w:sz w:val="14"/>
                <w:szCs w:val="14"/>
              </w:rPr>
            </w:pPr>
            <w:r w:rsidRPr="008D2E72">
              <w:rPr>
                <w:bCs/>
                <w:color w:val="auto"/>
                <w:sz w:val="14"/>
                <w:szCs w:val="14"/>
              </w:rPr>
              <w:t>67.953.702,28</w:t>
            </w:r>
          </w:p>
        </w:tc>
        <w:tc>
          <w:tcPr>
            <w:tcW w:w="335" w:type="dxa"/>
            <w:tcBorders>
              <w:left w:val="single" w:sz="4" w:space="0" w:color="000001"/>
            </w:tcBorders>
            <w:shd w:val="clear" w:color="auto" w:fill="auto"/>
            <w:vAlign w:val="center"/>
          </w:tcPr>
          <w:p w:rsidR="00805D2D" w:rsidRPr="008D2E72" w:rsidRDefault="00805D2D">
            <w:pPr>
              <w:suppressAutoHyphens w:val="0"/>
              <w:snapToGrid w:val="0"/>
              <w:ind w:left="-70" w:right="-95"/>
              <w:jc w:val="right"/>
              <w:rPr>
                <w:bCs/>
                <w:color w:val="auto"/>
                <w:sz w:val="14"/>
                <w:szCs w:val="14"/>
              </w:rPr>
            </w:pPr>
          </w:p>
        </w:tc>
        <w:tc>
          <w:tcPr>
            <w:tcW w:w="887" w:type="dxa"/>
            <w:tcBorders>
              <w:left w:val="single" w:sz="4" w:space="0" w:color="000001"/>
            </w:tcBorders>
            <w:shd w:val="clear" w:color="auto" w:fill="auto"/>
            <w:vAlign w:val="center"/>
          </w:tcPr>
          <w:p w:rsidR="00805D2D" w:rsidRPr="008D2E72" w:rsidRDefault="00642C1A">
            <w:pPr>
              <w:suppressAutoHyphens w:val="0"/>
              <w:ind w:left="-22" w:right="-32"/>
              <w:jc w:val="right"/>
              <w:rPr>
                <w:bCs/>
                <w:color w:val="auto"/>
                <w:sz w:val="14"/>
                <w:szCs w:val="14"/>
              </w:rPr>
            </w:pPr>
            <w:r w:rsidRPr="008D2E72">
              <w:rPr>
                <w:bCs/>
                <w:color w:val="auto"/>
                <w:sz w:val="14"/>
                <w:szCs w:val="14"/>
              </w:rPr>
              <w:t>72.061.782,01</w:t>
            </w:r>
          </w:p>
        </w:tc>
        <w:tc>
          <w:tcPr>
            <w:tcW w:w="428" w:type="dxa"/>
            <w:tcBorders>
              <w:left w:val="single" w:sz="4" w:space="0" w:color="000001"/>
            </w:tcBorders>
            <w:shd w:val="clear" w:color="auto" w:fill="auto"/>
            <w:vAlign w:val="center"/>
          </w:tcPr>
          <w:p w:rsidR="00805D2D" w:rsidRPr="008D2E72" w:rsidRDefault="00642C1A">
            <w:pPr>
              <w:suppressAutoHyphens w:val="0"/>
              <w:ind w:left="-54" w:right="-21"/>
              <w:jc w:val="right"/>
              <w:rPr>
                <w:bCs/>
                <w:color w:val="auto"/>
                <w:sz w:val="14"/>
                <w:szCs w:val="14"/>
              </w:rPr>
            </w:pPr>
            <w:r w:rsidRPr="008D2E72">
              <w:rPr>
                <w:bCs/>
                <w:color w:val="auto"/>
                <w:sz w:val="14"/>
                <w:szCs w:val="14"/>
              </w:rPr>
              <w:t> </w:t>
            </w:r>
          </w:p>
        </w:tc>
        <w:tc>
          <w:tcPr>
            <w:tcW w:w="846" w:type="dxa"/>
            <w:tcBorders>
              <w:left w:val="single" w:sz="4" w:space="0" w:color="000001"/>
            </w:tcBorders>
            <w:shd w:val="clear" w:color="auto" w:fill="auto"/>
            <w:vAlign w:val="center"/>
          </w:tcPr>
          <w:p w:rsidR="00805D2D" w:rsidRPr="008D2E72" w:rsidRDefault="00642C1A">
            <w:pPr>
              <w:suppressAutoHyphens w:val="0"/>
              <w:ind w:left="-95" w:right="-33"/>
              <w:jc w:val="right"/>
              <w:rPr>
                <w:bCs/>
                <w:color w:val="auto"/>
                <w:sz w:val="14"/>
                <w:szCs w:val="14"/>
              </w:rPr>
            </w:pPr>
            <w:r w:rsidRPr="008D2E72">
              <w:rPr>
                <w:bCs/>
                <w:color w:val="auto"/>
                <w:sz w:val="14"/>
                <w:szCs w:val="14"/>
              </w:rPr>
              <w:t>32.112.063,72</w:t>
            </w:r>
          </w:p>
        </w:tc>
        <w:tc>
          <w:tcPr>
            <w:tcW w:w="347" w:type="dxa"/>
            <w:tcBorders>
              <w:left w:val="single" w:sz="4" w:space="0" w:color="000001"/>
            </w:tcBorders>
            <w:shd w:val="clear" w:color="auto" w:fill="auto"/>
            <w:vAlign w:val="center"/>
          </w:tcPr>
          <w:p w:rsidR="00805D2D" w:rsidRPr="008D2E72" w:rsidRDefault="00805D2D">
            <w:pPr>
              <w:suppressAutoHyphens w:val="0"/>
              <w:snapToGrid w:val="0"/>
              <w:ind w:left="-70" w:right="-99"/>
              <w:jc w:val="right"/>
              <w:rPr>
                <w:bCs/>
                <w:color w:val="auto"/>
                <w:sz w:val="14"/>
                <w:szCs w:val="14"/>
              </w:rPr>
            </w:pPr>
          </w:p>
        </w:tc>
        <w:tc>
          <w:tcPr>
            <w:tcW w:w="884" w:type="dxa"/>
            <w:tcBorders>
              <w:left w:val="single" w:sz="4" w:space="0" w:color="000001"/>
            </w:tcBorders>
            <w:shd w:val="clear" w:color="auto" w:fill="auto"/>
            <w:vAlign w:val="center"/>
          </w:tcPr>
          <w:p w:rsidR="00805D2D" w:rsidRPr="008D2E72" w:rsidRDefault="00642C1A">
            <w:pPr>
              <w:suppressAutoHyphens w:val="0"/>
              <w:ind w:left="-70"/>
              <w:jc w:val="right"/>
              <w:rPr>
                <w:bCs/>
                <w:color w:val="auto"/>
                <w:sz w:val="14"/>
                <w:szCs w:val="14"/>
              </w:rPr>
            </w:pPr>
            <w:r w:rsidRPr="008D2E72">
              <w:rPr>
                <w:bCs/>
                <w:color w:val="auto"/>
                <w:sz w:val="14"/>
                <w:szCs w:val="14"/>
              </w:rPr>
              <w:t>10.860.381,08</w:t>
            </w:r>
          </w:p>
        </w:tc>
        <w:tc>
          <w:tcPr>
            <w:tcW w:w="398" w:type="dxa"/>
            <w:tcBorders>
              <w:left w:val="single" w:sz="4" w:space="0" w:color="000001"/>
            </w:tcBorders>
            <w:shd w:val="clear" w:color="auto" w:fill="auto"/>
            <w:vAlign w:val="center"/>
          </w:tcPr>
          <w:p w:rsidR="00805D2D" w:rsidRPr="008D2E72" w:rsidRDefault="00805D2D">
            <w:pPr>
              <w:suppressAutoHyphens w:val="0"/>
              <w:snapToGrid w:val="0"/>
              <w:ind w:left="-86" w:right="-36"/>
              <w:jc w:val="right"/>
              <w:rPr>
                <w:bCs/>
                <w:color w:val="auto"/>
                <w:sz w:val="14"/>
                <w:szCs w:val="14"/>
              </w:rPr>
            </w:pPr>
          </w:p>
        </w:tc>
        <w:tc>
          <w:tcPr>
            <w:tcW w:w="938" w:type="dxa"/>
            <w:tcBorders>
              <w:left w:val="single" w:sz="4" w:space="0" w:color="000001"/>
            </w:tcBorders>
            <w:shd w:val="clear" w:color="auto" w:fill="auto"/>
            <w:vAlign w:val="center"/>
          </w:tcPr>
          <w:p w:rsidR="00805D2D" w:rsidRPr="008D2E72" w:rsidRDefault="00642C1A">
            <w:pPr>
              <w:suppressAutoHyphens w:val="0"/>
              <w:ind w:left="-80" w:right="-35"/>
              <w:jc w:val="right"/>
              <w:rPr>
                <w:bCs/>
                <w:color w:val="auto"/>
                <w:sz w:val="14"/>
                <w:szCs w:val="14"/>
              </w:rPr>
            </w:pPr>
            <w:r w:rsidRPr="008D2E72">
              <w:rPr>
                <w:bCs/>
                <w:color w:val="auto"/>
                <w:sz w:val="14"/>
                <w:szCs w:val="14"/>
              </w:rPr>
              <w:t>199.599.010,08</w:t>
            </w:r>
          </w:p>
        </w:tc>
        <w:tc>
          <w:tcPr>
            <w:tcW w:w="323" w:type="dxa"/>
            <w:tcBorders>
              <w:left w:val="single" w:sz="4" w:space="0" w:color="000001"/>
              <w:right w:val="single" w:sz="8" w:space="0" w:color="000001"/>
            </w:tcBorders>
            <w:shd w:val="clear" w:color="auto" w:fill="auto"/>
            <w:vAlign w:val="center"/>
          </w:tcPr>
          <w:p w:rsidR="00805D2D" w:rsidRPr="008D2E72" w:rsidRDefault="00642C1A">
            <w:pPr>
              <w:suppressAutoHyphens w:val="0"/>
              <w:ind w:left="-132" w:right="-46"/>
              <w:jc w:val="right"/>
              <w:rPr>
                <w:bCs/>
                <w:color w:val="auto"/>
                <w:sz w:val="14"/>
                <w:szCs w:val="14"/>
              </w:rPr>
            </w:pPr>
            <w:r w:rsidRPr="008D2E72">
              <w:rPr>
                <w:bCs/>
                <w:color w:val="auto"/>
                <w:sz w:val="14"/>
                <w:szCs w:val="14"/>
              </w:rPr>
              <w:t> </w:t>
            </w:r>
          </w:p>
        </w:tc>
      </w:tr>
      <w:tr w:rsidR="00805D2D" w:rsidRPr="008D2E72">
        <w:trPr>
          <w:cantSplit/>
          <w:trHeight w:val="300"/>
        </w:trPr>
        <w:tc>
          <w:tcPr>
            <w:tcW w:w="789" w:type="dxa"/>
            <w:tcBorders>
              <w:top w:val="single" w:sz="8" w:space="0" w:color="000001"/>
              <w:left w:val="single" w:sz="8" w:space="0" w:color="000001"/>
              <w:bottom w:val="single" w:sz="8" w:space="0" w:color="000001"/>
            </w:tcBorders>
            <w:shd w:val="clear" w:color="auto" w:fill="auto"/>
            <w:tcMar>
              <w:left w:w="40" w:type="dxa"/>
            </w:tcMar>
            <w:vAlign w:val="center"/>
          </w:tcPr>
          <w:p w:rsidR="00805D2D" w:rsidRPr="008D2E72" w:rsidRDefault="00642C1A">
            <w:pPr>
              <w:suppressAutoHyphens w:val="0"/>
              <w:ind w:left="-70" w:right="-101"/>
              <w:jc w:val="center"/>
              <w:rPr>
                <w:bCs/>
                <w:color w:val="auto"/>
                <w:sz w:val="14"/>
                <w:szCs w:val="14"/>
              </w:rPr>
            </w:pPr>
            <w:r w:rsidRPr="008D2E72">
              <w:rPr>
                <w:bCs/>
                <w:color w:val="auto"/>
                <w:sz w:val="14"/>
                <w:szCs w:val="14"/>
              </w:rPr>
              <w:t>TOTAL</w:t>
            </w:r>
          </w:p>
          <w:p w:rsidR="00805D2D" w:rsidRPr="008D2E72" w:rsidRDefault="00642C1A">
            <w:pPr>
              <w:suppressAutoHyphens w:val="0"/>
              <w:ind w:left="-70" w:right="-101"/>
              <w:jc w:val="center"/>
              <w:rPr>
                <w:bCs/>
                <w:color w:val="auto"/>
                <w:sz w:val="14"/>
                <w:szCs w:val="14"/>
              </w:rPr>
            </w:pPr>
            <w:r w:rsidRPr="008D2E72">
              <w:rPr>
                <w:bCs/>
                <w:color w:val="auto"/>
                <w:sz w:val="14"/>
                <w:szCs w:val="14"/>
              </w:rPr>
              <w:t>DÉBITOS</w:t>
            </w:r>
          </w:p>
        </w:tc>
        <w:tc>
          <w:tcPr>
            <w:tcW w:w="760" w:type="dxa"/>
            <w:tcBorders>
              <w:top w:val="single" w:sz="8" w:space="0" w:color="000001"/>
              <w:left w:val="single" w:sz="4" w:space="0" w:color="000001"/>
              <w:bottom w:val="single" w:sz="8" w:space="0" w:color="000001"/>
            </w:tcBorders>
            <w:shd w:val="clear" w:color="auto" w:fill="auto"/>
            <w:tcMar>
              <w:left w:w="55" w:type="dxa"/>
            </w:tcMar>
            <w:vAlign w:val="center"/>
          </w:tcPr>
          <w:p w:rsidR="00805D2D" w:rsidRPr="008D2E72" w:rsidRDefault="00642C1A">
            <w:pPr>
              <w:suppressAutoHyphens w:val="0"/>
              <w:ind w:left="-9" w:right="-52"/>
              <w:jc w:val="right"/>
              <w:rPr>
                <w:bCs/>
                <w:color w:val="auto"/>
                <w:sz w:val="14"/>
                <w:szCs w:val="14"/>
              </w:rPr>
            </w:pPr>
            <w:r w:rsidRPr="008D2E72">
              <w:rPr>
                <w:bCs/>
                <w:color w:val="auto"/>
                <w:sz w:val="14"/>
                <w:szCs w:val="14"/>
              </w:rPr>
              <w:t> </w:t>
            </w:r>
          </w:p>
        </w:tc>
        <w:tc>
          <w:tcPr>
            <w:tcW w:w="988" w:type="dxa"/>
            <w:tcBorders>
              <w:top w:val="single" w:sz="8" w:space="0" w:color="000001"/>
              <w:left w:val="single" w:sz="4" w:space="0" w:color="000001"/>
              <w:bottom w:val="single" w:sz="8" w:space="0" w:color="000001"/>
            </w:tcBorders>
            <w:shd w:val="clear" w:color="auto" w:fill="auto"/>
            <w:vAlign w:val="center"/>
          </w:tcPr>
          <w:p w:rsidR="00805D2D" w:rsidRPr="008D2E72" w:rsidRDefault="00642C1A">
            <w:pPr>
              <w:suppressAutoHyphens w:val="0"/>
              <w:ind w:left="-27" w:right="-28"/>
              <w:jc w:val="right"/>
              <w:rPr>
                <w:bCs/>
                <w:color w:val="auto"/>
                <w:sz w:val="14"/>
                <w:szCs w:val="14"/>
              </w:rPr>
            </w:pPr>
            <w:r w:rsidRPr="008D2E72">
              <w:rPr>
                <w:bCs/>
                <w:color w:val="auto"/>
                <w:sz w:val="14"/>
                <w:szCs w:val="14"/>
              </w:rPr>
              <w:t>16.419.011,01</w:t>
            </w:r>
          </w:p>
        </w:tc>
        <w:tc>
          <w:tcPr>
            <w:tcW w:w="345" w:type="dxa"/>
            <w:tcBorders>
              <w:top w:val="single" w:sz="8" w:space="0" w:color="000001"/>
              <w:left w:val="single" w:sz="4" w:space="0" w:color="000001"/>
              <w:bottom w:val="single" w:sz="8" w:space="0" w:color="000001"/>
            </w:tcBorders>
            <w:shd w:val="clear" w:color="auto" w:fill="auto"/>
            <w:vAlign w:val="center"/>
          </w:tcPr>
          <w:p w:rsidR="00805D2D" w:rsidRPr="008D2E72" w:rsidRDefault="00805D2D">
            <w:pPr>
              <w:suppressAutoHyphens w:val="0"/>
              <w:snapToGrid w:val="0"/>
              <w:ind w:left="-57" w:right="-108"/>
              <w:jc w:val="right"/>
              <w:rPr>
                <w:bCs/>
                <w:color w:val="auto"/>
                <w:sz w:val="14"/>
                <w:szCs w:val="14"/>
              </w:rPr>
            </w:pPr>
          </w:p>
        </w:tc>
        <w:tc>
          <w:tcPr>
            <w:tcW w:w="817" w:type="dxa"/>
            <w:tcBorders>
              <w:top w:val="single" w:sz="8" w:space="0" w:color="000001"/>
              <w:left w:val="single" w:sz="4" w:space="0" w:color="000001"/>
              <w:bottom w:val="single" w:sz="8" w:space="0" w:color="000001"/>
            </w:tcBorders>
            <w:shd w:val="clear" w:color="auto" w:fill="auto"/>
            <w:vAlign w:val="center"/>
          </w:tcPr>
          <w:p w:rsidR="00805D2D" w:rsidRPr="008D2E72" w:rsidRDefault="00642C1A">
            <w:pPr>
              <w:suppressAutoHyphens w:val="0"/>
              <w:ind w:left="-70" w:right="-70"/>
              <w:jc w:val="right"/>
              <w:rPr>
                <w:bCs/>
                <w:color w:val="auto"/>
                <w:sz w:val="14"/>
                <w:szCs w:val="14"/>
              </w:rPr>
            </w:pPr>
            <w:r w:rsidRPr="008D2E72">
              <w:rPr>
                <w:bCs/>
                <w:color w:val="auto"/>
                <w:sz w:val="14"/>
                <w:szCs w:val="14"/>
              </w:rPr>
              <w:t>65.568.061,69</w:t>
            </w:r>
          </w:p>
        </w:tc>
        <w:tc>
          <w:tcPr>
            <w:tcW w:w="335" w:type="dxa"/>
            <w:tcBorders>
              <w:top w:val="single" w:sz="8" w:space="0" w:color="000001"/>
              <w:left w:val="single" w:sz="4" w:space="0" w:color="000001"/>
              <w:bottom w:val="single" w:sz="8" w:space="0" w:color="000001"/>
            </w:tcBorders>
            <w:shd w:val="clear" w:color="auto" w:fill="auto"/>
            <w:vAlign w:val="center"/>
          </w:tcPr>
          <w:p w:rsidR="00805D2D" w:rsidRPr="008D2E72" w:rsidRDefault="00805D2D">
            <w:pPr>
              <w:suppressAutoHyphens w:val="0"/>
              <w:snapToGrid w:val="0"/>
              <w:ind w:left="-70" w:right="-95"/>
              <w:jc w:val="right"/>
              <w:rPr>
                <w:bCs/>
                <w:color w:val="auto"/>
                <w:sz w:val="14"/>
                <w:szCs w:val="14"/>
              </w:rPr>
            </w:pPr>
          </w:p>
        </w:tc>
        <w:tc>
          <w:tcPr>
            <w:tcW w:w="887" w:type="dxa"/>
            <w:tcBorders>
              <w:top w:val="single" w:sz="8" w:space="0" w:color="000001"/>
              <w:left w:val="single" w:sz="4" w:space="0" w:color="000001"/>
              <w:bottom w:val="single" w:sz="8" w:space="0" w:color="000001"/>
            </w:tcBorders>
            <w:shd w:val="clear" w:color="auto" w:fill="auto"/>
            <w:vAlign w:val="center"/>
          </w:tcPr>
          <w:p w:rsidR="00805D2D" w:rsidRPr="008D2E72" w:rsidRDefault="00642C1A">
            <w:pPr>
              <w:suppressAutoHyphens w:val="0"/>
              <w:ind w:left="-22" w:right="-32"/>
              <w:jc w:val="right"/>
              <w:rPr>
                <w:bCs/>
                <w:color w:val="auto"/>
                <w:sz w:val="14"/>
                <w:szCs w:val="14"/>
              </w:rPr>
            </w:pPr>
            <w:r w:rsidRPr="008D2E72">
              <w:rPr>
                <w:bCs/>
                <w:color w:val="auto"/>
                <w:sz w:val="14"/>
                <w:szCs w:val="14"/>
              </w:rPr>
              <w:t>60.717.172,95</w:t>
            </w:r>
          </w:p>
        </w:tc>
        <w:tc>
          <w:tcPr>
            <w:tcW w:w="428" w:type="dxa"/>
            <w:tcBorders>
              <w:top w:val="single" w:sz="8" w:space="0" w:color="000001"/>
              <w:left w:val="single" w:sz="4" w:space="0" w:color="000001"/>
              <w:bottom w:val="single" w:sz="8" w:space="0" w:color="000001"/>
            </w:tcBorders>
            <w:shd w:val="clear" w:color="auto" w:fill="auto"/>
            <w:vAlign w:val="center"/>
          </w:tcPr>
          <w:p w:rsidR="00805D2D" w:rsidRPr="008D2E72" w:rsidRDefault="00642C1A">
            <w:pPr>
              <w:suppressAutoHyphens w:val="0"/>
              <w:ind w:left="-54" w:right="-21"/>
              <w:jc w:val="right"/>
              <w:rPr>
                <w:bCs/>
                <w:color w:val="auto"/>
                <w:sz w:val="14"/>
                <w:szCs w:val="14"/>
              </w:rPr>
            </w:pPr>
            <w:r w:rsidRPr="008D2E72">
              <w:rPr>
                <w:bCs/>
                <w:color w:val="auto"/>
                <w:sz w:val="14"/>
                <w:szCs w:val="14"/>
              </w:rPr>
              <w:t> </w:t>
            </w:r>
          </w:p>
        </w:tc>
        <w:tc>
          <w:tcPr>
            <w:tcW w:w="846" w:type="dxa"/>
            <w:tcBorders>
              <w:top w:val="single" w:sz="8" w:space="0" w:color="000001"/>
              <w:left w:val="single" w:sz="4" w:space="0" w:color="000001"/>
              <w:bottom w:val="single" w:sz="8" w:space="0" w:color="000001"/>
            </w:tcBorders>
            <w:shd w:val="clear" w:color="auto" w:fill="auto"/>
            <w:vAlign w:val="center"/>
          </w:tcPr>
          <w:p w:rsidR="00805D2D" w:rsidRPr="008D2E72" w:rsidRDefault="00642C1A">
            <w:pPr>
              <w:suppressAutoHyphens w:val="0"/>
              <w:ind w:left="-95" w:right="-33"/>
              <w:jc w:val="right"/>
              <w:rPr>
                <w:bCs/>
                <w:color w:val="auto"/>
                <w:sz w:val="14"/>
                <w:szCs w:val="14"/>
              </w:rPr>
            </w:pPr>
            <w:r w:rsidRPr="008D2E72">
              <w:rPr>
                <w:bCs/>
                <w:color w:val="auto"/>
                <w:sz w:val="14"/>
                <w:szCs w:val="14"/>
              </w:rPr>
              <w:t>45.048.842,19</w:t>
            </w:r>
          </w:p>
        </w:tc>
        <w:tc>
          <w:tcPr>
            <w:tcW w:w="347" w:type="dxa"/>
            <w:tcBorders>
              <w:top w:val="single" w:sz="8" w:space="0" w:color="000001"/>
              <w:left w:val="single" w:sz="4" w:space="0" w:color="000001"/>
              <w:bottom w:val="single" w:sz="8" w:space="0" w:color="000001"/>
            </w:tcBorders>
            <w:shd w:val="clear" w:color="auto" w:fill="auto"/>
            <w:vAlign w:val="center"/>
          </w:tcPr>
          <w:p w:rsidR="00805D2D" w:rsidRPr="008D2E72" w:rsidRDefault="00805D2D">
            <w:pPr>
              <w:suppressAutoHyphens w:val="0"/>
              <w:snapToGrid w:val="0"/>
              <w:ind w:left="-70" w:right="-99"/>
              <w:jc w:val="right"/>
              <w:rPr>
                <w:bCs/>
                <w:color w:val="auto"/>
                <w:sz w:val="14"/>
                <w:szCs w:val="14"/>
              </w:rPr>
            </w:pPr>
          </w:p>
        </w:tc>
        <w:tc>
          <w:tcPr>
            <w:tcW w:w="884" w:type="dxa"/>
            <w:tcBorders>
              <w:top w:val="single" w:sz="8" w:space="0" w:color="000001"/>
              <w:left w:val="single" w:sz="4" w:space="0" w:color="000001"/>
              <w:bottom w:val="single" w:sz="8" w:space="0" w:color="000001"/>
            </w:tcBorders>
            <w:shd w:val="clear" w:color="auto" w:fill="auto"/>
            <w:vAlign w:val="center"/>
          </w:tcPr>
          <w:p w:rsidR="00805D2D" w:rsidRPr="008D2E72" w:rsidRDefault="00642C1A">
            <w:pPr>
              <w:suppressAutoHyphens w:val="0"/>
              <w:ind w:left="-70"/>
              <w:jc w:val="right"/>
              <w:rPr>
                <w:bCs/>
                <w:color w:val="auto"/>
                <w:sz w:val="14"/>
                <w:szCs w:val="14"/>
              </w:rPr>
            </w:pPr>
            <w:r w:rsidRPr="008D2E72">
              <w:rPr>
                <w:bCs/>
                <w:color w:val="auto"/>
                <w:sz w:val="14"/>
                <w:szCs w:val="14"/>
              </w:rPr>
              <w:t>11.475.568,41</w:t>
            </w:r>
          </w:p>
        </w:tc>
        <w:tc>
          <w:tcPr>
            <w:tcW w:w="398" w:type="dxa"/>
            <w:tcBorders>
              <w:top w:val="single" w:sz="8" w:space="0" w:color="000001"/>
              <w:left w:val="single" w:sz="4" w:space="0" w:color="000001"/>
              <w:bottom w:val="single" w:sz="8" w:space="0" w:color="000001"/>
            </w:tcBorders>
            <w:shd w:val="clear" w:color="auto" w:fill="auto"/>
            <w:vAlign w:val="center"/>
          </w:tcPr>
          <w:p w:rsidR="00805D2D" w:rsidRPr="008D2E72" w:rsidRDefault="00805D2D">
            <w:pPr>
              <w:suppressAutoHyphens w:val="0"/>
              <w:snapToGrid w:val="0"/>
              <w:ind w:left="-86" w:right="-36"/>
              <w:jc w:val="right"/>
              <w:rPr>
                <w:bCs/>
                <w:color w:val="auto"/>
                <w:sz w:val="14"/>
                <w:szCs w:val="14"/>
              </w:rPr>
            </w:pPr>
          </w:p>
        </w:tc>
        <w:tc>
          <w:tcPr>
            <w:tcW w:w="938" w:type="dxa"/>
            <w:tcBorders>
              <w:top w:val="single" w:sz="8" w:space="0" w:color="000001"/>
              <w:left w:val="single" w:sz="4" w:space="0" w:color="000001"/>
              <w:bottom w:val="single" w:sz="8" w:space="0" w:color="000001"/>
            </w:tcBorders>
            <w:shd w:val="clear" w:color="auto" w:fill="auto"/>
            <w:vAlign w:val="center"/>
          </w:tcPr>
          <w:p w:rsidR="00805D2D" w:rsidRPr="008D2E72" w:rsidRDefault="00642C1A">
            <w:pPr>
              <w:suppressAutoHyphens w:val="0"/>
              <w:ind w:left="-80" w:right="-35"/>
              <w:jc w:val="right"/>
              <w:rPr>
                <w:bCs/>
                <w:color w:val="auto"/>
                <w:sz w:val="14"/>
                <w:szCs w:val="14"/>
              </w:rPr>
            </w:pPr>
            <w:r w:rsidRPr="008D2E72">
              <w:rPr>
                <w:bCs/>
                <w:color w:val="auto"/>
                <w:sz w:val="14"/>
                <w:szCs w:val="14"/>
              </w:rPr>
              <w:t>199.228.656,25</w:t>
            </w:r>
          </w:p>
        </w:tc>
        <w:tc>
          <w:tcPr>
            <w:tcW w:w="323" w:type="dxa"/>
            <w:tcBorders>
              <w:top w:val="single" w:sz="8" w:space="0" w:color="000001"/>
              <w:left w:val="single" w:sz="4" w:space="0" w:color="000001"/>
              <w:bottom w:val="single" w:sz="8" w:space="0" w:color="000001"/>
              <w:right w:val="single" w:sz="8" w:space="0" w:color="000001"/>
            </w:tcBorders>
            <w:shd w:val="clear" w:color="auto" w:fill="auto"/>
            <w:vAlign w:val="center"/>
          </w:tcPr>
          <w:p w:rsidR="00805D2D" w:rsidRPr="008D2E72" w:rsidRDefault="00642C1A">
            <w:pPr>
              <w:suppressAutoHyphens w:val="0"/>
              <w:ind w:left="-132" w:right="-46"/>
              <w:jc w:val="right"/>
              <w:rPr>
                <w:bCs/>
                <w:color w:val="auto"/>
                <w:sz w:val="14"/>
                <w:szCs w:val="14"/>
              </w:rPr>
            </w:pPr>
            <w:r w:rsidRPr="008D2E72">
              <w:rPr>
                <w:bCs/>
                <w:color w:val="auto"/>
                <w:sz w:val="14"/>
                <w:szCs w:val="14"/>
              </w:rPr>
              <w:t> </w:t>
            </w:r>
          </w:p>
        </w:tc>
      </w:tr>
      <w:tr w:rsidR="00805D2D" w:rsidRPr="008D2E72">
        <w:trPr>
          <w:cantSplit/>
          <w:trHeight w:val="300"/>
        </w:trPr>
        <w:tc>
          <w:tcPr>
            <w:tcW w:w="789" w:type="dxa"/>
            <w:tcBorders>
              <w:top w:val="single" w:sz="8" w:space="0" w:color="000001"/>
              <w:left w:val="single" w:sz="8" w:space="0" w:color="000001"/>
              <w:bottom w:val="single" w:sz="8" w:space="0" w:color="000001"/>
            </w:tcBorders>
            <w:shd w:val="clear" w:color="auto" w:fill="auto"/>
            <w:tcMar>
              <w:left w:w="40" w:type="dxa"/>
            </w:tcMar>
            <w:vAlign w:val="center"/>
          </w:tcPr>
          <w:p w:rsidR="00805D2D" w:rsidRPr="008D2E72" w:rsidRDefault="00642C1A">
            <w:pPr>
              <w:suppressAutoHyphens w:val="0"/>
              <w:ind w:left="-70" w:right="-101"/>
              <w:jc w:val="center"/>
              <w:rPr>
                <w:bCs/>
                <w:color w:val="auto"/>
                <w:sz w:val="14"/>
                <w:szCs w:val="14"/>
              </w:rPr>
            </w:pPr>
            <w:r w:rsidRPr="008D2E72">
              <w:rPr>
                <w:bCs/>
                <w:color w:val="auto"/>
                <w:sz w:val="14"/>
                <w:szCs w:val="14"/>
              </w:rPr>
              <w:t>SAQUES e CHEQUES</w:t>
            </w:r>
          </w:p>
        </w:tc>
        <w:tc>
          <w:tcPr>
            <w:tcW w:w="760" w:type="dxa"/>
            <w:tcBorders>
              <w:top w:val="single" w:sz="8" w:space="0" w:color="000001"/>
              <w:left w:val="single" w:sz="4" w:space="0" w:color="000001"/>
              <w:bottom w:val="single" w:sz="8" w:space="0" w:color="000001"/>
            </w:tcBorders>
            <w:shd w:val="clear" w:color="auto" w:fill="auto"/>
            <w:tcMar>
              <w:left w:w="55" w:type="dxa"/>
            </w:tcMar>
            <w:vAlign w:val="center"/>
          </w:tcPr>
          <w:p w:rsidR="00805D2D" w:rsidRPr="008D2E72" w:rsidRDefault="00642C1A">
            <w:pPr>
              <w:suppressAutoHyphens w:val="0"/>
              <w:ind w:left="-9" w:right="-52"/>
              <w:jc w:val="right"/>
              <w:rPr>
                <w:bCs/>
                <w:color w:val="auto"/>
                <w:sz w:val="14"/>
                <w:szCs w:val="14"/>
              </w:rPr>
            </w:pPr>
            <w:r w:rsidRPr="008D2E72">
              <w:rPr>
                <w:bCs/>
                <w:color w:val="auto"/>
                <w:sz w:val="14"/>
                <w:szCs w:val="14"/>
              </w:rPr>
              <w:t> </w:t>
            </w:r>
          </w:p>
        </w:tc>
        <w:tc>
          <w:tcPr>
            <w:tcW w:w="988" w:type="dxa"/>
            <w:tcBorders>
              <w:top w:val="single" w:sz="8" w:space="0" w:color="000001"/>
              <w:left w:val="single" w:sz="4" w:space="0" w:color="000001"/>
              <w:bottom w:val="single" w:sz="8" w:space="0" w:color="000001"/>
            </w:tcBorders>
            <w:shd w:val="clear" w:color="auto" w:fill="auto"/>
            <w:vAlign w:val="center"/>
          </w:tcPr>
          <w:p w:rsidR="00805D2D" w:rsidRPr="008D2E72" w:rsidRDefault="00642C1A">
            <w:pPr>
              <w:suppressAutoHyphens w:val="0"/>
              <w:ind w:left="-27" w:right="-28"/>
              <w:jc w:val="right"/>
              <w:rPr>
                <w:bCs/>
                <w:color w:val="auto"/>
                <w:sz w:val="14"/>
                <w:szCs w:val="14"/>
              </w:rPr>
            </w:pPr>
            <w:r w:rsidRPr="008D2E72">
              <w:rPr>
                <w:bCs/>
                <w:color w:val="auto"/>
                <w:sz w:val="14"/>
                <w:szCs w:val="14"/>
              </w:rPr>
              <w:t>9.143.484,86</w:t>
            </w:r>
          </w:p>
        </w:tc>
        <w:tc>
          <w:tcPr>
            <w:tcW w:w="345" w:type="dxa"/>
            <w:tcBorders>
              <w:top w:val="single" w:sz="4" w:space="0" w:color="000001"/>
              <w:left w:val="single" w:sz="4" w:space="0" w:color="000001"/>
              <w:bottom w:val="single" w:sz="8" w:space="0" w:color="000001"/>
            </w:tcBorders>
            <w:shd w:val="clear" w:color="auto" w:fill="auto"/>
            <w:vAlign w:val="center"/>
          </w:tcPr>
          <w:p w:rsidR="00805D2D" w:rsidRPr="008D2E72" w:rsidRDefault="00642C1A">
            <w:pPr>
              <w:suppressAutoHyphens w:val="0"/>
              <w:ind w:left="-57" w:right="-108"/>
              <w:jc w:val="right"/>
              <w:rPr>
                <w:bCs/>
                <w:color w:val="auto"/>
                <w:sz w:val="14"/>
                <w:szCs w:val="14"/>
              </w:rPr>
            </w:pPr>
            <w:r w:rsidRPr="008D2E72">
              <w:rPr>
                <w:bCs/>
                <w:color w:val="auto"/>
                <w:sz w:val="14"/>
                <w:szCs w:val="14"/>
              </w:rPr>
              <w:t>55%</w:t>
            </w:r>
          </w:p>
        </w:tc>
        <w:tc>
          <w:tcPr>
            <w:tcW w:w="817" w:type="dxa"/>
            <w:tcBorders>
              <w:top w:val="single" w:sz="8" w:space="0" w:color="000001"/>
              <w:left w:val="single" w:sz="4" w:space="0" w:color="000001"/>
              <w:bottom w:val="single" w:sz="8" w:space="0" w:color="000001"/>
            </w:tcBorders>
            <w:shd w:val="clear" w:color="auto" w:fill="auto"/>
            <w:vAlign w:val="center"/>
          </w:tcPr>
          <w:p w:rsidR="00805D2D" w:rsidRPr="008D2E72" w:rsidRDefault="00642C1A">
            <w:pPr>
              <w:suppressAutoHyphens w:val="0"/>
              <w:ind w:left="-70" w:right="-70"/>
              <w:jc w:val="right"/>
              <w:rPr>
                <w:bCs/>
                <w:color w:val="auto"/>
                <w:sz w:val="14"/>
                <w:szCs w:val="14"/>
              </w:rPr>
            </w:pPr>
            <w:r w:rsidRPr="008D2E72">
              <w:rPr>
                <w:bCs/>
                <w:color w:val="auto"/>
                <w:sz w:val="14"/>
                <w:szCs w:val="14"/>
              </w:rPr>
              <w:t>7.512.894,25</w:t>
            </w:r>
          </w:p>
        </w:tc>
        <w:tc>
          <w:tcPr>
            <w:tcW w:w="335" w:type="dxa"/>
            <w:tcBorders>
              <w:top w:val="single" w:sz="4" w:space="0" w:color="000001"/>
              <w:left w:val="single" w:sz="4" w:space="0" w:color="000001"/>
              <w:bottom w:val="single" w:sz="8" w:space="0" w:color="000001"/>
            </w:tcBorders>
            <w:shd w:val="clear" w:color="auto" w:fill="auto"/>
            <w:vAlign w:val="center"/>
          </w:tcPr>
          <w:p w:rsidR="00805D2D" w:rsidRPr="008D2E72" w:rsidRDefault="00642C1A">
            <w:pPr>
              <w:suppressAutoHyphens w:val="0"/>
              <w:ind w:left="-70" w:right="-95"/>
              <w:jc w:val="right"/>
              <w:rPr>
                <w:bCs/>
                <w:color w:val="auto"/>
                <w:sz w:val="14"/>
                <w:szCs w:val="14"/>
              </w:rPr>
            </w:pPr>
            <w:r w:rsidRPr="008D2E72">
              <w:rPr>
                <w:bCs/>
                <w:color w:val="auto"/>
                <w:sz w:val="14"/>
                <w:szCs w:val="14"/>
              </w:rPr>
              <w:t>11%</w:t>
            </w:r>
          </w:p>
        </w:tc>
        <w:tc>
          <w:tcPr>
            <w:tcW w:w="887" w:type="dxa"/>
            <w:tcBorders>
              <w:top w:val="single" w:sz="8" w:space="0" w:color="000001"/>
              <w:left w:val="single" w:sz="4" w:space="0" w:color="000001"/>
              <w:bottom w:val="single" w:sz="8" w:space="0" w:color="000001"/>
            </w:tcBorders>
            <w:shd w:val="clear" w:color="auto" w:fill="auto"/>
            <w:vAlign w:val="center"/>
          </w:tcPr>
          <w:p w:rsidR="00805D2D" w:rsidRPr="008D2E72" w:rsidRDefault="00642C1A">
            <w:pPr>
              <w:suppressAutoHyphens w:val="0"/>
              <w:ind w:left="-22" w:right="-32"/>
              <w:jc w:val="right"/>
              <w:rPr>
                <w:bCs/>
                <w:color w:val="auto"/>
                <w:sz w:val="14"/>
                <w:szCs w:val="14"/>
              </w:rPr>
            </w:pPr>
            <w:r w:rsidRPr="008D2E72">
              <w:rPr>
                <w:bCs/>
                <w:color w:val="auto"/>
                <w:sz w:val="14"/>
                <w:szCs w:val="14"/>
              </w:rPr>
              <w:t>762.241,00</w:t>
            </w:r>
          </w:p>
        </w:tc>
        <w:tc>
          <w:tcPr>
            <w:tcW w:w="428" w:type="dxa"/>
            <w:tcBorders>
              <w:top w:val="single" w:sz="4" w:space="0" w:color="000001"/>
              <w:left w:val="single" w:sz="4" w:space="0" w:color="000001"/>
              <w:bottom w:val="single" w:sz="8" w:space="0" w:color="000001"/>
            </w:tcBorders>
            <w:shd w:val="clear" w:color="auto" w:fill="auto"/>
            <w:vAlign w:val="center"/>
          </w:tcPr>
          <w:p w:rsidR="00805D2D" w:rsidRPr="008D2E72" w:rsidRDefault="00642C1A">
            <w:pPr>
              <w:suppressAutoHyphens w:val="0"/>
              <w:ind w:left="-54" w:right="-21"/>
              <w:jc w:val="right"/>
              <w:rPr>
                <w:bCs/>
                <w:color w:val="auto"/>
                <w:sz w:val="14"/>
                <w:szCs w:val="14"/>
              </w:rPr>
            </w:pPr>
            <w:r w:rsidRPr="008D2E72">
              <w:rPr>
                <w:bCs/>
                <w:color w:val="auto"/>
                <w:sz w:val="14"/>
                <w:szCs w:val="14"/>
              </w:rPr>
              <w:t>1,06%</w:t>
            </w:r>
          </w:p>
        </w:tc>
        <w:tc>
          <w:tcPr>
            <w:tcW w:w="846" w:type="dxa"/>
            <w:tcBorders>
              <w:top w:val="single" w:sz="8" w:space="0" w:color="000001"/>
              <w:left w:val="single" w:sz="4" w:space="0" w:color="000001"/>
              <w:bottom w:val="single" w:sz="8" w:space="0" w:color="000001"/>
            </w:tcBorders>
            <w:shd w:val="clear" w:color="auto" w:fill="auto"/>
            <w:vAlign w:val="center"/>
          </w:tcPr>
          <w:p w:rsidR="00805D2D" w:rsidRPr="008D2E72" w:rsidRDefault="00642C1A">
            <w:pPr>
              <w:suppressAutoHyphens w:val="0"/>
              <w:ind w:left="-95" w:right="-33"/>
              <w:jc w:val="right"/>
              <w:rPr>
                <w:bCs/>
                <w:color w:val="auto"/>
                <w:sz w:val="14"/>
                <w:szCs w:val="14"/>
              </w:rPr>
            </w:pPr>
            <w:r w:rsidRPr="008D2E72">
              <w:rPr>
                <w:bCs/>
                <w:color w:val="auto"/>
                <w:sz w:val="14"/>
                <w:szCs w:val="14"/>
              </w:rPr>
              <w:t>3.772.620,86</w:t>
            </w:r>
          </w:p>
        </w:tc>
        <w:tc>
          <w:tcPr>
            <w:tcW w:w="347" w:type="dxa"/>
            <w:tcBorders>
              <w:top w:val="single" w:sz="4" w:space="0" w:color="000001"/>
              <w:left w:val="single" w:sz="4" w:space="0" w:color="000001"/>
              <w:bottom w:val="single" w:sz="8" w:space="0" w:color="000001"/>
            </w:tcBorders>
            <w:shd w:val="clear" w:color="auto" w:fill="auto"/>
            <w:vAlign w:val="center"/>
          </w:tcPr>
          <w:p w:rsidR="00805D2D" w:rsidRPr="008D2E72" w:rsidRDefault="00642C1A">
            <w:pPr>
              <w:suppressAutoHyphens w:val="0"/>
              <w:ind w:left="-70" w:right="-99"/>
              <w:jc w:val="right"/>
              <w:rPr>
                <w:bCs/>
                <w:color w:val="auto"/>
                <w:sz w:val="14"/>
                <w:szCs w:val="14"/>
              </w:rPr>
            </w:pPr>
            <w:r w:rsidRPr="008D2E72">
              <w:rPr>
                <w:bCs/>
                <w:color w:val="auto"/>
                <w:sz w:val="14"/>
                <w:szCs w:val="14"/>
              </w:rPr>
              <w:t>11,8%</w:t>
            </w:r>
          </w:p>
        </w:tc>
        <w:tc>
          <w:tcPr>
            <w:tcW w:w="884" w:type="dxa"/>
            <w:tcBorders>
              <w:top w:val="single" w:sz="8" w:space="0" w:color="000001"/>
              <w:left w:val="single" w:sz="4" w:space="0" w:color="000001"/>
              <w:bottom w:val="single" w:sz="8" w:space="0" w:color="000001"/>
            </w:tcBorders>
            <w:shd w:val="clear" w:color="auto" w:fill="auto"/>
            <w:vAlign w:val="center"/>
          </w:tcPr>
          <w:p w:rsidR="00805D2D" w:rsidRPr="008D2E72" w:rsidRDefault="00642C1A">
            <w:pPr>
              <w:suppressAutoHyphens w:val="0"/>
              <w:ind w:left="-70"/>
              <w:jc w:val="right"/>
              <w:rPr>
                <w:bCs/>
                <w:color w:val="auto"/>
                <w:sz w:val="14"/>
                <w:szCs w:val="14"/>
              </w:rPr>
            </w:pPr>
            <w:r w:rsidRPr="008D2E72">
              <w:rPr>
                <w:bCs/>
                <w:color w:val="auto"/>
                <w:sz w:val="14"/>
                <w:szCs w:val="14"/>
              </w:rPr>
              <w:t>2.524.160,00</w:t>
            </w:r>
          </w:p>
        </w:tc>
        <w:tc>
          <w:tcPr>
            <w:tcW w:w="398" w:type="dxa"/>
            <w:tcBorders>
              <w:top w:val="single" w:sz="4" w:space="0" w:color="000001"/>
              <w:left w:val="single" w:sz="4" w:space="0" w:color="000001"/>
              <w:bottom w:val="single" w:sz="8" w:space="0" w:color="000001"/>
            </w:tcBorders>
            <w:shd w:val="clear" w:color="auto" w:fill="auto"/>
            <w:vAlign w:val="center"/>
          </w:tcPr>
          <w:p w:rsidR="00805D2D" w:rsidRPr="008D2E72" w:rsidRDefault="00642C1A">
            <w:pPr>
              <w:suppressAutoHyphens w:val="0"/>
              <w:ind w:left="-86" w:right="-36"/>
              <w:jc w:val="right"/>
              <w:rPr>
                <w:bCs/>
                <w:color w:val="auto"/>
                <w:sz w:val="14"/>
                <w:szCs w:val="14"/>
              </w:rPr>
            </w:pPr>
            <w:r w:rsidRPr="008D2E72">
              <w:rPr>
                <w:bCs/>
                <w:color w:val="auto"/>
                <w:sz w:val="14"/>
                <w:szCs w:val="14"/>
              </w:rPr>
              <w:t>23,2%</w:t>
            </w:r>
          </w:p>
        </w:tc>
        <w:tc>
          <w:tcPr>
            <w:tcW w:w="938" w:type="dxa"/>
            <w:tcBorders>
              <w:top w:val="single" w:sz="8" w:space="0" w:color="000001"/>
              <w:left w:val="single" w:sz="4" w:space="0" w:color="000001"/>
              <w:bottom w:val="single" w:sz="8" w:space="0" w:color="000001"/>
            </w:tcBorders>
            <w:shd w:val="clear" w:color="auto" w:fill="auto"/>
            <w:vAlign w:val="center"/>
          </w:tcPr>
          <w:p w:rsidR="00805D2D" w:rsidRPr="008D2E72" w:rsidRDefault="00642C1A">
            <w:pPr>
              <w:suppressAutoHyphens w:val="0"/>
              <w:ind w:left="-80" w:right="-35"/>
              <w:jc w:val="right"/>
              <w:rPr>
                <w:bCs/>
                <w:color w:val="auto"/>
                <w:sz w:val="14"/>
                <w:szCs w:val="14"/>
              </w:rPr>
            </w:pPr>
            <w:r w:rsidRPr="008D2E72">
              <w:rPr>
                <w:bCs/>
                <w:color w:val="auto"/>
                <w:sz w:val="14"/>
                <w:szCs w:val="14"/>
              </w:rPr>
              <w:t>23.715.400,97</w:t>
            </w:r>
          </w:p>
        </w:tc>
        <w:tc>
          <w:tcPr>
            <w:tcW w:w="323" w:type="dxa"/>
            <w:tcBorders>
              <w:top w:val="single" w:sz="4" w:space="0" w:color="000001"/>
              <w:left w:val="single" w:sz="4" w:space="0" w:color="000001"/>
              <w:bottom w:val="single" w:sz="8" w:space="0" w:color="000001"/>
              <w:right w:val="single" w:sz="8" w:space="0" w:color="000001"/>
            </w:tcBorders>
            <w:shd w:val="clear" w:color="auto" w:fill="auto"/>
            <w:vAlign w:val="center"/>
          </w:tcPr>
          <w:p w:rsidR="00805D2D" w:rsidRPr="008D2E72" w:rsidRDefault="00642C1A">
            <w:pPr>
              <w:suppressAutoHyphens w:val="0"/>
              <w:ind w:left="-132" w:right="-46"/>
              <w:jc w:val="right"/>
              <w:rPr>
                <w:bCs/>
                <w:color w:val="auto"/>
                <w:sz w:val="14"/>
                <w:szCs w:val="14"/>
              </w:rPr>
            </w:pPr>
            <w:r w:rsidRPr="008D2E72">
              <w:rPr>
                <w:bCs/>
                <w:color w:val="auto"/>
                <w:sz w:val="14"/>
                <w:szCs w:val="14"/>
              </w:rPr>
              <w:t>11,9%</w:t>
            </w:r>
          </w:p>
        </w:tc>
      </w:tr>
    </w:tbl>
    <w:p w:rsidR="00805D2D" w:rsidRPr="008D2E72" w:rsidRDefault="00642C1A">
      <w:pPr>
        <w:rPr>
          <w:color w:val="auto"/>
          <w:szCs w:val="24"/>
        </w:rPr>
      </w:pPr>
      <w:r w:rsidRPr="008D2E72">
        <w:rPr>
          <w:color w:val="auto"/>
          <w:szCs w:val="24"/>
        </w:rPr>
        <w:t xml:space="preserve">Fonte: Denúncia MPF   </w:t>
      </w:r>
    </w:p>
    <w:p w:rsidR="00805D2D" w:rsidRPr="008D2E72" w:rsidRDefault="00805D2D">
      <w:pPr>
        <w:ind w:firstLine="283"/>
        <w:rPr>
          <w:color w:val="auto"/>
          <w:sz w:val="24"/>
          <w:szCs w:val="24"/>
        </w:rPr>
      </w:pPr>
    </w:p>
    <w:p w:rsidR="00805D2D" w:rsidRPr="008D2E72" w:rsidRDefault="00642C1A">
      <w:pPr>
        <w:pStyle w:val="Corpodotexto"/>
        <w:spacing w:after="0" w:line="240" w:lineRule="auto"/>
        <w:ind w:firstLine="737"/>
        <w:jc w:val="both"/>
        <w:rPr>
          <w:rFonts w:ascii="Times New Roman" w:hAnsi="Times New Roman" w:cs="Times New Roman"/>
          <w:color w:val="auto"/>
        </w:rPr>
      </w:pPr>
      <w:r w:rsidRPr="008D2E72">
        <w:rPr>
          <w:rFonts w:ascii="Times New Roman" w:hAnsi="Times New Roman" w:cs="Times New Roman"/>
          <w:color w:val="auto"/>
        </w:rPr>
        <w:t xml:space="preserve">O uso de empresas de fachada para saque de valores em espécie é uma figura clássica de lavagem de ativos, </w:t>
      </w:r>
      <w:proofErr w:type="spellStart"/>
      <w:r w:rsidRPr="008D2E72">
        <w:rPr>
          <w:rFonts w:ascii="Times New Roman" w:hAnsi="Times New Roman" w:cs="Times New Roman"/>
          <w:i/>
          <w:iCs/>
          <w:color w:val="auto"/>
        </w:rPr>
        <w:t>paper</w:t>
      </w:r>
      <w:proofErr w:type="spellEnd"/>
      <w:r w:rsidRPr="008D2E72">
        <w:rPr>
          <w:rFonts w:ascii="Times New Roman" w:hAnsi="Times New Roman" w:cs="Times New Roman"/>
          <w:i/>
          <w:iCs/>
          <w:color w:val="auto"/>
        </w:rPr>
        <w:t xml:space="preserve"> </w:t>
      </w:r>
      <w:proofErr w:type="spellStart"/>
      <w:r w:rsidRPr="008D2E72">
        <w:rPr>
          <w:rFonts w:ascii="Times New Roman" w:hAnsi="Times New Roman" w:cs="Times New Roman"/>
          <w:i/>
          <w:iCs/>
          <w:color w:val="auto"/>
        </w:rPr>
        <w:t>trail</w:t>
      </w:r>
      <w:proofErr w:type="spellEnd"/>
      <w:r w:rsidRPr="008D2E72">
        <w:rPr>
          <w:rFonts w:ascii="Times New Roman" w:hAnsi="Times New Roman" w:cs="Times New Roman"/>
          <w:color w:val="auto"/>
        </w:rPr>
        <w:t>.  Ainda mais complexo para os órgãos de controle, as operações financeiras denominadas “Dólar Cabo” também teriam ocorrido, nas quais seriam entregues recursos em moeda corrente em troca de recursos no exterior, ou a remessa clandestina dos valores para o exterior em troca de recebimento de valores em espécie no Brasil.</w:t>
      </w:r>
    </w:p>
    <w:p w:rsidR="00805D2D" w:rsidRPr="008D2E72" w:rsidRDefault="00642C1A">
      <w:pPr>
        <w:pStyle w:val="Corpodotexto"/>
        <w:spacing w:after="0" w:line="240" w:lineRule="auto"/>
        <w:ind w:firstLine="737"/>
        <w:jc w:val="both"/>
        <w:rPr>
          <w:rFonts w:ascii="Times New Roman" w:hAnsi="Times New Roman" w:cs="Times New Roman"/>
          <w:color w:val="auto"/>
        </w:rPr>
      </w:pPr>
      <w:r w:rsidRPr="008D2E72">
        <w:rPr>
          <w:rFonts w:ascii="Times New Roman" w:hAnsi="Times New Roman" w:cs="Times New Roman"/>
          <w:color w:val="auto"/>
        </w:rPr>
        <w:t>O investimento e operacionalização de bens lícitos também foram empregados na gestão dos recursos auferidos da corrupção. A denúncia citou que recursos ilícitos teriam sido ocultados, dissimulados na aquisição de negócios, hotéis, apartamentos, prédios e veículos.</w:t>
      </w:r>
    </w:p>
    <w:p w:rsidR="00805D2D" w:rsidRPr="008D2E72" w:rsidRDefault="00642C1A">
      <w:pPr>
        <w:pStyle w:val="Corpodotexto"/>
        <w:spacing w:after="0" w:line="240" w:lineRule="auto"/>
        <w:ind w:firstLine="737"/>
        <w:jc w:val="both"/>
        <w:rPr>
          <w:rFonts w:ascii="Times New Roman" w:hAnsi="Times New Roman" w:cs="Times New Roman"/>
          <w:color w:val="auto"/>
        </w:rPr>
      </w:pPr>
      <w:r w:rsidRPr="008D2E72">
        <w:rPr>
          <w:rFonts w:ascii="Times New Roman" w:hAnsi="Times New Roman" w:cs="Times New Roman"/>
          <w:color w:val="auto"/>
        </w:rPr>
        <w:t xml:space="preserve">Em virtude da denúncia contar com réus colaboradores, foi evidenciado que a pessoa responsável pela empresa que emitia notas receberia 14,5% do valor da transação para que  celebrasse contratos fraudulentos com as empreiteiras e lhe fornecesse, em decorrência deles, notas fiscais frias para justificar a transferência dos valores, incluído nesse percentual o seu </w:t>
      </w:r>
      <w:proofErr w:type="spellStart"/>
      <w:r w:rsidRPr="008D2E72">
        <w:rPr>
          <w:rFonts w:ascii="Times New Roman" w:hAnsi="Times New Roman" w:cs="Times New Roman"/>
          <w:color w:val="auto"/>
        </w:rPr>
        <w:t>comissionamento</w:t>
      </w:r>
      <w:proofErr w:type="spellEnd"/>
      <w:r w:rsidRPr="008D2E72">
        <w:rPr>
          <w:rFonts w:ascii="Times New Roman" w:hAnsi="Times New Roman" w:cs="Times New Roman"/>
          <w:color w:val="auto"/>
        </w:rPr>
        <w:t xml:space="preserve">. </w:t>
      </w:r>
    </w:p>
    <w:p w:rsidR="00805D2D" w:rsidRPr="008D2E72" w:rsidRDefault="00642C1A">
      <w:pPr>
        <w:pStyle w:val="Corpodotexto"/>
        <w:spacing w:after="0" w:line="240" w:lineRule="auto"/>
        <w:ind w:firstLine="737"/>
        <w:jc w:val="both"/>
        <w:rPr>
          <w:rFonts w:ascii="Times New Roman" w:hAnsi="Times New Roman" w:cs="Times New Roman"/>
          <w:color w:val="auto"/>
        </w:rPr>
      </w:pPr>
      <w:r w:rsidRPr="008D2E72">
        <w:rPr>
          <w:rFonts w:ascii="Times New Roman" w:hAnsi="Times New Roman" w:cs="Times New Roman"/>
          <w:color w:val="auto"/>
        </w:rPr>
        <w:t xml:space="preserve">Na maioria dos casos foram emitidas notas fiscais cujo objeto se tratava de serviços fictícios de consultoria, em virtude </w:t>
      </w:r>
      <w:r w:rsidR="00DB07D1" w:rsidRPr="008D2E72">
        <w:rPr>
          <w:rFonts w:ascii="Times New Roman" w:hAnsi="Times New Roman" w:cs="Times New Roman"/>
          <w:color w:val="auto"/>
        </w:rPr>
        <w:t xml:space="preserve">da </w:t>
      </w:r>
      <w:r w:rsidRPr="008D2E72">
        <w:rPr>
          <w:rFonts w:ascii="Times New Roman" w:hAnsi="Times New Roman" w:cs="Times New Roman"/>
          <w:color w:val="auto"/>
        </w:rPr>
        <w:t xml:space="preserve">subjetividade para comprovação dos órgãos de controle. Essas notas fiscais eram emitidas e predominantemente os pagamentos já eram realizados com a retenção na fonte de tributos federais de 6,15%, além de posterior recolhimento do Imposto Sobre Serviços (ISS), com alíquotas de 2,5% a 5%, dependendo do município sede ou do serviço faturado. A partir dessa alíquota pode-se presumir como viável a indicação de 14,5% como custo de transação. Outro colaborador chegou a indicar genericamente que o custo da emissão de notas fiscais, de entrega, etc. seria de 20%. </w:t>
      </w:r>
    </w:p>
    <w:p w:rsidR="00805D2D" w:rsidRPr="008D2E72" w:rsidRDefault="00805D2D">
      <w:pPr>
        <w:rPr>
          <w:color w:val="auto"/>
          <w:szCs w:val="24"/>
        </w:rPr>
      </w:pPr>
    </w:p>
    <w:p w:rsidR="00805D2D" w:rsidRPr="008D2E72" w:rsidRDefault="00805D2D">
      <w:pPr>
        <w:rPr>
          <w:color w:val="auto"/>
          <w:szCs w:val="24"/>
        </w:rPr>
      </w:pPr>
    </w:p>
    <w:p w:rsidR="00805D2D" w:rsidRPr="008D2E72" w:rsidRDefault="00805D2D">
      <w:pPr>
        <w:rPr>
          <w:color w:val="auto"/>
          <w:szCs w:val="24"/>
        </w:rPr>
      </w:pPr>
    </w:p>
    <w:p w:rsidR="00805D2D" w:rsidRPr="008D2E72" w:rsidRDefault="00805D2D">
      <w:pPr>
        <w:rPr>
          <w:color w:val="auto"/>
          <w:szCs w:val="24"/>
        </w:rPr>
      </w:pPr>
    </w:p>
    <w:p w:rsidR="00805D2D" w:rsidRPr="008D2E72" w:rsidRDefault="00805D2D">
      <w:pPr>
        <w:rPr>
          <w:color w:val="auto"/>
          <w:szCs w:val="24"/>
        </w:rPr>
      </w:pPr>
    </w:p>
    <w:p w:rsidR="00805D2D" w:rsidRPr="008D2E72" w:rsidRDefault="00642C1A">
      <w:pPr>
        <w:rPr>
          <w:color w:val="auto"/>
          <w:szCs w:val="24"/>
        </w:rPr>
      </w:pPr>
      <w:r w:rsidRPr="008D2E72">
        <w:rPr>
          <w:color w:val="auto"/>
          <w:szCs w:val="24"/>
        </w:rPr>
        <w:t>Figura 3 – Valor líquido disponível: Desviado</w:t>
      </w:r>
    </w:p>
    <w:p w:rsidR="00805D2D" w:rsidRPr="008D2E72" w:rsidRDefault="00642C1A">
      <w:pPr>
        <w:pStyle w:val="Corpodotexto"/>
        <w:spacing w:after="0" w:line="240" w:lineRule="auto"/>
        <w:ind w:firstLine="1984"/>
        <w:jc w:val="both"/>
        <w:rPr>
          <w:rFonts w:ascii="Times New Roman" w:hAnsi="Times New Roman" w:cs="Times New Roman"/>
          <w:color w:val="auto"/>
        </w:rPr>
      </w:pPr>
      <w:r w:rsidRPr="008D2E72">
        <w:rPr>
          <w:noProof/>
          <w:color w:val="auto"/>
          <w:lang w:eastAsia="pt-BR" w:bidi="ar-SA"/>
        </w:rPr>
        <w:drawing>
          <wp:inline distT="0" distB="0" distL="0" distR="0">
            <wp:extent cx="2838450" cy="1562100"/>
            <wp:effectExtent l="0" t="0" r="0" b="0"/>
            <wp:docPr id="3"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
                    <pic:cNvPicPr>
                      <a:picLocks noChangeAspect="1" noChangeArrowheads="1"/>
                    </pic:cNvPicPr>
                  </pic:nvPicPr>
                  <pic:blipFill>
                    <a:blip r:embed="rId14"/>
                    <a:srcRect l="9762" t="9669" r="8083" b="2758"/>
                    <a:stretch>
                      <a:fillRect/>
                    </a:stretch>
                  </pic:blipFill>
                  <pic:spPr bwMode="auto">
                    <a:xfrm>
                      <a:off x="0" y="0"/>
                      <a:ext cx="2838450" cy="1562100"/>
                    </a:xfrm>
                    <a:prstGeom prst="rect">
                      <a:avLst/>
                    </a:prstGeom>
                  </pic:spPr>
                </pic:pic>
              </a:graphicData>
            </a:graphic>
          </wp:inline>
        </w:drawing>
      </w:r>
    </w:p>
    <w:p w:rsidR="00805D2D" w:rsidRPr="008D2E72" w:rsidRDefault="00642C1A">
      <w:pPr>
        <w:pStyle w:val="Corpodotexto"/>
        <w:spacing w:after="0" w:line="240" w:lineRule="auto"/>
        <w:ind w:firstLine="1984"/>
        <w:rPr>
          <w:rFonts w:ascii="Times New Roman" w:hAnsi="Times New Roman" w:cs="Times New Roman"/>
          <w:color w:val="auto"/>
          <w:sz w:val="20"/>
        </w:rPr>
      </w:pPr>
      <w:r w:rsidRPr="008D2E72">
        <w:rPr>
          <w:rFonts w:ascii="Times New Roman" w:hAnsi="Times New Roman" w:cs="Times New Roman"/>
          <w:color w:val="auto"/>
          <w:sz w:val="20"/>
        </w:rPr>
        <w:t>Fonte: elaborado pelos autores</w:t>
      </w:r>
    </w:p>
    <w:p w:rsidR="00805D2D" w:rsidRPr="008D2E72" w:rsidRDefault="00805D2D">
      <w:pPr>
        <w:pStyle w:val="Corpodotexto"/>
        <w:spacing w:after="0" w:line="240" w:lineRule="auto"/>
        <w:ind w:firstLine="737"/>
        <w:jc w:val="both"/>
        <w:rPr>
          <w:rFonts w:ascii="Times New Roman" w:hAnsi="Times New Roman" w:cs="Times New Roman"/>
          <w:color w:val="auto"/>
        </w:rPr>
      </w:pPr>
    </w:p>
    <w:p w:rsidR="00805D2D" w:rsidRPr="008D2E72" w:rsidRDefault="00642C1A">
      <w:pPr>
        <w:pStyle w:val="Corpodotexto"/>
        <w:spacing w:after="0" w:line="240" w:lineRule="auto"/>
        <w:ind w:firstLine="737"/>
        <w:jc w:val="both"/>
        <w:rPr>
          <w:rFonts w:ascii="Times New Roman" w:hAnsi="Times New Roman" w:cs="Times New Roman"/>
          <w:color w:val="auto"/>
        </w:rPr>
      </w:pPr>
      <w:r w:rsidRPr="008D2E72">
        <w:rPr>
          <w:rFonts w:ascii="Times New Roman" w:hAnsi="Times New Roman" w:cs="Times New Roman"/>
          <w:color w:val="auto"/>
        </w:rPr>
        <w:t>Partindo do pressuposto do desconto de 14,5% do valor faturado para fins de repasse de custos de transação nessa etapa, e da retenção de 6,15% do valor faturado referente aos tributos federais, o operador da etapa ainda faria jus ao restante de 8,35% (14,5 – 6,15) do total faturado, equivalente a 8,89% (8,35 / 93,85) do montante efetivamente recebido.</w:t>
      </w:r>
    </w:p>
    <w:p w:rsidR="00805D2D" w:rsidRPr="008D2E72" w:rsidRDefault="00642C1A">
      <w:pPr>
        <w:pStyle w:val="Corpodotexto"/>
        <w:spacing w:after="0" w:line="240" w:lineRule="auto"/>
        <w:ind w:firstLine="737"/>
        <w:jc w:val="both"/>
        <w:rPr>
          <w:rFonts w:ascii="Times New Roman" w:hAnsi="Times New Roman" w:cs="Times New Roman"/>
          <w:color w:val="auto"/>
        </w:rPr>
      </w:pPr>
      <w:r w:rsidRPr="008D2E72">
        <w:rPr>
          <w:rFonts w:ascii="Times New Roman" w:hAnsi="Times New Roman" w:cs="Times New Roman"/>
          <w:color w:val="auto"/>
        </w:rPr>
        <w:t>Assim, como já citado, estas empresas REMG receberam efetivamente R$ 36.876.887,75 aplicando a razão dos tributos retidos, alcança-se o valor efetivamente faturado, e descontando-se o restante do custo indicado, alcança-se o valor líquido destinado aos agentes corruptos.</w:t>
      </w:r>
    </w:p>
    <w:p w:rsidR="00805D2D" w:rsidRPr="008D2E72" w:rsidRDefault="00805D2D">
      <w:pPr>
        <w:rPr>
          <w:color w:val="auto"/>
        </w:rPr>
      </w:pPr>
    </w:p>
    <w:p w:rsidR="00805D2D" w:rsidRPr="008D2E72" w:rsidRDefault="00642C1A">
      <w:pPr>
        <w:rPr>
          <w:color w:val="auto"/>
          <w:szCs w:val="24"/>
        </w:rPr>
      </w:pPr>
      <w:r w:rsidRPr="008D2E72">
        <w:rPr>
          <w:color w:val="auto"/>
          <w:szCs w:val="24"/>
        </w:rPr>
        <w:t>Figura 4 – Valor líquido de repasse</w:t>
      </w:r>
    </w:p>
    <w:p w:rsidR="00805D2D" w:rsidRPr="008D2E72" w:rsidRDefault="00642C1A">
      <w:pPr>
        <w:pStyle w:val="Corpodotexto"/>
        <w:spacing w:after="0" w:line="240" w:lineRule="auto"/>
        <w:ind w:firstLine="1984"/>
        <w:rPr>
          <w:rFonts w:ascii="Times New Roman" w:hAnsi="Times New Roman" w:cs="Times New Roman"/>
          <w:color w:val="auto"/>
          <w:sz w:val="20"/>
        </w:rPr>
      </w:pPr>
      <w:r w:rsidRPr="008D2E72">
        <w:rPr>
          <w:noProof/>
          <w:color w:val="auto"/>
          <w:lang w:eastAsia="pt-BR" w:bidi="ar-SA"/>
        </w:rPr>
        <w:drawing>
          <wp:anchor distT="0" distB="0" distL="18415" distR="9525" simplePos="0" relativeHeight="45" behindDoc="0" locked="0" layoutInCell="1" allowOverlap="1">
            <wp:simplePos x="0" y="0"/>
            <wp:positionH relativeFrom="column">
              <wp:posOffset>1139190</wp:posOffset>
            </wp:positionH>
            <wp:positionV relativeFrom="paragraph">
              <wp:posOffset>3810</wp:posOffset>
            </wp:positionV>
            <wp:extent cx="3381375" cy="428625"/>
            <wp:effectExtent l="0" t="0" r="0" b="0"/>
            <wp:wrapTopAndBottom/>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5"/>
                    <a:stretch>
                      <a:fillRect/>
                    </a:stretch>
                  </pic:blipFill>
                  <pic:spPr bwMode="auto">
                    <a:xfrm>
                      <a:off x="0" y="0"/>
                      <a:ext cx="3381375" cy="428625"/>
                    </a:xfrm>
                    <a:prstGeom prst="rect">
                      <a:avLst/>
                    </a:prstGeom>
                  </pic:spPr>
                </pic:pic>
              </a:graphicData>
            </a:graphic>
          </wp:anchor>
        </w:drawing>
      </w:r>
      <w:r w:rsidRPr="008D2E72">
        <w:rPr>
          <w:rFonts w:ascii="Times New Roman" w:hAnsi="Times New Roman" w:cs="Times New Roman"/>
          <w:color w:val="auto"/>
          <w:sz w:val="20"/>
        </w:rPr>
        <w:t>Fonte: elaborado pelos autores</w:t>
      </w:r>
    </w:p>
    <w:p w:rsidR="00805D2D" w:rsidRPr="008D2E72" w:rsidRDefault="00805D2D">
      <w:pPr>
        <w:pStyle w:val="Corpodotexto"/>
        <w:spacing w:after="0" w:line="240" w:lineRule="auto"/>
        <w:jc w:val="center"/>
        <w:rPr>
          <w:rFonts w:ascii="Times New Roman" w:hAnsi="Times New Roman" w:cs="Times New Roman"/>
          <w:color w:val="auto"/>
        </w:rPr>
      </w:pPr>
    </w:p>
    <w:p w:rsidR="00805D2D" w:rsidRPr="008D2E72" w:rsidRDefault="00642C1A">
      <w:pPr>
        <w:pStyle w:val="Corpodotexto"/>
        <w:spacing w:after="0" w:line="240" w:lineRule="auto"/>
        <w:jc w:val="center"/>
        <w:rPr>
          <w:rFonts w:ascii="Times New Roman" w:hAnsi="Times New Roman" w:cs="Times New Roman"/>
          <w:color w:val="auto"/>
          <w:sz w:val="22"/>
        </w:rPr>
      </w:pPr>
      <w:r w:rsidRPr="008D2E72">
        <w:rPr>
          <w:rFonts w:ascii="Times New Roman" w:hAnsi="Times New Roman" w:cs="Times New Roman"/>
          <w:color w:val="auto"/>
          <w:sz w:val="22"/>
        </w:rPr>
        <w:t>36.876.887,75 / (1 – 6,15%) = 39.293.433,94</w:t>
      </w:r>
    </w:p>
    <w:p w:rsidR="00805D2D" w:rsidRPr="008D2E72" w:rsidRDefault="00805D2D">
      <w:pPr>
        <w:pStyle w:val="Corpodotexto"/>
        <w:spacing w:after="0" w:line="240" w:lineRule="auto"/>
        <w:ind w:firstLine="737"/>
        <w:jc w:val="both"/>
        <w:rPr>
          <w:rFonts w:ascii="Times New Roman" w:hAnsi="Times New Roman" w:cs="Times New Roman"/>
          <w:color w:val="auto"/>
        </w:rPr>
      </w:pPr>
    </w:p>
    <w:p w:rsidR="00805D2D" w:rsidRPr="008D2E72" w:rsidRDefault="00642C1A">
      <w:pPr>
        <w:pStyle w:val="Corpodotexto"/>
        <w:spacing w:after="0" w:line="240" w:lineRule="auto"/>
        <w:ind w:firstLine="709"/>
        <w:jc w:val="both"/>
        <w:rPr>
          <w:rFonts w:ascii="Times New Roman" w:hAnsi="Times New Roman" w:cs="Times New Roman"/>
          <w:color w:val="auto"/>
        </w:rPr>
      </w:pPr>
      <w:r w:rsidRPr="008D2E72">
        <w:rPr>
          <w:rFonts w:ascii="Times New Roman" w:hAnsi="Times New Roman" w:cs="Times New Roman"/>
          <w:color w:val="auto"/>
        </w:rPr>
        <w:t>Dessa forma, o valor de R$ 36.876.887,75 corresponde à destinação de R$ 39.293.433,94.</w:t>
      </w:r>
    </w:p>
    <w:p w:rsidR="00805D2D" w:rsidRPr="008D2E72" w:rsidRDefault="00642C1A">
      <w:pPr>
        <w:ind w:firstLine="709"/>
        <w:rPr>
          <w:color w:val="auto"/>
          <w:sz w:val="24"/>
          <w:szCs w:val="24"/>
        </w:rPr>
      </w:pPr>
      <w:r w:rsidRPr="008D2E72">
        <w:rPr>
          <w:color w:val="auto"/>
          <w:sz w:val="24"/>
          <w:szCs w:val="24"/>
        </w:rPr>
        <w:t xml:space="preserve">Assim, do montante de R$ 39.293.433,94 destinado a esse repasse, chega ao efetivo beneficiário 85,5%, ou seja, R$ 33.595.886,02. </w:t>
      </w:r>
    </w:p>
    <w:p w:rsidR="00805D2D" w:rsidRPr="008D2E72" w:rsidRDefault="00805D2D">
      <w:pPr>
        <w:ind w:firstLine="709"/>
        <w:rPr>
          <w:color w:val="auto"/>
          <w:sz w:val="24"/>
          <w:szCs w:val="24"/>
        </w:rPr>
      </w:pPr>
    </w:p>
    <w:p w:rsidR="00805D2D" w:rsidRPr="008D2E72" w:rsidRDefault="00642C1A">
      <w:pPr>
        <w:pStyle w:val="Corpodotexto"/>
        <w:spacing w:after="0" w:line="240" w:lineRule="auto"/>
        <w:ind w:firstLine="737"/>
        <w:jc w:val="both"/>
        <w:rPr>
          <w:rFonts w:ascii="Times New Roman" w:hAnsi="Times New Roman" w:cs="Times New Roman"/>
          <w:color w:val="auto"/>
        </w:rPr>
      </w:pPr>
      <w:r w:rsidRPr="008D2E72">
        <w:rPr>
          <w:rFonts w:ascii="Times New Roman" w:hAnsi="Times New Roman" w:cs="Times New Roman"/>
          <w:color w:val="auto"/>
        </w:rPr>
        <w:t>Outra forma de analisar o fato, é a partir da relação entre a destinação e o benefício. O montante necessário para gerar o benefício de R$ 33.595.886,02 foi de R$ 39.293.433,94, dessa razão 39.293.433,94 / 33.595.886,02 obtêm-se o fator de 1,1696. Assim, pode-se inferir que para cada R$ 1.000,00 que o operador entrega para o agente corrupto, teriam sido destinados da etapa anterior R$ 1.169,59.</w:t>
      </w:r>
    </w:p>
    <w:p w:rsidR="00805D2D" w:rsidRPr="008D2E72" w:rsidRDefault="00642C1A">
      <w:pPr>
        <w:pStyle w:val="Corpodotexto"/>
        <w:spacing w:after="0" w:line="240" w:lineRule="auto"/>
        <w:ind w:firstLine="737"/>
        <w:jc w:val="both"/>
        <w:rPr>
          <w:rFonts w:ascii="Times New Roman" w:hAnsi="Times New Roman" w:cs="Times New Roman"/>
          <w:color w:val="auto"/>
        </w:rPr>
      </w:pPr>
      <w:r w:rsidRPr="008D2E72">
        <w:rPr>
          <w:rFonts w:ascii="Times New Roman" w:hAnsi="Times New Roman" w:cs="Times New Roman"/>
          <w:color w:val="auto"/>
        </w:rPr>
        <w:t>Não foi objeto da denúncia analisada a destinação de recursos para entrega no exterior ou mediante faturamento para outras empresas, o que implicaria em custos de transação superiores aos indicados.</w:t>
      </w:r>
    </w:p>
    <w:p w:rsidR="00805D2D" w:rsidRPr="008D2E72" w:rsidRDefault="00805D2D">
      <w:pPr>
        <w:pStyle w:val="Corpodotexto"/>
        <w:spacing w:after="0" w:line="240" w:lineRule="auto"/>
        <w:ind w:firstLine="1417"/>
        <w:jc w:val="both"/>
        <w:rPr>
          <w:rFonts w:ascii="Times New Roman" w:hAnsi="Times New Roman" w:cs="Times New Roman"/>
          <w:color w:val="auto"/>
        </w:rPr>
      </w:pPr>
    </w:p>
    <w:p w:rsidR="00805D2D" w:rsidRPr="008D2E72" w:rsidRDefault="00642C1A" w:rsidP="00DB07D1">
      <w:pPr>
        <w:pStyle w:val="Corpodotexto"/>
        <w:rPr>
          <w:b/>
          <w:color w:val="auto"/>
        </w:rPr>
      </w:pPr>
      <w:r w:rsidRPr="008D2E72">
        <w:rPr>
          <w:b/>
          <w:color w:val="auto"/>
        </w:rPr>
        <w:t>4.2 Terceira Etapa: lavagem e repasse a empresas inexistentes</w:t>
      </w:r>
    </w:p>
    <w:p w:rsidR="00805D2D" w:rsidRPr="008D2E72" w:rsidRDefault="00642C1A">
      <w:pPr>
        <w:pStyle w:val="Corpodotexto"/>
        <w:spacing w:after="0" w:line="240" w:lineRule="auto"/>
        <w:ind w:firstLine="737"/>
        <w:jc w:val="both"/>
        <w:rPr>
          <w:rFonts w:ascii="Times New Roman" w:hAnsi="Times New Roman" w:cs="Times New Roman"/>
          <w:color w:val="auto"/>
        </w:rPr>
      </w:pPr>
      <w:r w:rsidRPr="008D2E72">
        <w:rPr>
          <w:rFonts w:ascii="Times New Roman" w:hAnsi="Times New Roman" w:cs="Times New Roman"/>
          <w:color w:val="auto"/>
        </w:rPr>
        <w:t>Na terceira etapa do fluxo financeiro, o MPF denunciou uma empresa que fornecia produtos para o consórcio de empreiteiras que executava as obras para o ente público. No decorrer dos repasses, foi ativada uma empresa homônima, com estrutura societária semelhante, cujo escopo seria a prestação de serviços.</w:t>
      </w:r>
    </w:p>
    <w:p w:rsidR="00805D2D" w:rsidRPr="008D2E72" w:rsidRDefault="00642C1A">
      <w:pPr>
        <w:pStyle w:val="Corpodotexto"/>
        <w:spacing w:after="0" w:line="240" w:lineRule="auto"/>
        <w:ind w:firstLine="737"/>
        <w:jc w:val="both"/>
        <w:rPr>
          <w:rFonts w:ascii="Times New Roman" w:hAnsi="Times New Roman" w:cs="Times New Roman"/>
          <w:color w:val="auto"/>
        </w:rPr>
      </w:pPr>
      <w:r w:rsidRPr="008D2E72">
        <w:rPr>
          <w:rFonts w:ascii="Times New Roman" w:hAnsi="Times New Roman" w:cs="Times New Roman"/>
          <w:color w:val="auto"/>
        </w:rPr>
        <w:t>Essas empresas foram responsáveis pelo repasse de R$ 36.876.887,75, para as empresas REMG, citadas no item anterior, que comprovadamente não funcionavam.</w:t>
      </w:r>
    </w:p>
    <w:p w:rsidR="00805D2D" w:rsidRPr="008D2E72" w:rsidRDefault="00805D2D">
      <w:pPr>
        <w:jc w:val="center"/>
        <w:rPr>
          <w:color w:val="auto"/>
          <w:sz w:val="24"/>
          <w:szCs w:val="24"/>
        </w:rPr>
      </w:pPr>
    </w:p>
    <w:p w:rsidR="00805D2D" w:rsidRPr="008D2E72" w:rsidRDefault="00642C1A">
      <w:pPr>
        <w:jc w:val="center"/>
        <w:rPr>
          <w:color w:val="auto"/>
          <w:szCs w:val="24"/>
        </w:rPr>
      </w:pPr>
      <w:r w:rsidRPr="008D2E72">
        <w:rPr>
          <w:noProof/>
          <w:color w:val="auto"/>
        </w:rPr>
        <w:drawing>
          <wp:anchor distT="0" distB="0" distL="18415" distR="1905" simplePos="0" relativeHeight="38" behindDoc="0" locked="0" layoutInCell="1" allowOverlap="1">
            <wp:simplePos x="0" y="0"/>
            <wp:positionH relativeFrom="column">
              <wp:posOffset>510540</wp:posOffset>
            </wp:positionH>
            <wp:positionV relativeFrom="paragraph">
              <wp:posOffset>185420</wp:posOffset>
            </wp:positionV>
            <wp:extent cx="5236845" cy="990600"/>
            <wp:effectExtent l="0" t="0" r="0" b="0"/>
            <wp:wrapTopAndBottom/>
            <wp:docPr id="5" name="Figura2" descr="Objeto 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2" descr="Objeto OLE"/>
                    <pic:cNvPicPr>
                      <a:picLocks noChangeAspect="1" noChangeArrowheads="1"/>
                    </pic:cNvPicPr>
                  </pic:nvPicPr>
                  <pic:blipFill>
                    <a:blip r:embed="rId16"/>
                    <a:stretch>
                      <a:fillRect/>
                    </a:stretch>
                  </pic:blipFill>
                  <pic:spPr bwMode="auto">
                    <a:xfrm>
                      <a:off x="0" y="0"/>
                      <a:ext cx="5236845" cy="990600"/>
                    </a:xfrm>
                    <a:prstGeom prst="rect">
                      <a:avLst/>
                    </a:prstGeom>
                  </pic:spPr>
                </pic:pic>
              </a:graphicData>
            </a:graphic>
          </wp:anchor>
        </w:drawing>
      </w:r>
      <w:r w:rsidRPr="008D2E72">
        <w:rPr>
          <w:color w:val="auto"/>
          <w:szCs w:val="24"/>
        </w:rPr>
        <w:t>Tabela 2 – Repasses da etapa 3 para 4</w:t>
      </w:r>
    </w:p>
    <w:p w:rsidR="00805D2D" w:rsidRPr="008D2E72" w:rsidRDefault="00642C1A">
      <w:pPr>
        <w:pStyle w:val="Corpodotexto"/>
        <w:spacing w:after="0" w:line="240" w:lineRule="auto"/>
        <w:ind w:right="57" w:firstLine="850"/>
        <w:jc w:val="both"/>
        <w:rPr>
          <w:rFonts w:ascii="Times New Roman" w:hAnsi="Times New Roman" w:cs="Times New Roman"/>
          <w:color w:val="auto"/>
          <w:sz w:val="20"/>
        </w:rPr>
      </w:pPr>
      <w:r w:rsidRPr="008D2E72">
        <w:rPr>
          <w:rFonts w:ascii="Times New Roman" w:hAnsi="Times New Roman" w:cs="Times New Roman"/>
          <w:color w:val="auto"/>
          <w:sz w:val="20"/>
        </w:rPr>
        <w:t>Fonte: Denúncia MPF</w:t>
      </w:r>
    </w:p>
    <w:p w:rsidR="00805D2D" w:rsidRPr="008D2E72" w:rsidRDefault="00805D2D">
      <w:pPr>
        <w:pStyle w:val="Corpodotexto"/>
        <w:spacing w:after="0" w:line="240" w:lineRule="auto"/>
        <w:ind w:firstLine="737"/>
        <w:jc w:val="both"/>
        <w:rPr>
          <w:rFonts w:ascii="Times New Roman" w:hAnsi="Times New Roman" w:cs="Times New Roman"/>
          <w:color w:val="auto"/>
        </w:rPr>
      </w:pPr>
    </w:p>
    <w:p w:rsidR="00805D2D" w:rsidRPr="008D2E72" w:rsidRDefault="00642C1A">
      <w:pPr>
        <w:pStyle w:val="Corpodotexto"/>
        <w:spacing w:after="0" w:line="240" w:lineRule="auto"/>
        <w:ind w:firstLine="737"/>
        <w:jc w:val="both"/>
        <w:rPr>
          <w:rFonts w:ascii="Times New Roman" w:hAnsi="Times New Roman" w:cs="Times New Roman"/>
          <w:color w:val="auto"/>
        </w:rPr>
      </w:pPr>
      <w:r w:rsidRPr="008D2E72">
        <w:rPr>
          <w:rFonts w:ascii="Times New Roman" w:hAnsi="Times New Roman" w:cs="Times New Roman"/>
          <w:color w:val="auto"/>
        </w:rPr>
        <w:t>Conforme evidenciado anteriormente, o valor de R$ 36.876.887,75 corresponde à destinação de R$ 39.293.433,94. Esses recursos teriam origem em várias empresas sendo nessa etapa geridos por empresas que efetivamente fornecem materiais para o segmento da construção civil. Na denúncia, consta que pelos menos três consórcios estariam repassando tais recursos.</w:t>
      </w:r>
    </w:p>
    <w:p w:rsidR="00805D2D" w:rsidRPr="008D2E72" w:rsidRDefault="00642C1A">
      <w:pPr>
        <w:pStyle w:val="Corpodotexto"/>
        <w:spacing w:after="0" w:line="240" w:lineRule="auto"/>
        <w:ind w:firstLine="737"/>
        <w:jc w:val="both"/>
        <w:rPr>
          <w:rFonts w:ascii="Times New Roman" w:hAnsi="Times New Roman" w:cs="Times New Roman"/>
          <w:color w:val="auto"/>
        </w:rPr>
      </w:pPr>
      <w:r w:rsidRPr="008D2E72">
        <w:rPr>
          <w:rFonts w:ascii="Times New Roman" w:hAnsi="Times New Roman" w:cs="Times New Roman"/>
          <w:color w:val="auto"/>
        </w:rPr>
        <w:t>O consórcio “C” do presente estudo, repassou R$ 194.081.716,00, desses R$ 38.750.000,00 mediante notas fiscais de prestação de serviços já inclusos no escopo dos materiais entregues.</w:t>
      </w:r>
    </w:p>
    <w:p w:rsidR="00805D2D" w:rsidRPr="008D2E72" w:rsidRDefault="00642C1A">
      <w:pPr>
        <w:pStyle w:val="Corpodotexto"/>
        <w:spacing w:after="0" w:line="240" w:lineRule="auto"/>
        <w:ind w:firstLine="737"/>
        <w:jc w:val="both"/>
        <w:rPr>
          <w:rFonts w:ascii="Times New Roman" w:hAnsi="Times New Roman" w:cs="Times New Roman"/>
          <w:color w:val="auto"/>
        </w:rPr>
      </w:pPr>
      <w:r w:rsidRPr="008D2E72">
        <w:rPr>
          <w:rFonts w:ascii="Times New Roman" w:hAnsi="Times New Roman" w:cs="Times New Roman"/>
          <w:color w:val="auto"/>
        </w:rPr>
        <w:t xml:space="preserve">Esse montante de R$ 38,75 milhões faturados mediante prestação de serviços implicam na retenção de tributos federais de 6,15%, resultando num suposto repasse de R$ 36.366.875,00 (R$ 38.750.000,00 x 93,85%). </w:t>
      </w:r>
    </w:p>
    <w:p w:rsidR="00805D2D" w:rsidRPr="008D2E72" w:rsidRDefault="00642C1A">
      <w:pPr>
        <w:ind w:firstLine="737"/>
        <w:jc w:val="both"/>
        <w:rPr>
          <w:color w:val="auto"/>
          <w:sz w:val="24"/>
          <w:szCs w:val="24"/>
        </w:rPr>
      </w:pPr>
      <w:r w:rsidRPr="008D2E72">
        <w:rPr>
          <w:color w:val="auto"/>
          <w:sz w:val="24"/>
          <w:szCs w:val="24"/>
        </w:rPr>
        <w:t xml:space="preserve">Neste caso, o custo de </w:t>
      </w:r>
      <w:proofErr w:type="spellStart"/>
      <w:r w:rsidRPr="008D2E72">
        <w:rPr>
          <w:color w:val="auto"/>
          <w:sz w:val="24"/>
          <w:szCs w:val="24"/>
        </w:rPr>
        <w:t>comissionamento</w:t>
      </w:r>
      <w:proofErr w:type="spellEnd"/>
      <w:r w:rsidRPr="008D2E72">
        <w:rPr>
          <w:color w:val="auto"/>
          <w:sz w:val="24"/>
          <w:szCs w:val="24"/>
        </w:rPr>
        <w:t xml:space="preserve"> seria inexistente e/ou desnecessário, pois a vantagem econômica seria a manutenção de contratos de fornecimento de materiais junto ao consórcio de empreiteiras. Embora explicitamente não haja custo identificado de </w:t>
      </w:r>
      <w:proofErr w:type="spellStart"/>
      <w:r w:rsidRPr="008D2E72">
        <w:rPr>
          <w:color w:val="auto"/>
          <w:sz w:val="24"/>
          <w:szCs w:val="24"/>
        </w:rPr>
        <w:t>comissionamento</w:t>
      </w:r>
      <w:proofErr w:type="spellEnd"/>
      <w:r w:rsidRPr="008D2E72">
        <w:rPr>
          <w:color w:val="auto"/>
          <w:sz w:val="24"/>
          <w:szCs w:val="24"/>
        </w:rPr>
        <w:t>, essa “manutenção” do contrato de fornecimento de materiais em troca de ações ilícitas indica um custo superior ao mercado ou mesmo um superfaturamento, sem o qual não seria necessário se submeter a práticas de ilicitudes</w:t>
      </w:r>
    </w:p>
    <w:p w:rsidR="00805D2D" w:rsidRPr="008D2E72" w:rsidRDefault="00642C1A">
      <w:pPr>
        <w:ind w:firstLine="737"/>
        <w:jc w:val="both"/>
        <w:rPr>
          <w:color w:val="auto"/>
          <w:sz w:val="24"/>
          <w:szCs w:val="24"/>
        </w:rPr>
      </w:pPr>
      <w:r w:rsidRPr="008D2E72">
        <w:rPr>
          <w:color w:val="auto"/>
          <w:sz w:val="24"/>
          <w:szCs w:val="24"/>
        </w:rPr>
        <w:t>Se a empresa fornecesse produtos pelo menor custo-benefício, não precisaria se submeter a realizar atos indicados como criminosos sem um ganho excedente, assim pode-se inferir que o preço pago pelos materiais é superior ao valor justo. Uma forma de mensuração viável, seria a comparação do valor faturado com o valor corrente de mercado para os referidos itens, o que em alguns casos torna-se inviável devido a natureza exclusiva dos bens.</w:t>
      </w:r>
    </w:p>
    <w:p w:rsidR="00805D2D" w:rsidRPr="008D2E72" w:rsidRDefault="00642C1A">
      <w:pPr>
        <w:ind w:firstLine="737"/>
        <w:jc w:val="both"/>
        <w:rPr>
          <w:color w:val="auto"/>
          <w:sz w:val="24"/>
          <w:szCs w:val="24"/>
        </w:rPr>
      </w:pPr>
      <w:r w:rsidRPr="008D2E72">
        <w:rPr>
          <w:color w:val="auto"/>
          <w:sz w:val="24"/>
          <w:szCs w:val="24"/>
        </w:rPr>
        <w:t>Não havendo elementos disponíveis no momento para mensurar o custo agregado do repasse, optou-se discricionariamente por aplicar o mesmo percentual da etapa seguinte, 8,35% (14,5% - 6,15%) do total faturado.</w:t>
      </w:r>
    </w:p>
    <w:p w:rsidR="00805D2D" w:rsidRPr="008D2E72" w:rsidRDefault="00642C1A">
      <w:pPr>
        <w:ind w:firstLine="737"/>
        <w:jc w:val="both"/>
        <w:rPr>
          <w:color w:val="auto"/>
          <w:sz w:val="24"/>
          <w:szCs w:val="24"/>
        </w:rPr>
      </w:pPr>
      <w:r w:rsidRPr="008D2E72">
        <w:rPr>
          <w:color w:val="auto"/>
          <w:sz w:val="24"/>
          <w:szCs w:val="24"/>
        </w:rPr>
        <w:t>Assim, dos R$ 36.366.875,00 seria necessário reduzir R$ 3.235.625,00 (R$ 38.750.000,00 x 8,35%), resultando num montante disponível de R$ 33.131.250,00, para a etapa seguinte.</w:t>
      </w:r>
    </w:p>
    <w:p w:rsidR="00805D2D" w:rsidRPr="008D2E72" w:rsidRDefault="00DB07D1">
      <w:pPr>
        <w:ind w:firstLine="737"/>
        <w:jc w:val="both"/>
        <w:rPr>
          <w:color w:val="auto"/>
          <w:sz w:val="24"/>
          <w:szCs w:val="24"/>
        </w:rPr>
      </w:pPr>
      <w:r w:rsidRPr="008D2E72">
        <w:rPr>
          <w:color w:val="auto"/>
          <w:sz w:val="24"/>
          <w:szCs w:val="24"/>
        </w:rPr>
        <w:t>Retomando à etapa anterior, p</w:t>
      </w:r>
      <w:r w:rsidR="00642C1A" w:rsidRPr="008D2E72">
        <w:rPr>
          <w:color w:val="auto"/>
          <w:sz w:val="24"/>
          <w:szCs w:val="24"/>
        </w:rPr>
        <w:t>ela razão entre o montante disponível para repasse à etapa seguinte de R$  33.131.250,00 e o necessário R$ 39.293.433,94, tem-se a razão de 0,8432, que resultaria no montante adequado para a etapa seguinte R$ 28.327.218,75 do total de R$ 33.595.886,02 repassado a ordem para várias fontes.</w:t>
      </w:r>
    </w:p>
    <w:p w:rsidR="00805D2D" w:rsidRPr="008D2E72" w:rsidRDefault="00642C1A">
      <w:pPr>
        <w:ind w:firstLine="737"/>
        <w:jc w:val="both"/>
        <w:rPr>
          <w:color w:val="auto"/>
          <w:sz w:val="24"/>
          <w:szCs w:val="24"/>
        </w:rPr>
      </w:pPr>
      <w:r w:rsidRPr="008D2E72">
        <w:rPr>
          <w:color w:val="auto"/>
          <w:sz w:val="24"/>
          <w:szCs w:val="24"/>
        </w:rPr>
        <w:t>Em continuidade a apuração dos custos evidenciados no tópico anterior, agregando os custos das duas etapas abordadas, identifica-se que o benefício do corruptor representa 73,10% (R$ 28.327.218,75 / R$ 38.750.000,00) do valor faturado, duas etapas antes.</w:t>
      </w:r>
    </w:p>
    <w:p w:rsidR="00805D2D" w:rsidRPr="008D2E72" w:rsidRDefault="00805D2D">
      <w:pPr>
        <w:ind w:firstLine="737"/>
        <w:jc w:val="both"/>
        <w:rPr>
          <w:color w:val="auto"/>
          <w:sz w:val="24"/>
          <w:szCs w:val="24"/>
        </w:rPr>
      </w:pPr>
    </w:p>
    <w:p w:rsidR="00805D2D" w:rsidRPr="008D2E72" w:rsidRDefault="00805D2D">
      <w:pPr>
        <w:ind w:firstLine="737"/>
        <w:jc w:val="both"/>
        <w:rPr>
          <w:color w:val="auto"/>
          <w:sz w:val="24"/>
          <w:szCs w:val="24"/>
        </w:rPr>
      </w:pPr>
    </w:p>
    <w:p w:rsidR="00805D2D" w:rsidRPr="008D2E72" w:rsidRDefault="00805D2D">
      <w:pPr>
        <w:ind w:firstLine="737"/>
        <w:jc w:val="both"/>
        <w:rPr>
          <w:color w:val="auto"/>
          <w:sz w:val="24"/>
          <w:szCs w:val="24"/>
        </w:rPr>
      </w:pPr>
    </w:p>
    <w:p w:rsidR="00805D2D" w:rsidRPr="008D2E72" w:rsidRDefault="00805D2D">
      <w:pPr>
        <w:ind w:firstLine="737"/>
        <w:jc w:val="both"/>
        <w:rPr>
          <w:color w:val="auto"/>
          <w:sz w:val="24"/>
          <w:szCs w:val="24"/>
        </w:rPr>
      </w:pPr>
    </w:p>
    <w:p w:rsidR="00805D2D" w:rsidRPr="008D2E72" w:rsidRDefault="00805D2D">
      <w:pPr>
        <w:ind w:firstLine="737"/>
        <w:jc w:val="both"/>
        <w:rPr>
          <w:color w:val="auto"/>
          <w:sz w:val="24"/>
          <w:szCs w:val="24"/>
        </w:rPr>
      </w:pPr>
    </w:p>
    <w:p w:rsidR="00805D2D" w:rsidRPr="008D2E72" w:rsidRDefault="00805D2D">
      <w:pPr>
        <w:ind w:firstLine="737"/>
        <w:jc w:val="both"/>
        <w:rPr>
          <w:color w:val="auto"/>
          <w:sz w:val="24"/>
          <w:szCs w:val="24"/>
        </w:rPr>
      </w:pPr>
    </w:p>
    <w:p w:rsidR="00805D2D" w:rsidRPr="008D2E72" w:rsidRDefault="00642C1A">
      <w:pPr>
        <w:jc w:val="center"/>
        <w:rPr>
          <w:color w:val="auto"/>
          <w:szCs w:val="24"/>
        </w:rPr>
      </w:pPr>
      <w:r w:rsidRPr="008D2E72">
        <w:rPr>
          <w:color w:val="auto"/>
          <w:szCs w:val="24"/>
        </w:rPr>
        <w:t>Figura 5 – Valor líquido da destinação</w:t>
      </w:r>
    </w:p>
    <w:p w:rsidR="00805D2D" w:rsidRPr="008D2E72" w:rsidRDefault="00642C1A">
      <w:pPr>
        <w:pStyle w:val="Corpodotexto"/>
        <w:spacing w:after="0" w:line="240" w:lineRule="auto"/>
        <w:ind w:firstLine="1985"/>
        <w:jc w:val="both"/>
        <w:rPr>
          <w:rFonts w:ascii="Times New Roman" w:hAnsi="Times New Roman" w:cs="Times New Roman"/>
          <w:color w:val="auto"/>
        </w:rPr>
      </w:pPr>
      <w:r w:rsidRPr="008D2E72">
        <w:rPr>
          <w:noProof/>
          <w:color w:val="auto"/>
          <w:lang w:eastAsia="pt-BR" w:bidi="ar-SA"/>
        </w:rPr>
        <w:drawing>
          <wp:inline distT="0" distB="0" distL="0" distR="0">
            <wp:extent cx="3221355" cy="1483360"/>
            <wp:effectExtent l="0" t="0" r="0" b="0"/>
            <wp:docPr id="6"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3"/>
                    <pic:cNvPicPr>
                      <a:picLocks noChangeAspect="1" noChangeArrowheads="1"/>
                    </pic:cNvPicPr>
                  </pic:nvPicPr>
                  <pic:blipFill>
                    <a:blip r:embed="rId17"/>
                    <a:stretch>
                      <a:fillRect/>
                    </a:stretch>
                  </pic:blipFill>
                  <pic:spPr bwMode="auto">
                    <a:xfrm>
                      <a:off x="0" y="0"/>
                      <a:ext cx="3221355" cy="1483360"/>
                    </a:xfrm>
                    <a:prstGeom prst="rect">
                      <a:avLst/>
                    </a:prstGeom>
                  </pic:spPr>
                </pic:pic>
              </a:graphicData>
            </a:graphic>
          </wp:inline>
        </w:drawing>
      </w:r>
    </w:p>
    <w:p w:rsidR="00805D2D" w:rsidRPr="008D2E72" w:rsidRDefault="00642C1A">
      <w:pPr>
        <w:pStyle w:val="Corpodotexto"/>
        <w:spacing w:after="0" w:line="240" w:lineRule="auto"/>
        <w:ind w:firstLine="3119"/>
        <w:rPr>
          <w:rFonts w:ascii="Times New Roman" w:hAnsi="Times New Roman" w:cs="Times New Roman"/>
          <w:color w:val="auto"/>
          <w:sz w:val="20"/>
        </w:rPr>
      </w:pPr>
      <w:r w:rsidRPr="008D2E72">
        <w:rPr>
          <w:rFonts w:ascii="Times New Roman" w:hAnsi="Times New Roman" w:cs="Times New Roman"/>
          <w:color w:val="auto"/>
          <w:sz w:val="20"/>
        </w:rPr>
        <w:t>Fonte: elaborado pelos autores</w:t>
      </w:r>
    </w:p>
    <w:p w:rsidR="00805D2D" w:rsidRPr="008D2E72" w:rsidRDefault="00805D2D">
      <w:pPr>
        <w:ind w:firstLine="1417"/>
        <w:jc w:val="both"/>
        <w:rPr>
          <w:color w:val="auto"/>
          <w:sz w:val="24"/>
          <w:szCs w:val="24"/>
        </w:rPr>
      </w:pPr>
    </w:p>
    <w:p w:rsidR="00805D2D" w:rsidRPr="008D2E72" w:rsidRDefault="00642C1A" w:rsidP="007C66BD">
      <w:pPr>
        <w:pStyle w:val="Caption"/>
        <w:rPr>
          <w:rStyle w:val="apple-converted-space"/>
          <w:b/>
          <w:i w:val="0"/>
          <w:color w:val="auto"/>
        </w:rPr>
      </w:pPr>
      <w:r w:rsidRPr="008D2E72">
        <w:rPr>
          <w:rStyle w:val="apple-converted-space"/>
          <w:b/>
          <w:i w:val="0"/>
          <w:color w:val="auto"/>
        </w:rPr>
        <w:t>4.3 Segunda Etapa: lavagem e repasse mediante serviços não prestados</w:t>
      </w:r>
    </w:p>
    <w:p w:rsidR="00805D2D" w:rsidRPr="008D2E72" w:rsidRDefault="00642C1A">
      <w:pPr>
        <w:pStyle w:val="Corpodotexto"/>
        <w:spacing w:after="0" w:line="240" w:lineRule="auto"/>
        <w:ind w:firstLine="737"/>
        <w:jc w:val="both"/>
        <w:rPr>
          <w:rFonts w:ascii="Times New Roman" w:hAnsi="Times New Roman" w:cs="Times New Roman"/>
          <w:color w:val="auto"/>
        </w:rPr>
      </w:pPr>
      <w:r w:rsidRPr="008D2E72">
        <w:rPr>
          <w:rFonts w:ascii="Times New Roman" w:hAnsi="Times New Roman" w:cs="Times New Roman"/>
          <w:color w:val="auto"/>
        </w:rPr>
        <w:t xml:space="preserve">Esta etapa representa o repasse de recursos do consórcio que efetivamente </w:t>
      </w:r>
      <w:r w:rsidR="00DB07D1" w:rsidRPr="008D2E72">
        <w:rPr>
          <w:rFonts w:ascii="Times New Roman" w:hAnsi="Times New Roman" w:cs="Times New Roman"/>
          <w:color w:val="auto"/>
        </w:rPr>
        <w:t>realizou</w:t>
      </w:r>
      <w:r w:rsidRPr="008D2E72">
        <w:rPr>
          <w:rFonts w:ascii="Times New Roman" w:hAnsi="Times New Roman" w:cs="Times New Roman"/>
          <w:color w:val="auto"/>
        </w:rPr>
        <w:t xml:space="preserve"> a obra para empresas mediante a contratação de prestação de serviços não executados. Na denúncia consta o repasse de R$ 194.081.716,00, dos quais teriam sido faturados indevidamente pelo menos R$ 38.750.000,00 em serviços.</w:t>
      </w:r>
    </w:p>
    <w:p w:rsidR="00805D2D" w:rsidRPr="008D2E72" w:rsidRDefault="00642C1A">
      <w:pPr>
        <w:pStyle w:val="Corpodotexto"/>
        <w:spacing w:after="0" w:line="240" w:lineRule="auto"/>
        <w:ind w:firstLine="737"/>
        <w:jc w:val="both"/>
        <w:rPr>
          <w:rFonts w:ascii="Times New Roman" w:hAnsi="Times New Roman" w:cs="Times New Roman"/>
          <w:color w:val="auto"/>
        </w:rPr>
      </w:pPr>
      <w:r w:rsidRPr="008D2E72">
        <w:rPr>
          <w:rFonts w:ascii="Times New Roman" w:hAnsi="Times New Roman" w:cs="Times New Roman"/>
          <w:color w:val="auto"/>
        </w:rPr>
        <w:t>O laudo pericial apontou que as notas fiscais faturadas que lastreariam a saída de recursos tinham objeto não realizado, ou realizado por meio de outros contratos de fornecimento de produtos. Em virtude daquele consórcio prestar exclusivamente a execução de obra de grande porte para ente público, todos os supostos “insumos” faturados foram incluídos no custo da obra pública</w:t>
      </w:r>
      <w:r w:rsidR="00DB07D1" w:rsidRPr="008D2E72">
        <w:rPr>
          <w:rFonts w:ascii="Times New Roman" w:hAnsi="Times New Roman" w:cs="Times New Roman"/>
          <w:color w:val="auto"/>
        </w:rPr>
        <w:t xml:space="preserve"> (O Globo, 2015)</w:t>
      </w:r>
      <w:r w:rsidRPr="008D2E72">
        <w:rPr>
          <w:rFonts w:ascii="Times New Roman" w:hAnsi="Times New Roman" w:cs="Times New Roman"/>
          <w:color w:val="auto"/>
        </w:rPr>
        <w:t>.</w:t>
      </w:r>
    </w:p>
    <w:p w:rsidR="00805D2D" w:rsidRPr="008D2E72" w:rsidRDefault="00642C1A">
      <w:pPr>
        <w:pStyle w:val="Corpodotexto"/>
        <w:spacing w:after="0" w:line="240" w:lineRule="auto"/>
        <w:ind w:firstLine="737"/>
        <w:jc w:val="both"/>
        <w:rPr>
          <w:rFonts w:ascii="Times New Roman" w:hAnsi="Times New Roman" w:cs="Times New Roman"/>
          <w:color w:val="auto"/>
        </w:rPr>
      </w:pPr>
      <w:r w:rsidRPr="008D2E72">
        <w:rPr>
          <w:rFonts w:ascii="Times New Roman" w:hAnsi="Times New Roman" w:cs="Times New Roman"/>
          <w:color w:val="auto"/>
        </w:rPr>
        <w:t>As obras foram realizadas no período de fevereiro de 2010 a abril de 2015, consumindo entre valor inicial e aditivos, no montante de R$ 5.112.134.370,92 (Petrobras, 2015).</w:t>
      </w:r>
    </w:p>
    <w:p w:rsidR="00805D2D" w:rsidRPr="008D2E72" w:rsidRDefault="00805D2D">
      <w:pPr>
        <w:pStyle w:val="Corpodotexto"/>
        <w:spacing w:after="0" w:line="240" w:lineRule="auto"/>
        <w:ind w:firstLine="737"/>
        <w:jc w:val="both"/>
        <w:rPr>
          <w:rFonts w:ascii="Times New Roman" w:hAnsi="Times New Roman" w:cs="Times New Roman"/>
          <w:color w:val="auto"/>
        </w:rPr>
      </w:pPr>
    </w:p>
    <w:p w:rsidR="00805D2D" w:rsidRPr="008D2E72" w:rsidRDefault="00642C1A">
      <w:pPr>
        <w:pStyle w:val="Corpodotexto"/>
        <w:spacing w:after="0" w:line="240" w:lineRule="auto"/>
        <w:jc w:val="center"/>
        <w:rPr>
          <w:rFonts w:ascii="Times New Roman" w:hAnsi="Times New Roman" w:cs="Times New Roman"/>
          <w:color w:val="auto"/>
          <w:sz w:val="20"/>
        </w:rPr>
      </w:pPr>
      <w:r w:rsidRPr="008D2E72">
        <w:rPr>
          <w:rFonts w:ascii="Times New Roman" w:hAnsi="Times New Roman" w:cs="Times New Roman"/>
          <w:color w:val="auto"/>
          <w:sz w:val="20"/>
        </w:rPr>
        <w:t>Tabela 3 – Contratos da estatal</w:t>
      </w:r>
    </w:p>
    <w:tbl>
      <w:tblPr>
        <w:tblStyle w:val="Tabelacomgrade"/>
        <w:tblW w:w="0" w:type="auto"/>
        <w:tblLook w:val="04A0"/>
      </w:tblPr>
      <w:tblGrid>
        <w:gridCol w:w="1458"/>
        <w:gridCol w:w="1508"/>
        <w:gridCol w:w="1253"/>
        <w:gridCol w:w="1709"/>
        <w:gridCol w:w="1463"/>
        <w:gridCol w:w="1896"/>
      </w:tblGrid>
      <w:tr w:rsidR="00DB07D1" w:rsidRPr="008D2E72" w:rsidTr="00DB07D1">
        <w:tc>
          <w:tcPr>
            <w:tcW w:w="1458" w:type="dxa"/>
          </w:tcPr>
          <w:p w:rsidR="00DB07D1" w:rsidRPr="008D2E72" w:rsidRDefault="00DB07D1" w:rsidP="00DB07D1">
            <w:pPr>
              <w:pStyle w:val="Corpodotexto"/>
              <w:spacing w:after="0" w:line="240" w:lineRule="auto"/>
              <w:jc w:val="center"/>
              <w:rPr>
                <w:rFonts w:ascii="Times New Roman" w:hAnsi="Times New Roman" w:cs="Times New Roman"/>
                <w:b/>
                <w:color w:val="auto"/>
                <w:sz w:val="20"/>
              </w:rPr>
            </w:pPr>
            <w:r w:rsidRPr="008D2E72">
              <w:rPr>
                <w:rFonts w:ascii="Times New Roman" w:hAnsi="Times New Roman" w:cs="Times New Roman"/>
                <w:b/>
                <w:color w:val="auto"/>
                <w:sz w:val="20"/>
              </w:rPr>
              <w:t>Contrato</w:t>
            </w:r>
          </w:p>
        </w:tc>
        <w:tc>
          <w:tcPr>
            <w:tcW w:w="1508" w:type="dxa"/>
          </w:tcPr>
          <w:p w:rsidR="00DB07D1" w:rsidRPr="008D2E72" w:rsidRDefault="00DB07D1" w:rsidP="00DB07D1">
            <w:pPr>
              <w:pStyle w:val="Corpodotexto"/>
              <w:spacing w:after="0" w:line="240" w:lineRule="auto"/>
              <w:jc w:val="center"/>
              <w:rPr>
                <w:rFonts w:ascii="Times New Roman" w:hAnsi="Times New Roman" w:cs="Times New Roman"/>
                <w:b/>
                <w:color w:val="auto"/>
                <w:sz w:val="20"/>
              </w:rPr>
            </w:pPr>
            <w:r w:rsidRPr="008D2E72">
              <w:rPr>
                <w:rFonts w:ascii="Times New Roman" w:hAnsi="Times New Roman" w:cs="Times New Roman"/>
                <w:b/>
                <w:color w:val="auto"/>
                <w:sz w:val="20"/>
              </w:rPr>
              <w:t>Modalidade</w:t>
            </w:r>
          </w:p>
        </w:tc>
        <w:tc>
          <w:tcPr>
            <w:tcW w:w="1253" w:type="dxa"/>
          </w:tcPr>
          <w:p w:rsidR="00DB07D1" w:rsidRPr="008D2E72" w:rsidRDefault="00DB07D1" w:rsidP="00DB07D1">
            <w:pPr>
              <w:pStyle w:val="Corpodotexto"/>
              <w:spacing w:after="0" w:line="240" w:lineRule="auto"/>
              <w:jc w:val="center"/>
              <w:rPr>
                <w:rFonts w:ascii="Times New Roman" w:hAnsi="Times New Roman" w:cs="Times New Roman"/>
                <w:b/>
                <w:color w:val="auto"/>
                <w:sz w:val="20"/>
              </w:rPr>
            </w:pPr>
            <w:r w:rsidRPr="008D2E72">
              <w:rPr>
                <w:rFonts w:ascii="Times New Roman" w:hAnsi="Times New Roman" w:cs="Times New Roman"/>
                <w:b/>
                <w:color w:val="auto"/>
                <w:sz w:val="20"/>
              </w:rPr>
              <w:t>Fornecedor</w:t>
            </w:r>
          </w:p>
        </w:tc>
        <w:tc>
          <w:tcPr>
            <w:tcW w:w="1709" w:type="dxa"/>
          </w:tcPr>
          <w:p w:rsidR="00DB07D1" w:rsidRPr="008D2E72" w:rsidRDefault="00DB07D1" w:rsidP="00DB07D1">
            <w:pPr>
              <w:pStyle w:val="Corpodotexto"/>
              <w:spacing w:after="0" w:line="240" w:lineRule="auto"/>
              <w:jc w:val="center"/>
              <w:rPr>
                <w:rFonts w:ascii="Times New Roman" w:hAnsi="Times New Roman" w:cs="Times New Roman"/>
                <w:b/>
                <w:color w:val="auto"/>
                <w:sz w:val="20"/>
              </w:rPr>
            </w:pPr>
            <w:r w:rsidRPr="008D2E72">
              <w:rPr>
                <w:rFonts w:ascii="Times New Roman" w:hAnsi="Times New Roman" w:cs="Times New Roman"/>
                <w:b/>
                <w:color w:val="auto"/>
                <w:sz w:val="20"/>
              </w:rPr>
              <w:t>Início Vigência</w:t>
            </w:r>
          </w:p>
        </w:tc>
        <w:tc>
          <w:tcPr>
            <w:tcW w:w="1463" w:type="dxa"/>
          </w:tcPr>
          <w:p w:rsidR="00DB07D1" w:rsidRPr="008D2E72" w:rsidRDefault="00DB07D1" w:rsidP="00DB07D1">
            <w:pPr>
              <w:pStyle w:val="Corpodotexto"/>
              <w:spacing w:after="0" w:line="240" w:lineRule="auto"/>
              <w:jc w:val="center"/>
              <w:rPr>
                <w:rFonts w:ascii="Times New Roman" w:hAnsi="Times New Roman" w:cs="Times New Roman"/>
                <w:b/>
                <w:color w:val="auto"/>
                <w:sz w:val="20"/>
              </w:rPr>
            </w:pPr>
            <w:r w:rsidRPr="008D2E72">
              <w:rPr>
                <w:rFonts w:ascii="Times New Roman" w:hAnsi="Times New Roman" w:cs="Times New Roman"/>
                <w:b/>
                <w:color w:val="auto"/>
                <w:sz w:val="20"/>
              </w:rPr>
              <w:t>Final Vigência</w:t>
            </w:r>
          </w:p>
        </w:tc>
        <w:tc>
          <w:tcPr>
            <w:tcW w:w="1896" w:type="dxa"/>
          </w:tcPr>
          <w:p w:rsidR="00DB07D1" w:rsidRPr="008D2E72" w:rsidRDefault="00DB07D1" w:rsidP="00DB07D1">
            <w:pPr>
              <w:pStyle w:val="Corpodotexto"/>
              <w:spacing w:after="0" w:line="240" w:lineRule="auto"/>
              <w:jc w:val="center"/>
              <w:rPr>
                <w:rFonts w:ascii="Times New Roman" w:hAnsi="Times New Roman" w:cs="Times New Roman"/>
                <w:b/>
                <w:color w:val="auto"/>
                <w:sz w:val="20"/>
              </w:rPr>
            </w:pPr>
            <w:r w:rsidRPr="008D2E72">
              <w:rPr>
                <w:rFonts w:ascii="Times New Roman" w:hAnsi="Times New Roman" w:cs="Times New Roman"/>
                <w:b/>
                <w:color w:val="auto"/>
                <w:sz w:val="20"/>
              </w:rPr>
              <w:t>Valor Executado</w:t>
            </w:r>
          </w:p>
        </w:tc>
      </w:tr>
      <w:tr w:rsidR="00DB07D1" w:rsidRPr="008D2E72" w:rsidTr="00DB07D1">
        <w:tc>
          <w:tcPr>
            <w:tcW w:w="1458" w:type="dxa"/>
          </w:tcPr>
          <w:p w:rsidR="00DB07D1" w:rsidRPr="008D2E72" w:rsidRDefault="00DB07D1" w:rsidP="00DB07D1">
            <w:pPr>
              <w:pStyle w:val="Corpodotexto"/>
              <w:spacing w:after="0" w:line="240" w:lineRule="auto"/>
              <w:jc w:val="center"/>
              <w:rPr>
                <w:rFonts w:ascii="Times New Roman" w:hAnsi="Times New Roman" w:cs="Times New Roman"/>
                <w:color w:val="auto"/>
                <w:sz w:val="20"/>
              </w:rPr>
            </w:pPr>
            <w:r w:rsidRPr="008D2E72">
              <w:rPr>
                <w:rFonts w:ascii="Times New Roman" w:hAnsi="Times New Roman" w:cs="Times New Roman"/>
                <w:color w:val="auto"/>
                <w:sz w:val="20"/>
              </w:rPr>
              <w:t>***7105</w:t>
            </w:r>
          </w:p>
        </w:tc>
        <w:tc>
          <w:tcPr>
            <w:tcW w:w="1508" w:type="dxa"/>
          </w:tcPr>
          <w:p w:rsidR="00DB07D1" w:rsidRPr="008D2E72" w:rsidRDefault="00DB07D1" w:rsidP="00DB07D1">
            <w:pPr>
              <w:pStyle w:val="Corpodotexto"/>
              <w:spacing w:after="0" w:line="240" w:lineRule="auto"/>
              <w:jc w:val="center"/>
              <w:rPr>
                <w:rFonts w:ascii="Times New Roman" w:hAnsi="Times New Roman" w:cs="Times New Roman"/>
                <w:color w:val="auto"/>
                <w:sz w:val="20"/>
              </w:rPr>
            </w:pPr>
            <w:r w:rsidRPr="008D2E72">
              <w:rPr>
                <w:rFonts w:ascii="Times New Roman" w:hAnsi="Times New Roman" w:cs="Times New Roman"/>
                <w:color w:val="auto"/>
                <w:sz w:val="20"/>
              </w:rPr>
              <w:t>Convite</w:t>
            </w:r>
          </w:p>
        </w:tc>
        <w:tc>
          <w:tcPr>
            <w:tcW w:w="1253" w:type="dxa"/>
          </w:tcPr>
          <w:p w:rsidR="00DB07D1" w:rsidRPr="008D2E72" w:rsidRDefault="00DB07D1" w:rsidP="00DB07D1">
            <w:pPr>
              <w:pStyle w:val="Corpodotexto"/>
              <w:spacing w:after="0" w:line="240" w:lineRule="auto"/>
              <w:jc w:val="center"/>
              <w:rPr>
                <w:rFonts w:ascii="Times New Roman" w:hAnsi="Times New Roman" w:cs="Times New Roman"/>
                <w:color w:val="auto"/>
                <w:sz w:val="20"/>
              </w:rPr>
            </w:pPr>
            <w:r w:rsidRPr="008D2E72">
              <w:rPr>
                <w:rFonts w:ascii="Times New Roman" w:hAnsi="Times New Roman" w:cs="Times New Roman"/>
                <w:color w:val="auto"/>
                <w:sz w:val="20"/>
              </w:rPr>
              <w:t>Consórcio C</w:t>
            </w:r>
          </w:p>
        </w:tc>
        <w:tc>
          <w:tcPr>
            <w:tcW w:w="1709" w:type="dxa"/>
          </w:tcPr>
          <w:p w:rsidR="00DB07D1" w:rsidRPr="008D2E72" w:rsidRDefault="00DB07D1" w:rsidP="00DB07D1">
            <w:pPr>
              <w:pStyle w:val="Corpodotexto"/>
              <w:spacing w:after="0" w:line="240" w:lineRule="auto"/>
              <w:jc w:val="center"/>
              <w:rPr>
                <w:rFonts w:ascii="Times New Roman" w:hAnsi="Times New Roman" w:cs="Times New Roman"/>
                <w:color w:val="auto"/>
                <w:sz w:val="20"/>
              </w:rPr>
            </w:pPr>
            <w:r w:rsidRPr="008D2E72">
              <w:rPr>
                <w:rFonts w:ascii="Times New Roman" w:hAnsi="Times New Roman" w:cs="Times New Roman"/>
                <w:color w:val="auto"/>
                <w:sz w:val="20"/>
              </w:rPr>
              <w:t>05/02/10</w:t>
            </w:r>
          </w:p>
        </w:tc>
        <w:tc>
          <w:tcPr>
            <w:tcW w:w="1463" w:type="dxa"/>
          </w:tcPr>
          <w:p w:rsidR="00DB07D1" w:rsidRPr="008D2E72" w:rsidRDefault="00DB07D1" w:rsidP="00DB07D1">
            <w:pPr>
              <w:pStyle w:val="Corpodotexto"/>
              <w:spacing w:after="0" w:line="240" w:lineRule="auto"/>
              <w:jc w:val="center"/>
              <w:rPr>
                <w:rFonts w:ascii="Times New Roman" w:hAnsi="Times New Roman" w:cs="Times New Roman"/>
                <w:color w:val="auto"/>
                <w:sz w:val="20"/>
              </w:rPr>
            </w:pPr>
            <w:r w:rsidRPr="008D2E72">
              <w:rPr>
                <w:rFonts w:ascii="Times New Roman" w:hAnsi="Times New Roman" w:cs="Times New Roman"/>
                <w:color w:val="auto"/>
                <w:sz w:val="20"/>
              </w:rPr>
              <w:t>28/04/15</w:t>
            </w:r>
          </w:p>
        </w:tc>
        <w:tc>
          <w:tcPr>
            <w:tcW w:w="1896" w:type="dxa"/>
          </w:tcPr>
          <w:p w:rsidR="00DB07D1" w:rsidRPr="008D2E72" w:rsidRDefault="00DB07D1" w:rsidP="00DB07D1">
            <w:pPr>
              <w:pStyle w:val="Corpodotexto"/>
              <w:spacing w:after="0" w:line="240" w:lineRule="auto"/>
              <w:jc w:val="center"/>
              <w:rPr>
                <w:rFonts w:ascii="Times New Roman" w:hAnsi="Times New Roman" w:cs="Times New Roman"/>
                <w:color w:val="auto"/>
                <w:sz w:val="20"/>
              </w:rPr>
            </w:pPr>
            <w:r w:rsidRPr="008D2E72">
              <w:rPr>
                <w:rFonts w:ascii="Times New Roman" w:hAnsi="Times New Roman" w:cs="Times New Roman"/>
                <w:color w:val="auto"/>
                <w:sz w:val="20"/>
              </w:rPr>
              <w:t>3.772.023.579,96</w:t>
            </w:r>
          </w:p>
        </w:tc>
      </w:tr>
      <w:tr w:rsidR="00DB07D1" w:rsidRPr="008D2E72" w:rsidTr="00DB07D1">
        <w:tc>
          <w:tcPr>
            <w:tcW w:w="1458" w:type="dxa"/>
          </w:tcPr>
          <w:p w:rsidR="00DB07D1" w:rsidRPr="008D2E72" w:rsidRDefault="00DB07D1" w:rsidP="00DB07D1">
            <w:pPr>
              <w:pStyle w:val="Corpodotexto"/>
              <w:spacing w:after="0" w:line="240" w:lineRule="auto"/>
              <w:jc w:val="center"/>
              <w:rPr>
                <w:rFonts w:ascii="Times New Roman" w:hAnsi="Times New Roman" w:cs="Times New Roman"/>
                <w:color w:val="auto"/>
                <w:sz w:val="20"/>
              </w:rPr>
            </w:pPr>
            <w:r w:rsidRPr="008D2E72">
              <w:rPr>
                <w:rFonts w:ascii="Times New Roman" w:hAnsi="Times New Roman" w:cs="Times New Roman"/>
                <w:color w:val="auto"/>
                <w:sz w:val="20"/>
              </w:rPr>
              <w:t>***1273</w:t>
            </w:r>
          </w:p>
        </w:tc>
        <w:tc>
          <w:tcPr>
            <w:tcW w:w="1508" w:type="dxa"/>
          </w:tcPr>
          <w:p w:rsidR="00DB07D1" w:rsidRPr="008D2E72" w:rsidRDefault="00DB07D1" w:rsidP="00DB07D1">
            <w:pPr>
              <w:pStyle w:val="Corpodotexto"/>
              <w:spacing w:after="0" w:line="240" w:lineRule="auto"/>
              <w:jc w:val="center"/>
              <w:rPr>
                <w:rFonts w:ascii="Times New Roman" w:hAnsi="Times New Roman" w:cs="Times New Roman"/>
                <w:color w:val="auto"/>
                <w:sz w:val="20"/>
              </w:rPr>
            </w:pPr>
            <w:r w:rsidRPr="008D2E72">
              <w:rPr>
                <w:rFonts w:ascii="Times New Roman" w:hAnsi="Times New Roman" w:cs="Times New Roman"/>
                <w:color w:val="auto"/>
                <w:sz w:val="20"/>
              </w:rPr>
              <w:t>Convite</w:t>
            </w:r>
          </w:p>
        </w:tc>
        <w:tc>
          <w:tcPr>
            <w:tcW w:w="1253" w:type="dxa"/>
          </w:tcPr>
          <w:p w:rsidR="00DB07D1" w:rsidRPr="008D2E72" w:rsidRDefault="00DB07D1" w:rsidP="00DB07D1">
            <w:pPr>
              <w:pStyle w:val="Corpodotexto"/>
              <w:spacing w:after="0" w:line="240" w:lineRule="auto"/>
              <w:jc w:val="center"/>
              <w:rPr>
                <w:rFonts w:ascii="Times New Roman" w:hAnsi="Times New Roman" w:cs="Times New Roman"/>
                <w:color w:val="auto"/>
                <w:sz w:val="20"/>
              </w:rPr>
            </w:pPr>
            <w:r w:rsidRPr="008D2E72">
              <w:rPr>
                <w:rFonts w:ascii="Times New Roman" w:hAnsi="Times New Roman" w:cs="Times New Roman"/>
                <w:color w:val="auto"/>
                <w:sz w:val="20"/>
              </w:rPr>
              <w:t>Consórcio C</w:t>
            </w:r>
          </w:p>
        </w:tc>
        <w:tc>
          <w:tcPr>
            <w:tcW w:w="1709" w:type="dxa"/>
          </w:tcPr>
          <w:p w:rsidR="00DB07D1" w:rsidRPr="008D2E72" w:rsidRDefault="00DB07D1" w:rsidP="00DB07D1">
            <w:pPr>
              <w:pStyle w:val="Corpodotexto"/>
              <w:spacing w:after="0" w:line="240" w:lineRule="auto"/>
              <w:jc w:val="center"/>
              <w:rPr>
                <w:rFonts w:ascii="Times New Roman" w:hAnsi="Times New Roman" w:cs="Times New Roman"/>
                <w:color w:val="auto"/>
                <w:sz w:val="20"/>
              </w:rPr>
            </w:pPr>
            <w:r w:rsidRPr="008D2E72">
              <w:rPr>
                <w:rFonts w:ascii="Times New Roman" w:hAnsi="Times New Roman" w:cs="Times New Roman"/>
                <w:color w:val="auto"/>
                <w:sz w:val="20"/>
              </w:rPr>
              <w:t>05/02/10</w:t>
            </w:r>
          </w:p>
        </w:tc>
        <w:tc>
          <w:tcPr>
            <w:tcW w:w="1463" w:type="dxa"/>
          </w:tcPr>
          <w:p w:rsidR="00DB07D1" w:rsidRPr="008D2E72" w:rsidRDefault="00DB07D1" w:rsidP="00DB07D1">
            <w:pPr>
              <w:pStyle w:val="Corpodotexto"/>
              <w:spacing w:after="0" w:line="240" w:lineRule="auto"/>
              <w:jc w:val="center"/>
              <w:rPr>
                <w:rFonts w:ascii="Times New Roman" w:hAnsi="Times New Roman" w:cs="Times New Roman"/>
                <w:color w:val="auto"/>
                <w:sz w:val="20"/>
              </w:rPr>
            </w:pPr>
            <w:r w:rsidRPr="008D2E72">
              <w:rPr>
                <w:rFonts w:ascii="Times New Roman" w:hAnsi="Times New Roman" w:cs="Times New Roman"/>
                <w:color w:val="auto"/>
                <w:sz w:val="20"/>
              </w:rPr>
              <w:t>28/04/15</w:t>
            </w:r>
          </w:p>
        </w:tc>
        <w:tc>
          <w:tcPr>
            <w:tcW w:w="1896" w:type="dxa"/>
          </w:tcPr>
          <w:p w:rsidR="00DB07D1" w:rsidRPr="008D2E72" w:rsidRDefault="00DB07D1" w:rsidP="00DB07D1">
            <w:pPr>
              <w:pStyle w:val="Corpodotexto"/>
              <w:spacing w:after="0" w:line="240" w:lineRule="auto"/>
              <w:jc w:val="center"/>
              <w:rPr>
                <w:rFonts w:ascii="Times New Roman" w:hAnsi="Times New Roman" w:cs="Times New Roman"/>
                <w:color w:val="auto"/>
                <w:sz w:val="20"/>
              </w:rPr>
            </w:pPr>
            <w:r w:rsidRPr="008D2E72">
              <w:rPr>
                <w:rFonts w:ascii="Times New Roman" w:hAnsi="Times New Roman" w:cs="Times New Roman"/>
                <w:color w:val="auto"/>
                <w:sz w:val="20"/>
              </w:rPr>
              <w:t>1.340.110.790,96</w:t>
            </w:r>
          </w:p>
        </w:tc>
      </w:tr>
    </w:tbl>
    <w:p w:rsidR="00DB07D1" w:rsidRPr="008D2E72" w:rsidRDefault="00DB07D1" w:rsidP="00DB07D1">
      <w:pPr>
        <w:pStyle w:val="Corpodotexto"/>
        <w:spacing w:after="0" w:line="240" w:lineRule="auto"/>
        <w:jc w:val="both"/>
        <w:rPr>
          <w:rFonts w:ascii="Times New Roman" w:hAnsi="Times New Roman" w:cs="Times New Roman"/>
          <w:color w:val="auto"/>
          <w:sz w:val="20"/>
        </w:rPr>
      </w:pPr>
      <w:r w:rsidRPr="008D2E72">
        <w:rPr>
          <w:rFonts w:ascii="Times New Roman" w:hAnsi="Times New Roman" w:cs="Times New Roman"/>
          <w:color w:val="auto"/>
          <w:sz w:val="20"/>
        </w:rPr>
        <w:t>Fonte: Portal da Transparência (Petrobras, 2015)</w:t>
      </w:r>
    </w:p>
    <w:p w:rsidR="00805D2D" w:rsidRPr="008D2E72" w:rsidRDefault="00805D2D">
      <w:pPr>
        <w:pStyle w:val="Corpodotexto"/>
        <w:spacing w:after="0" w:line="240" w:lineRule="auto"/>
        <w:ind w:firstLine="1417"/>
        <w:jc w:val="both"/>
        <w:rPr>
          <w:rFonts w:ascii="Times New Roman" w:hAnsi="Times New Roman" w:cs="Times New Roman"/>
          <w:color w:val="auto"/>
        </w:rPr>
      </w:pPr>
    </w:p>
    <w:p w:rsidR="00805D2D" w:rsidRPr="008D2E72" w:rsidRDefault="00642C1A">
      <w:pPr>
        <w:pStyle w:val="Corpodotexto"/>
        <w:spacing w:after="0" w:line="240" w:lineRule="auto"/>
        <w:ind w:firstLine="737"/>
        <w:jc w:val="both"/>
        <w:rPr>
          <w:rFonts w:ascii="Times New Roman" w:hAnsi="Times New Roman" w:cs="Times New Roman"/>
          <w:color w:val="auto"/>
        </w:rPr>
      </w:pPr>
      <w:r w:rsidRPr="008D2E72">
        <w:rPr>
          <w:rFonts w:ascii="Times New Roman" w:hAnsi="Times New Roman" w:cs="Times New Roman"/>
          <w:color w:val="auto"/>
        </w:rPr>
        <w:t>Segundo réus colaboradores denunciados, haveria compromisso de repasse do percentual de 2% a 3% do valor integral do contrato.</w:t>
      </w:r>
    </w:p>
    <w:p w:rsidR="00805D2D" w:rsidRPr="008D2E72" w:rsidRDefault="00805D2D">
      <w:pPr>
        <w:pStyle w:val="Corpodotexto"/>
        <w:spacing w:after="0" w:line="240" w:lineRule="auto"/>
        <w:ind w:left="2268" w:right="57"/>
        <w:jc w:val="both"/>
        <w:rPr>
          <w:rFonts w:ascii="Times New Roman" w:hAnsi="Times New Roman" w:cs="Times New Roman"/>
          <w:color w:val="auto"/>
          <w:sz w:val="22"/>
        </w:rPr>
      </w:pPr>
    </w:p>
    <w:p w:rsidR="00805D2D" w:rsidRPr="008D2E72" w:rsidRDefault="00642C1A">
      <w:pPr>
        <w:pStyle w:val="Corpodotexto"/>
        <w:spacing w:after="0" w:line="240" w:lineRule="auto"/>
        <w:ind w:left="2268" w:right="57"/>
        <w:jc w:val="both"/>
        <w:rPr>
          <w:rFonts w:ascii="Times New Roman" w:hAnsi="Times New Roman" w:cs="Times New Roman"/>
          <w:color w:val="auto"/>
          <w:sz w:val="22"/>
        </w:rPr>
      </w:pPr>
      <w:r w:rsidRPr="008D2E72">
        <w:rPr>
          <w:rFonts w:ascii="Times New Roman" w:hAnsi="Times New Roman" w:cs="Times New Roman"/>
          <w:color w:val="auto"/>
          <w:sz w:val="22"/>
        </w:rPr>
        <w:t>524. [...] O esquema era viabilizado e tolerado por Diretores da Petrobrás [...] mediante pagamento de propina. Um percentual de 2% ou 3% sobre cada grande contrato era destinado a propina para os Diretores e outros empregados da Petrobras e ainda para agentes políticos que os sustentavam nos cargos (Justiça Federal, 2015).</w:t>
      </w:r>
    </w:p>
    <w:p w:rsidR="00805D2D" w:rsidRPr="008D2E72" w:rsidRDefault="00805D2D">
      <w:pPr>
        <w:pStyle w:val="Corpodotexto"/>
        <w:spacing w:after="0" w:line="240" w:lineRule="auto"/>
        <w:ind w:left="2268" w:right="57"/>
        <w:jc w:val="both"/>
        <w:rPr>
          <w:rFonts w:ascii="Times New Roman" w:hAnsi="Times New Roman" w:cs="Times New Roman"/>
          <w:color w:val="auto"/>
          <w:sz w:val="22"/>
        </w:rPr>
      </w:pPr>
    </w:p>
    <w:p w:rsidR="00805D2D" w:rsidRPr="008D2E72" w:rsidRDefault="00642C1A">
      <w:pPr>
        <w:pStyle w:val="Corpodotexto"/>
        <w:spacing w:after="0" w:line="240" w:lineRule="auto"/>
        <w:ind w:firstLine="737"/>
        <w:jc w:val="both"/>
        <w:rPr>
          <w:rFonts w:ascii="Times New Roman" w:hAnsi="Times New Roman" w:cs="Times New Roman"/>
          <w:color w:val="auto"/>
        </w:rPr>
      </w:pPr>
      <w:r w:rsidRPr="008D2E72">
        <w:rPr>
          <w:rFonts w:ascii="Times New Roman" w:hAnsi="Times New Roman" w:cs="Times New Roman"/>
          <w:color w:val="auto"/>
        </w:rPr>
        <w:t>Do montante de R$ 5.112.134.370,92, a margem de 2% a 3%, alcançaria valores de R$ 102.242.687,42 a R$ 153.364.031,13, que seria destinado aos agentes corruptos. Assim, o valor de R$ 38.750.000,00 apontado no item anterior estaria incluso nesses valores. A diferença desses valores, parte teria transitado em forma de serviços não executados por outras empresas.</w:t>
      </w:r>
    </w:p>
    <w:p w:rsidR="00805D2D" w:rsidRPr="008D2E72" w:rsidRDefault="00642C1A">
      <w:pPr>
        <w:pStyle w:val="Corpodotexto"/>
        <w:spacing w:after="0" w:line="240" w:lineRule="auto"/>
        <w:ind w:firstLine="737"/>
        <w:jc w:val="both"/>
        <w:rPr>
          <w:rFonts w:ascii="Times New Roman" w:hAnsi="Times New Roman" w:cs="Times New Roman"/>
          <w:color w:val="auto"/>
        </w:rPr>
      </w:pPr>
      <w:r w:rsidRPr="008D2E72">
        <w:rPr>
          <w:rFonts w:ascii="Times New Roman" w:hAnsi="Times New Roman" w:cs="Times New Roman"/>
          <w:color w:val="auto"/>
        </w:rPr>
        <w:t xml:space="preserve">Num dos contratos, cuja execução chegou a R$ 3.772.023.579,92, o </w:t>
      </w:r>
      <w:proofErr w:type="spellStart"/>
      <w:r w:rsidRPr="008D2E72">
        <w:rPr>
          <w:rFonts w:ascii="Times New Roman" w:hAnsi="Times New Roman" w:cs="Times New Roman"/>
          <w:i/>
          <w:iCs/>
          <w:color w:val="auto"/>
        </w:rPr>
        <w:t>modus</w:t>
      </w:r>
      <w:proofErr w:type="spellEnd"/>
      <w:r w:rsidRPr="008D2E72">
        <w:rPr>
          <w:rFonts w:ascii="Times New Roman" w:hAnsi="Times New Roman" w:cs="Times New Roman"/>
          <w:i/>
          <w:iCs/>
          <w:color w:val="auto"/>
        </w:rPr>
        <w:t xml:space="preserve"> </w:t>
      </w:r>
      <w:proofErr w:type="spellStart"/>
      <w:r w:rsidRPr="008D2E72">
        <w:rPr>
          <w:rFonts w:ascii="Times New Roman" w:hAnsi="Times New Roman" w:cs="Times New Roman"/>
          <w:i/>
          <w:iCs/>
          <w:color w:val="auto"/>
        </w:rPr>
        <w:t>operandi</w:t>
      </w:r>
      <w:proofErr w:type="spellEnd"/>
      <w:r w:rsidRPr="008D2E72">
        <w:rPr>
          <w:rFonts w:ascii="Times New Roman" w:hAnsi="Times New Roman" w:cs="Times New Roman"/>
          <w:color w:val="auto"/>
        </w:rPr>
        <w:t xml:space="preserve"> apontado seria muito semelhante para dar destino aos recursos objeto do desvio para a corrupção. Os valores seriam faturados em serviços não prestados, predominantemente em empresas de consultoria, que conforme apontado em Laudo da Polícia Federal seriam R$ </w:t>
      </w:r>
      <w:r w:rsidRPr="008D2E72">
        <w:rPr>
          <w:rFonts w:ascii="Times New Roman" w:hAnsi="Times New Roman" w:cs="Times New Roman"/>
          <w:color w:val="auto"/>
        </w:rPr>
        <w:lastRenderedPageBreak/>
        <w:t>126,3 milhões (O Globo, 2015).</w:t>
      </w:r>
    </w:p>
    <w:p w:rsidR="00805D2D" w:rsidRPr="008D2E72" w:rsidRDefault="00642C1A">
      <w:pPr>
        <w:pStyle w:val="Corpodotexto"/>
        <w:spacing w:after="0" w:line="240" w:lineRule="auto"/>
        <w:ind w:firstLine="737"/>
        <w:jc w:val="both"/>
        <w:rPr>
          <w:rFonts w:ascii="Times New Roman" w:hAnsi="Times New Roman" w:cs="Times New Roman"/>
          <w:color w:val="auto"/>
        </w:rPr>
      </w:pPr>
      <w:r w:rsidRPr="008D2E72">
        <w:rPr>
          <w:rFonts w:ascii="Times New Roman" w:hAnsi="Times New Roman" w:cs="Times New Roman"/>
          <w:color w:val="auto"/>
        </w:rPr>
        <w:t xml:space="preserve">A razão entre os R$ 126,3 milhões (parte já comprovada como destinada a agentes públicos, e o restante com características semelhantes) e o montante de R$ 3.772.023.579,92 executado do contrato, chega-se a participação de 3,348%, percentual próximo à margem indicada de </w:t>
      </w:r>
      <w:proofErr w:type="spellStart"/>
      <w:r w:rsidRPr="008D2E72">
        <w:rPr>
          <w:rFonts w:ascii="Times New Roman" w:hAnsi="Times New Roman" w:cs="Times New Roman"/>
          <w:color w:val="auto"/>
        </w:rPr>
        <w:t>comissionamento</w:t>
      </w:r>
      <w:proofErr w:type="spellEnd"/>
      <w:r w:rsidRPr="008D2E72">
        <w:rPr>
          <w:rFonts w:ascii="Times New Roman" w:hAnsi="Times New Roman" w:cs="Times New Roman"/>
          <w:color w:val="auto"/>
        </w:rPr>
        <w:t xml:space="preserve"> para agentes públicos.</w:t>
      </w:r>
    </w:p>
    <w:p w:rsidR="00805D2D" w:rsidRPr="008D2E72" w:rsidRDefault="00805D2D">
      <w:pPr>
        <w:pStyle w:val="Corpodotexto"/>
        <w:spacing w:after="0" w:line="240" w:lineRule="auto"/>
        <w:ind w:firstLine="1417"/>
        <w:jc w:val="both"/>
        <w:rPr>
          <w:rFonts w:ascii="Times New Roman" w:hAnsi="Times New Roman" w:cs="Times New Roman"/>
          <w:color w:val="auto"/>
        </w:rPr>
      </w:pPr>
    </w:p>
    <w:p w:rsidR="00805D2D" w:rsidRPr="008D2E72" w:rsidRDefault="00642C1A" w:rsidP="007C66BD">
      <w:pPr>
        <w:pStyle w:val="Corpodotexto"/>
        <w:rPr>
          <w:rStyle w:val="apple-converted-space"/>
          <w:rFonts w:ascii="Times New Roman" w:hAnsi="Times New Roman" w:cs="Times New Roman"/>
          <w:b/>
          <w:color w:val="auto"/>
        </w:rPr>
      </w:pPr>
      <w:r w:rsidRPr="008D2E72">
        <w:rPr>
          <w:rStyle w:val="apple-converted-space"/>
          <w:rFonts w:ascii="Times New Roman" w:hAnsi="Times New Roman" w:cs="Times New Roman"/>
          <w:b/>
          <w:color w:val="auto"/>
        </w:rPr>
        <w:t>4.4 Primeira Etapa: contratação e pagamento aos construtores</w:t>
      </w:r>
    </w:p>
    <w:p w:rsidR="00805D2D" w:rsidRPr="008D2E72" w:rsidRDefault="00642C1A">
      <w:pPr>
        <w:pStyle w:val="Corpodotexto"/>
        <w:spacing w:after="0" w:line="240" w:lineRule="auto"/>
        <w:ind w:firstLine="709"/>
        <w:jc w:val="both"/>
        <w:rPr>
          <w:rFonts w:ascii="Times New Roman" w:hAnsi="Times New Roman" w:cs="Times New Roman"/>
          <w:color w:val="auto"/>
        </w:rPr>
      </w:pPr>
      <w:r w:rsidRPr="008D2E72">
        <w:rPr>
          <w:rFonts w:ascii="Times New Roman" w:hAnsi="Times New Roman" w:cs="Times New Roman"/>
          <w:color w:val="auto"/>
        </w:rPr>
        <w:t>A estatal divulga que num dos contratos do denunciado Consórcio “C” o montante alcançou R$ 3.772.023.579,92. Parte desses valores já foi objeto de ação penal, tendo a sentença reconhecido</w:t>
      </w:r>
      <w:r w:rsidR="00A37C4D" w:rsidRPr="008D2E72">
        <w:rPr>
          <w:rFonts w:ascii="Times New Roman" w:hAnsi="Times New Roman" w:cs="Times New Roman"/>
          <w:color w:val="auto"/>
        </w:rPr>
        <w:t xml:space="preserve"> à época</w:t>
      </w:r>
      <w:r w:rsidRPr="008D2E72">
        <w:rPr>
          <w:rFonts w:ascii="Times New Roman" w:hAnsi="Times New Roman" w:cs="Times New Roman"/>
          <w:color w:val="auto"/>
        </w:rPr>
        <w:t xml:space="preserve"> que parte dos valores teria sido destinado ao pagamento de vantagens a agentes públicos.</w:t>
      </w:r>
    </w:p>
    <w:p w:rsidR="00805D2D" w:rsidRPr="008D2E72" w:rsidRDefault="00642C1A">
      <w:pPr>
        <w:pStyle w:val="Corpodotexto"/>
        <w:spacing w:after="0" w:line="240" w:lineRule="auto"/>
        <w:ind w:firstLine="709"/>
        <w:jc w:val="both"/>
        <w:rPr>
          <w:rFonts w:ascii="Times New Roman" w:hAnsi="Times New Roman" w:cs="Times New Roman"/>
          <w:color w:val="auto"/>
        </w:rPr>
      </w:pPr>
      <w:r w:rsidRPr="008D2E72">
        <w:rPr>
          <w:rFonts w:ascii="Times New Roman" w:hAnsi="Times New Roman" w:cs="Times New Roman"/>
          <w:color w:val="auto"/>
        </w:rPr>
        <w:t>Com a mesma característica desses recursos objeto de julgamento, a Polícia Federal identificou que repasses poderiam alcançar o montante de R$ 126,3 milhões, o que representa 3,348% do contrato, corroborando a citação dos réus colaboradores.</w:t>
      </w:r>
    </w:p>
    <w:p w:rsidR="00805D2D" w:rsidRPr="008D2E72" w:rsidRDefault="00642C1A">
      <w:pPr>
        <w:pStyle w:val="Corpodotexto"/>
        <w:spacing w:after="0" w:line="240" w:lineRule="auto"/>
        <w:ind w:firstLine="709"/>
        <w:jc w:val="both"/>
        <w:rPr>
          <w:rFonts w:ascii="Times New Roman" w:hAnsi="Times New Roman" w:cs="Times New Roman"/>
          <w:color w:val="auto"/>
        </w:rPr>
      </w:pPr>
      <w:r w:rsidRPr="008D2E72">
        <w:rPr>
          <w:rFonts w:ascii="Times New Roman" w:hAnsi="Times New Roman" w:cs="Times New Roman"/>
          <w:color w:val="auto"/>
        </w:rPr>
        <w:t>No entanto, além da parcela de recursos destinada a agentes públicos, há que se considerar que as empresas somente se submeteriam a prática de atos tidos como criminosos se auferissem alguma vantagem econômica. Essa vantagem econômica obtida por essa relação indevida com agentes públicos se concretizaria, segundo colaboradores, pela prática de cartel, no qual as empreiteiras combinariam o oferecimento de propostas em valores superiores ao valor justo.</w:t>
      </w:r>
    </w:p>
    <w:p w:rsidR="00805D2D" w:rsidRPr="008D2E72" w:rsidRDefault="00642C1A">
      <w:pPr>
        <w:pStyle w:val="Corpodotexto"/>
        <w:spacing w:after="0" w:line="240" w:lineRule="auto"/>
        <w:ind w:firstLine="709"/>
        <w:jc w:val="both"/>
        <w:rPr>
          <w:rFonts w:ascii="Times New Roman" w:hAnsi="Times New Roman" w:cs="Times New Roman"/>
          <w:color w:val="auto"/>
        </w:rPr>
      </w:pPr>
      <w:r w:rsidRPr="008D2E72">
        <w:rPr>
          <w:rFonts w:ascii="Times New Roman" w:hAnsi="Times New Roman" w:cs="Times New Roman"/>
          <w:color w:val="auto"/>
        </w:rPr>
        <w:t>Para fins de contratação, a estatal estimaria internamente o valor total da obra, mantendo em segredo tal montante perante os interessados, estabelecendo para fins de aceitabilidade das propostas dos licitantes interessados, uma faixa de valores que varia entre -15% (“mínimo”) até +20% (“máximo”).</w:t>
      </w:r>
    </w:p>
    <w:p w:rsidR="00805D2D" w:rsidRPr="008D2E72" w:rsidRDefault="00642C1A">
      <w:pPr>
        <w:pStyle w:val="Corpodotexto"/>
        <w:spacing w:after="0" w:line="240" w:lineRule="auto"/>
        <w:ind w:firstLine="709"/>
        <w:jc w:val="both"/>
        <w:rPr>
          <w:rFonts w:ascii="Times New Roman" w:hAnsi="Times New Roman" w:cs="Times New Roman"/>
          <w:color w:val="auto"/>
        </w:rPr>
      </w:pPr>
      <w:r w:rsidRPr="008D2E72">
        <w:rPr>
          <w:rFonts w:ascii="Times New Roman" w:hAnsi="Times New Roman" w:cs="Times New Roman"/>
          <w:color w:val="auto"/>
        </w:rPr>
        <w:t xml:space="preserve">Segundo a denúncia do MPF, o Tribunal de Contas da União (TCU) e as Comissões Internas identificaram nos procedimentos de contratação que o valor das propostas das empresas vencedoras do certame aproximavam-se do valor máximo (“teto”) das estimativas elaboradas pela estatal. </w:t>
      </w:r>
    </w:p>
    <w:p w:rsidR="00805D2D" w:rsidRPr="008D2E72" w:rsidRDefault="00642C1A">
      <w:pPr>
        <w:pStyle w:val="Corpodotexto"/>
        <w:spacing w:after="0" w:line="240" w:lineRule="auto"/>
        <w:ind w:firstLine="709"/>
        <w:jc w:val="both"/>
        <w:rPr>
          <w:rFonts w:ascii="Times New Roman" w:hAnsi="Times New Roman" w:cs="Times New Roman"/>
          <w:color w:val="auto"/>
        </w:rPr>
      </w:pPr>
      <w:r w:rsidRPr="008D2E72">
        <w:rPr>
          <w:rFonts w:ascii="Times New Roman" w:hAnsi="Times New Roman" w:cs="Times New Roman"/>
          <w:color w:val="auto"/>
        </w:rPr>
        <w:t xml:space="preserve">A estatal estimou os custos da contratação em cerca de R$ 3.427.935.233,63, admitindo variação entre o mínimo de R$ 2.913.744.948,58 (-15%) e o máximo de R$ 4.113.522.280,35 (+20%). </w:t>
      </w:r>
    </w:p>
    <w:p w:rsidR="00805D2D" w:rsidRPr="008D2E72" w:rsidRDefault="00642C1A">
      <w:pPr>
        <w:pStyle w:val="Corpodotexto"/>
        <w:spacing w:after="0" w:line="240" w:lineRule="auto"/>
        <w:ind w:firstLine="709"/>
        <w:jc w:val="both"/>
        <w:rPr>
          <w:rFonts w:ascii="Times New Roman" w:hAnsi="Times New Roman" w:cs="Times New Roman"/>
          <w:color w:val="auto"/>
        </w:rPr>
      </w:pPr>
      <w:r w:rsidRPr="008D2E72">
        <w:rPr>
          <w:rFonts w:ascii="Times New Roman" w:hAnsi="Times New Roman" w:cs="Times New Roman"/>
          <w:color w:val="auto"/>
        </w:rPr>
        <w:t>No entanto a menor proposta, do Consórcio “C”, foi de R$ 5.937.544.758,80. A licitação foi renovada e a estimativa de custos foi revista para menor em relação à primeira licitação, atingindo, para a segunda licitação, R$ 2.876.069.382,78.</w:t>
      </w:r>
    </w:p>
    <w:p w:rsidR="00805D2D" w:rsidRPr="008D2E72" w:rsidRDefault="00642C1A">
      <w:pPr>
        <w:pStyle w:val="Corpodotexto"/>
        <w:spacing w:after="0" w:line="240" w:lineRule="auto"/>
        <w:ind w:firstLine="709"/>
        <w:jc w:val="both"/>
        <w:rPr>
          <w:rFonts w:ascii="Times New Roman" w:hAnsi="Times New Roman" w:cs="Times New Roman"/>
          <w:color w:val="auto"/>
        </w:rPr>
      </w:pPr>
      <w:r w:rsidRPr="008D2E72">
        <w:rPr>
          <w:rFonts w:ascii="Times New Roman" w:hAnsi="Times New Roman" w:cs="Times New Roman"/>
          <w:color w:val="auto"/>
        </w:rPr>
        <w:t>Novamente o Consórcio “C” apresentou a menor proposta, de R$ 3.446.149.572,61, 19,82% acima da estimativa, repetindo-se, na segunda licitação, a ordem de classificação da primeira licitação. Após negociação, o contrato foi celebrado por R$ 3.411.000.000,00, ainda assim 18,6% acima da estimativa da estatal.</w:t>
      </w:r>
    </w:p>
    <w:p w:rsidR="00805D2D" w:rsidRPr="008D2E72" w:rsidRDefault="00805D2D">
      <w:pPr>
        <w:pStyle w:val="Corpodotexto"/>
        <w:spacing w:after="0" w:line="240" w:lineRule="auto"/>
        <w:ind w:firstLine="709"/>
        <w:jc w:val="both"/>
        <w:rPr>
          <w:rFonts w:ascii="Times New Roman" w:hAnsi="Times New Roman" w:cs="Times New Roman"/>
          <w:color w:val="auto"/>
        </w:rPr>
      </w:pPr>
    </w:p>
    <w:p w:rsidR="00805D2D" w:rsidRPr="008D2E72" w:rsidRDefault="00642C1A">
      <w:pPr>
        <w:jc w:val="center"/>
        <w:rPr>
          <w:color w:val="auto"/>
          <w:szCs w:val="24"/>
        </w:rPr>
      </w:pPr>
      <w:r w:rsidRPr="008D2E72">
        <w:rPr>
          <w:color w:val="auto"/>
          <w:szCs w:val="24"/>
        </w:rPr>
        <w:t>Tabela 4 – Valores de contratação</w:t>
      </w:r>
    </w:p>
    <w:tbl>
      <w:tblPr>
        <w:tblStyle w:val="Tabelacomgrade"/>
        <w:tblW w:w="9072" w:type="dxa"/>
        <w:tblInd w:w="103" w:type="dxa"/>
        <w:tblCellMar>
          <w:left w:w="103" w:type="dxa"/>
        </w:tblCellMar>
        <w:tblLook w:val="04A0"/>
      </w:tblPr>
      <w:tblGrid>
        <w:gridCol w:w="1844"/>
        <w:gridCol w:w="1276"/>
        <w:gridCol w:w="1561"/>
        <w:gridCol w:w="1701"/>
        <w:gridCol w:w="1701"/>
        <w:gridCol w:w="989"/>
      </w:tblGrid>
      <w:tr w:rsidR="00805D2D" w:rsidRPr="008D2E72">
        <w:tc>
          <w:tcPr>
            <w:tcW w:w="1843" w:type="dxa"/>
            <w:shd w:val="clear" w:color="auto" w:fill="auto"/>
            <w:tcMar>
              <w:left w:w="103" w:type="dxa"/>
            </w:tcMar>
          </w:tcPr>
          <w:p w:rsidR="00805D2D" w:rsidRPr="008D2E72" w:rsidRDefault="00642C1A">
            <w:pPr>
              <w:pStyle w:val="Corpodotexto"/>
              <w:spacing w:after="0" w:line="240" w:lineRule="auto"/>
              <w:jc w:val="center"/>
              <w:rPr>
                <w:rFonts w:ascii="Times New Roman" w:hAnsi="Times New Roman" w:cs="Times New Roman"/>
                <w:color w:val="auto"/>
                <w:sz w:val="20"/>
              </w:rPr>
            </w:pPr>
            <w:r w:rsidRPr="008D2E72">
              <w:rPr>
                <w:rFonts w:ascii="Times New Roman" w:hAnsi="Times New Roman" w:cs="Times New Roman"/>
                <w:color w:val="auto"/>
                <w:sz w:val="20"/>
              </w:rPr>
              <w:t>CONCORRENTE</w:t>
            </w:r>
          </w:p>
        </w:tc>
        <w:tc>
          <w:tcPr>
            <w:tcW w:w="1276" w:type="dxa"/>
            <w:shd w:val="clear" w:color="auto" w:fill="auto"/>
            <w:tcMar>
              <w:left w:w="103" w:type="dxa"/>
            </w:tcMar>
          </w:tcPr>
          <w:p w:rsidR="00805D2D" w:rsidRPr="008D2E72" w:rsidRDefault="00642C1A">
            <w:pPr>
              <w:pStyle w:val="Corpodotexto"/>
              <w:spacing w:after="0" w:line="240" w:lineRule="auto"/>
              <w:jc w:val="center"/>
              <w:rPr>
                <w:rFonts w:ascii="Times New Roman" w:hAnsi="Times New Roman" w:cs="Times New Roman"/>
                <w:color w:val="auto"/>
                <w:sz w:val="20"/>
              </w:rPr>
            </w:pPr>
            <w:r w:rsidRPr="008D2E72">
              <w:rPr>
                <w:rFonts w:ascii="Times New Roman" w:hAnsi="Times New Roman" w:cs="Times New Roman"/>
                <w:color w:val="auto"/>
                <w:sz w:val="20"/>
              </w:rPr>
              <w:t>PROJETO</w:t>
            </w:r>
          </w:p>
        </w:tc>
        <w:tc>
          <w:tcPr>
            <w:tcW w:w="1561" w:type="dxa"/>
            <w:shd w:val="clear" w:color="auto" w:fill="auto"/>
            <w:tcMar>
              <w:left w:w="103" w:type="dxa"/>
            </w:tcMar>
          </w:tcPr>
          <w:p w:rsidR="00805D2D" w:rsidRPr="008D2E72" w:rsidRDefault="00642C1A">
            <w:pPr>
              <w:pStyle w:val="Corpodotexto"/>
              <w:spacing w:after="0" w:line="240" w:lineRule="auto"/>
              <w:jc w:val="center"/>
              <w:rPr>
                <w:rFonts w:ascii="Times New Roman" w:hAnsi="Times New Roman" w:cs="Times New Roman"/>
                <w:color w:val="auto"/>
                <w:sz w:val="20"/>
              </w:rPr>
            </w:pPr>
            <w:r w:rsidRPr="008D2E72">
              <w:rPr>
                <w:rFonts w:ascii="Times New Roman" w:hAnsi="Times New Roman" w:cs="Times New Roman"/>
                <w:color w:val="auto"/>
                <w:sz w:val="20"/>
              </w:rPr>
              <w:t>INÍCIO PROCESSO</w:t>
            </w:r>
          </w:p>
        </w:tc>
        <w:tc>
          <w:tcPr>
            <w:tcW w:w="1701" w:type="dxa"/>
            <w:shd w:val="clear" w:color="auto" w:fill="auto"/>
            <w:tcMar>
              <w:left w:w="103" w:type="dxa"/>
            </w:tcMar>
          </w:tcPr>
          <w:p w:rsidR="00805D2D" w:rsidRPr="008D2E72" w:rsidRDefault="00642C1A">
            <w:pPr>
              <w:pStyle w:val="Corpodotexto"/>
              <w:spacing w:after="0" w:line="240" w:lineRule="auto"/>
              <w:jc w:val="center"/>
              <w:rPr>
                <w:rFonts w:ascii="Times New Roman" w:hAnsi="Times New Roman" w:cs="Times New Roman"/>
                <w:color w:val="auto"/>
                <w:sz w:val="20"/>
              </w:rPr>
            </w:pPr>
            <w:r w:rsidRPr="008D2E72">
              <w:rPr>
                <w:rFonts w:ascii="Times New Roman" w:hAnsi="Times New Roman" w:cs="Times New Roman"/>
                <w:color w:val="auto"/>
                <w:sz w:val="20"/>
              </w:rPr>
              <w:t>VALOR ESTIMADO (A)</w:t>
            </w:r>
          </w:p>
        </w:tc>
        <w:tc>
          <w:tcPr>
            <w:tcW w:w="1701" w:type="dxa"/>
            <w:shd w:val="clear" w:color="auto" w:fill="auto"/>
            <w:tcMar>
              <w:left w:w="103" w:type="dxa"/>
            </w:tcMar>
          </w:tcPr>
          <w:p w:rsidR="00805D2D" w:rsidRPr="008D2E72" w:rsidRDefault="00642C1A">
            <w:pPr>
              <w:pStyle w:val="Corpodotexto"/>
              <w:spacing w:after="0" w:line="240" w:lineRule="auto"/>
              <w:jc w:val="center"/>
              <w:rPr>
                <w:rFonts w:ascii="Times New Roman" w:hAnsi="Times New Roman" w:cs="Times New Roman"/>
                <w:color w:val="auto"/>
                <w:sz w:val="20"/>
              </w:rPr>
            </w:pPr>
            <w:r w:rsidRPr="008D2E72">
              <w:rPr>
                <w:rFonts w:ascii="Times New Roman" w:hAnsi="Times New Roman" w:cs="Times New Roman"/>
                <w:color w:val="auto"/>
                <w:sz w:val="20"/>
              </w:rPr>
              <w:t>VALOR DO CONTRATO (B)</w:t>
            </w:r>
          </w:p>
        </w:tc>
        <w:tc>
          <w:tcPr>
            <w:tcW w:w="989" w:type="dxa"/>
            <w:shd w:val="clear" w:color="auto" w:fill="auto"/>
            <w:tcMar>
              <w:left w:w="103" w:type="dxa"/>
            </w:tcMar>
          </w:tcPr>
          <w:p w:rsidR="00805D2D" w:rsidRPr="008D2E72" w:rsidRDefault="00642C1A">
            <w:pPr>
              <w:pStyle w:val="Corpodotexto"/>
              <w:spacing w:after="0" w:line="240" w:lineRule="auto"/>
              <w:jc w:val="center"/>
              <w:rPr>
                <w:rFonts w:ascii="Times New Roman" w:hAnsi="Times New Roman" w:cs="Times New Roman"/>
                <w:color w:val="auto"/>
                <w:sz w:val="20"/>
              </w:rPr>
            </w:pPr>
            <w:r w:rsidRPr="008D2E72">
              <w:rPr>
                <w:rFonts w:ascii="Times New Roman" w:hAnsi="Times New Roman" w:cs="Times New Roman"/>
                <w:color w:val="auto"/>
                <w:sz w:val="20"/>
              </w:rPr>
              <w:t>RAZÃO (B/A)</w:t>
            </w:r>
          </w:p>
        </w:tc>
      </w:tr>
      <w:tr w:rsidR="00805D2D" w:rsidRPr="008D2E72">
        <w:trPr>
          <w:trHeight w:val="416"/>
        </w:trPr>
        <w:tc>
          <w:tcPr>
            <w:tcW w:w="1843" w:type="dxa"/>
            <w:shd w:val="clear" w:color="auto" w:fill="auto"/>
            <w:tcMar>
              <w:left w:w="103" w:type="dxa"/>
            </w:tcMar>
            <w:vAlign w:val="center"/>
          </w:tcPr>
          <w:p w:rsidR="00805D2D" w:rsidRPr="008D2E72" w:rsidRDefault="00642C1A">
            <w:pPr>
              <w:pStyle w:val="Corpodotexto"/>
              <w:spacing w:after="0" w:line="240" w:lineRule="auto"/>
              <w:jc w:val="center"/>
              <w:rPr>
                <w:rFonts w:ascii="Times New Roman" w:hAnsi="Times New Roman" w:cs="Times New Roman"/>
                <w:color w:val="auto"/>
                <w:sz w:val="20"/>
              </w:rPr>
            </w:pPr>
            <w:r w:rsidRPr="008D2E72">
              <w:rPr>
                <w:rFonts w:ascii="Times New Roman" w:hAnsi="Times New Roman" w:cs="Times New Roman"/>
                <w:color w:val="auto"/>
                <w:sz w:val="20"/>
              </w:rPr>
              <w:t>Consórcio “C”</w:t>
            </w:r>
          </w:p>
        </w:tc>
        <w:tc>
          <w:tcPr>
            <w:tcW w:w="1276" w:type="dxa"/>
            <w:shd w:val="clear" w:color="auto" w:fill="auto"/>
            <w:tcMar>
              <w:left w:w="103" w:type="dxa"/>
            </w:tcMar>
            <w:vAlign w:val="center"/>
          </w:tcPr>
          <w:p w:rsidR="00805D2D" w:rsidRPr="008D2E72" w:rsidRDefault="00642C1A">
            <w:pPr>
              <w:pStyle w:val="Corpodotexto"/>
              <w:spacing w:after="0" w:line="240" w:lineRule="auto"/>
              <w:jc w:val="center"/>
              <w:rPr>
                <w:rFonts w:ascii="Times New Roman" w:hAnsi="Times New Roman" w:cs="Times New Roman"/>
                <w:color w:val="auto"/>
                <w:sz w:val="20"/>
              </w:rPr>
            </w:pPr>
            <w:r w:rsidRPr="008D2E72">
              <w:rPr>
                <w:rFonts w:ascii="Times New Roman" w:hAnsi="Times New Roman" w:cs="Times New Roman"/>
                <w:color w:val="auto"/>
                <w:sz w:val="20"/>
              </w:rPr>
              <w:t>RAL</w:t>
            </w:r>
          </w:p>
        </w:tc>
        <w:tc>
          <w:tcPr>
            <w:tcW w:w="1561" w:type="dxa"/>
            <w:shd w:val="clear" w:color="auto" w:fill="auto"/>
            <w:tcMar>
              <w:left w:w="103" w:type="dxa"/>
            </w:tcMar>
            <w:vAlign w:val="center"/>
          </w:tcPr>
          <w:p w:rsidR="00805D2D" w:rsidRPr="008D2E72" w:rsidRDefault="00642C1A">
            <w:pPr>
              <w:pStyle w:val="Corpodotexto"/>
              <w:spacing w:after="0" w:line="240" w:lineRule="auto"/>
              <w:jc w:val="center"/>
              <w:rPr>
                <w:rFonts w:ascii="Times New Roman" w:hAnsi="Times New Roman" w:cs="Times New Roman"/>
                <w:color w:val="auto"/>
                <w:sz w:val="20"/>
              </w:rPr>
            </w:pPr>
            <w:r w:rsidRPr="008D2E72">
              <w:rPr>
                <w:rFonts w:ascii="Times New Roman" w:hAnsi="Times New Roman" w:cs="Times New Roman"/>
                <w:color w:val="auto"/>
                <w:sz w:val="20"/>
              </w:rPr>
              <w:t>13/3/2009</w:t>
            </w:r>
          </w:p>
        </w:tc>
        <w:tc>
          <w:tcPr>
            <w:tcW w:w="1701" w:type="dxa"/>
            <w:shd w:val="clear" w:color="auto" w:fill="auto"/>
            <w:tcMar>
              <w:left w:w="103" w:type="dxa"/>
            </w:tcMar>
            <w:vAlign w:val="center"/>
          </w:tcPr>
          <w:p w:rsidR="00805D2D" w:rsidRPr="008D2E72" w:rsidRDefault="00642C1A">
            <w:pPr>
              <w:pStyle w:val="Corpodotexto"/>
              <w:spacing w:after="0" w:line="240" w:lineRule="auto"/>
              <w:jc w:val="center"/>
              <w:rPr>
                <w:rFonts w:ascii="Times New Roman" w:hAnsi="Times New Roman" w:cs="Times New Roman"/>
                <w:color w:val="auto"/>
                <w:sz w:val="20"/>
              </w:rPr>
            </w:pPr>
            <w:r w:rsidRPr="008D2E72">
              <w:rPr>
                <w:rFonts w:ascii="Times New Roman" w:hAnsi="Times New Roman" w:cs="Times New Roman"/>
                <w:color w:val="auto"/>
                <w:sz w:val="20"/>
              </w:rPr>
              <w:t>2.876.069.382,78</w:t>
            </w:r>
          </w:p>
        </w:tc>
        <w:tc>
          <w:tcPr>
            <w:tcW w:w="1701" w:type="dxa"/>
            <w:shd w:val="clear" w:color="auto" w:fill="auto"/>
            <w:tcMar>
              <w:left w:w="103" w:type="dxa"/>
            </w:tcMar>
            <w:vAlign w:val="center"/>
          </w:tcPr>
          <w:p w:rsidR="00805D2D" w:rsidRPr="008D2E72" w:rsidRDefault="00642C1A">
            <w:pPr>
              <w:pStyle w:val="Corpodotexto"/>
              <w:spacing w:after="0" w:line="240" w:lineRule="auto"/>
              <w:jc w:val="center"/>
              <w:rPr>
                <w:rFonts w:ascii="Times New Roman" w:hAnsi="Times New Roman" w:cs="Times New Roman"/>
                <w:color w:val="auto"/>
                <w:sz w:val="20"/>
              </w:rPr>
            </w:pPr>
            <w:r w:rsidRPr="008D2E72">
              <w:rPr>
                <w:rFonts w:ascii="Times New Roman" w:hAnsi="Times New Roman" w:cs="Times New Roman"/>
                <w:color w:val="auto"/>
                <w:sz w:val="20"/>
              </w:rPr>
              <w:t>3.411.000.000,00</w:t>
            </w:r>
          </w:p>
        </w:tc>
        <w:tc>
          <w:tcPr>
            <w:tcW w:w="989" w:type="dxa"/>
            <w:shd w:val="clear" w:color="auto" w:fill="auto"/>
            <w:tcMar>
              <w:left w:w="103" w:type="dxa"/>
            </w:tcMar>
            <w:vAlign w:val="center"/>
          </w:tcPr>
          <w:p w:rsidR="00805D2D" w:rsidRPr="008D2E72" w:rsidRDefault="00642C1A">
            <w:pPr>
              <w:pStyle w:val="Corpodotexto"/>
              <w:spacing w:after="0" w:line="240" w:lineRule="auto"/>
              <w:jc w:val="center"/>
              <w:rPr>
                <w:rFonts w:ascii="Times New Roman" w:hAnsi="Times New Roman" w:cs="Times New Roman"/>
                <w:color w:val="auto"/>
                <w:sz w:val="20"/>
              </w:rPr>
            </w:pPr>
            <w:r w:rsidRPr="008D2E72">
              <w:rPr>
                <w:rFonts w:ascii="Times New Roman" w:hAnsi="Times New Roman" w:cs="Times New Roman"/>
                <w:color w:val="auto"/>
                <w:sz w:val="20"/>
              </w:rPr>
              <w:t>0,1860</w:t>
            </w:r>
          </w:p>
        </w:tc>
      </w:tr>
    </w:tbl>
    <w:p w:rsidR="00805D2D" w:rsidRPr="008D2E72" w:rsidRDefault="00642C1A">
      <w:pPr>
        <w:pStyle w:val="Corpodotexto"/>
        <w:spacing w:after="0" w:line="240" w:lineRule="auto"/>
        <w:rPr>
          <w:rFonts w:ascii="Times New Roman" w:hAnsi="Times New Roman" w:cs="Times New Roman"/>
          <w:color w:val="auto"/>
          <w:sz w:val="20"/>
        </w:rPr>
      </w:pPr>
      <w:r w:rsidRPr="008D2E72">
        <w:rPr>
          <w:rFonts w:ascii="Times New Roman" w:hAnsi="Times New Roman" w:cs="Times New Roman"/>
          <w:color w:val="auto"/>
          <w:sz w:val="20"/>
        </w:rPr>
        <w:t>Fonte: denúncia MPF</w:t>
      </w:r>
    </w:p>
    <w:p w:rsidR="00805D2D" w:rsidRPr="008D2E72" w:rsidRDefault="00805D2D">
      <w:pPr>
        <w:ind w:firstLine="1474"/>
        <w:rPr>
          <w:color w:val="auto"/>
          <w:sz w:val="24"/>
          <w:szCs w:val="24"/>
        </w:rPr>
      </w:pPr>
    </w:p>
    <w:p w:rsidR="00805D2D" w:rsidRPr="008D2E72" w:rsidRDefault="00642C1A">
      <w:pPr>
        <w:ind w:firstLine="737"/>
        <w:jc w:val="both"/>
        <w:rPr>
          <w:color w:val="auto"/>
          <w:sz w:val="24"/>
          <w:szCs w:val="24"/>
        </w:rPr>
      </w:pPr>
      <w:r w:rsidRPr="008D2E72">
        <w:rPr>
          <w:color w:val="auto"/>
          <w:sz w:val="24"/>
          <w:szCs w:val="24"/>
        </w:rPr>
        <w:t>A partir dos fatos identificados, inclusive com a indicação de colaboradores, são significativos os elementos que indicariam a ocorrência do cartel. A existência de cartel, pressupõe que as organizações obtiveram vantagens econômicas superiores àquelas que seriam obtidas em condições de mercado eficiente.</w:t>
      </w:r>
    </w:p>
    <w:p w:rsidR="00805D2D" w:rsidRPr="008D2E72" w:rsidRDefault="00642C1A">
      <w:pPr>
        <w:ind w:firstLine="737"/>
        <w:jc w:val="both"/>
        <w:rPr>
          <w:color w:val="auto"/>
          <w:sz w:val="24"/>
          <w:szCs w:val="24"/>
        </w:rPr>
      </w:pPr>
      <w:r w:rsidRPr="008D2E72">
        <w:rPr>
          <w:color w:val="auto"/>
          <w:sz w:val="24"/>
          <w:szCs w:val="24"/>
        </w:rPr>
        <w:lastRenderedPageBreak/>
        <w:t xml:space="preserve">Em virtude das propostas serem elaboradas num patamar superior, sem virtual necessidade de oferecer um desconto comercial que resultasse num menor preço que a concorrência, inexistiria uma proposta contendo o valor justo. </w:t>
      </w:r>
    </w:p>
    <w:p w:rsidR="00805D2D" w:rsidRPr="008D2E72" w:rsidRDefault="00642C1A">
      <w:pPr>
        <w:ind w:firstLine="737"/>
        <w:jc w:val="both"/>
        <w:rPr>
          <w:color w:val="auto"/>
          <w:sz w:val="24"/>
          <w:szCs w:val="24"/>
        </w:rPr>
      </w:pPr>
      <w:r w:rsidRPr="008D2E72">
        <w:rPr>
          <w:color w:val="auto"/>
          <w:sz w:val="24"/>
          <w:szCs w:val="24"/>
        </w:rPr>
        <w:t>Inexistindo a precificação do valor justo, inviabiliza-se a mensuração do ganho superior para o consórcio, que seria idêntico ao custo ou resultado do ato da corrupção, para a estatal.</w:t>
      </w:r>
    </w:p>
    <w:p w:rsidR="00805D2D" w:rsidRPr="008D2E72" w:rsidRDefault="00642C1A">
      <w:pPr>
        <w:ind w:firstLine="737"/>
        <w:jc w:val="both"/>
        <w:rPr>
          <w:color w:val="auto"/>
          <w:sz w:val="24"/>
          <w:szCs w:val="24"/>
        </w:rPr>
      </w:pPr>
      <w:r w:rsidRPr="008D2E72">
        <w:rPr>
          <w:color w:val="auto"/>
          <w:sz w:val="24"/>
          <w:szCs w:val="24"/>
        </w:rPr>
        <w:t>Como citado na denúncia e na sentença do referido caso, os valores das propostas vencedoras tangenciaram o limite superior para contratação, de 20%. Entretanto, a estatal também considera exequível propostas com valores inferiores em até 15% menor do que a estimativa; isto não seria um ganho da estatal mediante a exploração do capital privado, mas um desconto da empreiteira pelo ganho de escala, processos produtivos ou tecnológicos mais eficientes e que permitissem à contratada executar uma obra em valores inferiores aos estimados. Essa redução é normal em licitações com ampla concorrência e é possível se obter contratação em valor inferior ao estimado, aliás é este o objetivo da licitação: a proposta mais van</w:t>
      </w:r>
      <w:r w:rsidRPr="008D2E72">
        <w:rPr>
          <w:color w:val="auto"/>
          <w:sz w:val="24"/>
          <w:szCs w:val="24"/>
          <w:highlight w:val="white"/>
        </w:rPr>
        <w:t>tajosa para a administração.</w:t>
      </w:r>
    </w:p>
    <w:p w:rsidR="00805D2D" w:rsidRPr="008D2E72" w:rsidRDefault="00642C1A">
      <w:pPr>
        <w:ind w:firstLine="737"/>
        <w:jc w:val="both"/>
        <w:rPr>
          <w:color w:val="auto"/>
          <w:highlight w:val="white"/>
        </w:rPr>
      </w:pPr>
      <w:r w:rsidRPr="008D2E72">
        <w:rPr>
          <w:color w:val="auto"/>
          <w:sz w:val="24"/>
          <w:szCs w:val="24"/>
          <w:highlight w:val="white"/>
        </w:rPr>
        <w:t>Assim, a proposta mais vantajosa poderia alcançar um valor 15% menor que a estimativa, enquanto em condições artificiais o vencedor poderia explorar o preço máximo aceitável, de + 20%. Essa seria a margem para os custos decorrentes do resultado de atos da corrupção, 35% do valor estimado, ou 41,1765% do valor mínimo. Esse percentual não seria surreal, a considerar estudo que identificou no Brasil comissões ilícitas de 10 a 50% durante o governo Collor (Rose-Ackerman, 2002).</w:t>
      </w:r>
    </w:p>
    <w:p w:rsidR="00805D2D" w:rsidRPr="008D2E72" w:rsidRDefault="00642C1A">
      <w:pPr>
        <w:ind w:firstLine="737"/>
        <w:jc w:val="both"/>
        <w:rPr>
          <w:color w:val="auto"/>
          <w:sz w:val="24"/>
          <w:szCs w:val="24"/>
        </w:rPr>
      </w:pPr>
      <w:r w:rsidRPr="008D2E72">
        <w:rPr>
          <w:color w:val="auto"/>
          <w:sz w:val="24"/>
          <w:szCs w:val="24"/>
        </w:rPr>
        <w:t>No presente caso, cujo valor celebrado de R$ 3,411 bilhões, após aditivos o valor executado alcançou R$ 3.772.023.579,92. Sendo esse o valor máximo admissível, o mínimo exequível seria R$ 2.671.850.035,78. Essa diferença seria, em princípio, a margem do custo da corrupção, de R$ 1.100.173.544,14.</w:t>
      </w:r>
    </w:p>
    <w:p w:rsidR="00805D2D" w:rsidRPr="008D2E72" w:rsidRDefault="00642C1A">
      <w:pPr>
        <w:ind w:firstLine="737"/>
        <w:jc w:val="both"/>
        <w:rPr>
          <w:color w:val="auto"/>
          <w:sz w:val="24"/>
          <w:szCs w:val="24"/>
        </w:rPr>
      </w:pPr>
      <w:r w:rsidRPr="008D2E72">
        <w:rPr>
          <w:color w:val="auto"/>
          <w:sz w:val="24"/>
          <w:szCs w:val="24"/>
        </w:rPr>
        <w:t>Por conservadorismo, optou-se por considerar como valor justo, o preço estimado pela área técnica da estatal. A partir dessa premissa, o custo da corrupção, seria a margem superior da proposta da licitante vencedora, o valor executado R$ 3.772.023.579,92, dividido pelo fator 1 mais a margem excedente 18,6%, se alcançaria R$ 3.180.458.330,46; diferença de R$ 591.565.249,46.</w:t>
      </w:r>
    </w:p>
    <w:p w:rsidR="00805D2D" w:rsidRPr="008D2E72" w:rsidRDefault="00642C1A">
      <w:pPr>
        <w:ind w:firstLine="737"/>
        <w:jc w:val="both"/>
        <w:rPr>
          <w:color w:val="auto"/>
          <w:sz w:val="24"/>
          <w:szCs w:val="24"/>
        </w:rPr>
      </w:pPr>
      <w:r w:rsidRPr="008D2E72">
        <w:rPr>
          <w:color w:val="auto"/>
          <w:sz w:val="24"/>
          <w:szCs w:val="24"/>
        </w:rPr>
        <w:t>Há de se destacar as limitações impostas pelas premissas de valor justo, no entanto sob o valor contratado de R$ 3.411.000.000,00, o TCU identificou, em 2013, o sobrepreço de R$ 446 milhões, que representou 13% do contratado.</w:t>
      </w:r>
    </w:p>
    <w:p w:rsidR="00805D2D" w:rsidRPr="008D2E72" w:rsidRDefault="00642C1A">
      <w:pPr>
        <w:ind w:firstLine="737"/>
        <w:jc w:val="both"/>
        <w:rPr>
          <w:color w:val="auto"/>
          <w:sz w:val="24"/>
          <w:szCs w:val="24"/>
        </w:rPr>
      </w:pPr>
      <w:r w:rsidRPr="008D2E72">
        <w:rPr>
          <w:color w:val="auto"/>
          <w:sz w:val="24"/>
          <w:szCs w:val="24"/>
        </w:rPr>
        <w:t xml:space="preserve">Recentemente, o TCU identificou na obra analisada pelo menos R$ 673 milhões relacionados a gastos não comprovados, que corresponde 17,84% do valor executado (Folha, 2015). A Polícia Federal teria apontado um sobrepreço de R$ 648 milhões na referida obra, que num conjunto de grandes obras investigadas alcançaria um sobrepreço de R$ 19 bilhões (Extra, 2015). Esse percentual é muito próximo do excedente contratado sobre a estimativa inicial da estatal, o que permite uma razoável segurança para as premissas empregadas. </w:t>
      </w:r>
    </w:p>
    <w:p w:rsidR="00805D2D" w:rsidRPr="008D2E72" w:rsidRDefault="00642C1A">
      <w:pPr>
        <w:ind w:firstLine="737"/>
        <w:jc w:val="both"/>
        <w:rPr>
          <w:color w:val="auto"/>
          <w:sz w:val="24"/>
          <w:szCs w:val="24"/>
        </w:rPr>
      </w:pPr>
      <w:r w:rsidRPr="008D2E72">
        <w:rPr>
          <w:color w:val="auto"/>
          <w:sz w:val="24"/>
          <w:szCs w:val="24"/>
        </w:rPr>
        <w:t xml:space="preserve">Esse custo seria ainda superior, se for considerado as perdas da sociedade com financiamento subsidiado para realização das obras, o custo de imagem da estatal, o custo para os investidores em ações da estatal e os custos de repasse ao consumidor de produtos da estatal. Essa mensuração depende do emprego e desenvolvimento de </w:t>
      </w:r>
      <w:proofErr w:type="spellStart"/>
      <w:r w:rsidRPr="008D2E72">
        <w:rPr>
          <w:i/>
          <w:iCs/>
          <w:color w:val="auto"/>
          <w:sz w:val="24"/>
          <w:szCs w:val="24"/>
        </w:rPr>
        <w:t>proxys</w:t>
      </w:r>
      <w:proofErr w:type="spellEnd"/>
      <w:r w:rsidRPr="008D2E72">
        <w:rPr>
          <w:i/>
          <w:iCs/>
          <w:color w:val="auto"/>
          <w:sz w:val="24"/>
          <w:szCs w:val="24"/>
        </w:rPr>
        <w:t xml:space="preserve"> </w:t>
      </w:r>
      <w:r w:rsidRPr="008D2E72">
        <w:rPr>
          <w:color w:val="auto"/>
          <w:sz w:val="24"/>
          <w:szCs w:val="24"/>
        </w:rPr>
        <w:t>de valoração dos danos e processos.</w:t>
      </w:r>
    </w:p>
    <w:p w:rsidR="00805D2D" w:rsidRPr="008D2E72" w:rsidRDefault="00642C1A">
      <w:pPr>
        <w:ind w:firstLine="708"/>
        <w:jc w:val="both"/>
        <w:rPr>
          <w:color w:val="auto"/>
          <w:sz w:val="24"/>
          <w:szCs w:val="24"/>
        </w:rPr>
      </w:pPr>
      <w:r w:rsidRPr="008D2E72">
        <w:rPr>
          <w:color w:val="auto"/>
          <w:sz w:val="24"/>
          <w:szCs w:val="24"/>
        </w:rPr>
        <w:t>Apenas quanto ao dano causado ao mercado mobiliário nacional, pesquisas demonstraram que o mercado não tem considerado como relevantes algumas denúncias com correspondente ajuste em preços de ações (</w:t>
      </w:r>
      <w:proofErr w:type="spellStart"/>
      <w:r w:rsidRPr="008D2E72">
        <w:rPr>
          <w:rStyle w:val="nfaseforte"/>
          <w:b w:val="0"/>
          <w:color w:val="auto"/>
          <w:sz w:val="24"/>
          <w:szCs w:val="24"/>
        </w:rPr>
        <w:t>Miari</w:t>
      </w:r>
      <w:proofErr w:type="spellEnd"/>
      <w:r w:rsidRPr="008D2E72">
        <w:rPr>
          <w:rStyle w:val="nfaseforte"/>
          <w:b w:val="0"/>
          <w:color w:val="auto"/>
          <w:sz w:val="24"/>
          <w:szCs w:val="24"/>
        </w:rPr>
        <w:t xml:space="preserve">, Mesquita, &amp; </w:t>
      </w:r>
      <w:proofErr w:type="spellStart"/>
      <w:r w:rsidRPr="008D2E72">
        <w:rPr>
          <w:rStyle w:val="nfaseforte"/>
          <w:b w:val="0"/>
          <w:color w:val="auto"/>
          <w:sz w:val="24"/>
          <w:szCs w:val="24"/>
        </w:rPr>
        <w:t>Pardini</w:t>
      </w:r>
      <w:proofErr w:type="spellEnd"/>
      <w:r w:rsidRPr="008D2E72">
        <w:rPr>
          <w:rStyle w:val="nfaseforte"/>
          <w:b w:val="0"/>
          <w:color w:val="auto"/>
          <w:sz w:val="24"/>
          <w:szCs w:val="24"/>
        </w:rPr>
        <w:t>, 2015</w:t>
      </w:r>
      <w:r w:rsidRPr="008D2E72">
        <w:rPr>
          <w:color w:val="auto"/>
          <w:sz w:val="24"/>
          <w:szCs w:val="24"/>
        </w:rPr>
        <w:t>).</w:t>
      </w:r>
    </w:p>
    <w:p w:rsidR="00805D2D" w:rsidRPr="008D2E72" w:rsidRDefault="00805D2D">
      <w:pPr>
        <w:ind w:firstLine="1474"/>
        <w:jc w:val="both"/>
        <w:rPr>
          <w:color w:val="auto"/>
          <w:sz w:val="24"/>
          <w:szCs w:val="24"/>
        </w:rPr>
      </w:pPr>
    </w:p>
    <w:p w:rsidR="00805D2D" w:rsidRPr="008D2E72" w:rsidRDefault="00642C1A" w:rsidP="002E257B">
      <w:pPr>
        <w:pStyle w:val="ndice"/>
        <w:rPr>
          <w:b/>
          <w:color w:val="auto"/>
          <w:sz w:val="24"/>
        </w:rPr>
      </w:pPr>
      <w:r w:rsidRPr="008D2E72">
        <w:rPr>
          <w:b/>
          <w:color w:val="auto"/>
          <w:sz w:val="24"/>
        </w:rPr>
        <w:t>4.5 Integração das Etapas</w:t>
      </w:r>
    </w:p>
    <w:p w:rsidR="00805D2D" w:rsidRPr="008D2E72" w:rsidRDefault="00642C1A">
      <w:pPr>
        <w:pStyle w:val="Corpodotexto"/>
        <w:spacing w:after="0" w:line="240" w:lineRule="auto"/>
        <w:ind w:firstLine="709"/>
        <w:jc w:val="both"/>
        <w:rPr>
          <w:rFonts w:ascii="Times New Roman" w:hAnsi="Times New Roman" w:cs="Times New Roman"/>
          <w:color w:val="auto"/>
        </w:rPr>
      </w:pPr>
      <w:r w:rsidRPr="008D2E72">
        <w:rPr>
          <w:rFonts w:ascii="Times New Roman" w:hAnsi="Times New Roman" w:cs="Times New Roman"/>
          <w:color w:val="auto"/>
        </w:rPr>
        <w:t xml:space="preserve">A partir dos dados evidenciados nos itens anteriores é possível fazer uma integração </w:t>
      </w:r>
      <w:r w:rsidRPr="008D2E72">
        <w:rPr>
          <w:rFonts w:ascii="Times New Roman" w:hAnsi="Times New Roman" w:cs="Times New Roman"/>
          <w:color w:val="auto"/>
        </w:rPr>
        <w:lastRenderedPageBreak/>
        <w:t xml:space="preserve">dos custos das diferentes etapas. </w:t>
      </w:r>
    </w:p>
    <w:p w:rsidR="00805D2D" w:rsidRPr="008D2E72" w:rsidRDefault="00642C1A">
      <w:pPr>
        <w:ind w:firstLine="709"/>
        <w:jc w:val="both"/>
        <w:rPr>
          <w:color w:val="auto"/>
          <w:sz w:val="24"/>
          <w:szCs w:val="24"/>
        </w:rPr>
      </w:pPr>
      <w:r w:rsidRPr="008D2E72">
        <w:rPr>
          <w:color w:val="auto"/>
          <w:sz w:val="24"/>
          <w:szCs w:val="24"/>
        </w:rPr>
        <w:t>Considerando a execução do contrato de R$ 3.772.023.579,92, e o sobrepreço de R$ 673 milhões indicado pelo TCU, pode-se afirmar que o custo alcançou 17,84%, que teria sido permitido devido a atos relacionados à corrupção de agentes públicos.</w:t>
      </w:r>
    </w:p>
    <w:p w:rsidR="00805D2D" w:rsidRPr="008D2E72" w:rsidRDefault="00642C1A">
      <w:pPr>
        <w:ind w:firstLine="709"/>
        <w:jc w:val="both"/>
        <w:rPr>
          <w:color w:val="auto"/>
          <w:sz w:val="24"/>
          <w:szCs w:val="24"/>
        </w:rPr>
      </w:pPr>
      <w:r w:rsidRPr="008D2E72">
        <w:rPr>
          <w:color w:val="auto"/>
          <w:sz w:val="24"/>
          <w:szCs w:val="24"/>
        </w:rPr>
        <w:t>Esse montante desviado da correta aplicação é destinado inclusive para os agentes corruptos, no caso, a estimativa da Polícia Federal aponta para R$ 126,3 milhões. Isto posto, 18,77% do montante desviado seria destinado aos agentes corruptos, o restante dos valores desviados remunera o contrato já com sobrepreço.</w:t>
      </w:r>
    </w:p>
    <w:p w:rsidR="00805D2D" w:rsidRPr="008D2E72" w:rsidRDefault="00642C1A">
      <w:pPr>
        <w:pStyle w:val="Corpodotexto"/>
        <w:spacing w:after="0" w:line="240" w:lineRule="auto"/>
        <w:ind w:firstLine="737"/>
        <w:jc w:val="both"/>
        <w:rPr>
          <w:rFonts w:ascii="Times New Roman" w:hAnsi="Times New Roman" w:cs="Times New Roman"/>
          <w:color w:val="auto"/>
        </w:rPr>
      </w:pPr>
      <w:r w:rsidRPr="008D2E72">
        <w:rPr>
          <w:rFonts w:ascii="Times New Roman" w:hAnsi="Times New Roman" w:cs="Times New Roman"/>
          <w:color w:val="auto"/>
        </w:rPr>
        <w:t xml:space="preserve">Nos itens iniciais do presente artigo, foi evidenciado que nas etapas de lavagem foram descontados custos de transação que consomem aproximadamente 14,5% em cada etapa da 'lavagem', ou 26,9% do montante destinado aos corruptos em duas etapas de lavagem. </w:t>
      </w:r>
    </w:p>
    <w:p w:rsidR="00805D2D" w:rsidRPr="008D2E72" w:rsidRDefault="00642C1A">
      <w:pPr>
        <w:ind w:firstLine="709"/>
        <w:jc w:val="both"/>
        <w:rPr>
          <w:color w:val="auto"/>
          <w:sz w:val="24"/>
          <w:szCs w:val="24"/>
        </w:rPr>
      </w:pPr>
      <w:r w:rsidRPr="008D2E72">
        <w:rPr>
          <w:color w:val="auto"/>
          <w:sz w:val="24"/>
          <w:szCs w:val="24"/>
        </w:rPr>
        <w:t xml:space="preserve">Assim, sob a hipótese desses R$ 126,3 milhões terem sido destinados aos agentes, descontando 26,9%, o benefício gerado aos agentes seria de apenas R$ 92.325.300,00. Emprega-se o termo apenas, não pelo sentido de que seja pouco, mas porque evidencia que para gerar um benefício indevido a agentes públicos de R$ 92,3 milhões, o dano aos cofres da estatal seria de R$ 673 milhões, ou seja, 7,3 vezes maior. Por outra ótica, o ganho do corrupto seria de 13,7% do prejuízo causado. </w:t>
      </w:r>
    </w:p>
    <w:p w:rsidR="00805D2D" w:rsidRPr="008D2E72" w:rsidRDefault="00642C1A">
      <w:pPr>
        <w:ind w:firstLine="709"/>
        <w:jc w:val="both"/>
        <w:rPr>
          <w:color w:val="auto"/>
          <w:sz w:val="24"/>
          <w:szCs w:val="24"/>
        </w:rPr>
      </w:pPr>
      <w:r w:rsidRPr="008D2E72">
        <w:rPr>
          <w:color w:val="auto"/>
          <w:sz w:val="24"/>
          <w:szCs w:val="24"/>
        </w:rPr>
        <w:t>Dessa forma, exemplificativamente, inferindo as premissas empregadas na análise, para se gerar um presente de R$ 250.000,00 para um agente público, o dano à sociedade causado seria de R$ 1.822.860,00.</w:t>
      </w:r>
    </w:p>
    <w:p w:rsidR="00805D2D" w:rsidRPr="008D2E72" w:rsidRDefault="00805D2D">
      <w:pPr>
        <w:jc w:val="center"/>
        <w:rPr>
          <w:color w:val="auto"/>
          <w:sz w:val="24"/>
          <w:szCs w:val="24"/>
        </w:rPr>
      </w:pPr>
    </w:p>
    <w:p w:rsidR="00805D2D" w:rsidRPr="008D2E72" w:rsidRDefault="00642C1A">
      <w:pPr>
        <w:jc w:val="center"/>
        <w:rPr>
          <w:color w:val="auto"/>
          <w:szCs w:val="24"/>
        </w:rPr>
      </w:pPr>
      <w:r w:rsidRPr="008D2E72">
        <w:rPr>
          <w:color w:val="auto"/>
          <w:szCs w:val="24"/>
        </w:rPr>
        <w:t>Figura 6 –Relação custo / desvio</w:t>
      </w:r>
    </w:p>
    <w:p w:rsidR="00805D2D" w:rsidRPr="008D2E72" w:rsidRDefault="00642C1A">
      <w:pPr>
        <w:pStyle w:val="Corpodotexto"/>
        <w:spacing w:after="0" w:line="240" w:lineRule="auto"/>
        <w:ind w:hanging="57"/>
        <w:jc w:val="both"/>
        <w:rPr>
          <w:rFonts w:ascii="Times New Roman" w:hAnsi="Times New Roman" w:cs="Times New Roman"/>
          <w:color w:val="auto"/>
        </w:rPr>
      </w:pPr>
      <w:r w:rsidRPr="008D2E72">
        <w:rPr>
          <w:noProof/>
          <w:color w:val="auto"/>
          <w:lang w:eastAsia="pt-BR" w:bidi="ar-SA"/>
        </w:rPr>
        <w:drawing>
          <wp:inline distT="0" distB="0" distL="0" distR="0">
            <wp:extent cx="4791710" cy="2067560"/>
            <wp:effectExtent l="0" t="0" r="0" b="0"/>
            <wp:docPr id="8" name="Figur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5"/>
                    <pic:cNvPicPr>
                      <a:picLocks noChangeAspect="1" noChangeArrowheads="1"/>
                    </pic:cNvPicPr>
                  </pic:nvPicPr>
                  <pic:blipFill>
                    <a:blip r:embed="rId18"/>
                    <a:stretch>
                      <a:fillRect/>
                    </a:stretch>
                  </pic:blipFill>
                  <pic:spPr bwMode="auto">
                    <a:xfrm>
                      <a:off x="0" y="0"/>
                      <a:ext cx="4791710" cy="2067560"/>
                    </a:xfrm>
                    <a:prstGeom prst="rect">
                      <a:avLst/>
                    </a:prstGeom>
                  </pic:spPr>
                </pic:pic>
              </a:graphicData>
            </a:graphic>
          </wp:inline>
        </w:drawing>
      </w:r>
    </w:p>
    <w:p w:rsidR="00805D2D" w:rsidRPr="008D2E72" w:rsidRDefault="00642C1A">
      <w:pPr>
        <w:pStyle w:val="Corpodotexto"/>
        <w:spacing w:after="0" w:line="240" w:lineRule="auto"/>
        <w:ind w:hanging="57"/>
        <w:jc w:val="both"/>
        <w:rPr>
          <w:rFonts w:ascii="Times New Roman" w:hAnsi="Times New Roman" w:cs="Times New Roman"/>
          <w:color w:val="auto"/>
          <w:sz w:val="20"/>
        </w:rPr>
      </w:pPr>
      <w:r w:rsidRPr="008D2E72">
        <w:rPr>
          <w:rFonts w:ascii="Times New Roman" w:hAnsi="Times New Roman" w:cs="Times New Roman"/>
          <w:color w:val="auto"/>
          <w:sz w:val="20"/>
        </w:rPr>
        <w:t>Fonte: elaborado pelos autores</w:t>
      </w:r>
    </w:p>
    <w:p w:rsidR="00805D2D" w:rsidRPr="008D2E72" w:rsidRDefault="00805D2D">
      <w:pPr>
        <w:pStyle w:val="Corpodotexto"/>
        <w:spacing w:after="0" w:line="240" w:lineRule="auto"/>
        <w:ind w:hanging="57"/>
        <w:jc w:val="both"/>
        <w:rPr>
          <w:rFonts w:ascii="Times New Roman" w:hAnsi="Times New Roman" w:cs="Times New Roman"/>
          <w:color w:val="auto"/>
        </w:rPr>
      </w:pPr>
    </w:p>
    <w:p w:rsidR="00805D2D" w:rsidRPr="008D2E72" w:rsidRDefault="00642C1A">
      <w:pPr>
        <w:pStyle w:val="Corpodotexto"/>
        <w:spacing w:after="0" w:line="240" w:lineRule="auto"/>
        <w:ind w:firstLine="567"/>
        <w:jc w:val="both"/>
        <w:rPr>
          <w:color w:val="auto"/>
          <w:highlight w:val="white"/>
        </w:rPr>
      </w:pPr>
      <w:r w:rsidRPr="008D2E72">
        <w:rPr>
          <w:rFonts w:ascii="Times New Roman" w:hAnsi="Times New Roman" w:cs="Times New Roman"/>
          <w:color w:val="auto"/>
          <w:highlight w:val="white"/>
        </w:rPr>
        <w:t xml:space="preserve">O dano total causado ao erário público pode sugerir indícios de escolha pública no processo da tomada de decisão por parte dos agentes. Pois primeiramente, a concepção de que estes agentes procederam em prol do interesse público, ficou distante (Buchanan, 1999a). </w:t>
      </w:r>
    </w:p>
    <w:p w:rsidR="00805D2D" w:rsidRPr="008D2E72" w:rsidRDefault="00A37C4D">
      <w:pPr>
        <w:pStyle w:val="Corpodotexto"/>
        <w:spacing w:after="0" w:line="240" w:lineRule="auto"/>
        <w:ind w:firstLine="567"/>
        <w:jc w:val="both"/>
        <w:rPr>
          <w:color w:val="auto"/>
          <w:highlight w:val="white"/>
        </w:rPr>
      </w:pPr>
      <w:r w:rsidRPr="008D2E72">
        <w:rPr>
          <w:rFonts w:ascii="Times New Roman" w:hAnsi="Times New Roman" w:cs="Times New Roman"/>
          <w:color w:val="auto"/>
          <w:highlight w:val="white"/>
        </w:rPr>
        <w:t>Segundo</w:t>
      </w:r>
      <w:r w:rsidR="00642C1A" w:rsidRPr="008D2E72">
        <w:rPr>
          <w:rFonts w:ascii="Times New Roman" w:hAnsi="Times New Roman" w:cs="Times New Roman"/>
          <w:color w:val="auto"/>
          <w:highlight w:val="white"/>
        </w:rPr>
        <w:t xml:space="preserve"> preconiza a caracterização de </w:t>
      </w:r>
      <w:proofErr w:type="spellStart"/>
      <w:r w:rsidR="00642C1A" w:rsidRPr="008D2E72">
        <w:rPr>
          <w:rFonts w:ascii="Times New Roman" w:hAnsi="Times New Roman" w:cs="Times New Roman"/>
          <w:i/>
          <w:color w:val="auto"/>
          <w:highlight w:val="white"/>
        </w:rPr>
        <w:t>logrolling</w:t>
      </w:r>
      <w:proofErr w:type="spellEnd"/>
      <w:r w:rsidR="00642C1A" w:rsidRPr="008D2E72">
        <w:rPr>
          <w:rFonts w:ascii="Times New Roman" w:hAnsi="Times New Roman" w:cs="Times New Roman"/>
          <w:color w:val="auto"/>
          <w:highlight w:val="white"/>
        </w:rPr>
        <w:t xml:space="preserve"> no que diz a formação de cartéis em processos licitatórios para trocas ou apoios entre grupos e indivíduos, conforme explica </w:t>
      </w:r>
      <w:proofErr w:type="spellStart"/>
      <w:r w:rsidR="00642C1A" w:rsidRPr="008D2E72">
        <w:rPr>
          <w:rFonts w:ascii="Times New Roman" w:hAnsi="Times New Roman" w:cs="Times New Roman"/>
          <w:color w:val="auto"/>
          <w:highlight w:val="white"/>
        </w:rPr>
        <w:t>Tullock</w:t>
      </w:r>
      <w:proofErr w:type="spellEnd"/>
      <w:r w:rsidR="00642C1A" w:rsidRPr="008D2E72">
        <w:rPr>
          <w:rFonts w:ascii="Times New Roman" w:hAnsi="Times New Roman" w:cs="Times New Roman"/>
          <w:color w:val="auto"/>
          <w:highlight w:val="white"/>
        </w:rPr>
        <w:t xml:space="preserve"> </w:t>
      </w:r>
      <w:proofErr w:type="spellStart"/>
      <w:r w:rsidR="00642C1A" w:rsidRPr="008D2E72">
        <w:rPr>
          <w:rFonts w:ascii="Times New Roman" w:hAnsi="Times New Roman" w:cs="Times New Roman"/>
          <w:color w:val="auto"/>
          <w:highlight w:val="white"/>
        </w:rPr>
        <w:t>et</w:t>
      </w:r>
      <w:proofErr w:type="spellEnd"/>
      <w:r w:rsidR="00642C1A" w:rsidRPr="008D2E72">
        <w:rPr>
          <w:rFonts w:ascii="Times New Roman" w:hAnsi="Times New Roman" w:cs="Times New Roman"/>
          <w:color w:val="auto"/>
          <w:highlight w:val="white"/>
        </w:rPr>
        <w:t xml:space="preserve"> al. (2002) e </w:t>
      </w:r>
      <w:proofErr w:type="spellStart"/>
      <w:r w:rsidR="00642C1A" w:rsidRPr="008D2E72">
        <w:rPr>
          <w:rFonts w:ascii="Times New Roman" w:hAnsi="Times New Roman" w:cs="Times New Roman"/>
          <w:color w:val="auto"/>
          <w:highlight w:val="white"/>
        </w:rPr>
        <w:t>Butler</w:t>
      </w:r>
      <w:proofErr w:type="spellEnd"/>
      <w:r w:rsidR="00642C1A" w:rsidRPr="008D2E72">
        <w:rPr>
          <w:rFonts w:ascii="Times New Roman" w:hAnsi="Times New Roman" w:cs="Times New Roman"/>
          <w:color w:val="auto"/>
          <w:highlight w:val="white"/>
        </w:rPr>
        <w:t xml:space="preserve"> (2012), e a existência de custos e benefícios gerados conforme os estudos de Cohen e </w:t>
      </w:r>
      <w:proofErr w:type="spellStart"/>
      <w:r w:rsidR="00642C1A" w:rsidRPr="008D2E72">
        <w:rPr>
          <w:rFonts w:ascii="Times New Roman" w:hAnsi="Times New Roman" w:cs="Times New Roman"/>
          <w:color w:val="auto"/>
          <w:highlight w:val="white"/>
        </w:rPr>
        <w:t>Malloy</w:t>
      </w:r>
      <w:proofErr w:type="spellEnd"/>
      <w:r w:rsidR="00642C1A" w:rsidRPr="008D2E72">
        <w:rPr>
          <w:rFonts w:ascii="Times New Roman" w:hAnsi="Times New Roman" w:cs="Times New Roman"/>
          <w:color w:val="auto"/>
          <w:highlight w:val="white"/>
        </w:rPr>
        <w:t xml:space="preserve"> (2014) e que esta relação se apresentou benéfica aos impactos dos custos para os agentes políticos, o que pode denotar que haviam também benefícios eleitoreiros por parte dos proprietários das empresas que contribuíam para alimentar a relação entre grupos e os agentes políticos (Buchanan, 1984).</w:t>
      </w:r>
    </w:p>
    <w:p w:rsidR="00805D2D" w:rsidRPr="008D2E72" w:rsidRDefault="00642C1A">
      <w:pPr>
        <w:pStyle w:val="Corpodotexto"/>
        <w:spacing w:after="0" w:line="240" w:lineRule="auto"/>
        <w:ind w:firstLine="737"/>
        <w:jc w:val="both"/>
        <w:rPr>
          <w:color w:val="auto"/>
        </w:rPr>
      </w:pPr>
      <w:r w:rsidRPr="008D2E72">
        <w:rPr>
          <w:rFonts w:ascii="Times New Roman" w:hAnsi="Times New Roman" w:cs="Times New Roman"/>
          <w:color w:val="auto"/>
          <w:highlight w:val="white"/>
        </w:rPr>
        <w:t xml:space="preserve">Por terceiro, os recursos recebidos ilicitamente como suborno e a evidência de procedimentos ilegais, a criação de monopólios, a carência de transparência com relação à alocação de recursos, os custos financeiros e sociais impostos a sociedade, </w:t>
      </w:r>
      <w:r w:rsidRPr="008D2E72">
        <w:rPr>
          <w:rStyle w:val="apple-converted-space"/>
          <w:rFonts w:ascii="Times New Roman" w:hAnsi="Times New Roman" w:cs="Times New Roman"/>
          <w:color w:val="auto"/>
        </w:rPr>
        <w:t xml:space="preserve">a constatação de cartéis, que pode significar a existência de um profundo interesse na busca por renda, e que </w:t>
      </w:r>
      <w:r w:rsidRPr="008D2E72">
        <w:rPr>
          <w:rStyle w:val="apple-converted-space"/>
          <w:rFonts w:ascii="Times New Roman" w:hAnsi="Times New Roman" w:cs="Times New Roman"/>
          <w:color w:val="auto"/>
        </w:rPr>
        <w:lastRenderedPageBreak/>
        <w:t xml:space="preserve">essa relação imputa vantagem econômica com a manutenção dos contratos de fornecimentos, </w:t>
      </w:r>
      <w:r w:rsidRPr="008D2E72">
        <w:rPr>
          <w:rFonts w:ascii="Times New Roman" w:hAnsi="Times New Roman" w:cs="Times New Roman"/>
          <w:color w:val="auto"/>
          <w:highlight w:val="white"/>
        </w:rPr>
        <w:t xml:space="preserve">também podem sugerir que havia prática de </w:t>
      </w:r>
      <w:proofErr w:type="spellStart"/>
      <w:r w:rsidRPr="008D2E72">
        <w:rPr>
          <w:rFonts w:ascii="Times New Roman" w:hAnsi="Times New Roman" w:cs="Times New Roman"/>
          <w:i/>
          <w:color w:val="auto"/>
          <w:highlight w:val="white"/>
        </w:rPr>
        <w:t>rent</w:t>
      </w:r>
      <w:proofErr w:type="spellEnd"/>
      <w:r w:rsidRPr="008D2E72">
        <w:rPr>
          <w:rFonts w:ascii="Times New Roman" w:hAnsi="Times New Roman" w:cs="Times New Roman"/>
          <w:i/>
          <w:color w:val="auto"/>
          <w:highlight w:val="white"/>
        </w:rPr>
        <w:t xml:space="preserve"> </w:t>
      </w:r>
      <w:proofErr w:type="spellStart"/>
      <w:r w:rsidRPr="008D2E72">
        <w:rPr>
          <w:rFonts w:ascii="Times New Roman" w:hAnsi="Times New Roman" w:cs="Times New Roman"/>
          <w:i/>
          <w:color w:val="auto"/>
          <w:highlight w:val="white"/>
        </w:rPr>
        <w:t>seeking</w:t>
      </w:r>
      <w:proofErr w:type="spellEnd"/>
      <w:r w:rsidRPr="008D2E72">
        <w:rPr>
          <w:rFonts w:ascii="Times New Roman" w:hAnsi="Times New Roman" w:cs="Times New Roman"/>
          <w:color w:val="auto"/>
          <w:highlight w:val="white"/>
        </w:rPr>
        <w:t xml:space="preserve">, corroborando aos achados de Khan (2000). Dessa forma, ainda </w:t>
      </w:r>
      <w:r w:rsidRPr="008D2E72">
        <w:rPr>
          <w:rStyle w:val="apple-converted-space"/>
          <w:rFonts w:ascii="Times New Roman" w:hAnsi="Times New Roman" w:cs="Times New Roman"/>
          <w:color w:val="auto"/>
        </w:rPr>
        <w:t>a existência de custos políticos implícitos no processo.</w:t>
      </w:r>
    </w:p>
    <w:p w:rsidR="00805D2D" w:rsidRPr="008D2E72" w:rsidRDefault="00642C1A">
      <w:pPr>
        <w:pStyle w:val="Corpodotexto"/>
        <w:spacing w:after="0" w:line="240" w:lineRule="auto"/>
        <w:ind w:firstLine="737"/>
        <w:jc w:val="both"/>
        <w:rPr>
          <w:rFonts w:ascii="Times New Roman" w:hAnsi="Times New Roman" w:cs="Times New Roman"/>
          <w:color w:val="auto"/>
          <w:sz w:val="20"/>
          <w:szCs w:val="20"/>
          <w:highlight w:val="white"/>
        </w:rPr>
      </w:pPr>
      <w:r w:rsidRPr="008D2E72">
        <w:rPr>
          <w:rStyle w:val="apple-converted-space"/>
          <w:rFonts w:ascii="Times New Roman" w:hAnsi="Times New Roman" w:cs="Times New Roman"/>
          <w:color w:val="auto"/>
        </w:rPr>
        <w:t xml:space="preserve">Por fim, o processo de corrupção ocorreu entre grupos de indivíduos do setor público e privado, que voluntariamente atuaram consoante aos próprios padrões de moral, ignorando normas, leis e padrões estabelecidos na sociedade. Esta análise corrobora ao estudo de </w:t>
      </w:r>
      <w:proofErr w:type="spellStart"/>
      <w:r w:rsidRPr="008D2E72">
        <w:rPr>
          <w:rFonts w:ascii="Times New Roman" w:hAnsi="Times New Roman" w:cs="Times New Roman"/>
          <w:color w:val="auto"/>
          <w:highlight w:val="white"/>
        </w:rPr>
        <w:t>Klitgaard</w:t>
      </w:r>
      <w:proofErr w:type="spellEnd"/>
      <w:r w:rsidRPr="008D2E72">
        <w:rPr>
          <w:rFonts w:ascii="Times New Roman" w:hAnsi="Times New Roman" w:cs="Times New Roman"/>
          <w:color w:val="auto"/>
          <w:highlight w:val="white"/>
        </w:rPr>
        <w:t xml:space="preserve"> (1991). Já </w:t>
      </w:r>
      <w:r w:rsidRPr="008D2E72">
        <w:rPr>
          <w:rStyle w:val="apple-converted-space"/>
          <w:rFonts w:ascii="Times New Roman" w:hAnsi="Times New Roman" w:cs="Times New Roman"/>
          <w:color w:val="auto"/>
        </w:rPr>
        <w:t xml:space="preserve">o cenário e a descrição dos fatos permite sugerir, ainda, a ótica da corrupção total, onde políticos e grupos de interesses trocavam dinheiro ou favores pessoais, conforme afirma </w:t>
      </w:r>
      <w:proofErr w:type="spellStart"/>
      <w:r w:rsidRPr="008D2E72">
        <w:rPr>
          <w:rStyle w:val="apple-converted-space"/>
          <w:rFonts w:ascii="Times New Roman" w:hAnsi="Times New Roman" w:cs="Times New Roman"/>
          <w:color w:val="auto"/>
        </w:rPr>
        <w:t>Butler</w:t>
      </w:r>
      <w:proofErr w:type="spellEnd"/>
      <w:r w:rsidRPr="008D2E72">
        <w:rPr>
          <w:rStyle w:val="apple-converted-space"/>
          <w:rFonts w:ascii="Times New Roman" w:hAnsi="Times New Roman" w:cs="Times New Roman"/>
          <w:color w:val="auto"/>
        </w:rPr>
        <w:t xml:space="preserve"> (2012).</w:t>
      </w:r>
    </w:p>
    <w:p w:rsidR="00805D2D" w:rsidRPr="008D2E72" w:rsidRDefault="00805D2D">
      <w:pPr>
        <w:pStyle w:val="Corpodotexto"/>
        <w:spacing w:after="0" w:line="240" w:lineRule="auto"/>
        <w:ind w:left="1134"/>
        <w:jc w:val="both"/>
        <w:rPr>
          <w:rFonts w:ascii="Times New Roman" w:hAnsi="Times New Roman" w:cs="Times New Roman"/>
          <w:color w:val="auto"/>
          <w:sz w:val="20"/>
          <w:szCs w:val="20"/>
          <w:highlight w:val="white"/>
        </w:rPr>
      </w:pPr>
    </w:p>
    <w:p w:rsidR="00805D2D" w:rsidRPr="008D2E72" w:rsidRDefault="00642C1A" w:rsidP="002E257B">
      <w:pPr>
        <w:pStyle w:val="ndice"/>
        <w:rPr>
          <w:b/>
          <w:color w:val="auto"/>
          <w:sz w:val="24"/>
        </w:rPr>
      </w:pPr>
      <w:r w:rsidRPr="008D2E72">
        <w:rPr>
          <w:b/>
          <w:color w:val="auto"/>
          <w:sz w:val="24"/>
        </w:rPr>
        <w:t>6. Considerações finais</w:t>
      </w:r>
    </w:p>
    <w:p w:rsidR="00805D2D" w:rsidRPr="008D2E72" w:rsidRDefault="00642C1A">
      <w:pPr>
        <w:pStyle w:val="Corpodotexto"/>
        <w:spacing w:after="0" w:line="240" w:lineRule="auto"/>
        <w:ind w:firstLine="709"/>
        <w:jc w:val="both"/>
        <w:rPr>
          <w:rFonts w:ascii="Times New Roman" w:hAnsi="Times New Roman" w:cs="Times New Roman"/>
          <w:color w:val="auto"/>
        </w:rPr>
      </w:pPr>
      <w:r w:rsidRPr="008D2E72">
        <w:rPr>
          <w:rFonts w:ascii="Times New Roman" w:hAnsi="Times New Roman" w:cs="Times New Roman"/>
          <w:color w:val="auto"/>
        </w:rPr>
        <w:t xml:space="preserve">O presente artigo explorou uma denúncia de diversos crimes realizados no âmbito da conhecida Operação Lava Jato, genericamente apresentados como decorrentes da corrupção. </w:t>
      </w:r>
    </w:p>
    <w:p w:rsidR="00805D2D" w:rsidRPr="008D2E72" w:rsidRDefault="00642C1A">
      <w:pPr>
        <w:pStyle w:val="Corpodotexto"/>
        <w:spacing w:after="0" w:line="240" w:lineRule="auto"/>
        <w:ind w:firstLine="709"/>
        <w:jc w:val="both"/>
        <w:rPr>
          <w:color w:val="auto"/>
        </w:rPr>
      </w:pPr>
      <w:r w:rsidRPr="008D2E72">
        <w:rPr>
          <w:rFonts w:ascii="Times New Roman" w:hAnsi="Times New Roman" w:cs="Times New Roman"/>
          <w:color w:val="auto"/>
        </w:rPr>
        <w:t xml:space="preserve">Nele fica claro o custo de atos ou omissões de gestores que são mantidos pelo sistema de escolha dos representantes públicos, de forma direta ou indireta. Os custos decorrentes da corrupção considerados além da vantagem entregue ao agente público incorrem também pelo recolhimento de tributos, custos de transporte e operação bancária, </w:t>
      </w:r>
      <w:proofErr w:type="spellStart"/>
      <w:r w:rsidRPr="008D2E72">
        <w:rPr>
          <w:rFonts w:ascii="Times New Roman" w:hAnsi="Times New Roman" w:cs="Times New Roman"/>
          <w:color w:val="auto"/>
        </w:rPr>
        <w:t>comissionamento</w:t>
      </w:r>
      <w:proofErr w:type="spellEnd"/>
      <w:r w:rsidRPr="008D2E72">
        <w:rPr>
          <w:rFonts w:ascii="Times New Roman" w:hAnsi="Times New Roman" w:cs="Times New Roman"/>
          <w:color w:val="auto"/>
        </w:rPr>
        <w:t xml:space="preserve"> e ganho superior para a contratada. Embora não avaliados na presente análise, ainda podem ser citados outros custos como os de financiamento e seu subsídio, custos agregados à alocação ao produto final, custo da imagem institucional da estatal e a perda de valor de mercado ao acionista.</w:t>
      </w:r>
    </w:p>
    <w:p w:rsidR="007C66BD" w:rsidRPr="008D2E72" w:rsidRDefault="007C66BD" w:rsidP="007C66BD">
      <w:pPr>
        <w:pStyle w:val="Corpodotexto"/>
        <w:spacing w:after="0" w:line="240" w:lineRule="auto"/>
        <w:ind w:firstLine="709"/>
        <w:jc w:val="both"/>
        <w:rPr>
          <w:color w:val="auto"/>
          <w:highlight w:val="white"/>
        </w:rPr>
      </w:pPr>
      <w:r w:rsidRPr="008D2E72">
        <w:rPr>
          <w:rFonts w:ascii="Times New Roman" w:hAnsi="Times New Roman" w:cs="Times New Roman"/>
          <w:color w:val="auto"/>
        </w:rPr>
        <w:t>A partir dos dados apresentados</w:t>
      </w:r>
      <w:r w:rsidR="00642C1A" w:rsidRPr="008D2E72">
        <w:rPr>
          <w:rFonts w:ascii="Times New Roman" w:hAnsi="Times New Roman" w:cs="Times New Roman"/>
          <w:color w:val="auto"/>
        </w:rPr>
        <w:t xml:space="preserve"> foi possível identificar </w:t>
      </w:r>
      <w:r w:rsidRPr="008D2E72">
        <w:rPr>
          <w:rFonts w:ascii="Times New Roman" w:hAnsi="Times New Roman" w:cs="Times New Roman"/>
          <w:color w:val="auto"/>
        </w:rPr>
        <w:t xml:space="preserve">que o custo da corrupção alcançou 17,84% do montante das obras executadas que correspondeu a R$ 673 milhões do total de R$ 3,77 bilhões. A partir das evidências da denúncia e da sentença, seguindo a metodologia </w:t>
      </w:r>
      <w:proofErr w:type="spellStart"/>
      <w:r w:rsidRPr="008D2E72">
        <w:rPr>
          <w:rFonts w:ascii="Times New Roman" w:hAnsi="Times New Roman" w:cs="Times New Roman"/>
          <w:color w:val="auto"/>
        </w:rPr>
        <w:t>paper</w:t>
      </w:r>
      <w:proofErr w:type="spellEnd"/>
      <w:r w:rsidRPr="008D2E72">
        <w:rPr>
          <w:rFonts w:ascii="Times New Roman" w:hAnsi="Times New Roman" w:cs="Times New Roman"/>
          <w:color w:val="auto"/>
        </w:rPr>
        <w:t xml:space="preserve"> </w:t>
      </w:r>
      <w:proofErr w:type="spellStart"/>
      <w:r w:rsidRPr="008D2E72">
        <w:rPr>
          <w:rFonts w:ascii="Times New Roman" w:hAnsi="Times New Roman" w:cs="Times New Roman"/>
          <w:color w:val="auto"/>
        </w:rPr>
        <w:t>trail</w:t>
      </w:r>
      <w:proofErr w:type="spellEnd"/>
      <w:r w:rsidRPr="008D2E72">
        <w:rPr>
          <w:rFonts w:ascii="Times New Roman" w:hAnsi="Times New Roman" w:cs="Times New Roman"/>
          <w:color w:val="auto"/>
        </w:rPr>
        <w:t xml:space="preserve"> apresentada, evidenciou-se que o benefício dos agentes corruptores foi de R$ 92,3 milhões disponíveis. Assim, o valor destinado aos corruptores é a menor parcela do montante do dano causado por tal ato. Neste estudo foi identificado que o montante desviado é 7,3 vezes maior do que o benefício do agente, ou o ganho do corrupto é de 13,7%.</w:t>
      </w:r>
    </w:p>
    <w:p w:rsidR="00805D2D" w:rsidRPr="008D2E72" w:rsidRDefault="007C66BD">
      <w:pPr>
        <w:pStyle w:val="Corpodotexto"/>
        <w:spacing w:after="0" w:line="240" w:lineRule="auto"/>
        <w:ind w:firstLine="709"/>
        <w:jc w:val="both"/>
        <w:rPr>
          <w:rFonts w:ascii="Times New Roman" w:hAnsi="Times New Roman" w:cs="Times New Roman"/>
          <w:color w:val="auto"/>
        </w:rPr>
      </w:pPr>
      <w:r w:rsidRPr="008D2E72">
        <w:rPr>
          <w:rFonts w:ascii="Times New Roman" w:hAnsi="Times New Roman" w:cs="Times New Roman"/>
          <w:color w:val="auto"/>
        </w:rPr>
        <w:t xml:space="preserve">Além disso, identificou-se </w:t>
      </w:r>
      <w:r w:rsidR="00642C1A" w:rsidRPr="008D2E72">
        <w:rPr>
          <w:rFonts w:ascii="Times New Roman" w:hAnsi="Times New Roman" w:cs="Times New Roman"/>
          <w:color w:val="auto"/>
        </w:rPr>
        <w:t>a existência de custos de transação nas diversas etapas de lavagem de recursos, alcançando 26,9% do valor destinado aos agentes públicos, ou seja, do valor destinado aos agentes corruptos, a quarta parte é empregada na operação de lavagem de tais recursos.</w:t>
      </w:r>
    </w:p>
    <w:p w:rsidR="00805D2D" w:rsidRPr="008D2E72" w:rsidRDefault="00642C1A">
      <w:pPr>
        <w:pStyle w:val="Corpodotexto"/>
        <w:spacing w:after="0" w:line="240" w:lineRule="auto"/>
        <w:ind w:firstLine="709"/>
        <w:jc w:val="both"/>
        <w:rPr>
          <w:color w:val="auto"/>
          <w:highlight w:val="white"/>
        </w:rPr>
      </w:pPr>
      <w:r w:rsidRPr="008D2E72">
        <w:rPr>
          <w:rFonts w:ascii="Times New Roman" w:hAnsi="Times New Roman" w:cs="Times New Roman"/>
          <w:color w:val="auto"/>
        </w:rPr>
        <w:t>Também foi possível identificar que o valor destinado aos corruptores é a menor parcela do montante do dano causado por tal ato. Neste estudo foi identificado que o montante desviado é 7,3 vezes maior do que o benefício do agente, ou o ganho do corrupto é de 13,7%.</w:t>
      </w:r>
    </w:p>
    <w:p w:rsidR="00805D2D" w:rsidRPr="008D2E72" w:rsidRDefault="00642C1A">
      <w:pPr>
        <w:pStyle w:val="Corpodotexto"/>
        <w:spacing w:after="0" w:line="240" w:lineRule="auto"/>
        <w:ind w:firstLine="737"/>
        <w:jc w:val="both"/>
        <w:rPr>
          <w:rStyle w:val="apple-converted-space"/>
          <w:rFonts w:ascii="Times New Roman" w:hAnsi="Times New Roman" w:cs="Times New Roman"/>
          <w:color w:val="auto"/>
        </w:rPr>
      </w:pPr>
      <w:r w:rsidRPr="008D2E72">
        <w:rPr>
          <w:rFonts w:ascii="Times New Roman" w:hAnsi="Times New Roman" w:cs="Times New Roman"/>
          <w:color w:val="auto"/>
          <w:highlight w:val="white"/>
        </w:rPr>
        <w:t xml:space="preserve">Tais resultados, inicialmente, sugerem consistências com relação a pressupostos da teoria da escolha pública, no que se refere às práticas de </w:t>
      </w:r>
      <w:proofErr w:type="spellStart"/>
      <w:r w:rsidRPr="008D2E72">
        <w:rPr>
          <w:rFonts w:ascii="Times New Roman" w:hAnsi="Times New Roman" w:cs="Times New Roman"/>
          <w:i/>
          <w:color w:val="auto"/>
          <w:highlight w:val="white"/>
        </w:rPr>
        <w:t>logrolling</w:t>
      </w:r>
      <w:proofErr w:type="spellEnd"/>
      <w:r w:rsidRPr="008D2E72">
        <w:rPr>
          <w:rFonts w:ascii="Times New Roman" w:hAnsi="Times New Roman" w:cs="Times New Roman"/>
          <w:color w:val="auto"/>
          <w:highlight w:val="white"/>
        </w:rPr>
        <w:t xml:space="preserve"> ou comercialização de votos e a busca por renda ou </w:t>
      </w:r>
      <w:proofErr w:type="spellStart"/>
      <w:r w:rsidRPr="008D2E72">
        <w:rPr>
          <w:rFonts w:ascii="Times New Roman" w:hAnsi="Times New Roman" w:cs="Times New Roman"/>
          <w:i/>
          <w:color w:val="auto"/>
          <w:highlight w:val="white"/>
        </w:rPr>
        <w:t>rent</w:t>
      </w:r>
      <w:proofErr w:type="spellEnd"/>
      <w:r w:rsidRPr="008D2E72">
        <w:rPr>
          <w:rFonts w:ascii="Times New Roman" w:hAnsi="Times New Roman" w:cs="Times New Roman"/>
          <w:i/>
          <w:color w:val="auto"/>
          <w:highlight w:val="white"/>
        </w:rPr>
        <w:t xml:space="preserve"> </w:t>
      </w:r>
      <w:proofErr w:type="spellStart"/>
      <w:r w:rsidRPr="008D2E72">
        <w:rPr>
          <w:rFonts w:ascii="Times New Roman" w:hAnsi="Times New Roman" w:cs="Times New Roman"/>
          <w:i/>
          <w:color w:val="auto"/>
          <w:highlight w:val="white"/>
        </w:rPr>
        <w:t>seeking</w:t>
      </w:r>
      <w:proofErr w:type="spellEnd"/>
      <w:r w:rsidRPr="008D2E72">
        <w:rPr>
          <w:rFonts w:ascii="Times New Roman" w:hAnsi="Times New Roman" w:cs="Times New Roman"/>
          <w:color w:val="auto"/>
          <w:highlight w:val="white"/>
        </w:rPr>
        <w:t xml:space="preserve">. </w:t>
      </w:r>
      <w:r w:rsidRPr="008D2E72">
        <w:rPr>
          <w:rStyle w:val="apple-converted-space"/>
          <w:rFonts w:ascii="Times New Roman" w:hAnsi="Times New Roman" w:cs="Times New Roman"/>
          <w:color w:val="auto"/>
        </w:rPr>
        <w:t xml:space="preserve">Contudo, recomenda-se uma análise mais aprofundada. </w:t>
      </w:r>
    </w:p>
    <w:p w:rsidR="00805D2D" w:rsidRPr="008D2E72" w:rsidRDefault="00642C1A">
      <w:pPr>
        <w:pStyle w:val="Corpodotexto"/>
        <w:spacing w:after="0" w:line="240" w:lineRule="auto"/>
        <w:ind w:firstLine="737"/>
        <w:jc w:val="both"/>
        <w:rPr>
          <w:rFonts w:ascii="Times New Roman" w:hAnsi="Times New Roman" w:cs="Times New Roman"/>
          <w:color w:val="auto"/>
        </w:rPr>
      </w:pPr>
      <w:r w:rsidRPr="008D2E72">
        <w:rPr>
          <w:rFonts w:ascii="Times New Roman" w:hAnsi="Times New Roman" w:cs="Times New Roman"/>
          <w:color w:val="auto"/>
          <w:highlight w:val="white"/>
        </w:rPr>
        <w:t>O presente estudo exploratório apresenta como limitação o emprego de apenas os dados disponíveis publicamente no processo elencado e em notícias veiculadas pela imprensa,</w:t>
      </w:r>
      <w:r w:rsidRPr="008D2E72">
        <w:rPr>
          <w:rFonts w:ascii="Times New Roman" w:hAnsi="Times New Roman" w:cs="Times New Roman"/>
          <w:color w:val="auto"/>
        </w:rPr>
        <w:t xml:space="preserve"> que em algumas situações pode ocasionar déficit na mensuração real dos fatos. Além disso, parte dos custos não foi possível de ser mensurado pela inexistência das informações necessárias e pela dificuldade técnica de se desenvolver tais </w:t>
      </w:r>
      <w:proofErr w:type="spellStart"/>
      <w:r w:rsidRPr="008D2E72">
        <w:rPr>
          <w:rFonts w:ascii="Times New Roman" w:hAnsi="Times New Roman" w:cs="Times New Roman"/>
          <w:i/>
          <w:iCs/>
          <w:color w:val="auto"/>
        </w:rPr>
        <w:t>proxys</w:t>
      </w:r>
      <w:proofErr w:type="spellEnd"/>
      <w:r w:rsidRPr="008D2E72">
        <w:rPr>
          <w:rFonts w:ascii="Times New Roman" w:hAnsi="Times New Roman" w:cs="Times New Roman"/>
          <w:i/>
          <w:iCs/>
          <w:color w:val="auto"/>
        </w:rPr>
        <w:t xml:space="preserve"> </w:t>
      </w:r>
      <w:r w:rsidRPr="008D2E72">
        <w:rPr>
          <w:rFonts w:ascii="Times New Roman" w:hAnsi="Times New Roman" w:cs="Times New Roman"/>
          <w:color w:val="auto"/>
        </w:rPr>
        <w:t>que resultariam num valor superior e mais próximo da realidade.</w:t>
      </w:r>
    </w:p>
    <w:p w:rsidR="00805D2D" w:rsidRPr="008D2E72" w:rsidRDefault="00642C1A">
      <w:pPr>
        <w:pStyle w:val="Corpodotexto"/>
        <w:spacing w:after="0" w:line="240" w:lineRule="auto"/>
        <w:ind w:firstLine="709"/>
        <w:jc w:val="both"/>
        <w:rPr>
          <w:rFonts w:ascii="Times New Roman" w:hAnsi="Times New Roman" w:cs="Times New Roman"/>
          <w:color w:val="auto"/>
        </w:rPr>
      </w:pPr>
      <w:r w:rsidRPr="008D2E72">
        <w:rPr>
          <w:rFonts w:ascii="Times New Roman" w:hAnsi="Times New Roman" w:cs="Times New Roman"/>
          <w:color w:val="auto"/>
        </w:rPr>
        <w:t>Estas limitações representam excelentes oportunidades de estudos e melhorias e perspectivas de avanço nas pesquisas. Apesar das limitações evidenciadas pretende-se que o presente estudo seja uma pequena luz no estudo contábil dos fatos relacionados à corrupção, que é ainda bastante incipiente.</w:t>
      </w:r>
    </w:p>
    <w:p w:rsidR="00805D2D" w:rsidRPr="008D2E72" w:rsidRDefault="00805D2D">
      <w:pPr>
        <w:pStyle w:val="Corpodotexto"/>
        <w:spacing w:after="0" w:line="240" w:lineRule="auto"/>
        <w:ind w:firstLine="709"/>
        <w:jc w:val="both"/>
        <w:rPr>
          <w:rFonts w:ascii="Times New Roman" w:hAnsi="Times New Roman" w:cs="Times New Roman"/>
          <w:color w:val="auto"/>
        </w:rPr>
      </w:pPr>
    </w:p>
    <w:p w:rsidR="00805D2D" w:rsidRPr="008D2E72" w:rsidRDefault="00642C1A">
      <w:pPr>
        <w:pStyle w:val="Corpodotexto"/>
        <w:spacing w:after="0" w:line="240" w:lineRule="auto"/>
        <w:rPr>
          <w:rFonts w:ascii="Times New Roman" w:hAnsi="Times New Roman" w:cs="Times New Roman"/>
          <w:b/>
          <w:color w:val="auto"/>
        </w:rPr>
      </w:pPr>
      <w:r w:rsidRPr="008D2E72">
        <w:rPr>
          <w:rFonts w:ascii="Times New Roman" w:hAnsi="Times New Roman" w:cs="Times New Roman"/>
          <w:b/>
          <w:color w:val="auto"/>
        </w:rPr>
        <w:lastRenderedPageBreak/>
        <w:t>REFERÊNCIAS</w:t>
      </w:r>
    </w:p>
    <w:p w:rsidR="00805D2D" w:rsidRPr="008D2E72" w:rsidRDefault="00805D2D">
      <w:pPr>
        <w:pStyle w:val="Corpodotexto"/>
        <w:spacing w:after="0" w:line="240" w:lineRule="auto"/>
        <w:rPr>
          <w:rFonts w:ascii="Times New Roman" w:hAnsi="Times New Roman" w:cs="Times New Roman"/>
          <w:color w:val="auto"/>
        </w:rPr>
      </w:pPr>
    </w:p>
    <w:p w:rsidR="00805D2D" w:rsidRPr="008D2E72" w:rsidRDefault="00642C1A">
      <w:pPr>
        <w:ind w:left="567" w:hanging="567"/>
        <w:rPr>
          <w:rStyle w:val="st"/>
          <w:color w:val="auto"/>
          <w:sz w:val="24"/>
          <w:szCs w:val="24"/>
          <w:lang w:val="en-US"/>
        </w:rPr>
      </w:pPr>
      <w:proofErr w:type="spellStart"/>
      <w:r w:rsidRPr="008D2E72">
        <w:rPr>
          <w:rStyle w:val="nfase"/>
          <w:i w:val="0"/>
          <w:color w:val="auto"/>
          <w:sz w:val="24"/>
          <w:szCs w:val="24"/>
        </w:rPr>
        <w:t>Ashforth</w:t>
      </w:r>
      <w:proofErr w:type="spellEnd"/>
      <w:r w:rsidRPr="008D2E72">
        <w:rPr>
          <w:rStyle w:val="st"/>
          <w:i/>
          <w:color w:val="auto"/>
          <w:sz w:val="24"/>
          <w:szCs w:val="24"/>
        </w:rPr>
        <w:t xml:space="preserve">, </w:t>
      </w:r>
      <w:r w:rsidRPr="008D2E72">
        <w:rPr>
          <w:rStyle w:val="st"/>
          <w:color w:val="auto"/>
          <w:sz w:val="24"/>
          <w:szCs w:val="24"/>
        </w:rPr>
        <w:t>B. E</w:t>
      </w:r>
      <w:r w:rsidRPr="008D2E72">
        <w:rPr>
          <w:rStyle w:val="st"/>
          <w:i/>
          <w:color w:val="auto"/>
          <w:sz w:val="24"/>
          <w:szCs w:val="24"/>
        </w:rPr>
        <w:t xml:space="preserve">., </w:t>
      </w:r>
      <w:r w:rsidRPr="008D2E72">
        <w:rPr>
          <w:rStyle w:val="st"/>
          <w:color w:val="auto"/>
          <w:sz w:val="24"/>
          <w:szCs w:val="24"/>
        </w:rPr>
        <w:t>&amp;</w:t>
      </w:r>
      <w:proofErr w:type="spellStart"/>
      <w:r w:rsidRPr="008D2E72">
        <w:rPr>
          <w:rStyle w:val="nfase"/>
          <w:i w:val="0"/>
          <w:color w:val="auto"/>
          <w:sz w:val="24"/>
          <w:szCs w:val="24"/>
        </w:rPr>
        <w:t>Anand</w:t>
      </w:r>
      <w:proofErr w:type="spellEnd"/>
      <w:r w:rsidRPr="008D2E72">
        <w:rPr>
          <w:rStyle w:val="st"/>
          <w:i/>
          <w:color w:val="auto"/>
          <w:sz w:val="24"/>
          <w:szCs w:val="24"/>
        </w:rPr>
        <w:t xml:space="preserve">, </w:t>
      </w:r>
      <w:r w:rsidRPr="008D2E72">
        <w:rPr>
          <w:rStyle w:val="st"/>
          <w:color w:val="auto"/>
          <w:sz w:val="24"/>
          <w:szCs w:val="24"/>
        </w:rPr>
        <w:t>V</w:t>
      </w:r>
      <w:r w:rsidRPr="008D2E72">
        <w:rPr>
          <w:rStyle w:val="st"/>
          <w:i/>
          <w:color w:val="auto"/>
          <w:sz w:val="24"/>
          <w:szCs w:val="24"/>
        </w:rPr>
        <w:t>. (</w:t>
      </w:r>
      <w:r w:rsidRPr="008D2E72">
        <w:rPr>
          <w:rStyle w:val="nfase"/>
          <w:i w:val="0"/>
          <w:color w:val="auto"/>
          <w:sz w:val="24"/>
          <w:szCs w:val="24"/>
        </w:rPr>
        <w:t>2003</w:t>
      </w:r>
      <w:r w:rsidRPr="008D2E72">
        <w:rPr>
          <w:rStyle w:val="st"/>
          <w:i/>
          <w:color w:val="auto"/>
          <w:sz w:val="24"/>
          <w:szCs w:val="24"/>
        </w:rPr>
        <w:t xml:space="preserve">). </w:t>
      </w:r>
      <w:r w:rsidRPr="008D2E72">
        <w:rPr>
          <w:rStyle w:val="st"/>
          <w:color w:val="auto"/>
          <w:sz w:val="24"/>
          <w:szCs w:val="24"/>
          <w:lang w:val="en-US"/>
        </w:rPr>
        <w:t>The Normalization of Corruption in Organizations</w:t>
      </w:r>
      <w:r w:rsidRPr="008D2E72">
        <w:rPr>
          <w:rStyle w:val="st"/>
          <w:i/>
          <w:color w:val="auto"/>
          <w:sz w:val="24"/>
          <w:szCs w:val="24"/>
          <w:lang w:val="en-US"/>
        </w:rPr>
        <w:t>.</w:t>
      </w:r>
      <w:r w:rsidRPr="008D2E72">
        <w:rPr>
          <w:rStyle w:val="st"/>
          <w:color w:val="auto"/>
          <w:sz w:val="24"/>
          <w:szCs w:val="24"/>
          <w:lang w:val="en-US"/>
        </w:rPr>
        <w:t xml:space="preserve"> Research in Organizational Behavior, 25, 1-52</w:t>
      </w:r>
    </w:p>
    <w:p w:rsidR="00805D2D" w:rsidRPr="008D2E72" w:rsidRDefault="00642C1A">
      <w:pPr>
        <w:ind w:left="567" w:hanging="567"/>
        <w:rPr>
          <w:color w:val="auto"/>
          <w:sz w:val="24"/>
          <w:szCs w:val="24"/>
          <w:lang w:val="en-US"/>
        </w:rPr>
      </w:pPr>
      <w:r w:rsidRPr="008D2E72">
        <w:rPr>
          <w:color w:val="auto"/>
          <w:sz w:val="24"/>
          <w:szCs w:val="24"/>
          <w:lang w:val="en-US"/>
        </w:rPr>
        <w:t xml:space="preserve">Buchanan, J. M., &amp; </w:t>
      </w:r>
      <w:proofErr w:type="spellStart"/>
      <w:r w:rsidRPr="008D2E72">
        <w:rPr>
          <w:color w:val="auto"/>
          <w:sz w:val="24"/>
          <w:szCs w:val="24"/>
          <w:lang w:val="en-US"/>
        </w:rPr>
        <w:t>Tullock</w:t>
      </w:r>
      <w:proofErr w:type="spellEnd"/>
      <w:r w:rsidRPr="008D2E72">
        <w:rPr>
          <w:color w:val="auto"/>
          <w:sz w:val="24"/>
          <w:szCs w:val="24"/>
          <w:lang w:val="en-US"/>
        </w:rPr>
        <w:t>, G. (1962). The calculus of consent (Vol. 3). Ann Arbor: University of Michigan Press.</w:t>
      </w:r>
    </w:p>
    <w:p w:rsidR="00805D2D" w:rsidRPr="008D2E72" w:rsidRDefault="00642C1A">
      <w:pPr>
        <w:ind w:left="567" w:hanging="567"/>
        <w:rPr>
          <w:color w:val="auto"/>
          <w:sz w:val="24"/>
          <w:szCs w:val="24"/>
          <w:lang w:val="en-US"/>
        </w:rPr>
      </w:pPr>
      <w:r w:rsidRPr="008D2E72">
        <w:rPr>
          <w:color w:val="auto"/>
          <w:sz w:val="24"/>
          <w:szCs w:val="24"/>
          <w:lang w:val="en-US"/>
        </w:rPr>
        <w:t>Buchanan, J. M. (1984). Politics without romance: A sketch of positive public choice theory and its normative implications. The theory of public choice II, 11-22.</w:t>
      </w:r>
    </w:p>
    <w:p w:rsidR="00805D2D" w:rsidRPr="008D2E72" w:rsidRDefault="00642C1A">
      <w:pPr>
        <w:ind w:left="567" w:hanging="567"/>
        <w:rPr>
          <w:color w:val="auto"/>
          <w:sz w:val="24"/>
          <w:szCs w:val="24"/>
          <w:lang w:val="en-US"/>
        </w:rPr>
      </w:pPr>
      <w:r w:rsidRPr="008D2E72">
        <w:rPr>
          <w:color w:val="auto"/>
          <w:sz w:val="24"/>
          <w:szCs w:val="24"/>
          <w:lang w:val="en-US"/>
        </w:rPr>
        <w:t xml:space="preserve">Buchanan, J. M. (1999a). The logical foundations of constitutional liberty (Vol. 1, pp. 281-291). Indianapolis: Liberty Fund.  </w:t>
      </w:r>
    </w:p>
    <w:p w:rsidR="00805D2D" w:rsidRPr="008D2E72" w:rsidRDefault="00642C1A">
      <w:pPr>
        <w:ind w:left="567" w:hanging="567"/>
        <w:rPr>
          <w:color w:val="auto"/>
          <w:sz w:val="24"/>
          <w:szCs w:val="24"/>
          <w:lang w:val="en-US"/>
        </w:rPr>
      </w:pPr>
      <w:r w:rsidRPr="008D2E72">
        <w:rPr>
          <w:color w:val="auto"/>
          <w:sz w:val="24"/>
          <w:szCs w:val="24"/>
          <w:lang w:val="en-US"/>
        </w:rPr>
        <w:t xml:space="preserve">Buchanan, J. M. (1999b). Collected Works of James M. Buchanan, vol. 1. Public Finance in Democratic Process: Fiscal Institutions and Individual Choice. </w:t>
      </w:r>
    </w:p>
    <w:p w:rsidR="00805D2D" w:rsidRPr="008D2E72" w:rsidRDefault="00642C1A">
      <w:pPr>
        <w:ind w:left="567" w:hanging="567"/>
        <w:rPr>
          <w:color w:val="auto"/>
          <w:sz w:val="24"/>
          <w:szCs w:val="24"/>
          <w:lang w:val="en-US"/>
        </w:rPr>
      </w:pPr>
      <w:r w:rsidRPr="008D2E72">
        <w:rPr>
          <w:color w:val="auto"/>
          <w:sz w:val="24"/>
          <w:szCs w:val="24"/>
          <w:shd w:val="clear" w:color="auto" w:fill="FFFFFF"/>
          <w:lang w:val="es-CL"/>
        </w:rPr>
        <w:t>Buchanan, J. M. (2000).</w:t>
      </w:r>
      <w:proofErr w:type="spellStart"/>
      <w:r w:rsidRPr="008D2E72">
        <w:rPr>
          <w:iCs/>
          <w:color w:val="auto"/>
          <w:sz w:val="24"/>
          <w:szCs w:val="24"/>
          <w:shd w:val="clear" w:color="auto" w:fill="FFFFFF"/>
          <w:lang w:val="es-CL"/>
        </w:rPr>
        <w:t>Politics</w:t>
      </w:r>
      <w:proofErr w:type="spellEnd"/>
      <w:r w:rsidRPr="008D2E72">
        <w:rPr>
          <w:iCs/>
          <w:color w:val="auto"/>
          <w:sz w:val="24"/>
          <w:szCs w:val="24"/>
          <w:shd w:val="clear" w:color="auto" w:fill="FFFFFF"/>
          <w:lang w:val="es-CL"/>
        </w:rPr>
        <w:t xml:space="preserve"> as </w:t>
      </w:r>
      <w:proofErr w:type="spellStart"/>
      <w:r w:rsidRPr="008D2E72">
        <w:rPr>
          <w:iCs/>
          <w:color w:val="auto"/>
          <w:sz w:val="24"/>
          <w:szCs w:val="24"/>
          <w:shd w:val="clear" w:color="auto" w:fill="FFFFFF"/>
          <w:lang w:val="es-CL"/>
        </w:rPr>
        <w:t>public</w:t>
      </w:r>
      <w:proofErr w:type="spellEnd"/>
      <w:r w:rsidRPr="008D2E72">
        <w:rPr>
          <w:iCs/>
          <w:color w:val="auto"/>
          <w:sz w:val="24"/>
          <w:szCs w:val="24"/>
          <w:shd w:val="clear" w:color="auto" w:fill="FFFFFF"/>
          <w:lang w:val="es-CL"/>
        </w:rPr>
        <w:t xml:space="preserve"> </w:t>
      </w:r>
      <w:proofErr w:type="spellStart"/>
      <w:r w:rsidRPr="008D2E72">
        <w:rPr>
          <w:iCs/>
          <w:color w:val="auto"/>
          <w:sz w:val="24"/>
          <w:szCs w:val="24"/>
          <w:shd w:val="clear" w:color="auto" w:fill="FFFFFF"/>
          <w:lang w:val="es-CL"/>
        </w:rPr>
        <w:t>choice</w:t>
      </w:r>
      <w:proofErr w:type="spellEnd"/>
      <w:r w:rsidRPr="008D2E72">
        <w:rPr>
          <w:color w:val="auto"/>
          <w:sz w:val="24"/>
          <w:szCs w:val="24"/>
          <w:shd w:val="clear" w:color="auto" w:fill="FFFFFF"/>
          <w:lang w:val="es-CL"/>
        </w:rPr>
        <w:t xml:space="preserve">. </w:t>
      </w:r>
      <w:proofErr w:type="spellStart"/>
      <w:r w:rsidRPr="008D2E72">
        <w:rPr>
          <w:color w:val="auto"/>
          <w:sz w:val="24"/>
          <w:szCs w:val="24"/>
          <w:shd w:val="clear" w:color="auto" w:fill="FFFFFF"/>
          <w:lang w:val="es-CL"/>
        </w:rPr>
        <w:t>Liberty</w:t>
      </w:r>
      <w:proofErr w:type="spellEnd"/>
      <w:r w:rsidRPr="008D2E72">
        <w:rPr>
          <w:color w:val="auto"/>
          <w:sz w:val="24"/>
          <w:szCs w:val="24"/>
          <w:shd w:val="clear" w:color="auto" w:fill="FFFFFF"/>
          <w:lang w:val="es-CL"/>
        </w:rPr>
        <w:t xml:space="preserve"> </w:t>
      </w:r>
      <w:proofErr w:type="spellStart"/>
      <w:r w:rsidRPr="008D2E72">
        <w:rPr>
          <w:color w:val="auto"/>
          <w:sz w:val="24"/>
          <w:szCs w:val="24"/>
          <w:shd w:val="clear" w:color="auto" w:fill="FFFFFF"/>
          <w:lang w:val="es-CL"/>
        </w:rPr>
        <w:t>Fund</w:t>
      </w:r>
      <w:proofErr w:type="spellEnd"/>
      <w:r w:rsidRPr="008D2E72">
        <w:rPr>
          <w:color w:val="auto"/>
          <w:sz w:val="24"/>
          <w:szCs w:val="24"/>
          <w:shd w:val="clear" w:color="auto" w:fill="FFFFFF"/>
          <w:lang w:val="es-CL"/>
        </w:rPr>
        <w:t>.</w:t>
      </w:r>
    </w:p>
    <w:p w:rsidR="00805D2D" w:rsidRPr="008D2E72" w:rsidRDefault="00642C1A">
      <w:pPr>
        <w:pStyle w:val="western"/>
        <w:spacing w:beforeAutospacing="0" w:after="0" w:line="240" w:lineRule="auto"/>
        <w:rPr>
          <w:rFonts w:ascii="Times New Roman" w:hAnsi="Times New Roman"/>
          <w:color w:val="auto"/>
          <w:lang w:val="en-US"/>
        </w:rPr>
      </w:pPr>
      <w:r w:rsidRPr="008D2E72">
        <w:rPr>
          <w:rFonts w:ascii="Times New Roman" w:hAnsi="Times New Roman"/>
          <w:color w:val="auto"/>
          <w:sz w:val="24"/>
          <w:szCs w:val="24"/>
          <w:lang w:val="en-US"/>
        </w:rPr>
        <w:t xml:space="preserve">Buchanan, J. M. (2003a). Public choice: politics without romance.[Article reprinted from </w:t>
      </w:r>
      <w:proofErr w:type="spellStart"/>
      <w:r w:rsidRPr="008D2E72">
        <w:rPr>
          <w:rFonts w:ascii="Times New Roman" w:hAnsi="Times New Roman"/>
          <w:color w:val="auto"/>
          <w:sz w:val="24"/>
          <w:szCs w:val="24"/>
          <w:lang w:val="en-US"/>
        </w:rPr>
        <w:t>Imprimus</w:t>
      </w:r>
      <w:proofErr w:type="spellEnd"/>
      <w:r w:rsidRPr="008D2E72">
        <w:rPr>
          <w:rFonts w:ascii="Times New Roman" w:hAnsi="Times New Roman"/>
          <w:color w:val="auto"/>
          <w:sz w:val="24"/>
          <w:szCs w:val="24"/>
          <w:lang w:val="en-US"/>
        </w:rPr>
        <w:t xml:space="preserve">, Mar 2003.]. Policy: A Journal of Public Policy and Ideas, 19(3), 13. </w:t>
      </w:r>
      <w:proofErr w:type="spellStart"/>
      <w:r w:rsidRPr="008D2E72">
        <w:rPr>
          <w:rFonts w:ascii="Times New Roman" w:hAnsi="Times New Roman"/>
          <w:color w:val="auto"/>
          <w:sz w:val="24"/>
          <w:szCs w:val="24"/>
          <w:lang w:val="en-US"/>
        </w:rPr>
        <w:t>Recuperado</w:t>
      </w:r>
      <w:proofErr w:type="spellEnd"/>
      <w:r w:rsidRPr="008D2E72">
        <w:rPr>
          <w:rFonts w:ascii="Times New Roman" w:hAnsi="Times New Roman"/>
          <w:color w:val="auto"/>
          <w:sz w:val="24"/>
          <w:szCs w:val="24"/>
          <w:lang w:val="en-US"/>
        </w:rPr>
        <w:t xml:space="preserve"> de  </w:t>
      </w:r>
      <w:r w:rsidRPr="008D2E72">
        <w:rPr>
          <w:rFonts w:ascii="Times New Roman" w:hAnsi="Times New Roman"/>
          <w:color w:val="auto"/>
          <w:sz w:val="24"/>
          <w:szCs w:val="24"/>
          <w:shd w:val="clear" w:color="auto" w:fill="FFFFFF"/>
          <w:lang w:val="en-US"/>
        </w:rPr>
        <w:t>http://search.informit.com.au/documentSummary;dn=200311210;res=IELAPA</w:t>
      </w:r>
    </w:p>
    <w:p w:rsidR="00805D2D" w:rsidRPr="008D2E72" w:rsidRDefault="00642C1A">
      <w:pPr>
        <w:pStyle w:val="western"/>
        <w:spacing w:beforeAutospacing="0" w:after="0" w:line="240" w:lineRule="auto"/>
        <w:rPr>
          <w:rFonts w:ascii="Times New Roman" w:hAnsi="Times New Roman"/>
          <w:color w:val="auto"/>
          <w:sz w:val="24"/>
          <w:szCs w:val="24"/>
          <w:lang w:val="en-US"/>
        </w:rPr>
      </w:pPr>
      <w:r w:rsidRPr="008D2E72">
        <w:rPr>
          <w:rFonts w:ascii="Times New Roman" w:hAnsi="Times New Roman"/>
          <w:color w:val="auto"/>
          <w:sz w:val="24"/>
          <w:szCs w:val="24"/>
          <w:lang w:val="en-US"/>
        </w:rPr>
        <w:t xml:space="preserve">Buchanan, J. M. (2003b). Public choice: The origins and development of a research program. Champions of Freedom, 31, 13-32. </w:t>
      </w:r>
    </w:p>
    <w:p w:rsidR="00805D2D" w:rsidRPr="008D2E72" w:rsidRDefault="00642C1A">
      <w:pPr>
        <w:ind w:left="567" w:hanging="567"/>
        <w:rPr>
          <w:color w:val="auto"/>
          <w:sz w:val="24"/>
          <w:szCs w:val="24"/>
          <w:lang w:val="en-US"/>
        </w:rPr>
      </w:pPr>
      <w:r w:rsidRPr="008D2E72">
        <w:rPr>
          <w:color w:val="auto"/>
          <w:sz w:val="24"/>
          <w:szCs w:val="24"/>
          <w:shd w:val="clear" w:color="auto" w:fill="FFFFFF"/>
          <w:lang w:val="es-CL"/>
        </w:rPr>
        <w:t xml:space="preserve">Buchanan, J. M. (2004). </w:t>
      </w:r>
      <w:proofErr w:type="spellStart"/>
      <w:r w:rsidRPr="008D2E72">
        <w:rPr>
          <w:color w:val="auto"/>
          <w:sz w:val="24"/>
          <w:szCs w:val="24"/>
          <w:shd w:val="clear" w:color="auto" w:fill="FFFFFF"/>
          <w:lang w:val="es-CL"/>
        </w:rPr>
        <w:t>Cost</w:t>
      </w:r>
      <w:proofErr w:type="spellEnd"/>
      <w:r w:rsidRPr="008D2E72">
        <w:rPr>
          <w:color w:val="auto"/>
          <w:sz w:val="24"/>
          <w:szCs w:val="24"/>
          <w:shd w:val="clear" w:color="auto" w:fill="FFFFFF"/>
          <w:lang w:val="es-CL"/>
        </w:rPr>
        <w:t xml:space="preserve"> and </w:t>
      </w:r>
      <w:proofErr w:type="spellStart"/>
      <w:r w:rsidRPr="008D2E72">
        <w:rPr>
          <w:color w:val="auto"/>
          <w:sz w:val="24"/>
          <w:szCs w:val="24"/>
          <w:shd w:val="clear" w:color="auto" w:fill="FFFFFF"/>
          <w:lang w:val="es-CL"/>
        </w:rPr>
        <w:t>choice</w:t>
      </w:r>
      <w:proofErr w:type="spellEnd"/>
      <w:r w:rsidRPr="008D2E72">
        <w:rPr>
          <w:color w:val="auto"/>
          <w:sz w:val="24"/>
          <w:szCs w:val="24"/>
          <w:shd w:val="clear" w:color="auto" w:fill="FFFFFF"/>
          <w:lang w:val="es-CL"/>
        </w:rPr>
        <w:t xml:space="preserve">. </w:t>
      </w:r>
      <w:proofErr w:type="spellStart"/>
      <w:r w:rsidRPr="008D2E72">
        <w:rPr>
          <w:color w:val="auto"/>
          <w:sz w:val="24"/>
          <w:szCs w:val="24"/>
          <w:shd w:val="clear" w:color="auto" w:fill="FFFFFF"/>
          <w:lang w:val="en-US"/>
        </w:rPr>
        <w:t>In</w:t>
      </w:r>
      <w:r w:rsidRPr="008D2E72">
        <w:rPr>
          <w:i/>
          <w:iCs/>
          <w:color w:val="auto"/>
          <w:sz w:val="24"/>
          <w:szCs w:val="24"/>
          <w:shd w:val="clear" w:color="auto" w:fill="FFFFFF"/>
          <w:lang w:val="en-US"/>
        </w:rPr>
        <w:t>The</w:t>
      </w:r>
      <w:proofErr w:type="spellEnd"/>
      <w:r w:rsidRPr="008D2E72">
        <w:rPr>
          <w:i/>
          <w:iCs/>
          <w:color w:val="auto"/>
          <w:sz w:val="24"/>
          <w:szCs w:val="24"/>
          <w:shd w:val="clear" w:color="auto" w:fill="FFFFFF"/>
          <w:lang w:val="en-US"/>
        </w:rPr>
        <w:t xml:space="preserve"> Encyclopedia of public choice </w:t>
      </w:r>
      <w:r w:rsidRPr="008D2E72">
        <w:rPr>
          <w:color w:val="auto"/>
          <w:sz w:val="24"/>
          <w:szCs w:val="24"/>
          <w:shd w:val="clear" w:color="auto" w:fill="FFFFFF"/>
          <w:lang w:val="en-US"/>
        </w:rPr>
        <w:t>(pp. 454-456). Springer US.</w:t>
      </w:r>
    </w:p>
    <w:p w:rsidR="00805D2D" w:rsidRPr="008D2E72" w:rsidRDefault="00642C1A">
      <w:pPr>
        <w:ind w:left="567" w:hanging="567"/>
        <w:rPr>
          <w:color w:val="auto"/>
          <w:sz w:val="24"/>
          <w:szCs w:val="24"/>
        </w:rPr>
      </w:pPr>
      <w:r w:rsidRPr="008D2E72">
        <w:rPr>
          <w:color w:val="auto"/>
          <w:sz w:val="24"/>
          <w:szCs w:val="24"/>
          <w:lang w:val="en-US"/>
        </w:rPr>
        <w:t xml:space="preserve">Butler, E. (2012) Public Choice – A Primer. London: The Institute of Economic Affairs. </w:t>
      </w:r>
      <w:r w:rsidRPr="008D2E72">
        <w:rPr>
          <w:color w:val="auto"/>
          <w:sz w:val="24"/>
          <w:szCs w:val="24"/>
        </w:rPr>
        <w:t>Recuperado em: https://papers.ssrn.com/sol3/papers.cfm?abstract_id=2028989</w:t>
      </w:r>
    </w:p>
    <w:p w:rsidR="00805D2D" w:rsidRPr="008D2E72" w:rsidRDefault="00642C1A">
      <w:pPr>
        <w:ind w:left="567" w:hanging="567"/>
        <w:rPr>
          <w:color w:val="auto"/>
          <w:sz w:val="24"/>
          <w:szCs w:val="24"/>
        </w:rPr>
      </w:pPr>
      <w:proofErr w:type="spellStart"/>
      <w:r w:rsidRPr="008D2E72">
        <w:rPr>
          <w:color w:val="auto"/>
          <w:sz w:val="24"/>
          <w:szCs w:val="24"/>
          <w:shd w:val="clear" w:color="auto" w:fill="FFFFFF"/>
        </w:rPr>
        <w:t>Caparros</w:t>
      </w:r>
      <w:proofErr w:type="spellEnd"/>
      <w:r w:rsidRPr="008D2E72">
        <w:rPr>
          <w:color w:val="auto"/>
          <w:sz w:val="24"/>
          <w:szCs w:val="24"/>
          <w:shd w:val="clear" w:color="auto" w:fill="FFFFFF"/>
        </w:rPr>
        <w:t xml:space="preserve">, E. Antecedentes: iniciativas </w:t>
      </w:r>
      <w:proofErr w:type="spellStart"/>
      <w:r w:rsidRPr="008D2E72">
        <w:rPr>
          <w:color w:val="auto"/>
          <w:sz w:val="24"/>
          <w:szCs w:val="24"/>
          <w:shd w:val="clear" w:color="auto" w:fill="FFFFFF"/>
        </w:rPr>
        <w:t>internacionales</w:t>
      </w:r>
      <w:proofErr w:type="spellEnd"/>
      <w:r w:rsidRPr="008D2E72">
        <w:rPr>
          <w:color w:val="auto"/>
          <w:sz w:val="24"/>
          <w:szCs w:val="24"/>
          <w:shd w:val="clear" w:color="auto" w:fill="FFFFFF"/>
        </w:rPr>
        <w:t xml:space="preserve">. </w:t>
      </w:r>
      <w:proofErr w:type="spellStart"/>
      <w:r w:rsidRPr="008D2E72">
        <w:rPr>
          <w:color w:val="auto"/>
          <w:sz w:val="24"/>
          <w:szCs w:val="24"/>
          <w:shd w:val="clear" w:color="auto" w:fill="FFFFFF"/>
        </w:rPr>
        <w:t>Efectos</w:t>
      </w:r>
      <w:proofErr w:type="spellEnd"/>
      <w:r w:rsidRPr="008D2E72">
        <w:rPr>
          <w:color w:val="auto"/>
          <w:sz w:val="24"/>
          <w:szCs w:val="24"/>
          <w:shd w:val="clear" w:color="auto" w:fill="FFFFFF"/>
        </w:rPr>
        <w:t xml:space="preserve"> </w:t>
      </w:r>
      <w:proofErr w:type="spellStart"/>
      <w:r w:rsidRPr="008D2E72">
        <w:rPr>
          <w:color w:val="auto"/>
          <w:sz w:val="24"/>
          <w:szCs w:val="24"/>
          <w:shd w:val="clear" w:color="auto" w:fill="FFFFFF"/>
        </w:rPr>
        <w:t>del</w:t>
      </w:r>
      <w:proofErr w:type="spellEnd"/>
      <w:r w:rsidRPr="008D2E72">
        <w:rPr>
          <w:color w:val="auto"/>
          <w:sz w:val="24"/>
          <w:szCs w:val="24"/>
          <w:shd w:val="clear" w:color="auto" w:fill="FFFFFF"/>
        </w:rPr>
        <w:t xml:space="preserve"> lavado de </w:t>
      </w:r>
      <w:proofErr w:type="spellStart"/>
      <w:r w:rsidRPr="008D2E72">
        <w:rPr>
          <w:color w:val="auto"/>
          <w:sz w:val="24"/>
          <w:szCs w:val="24"/>
          <w:shd w:val="clear" w:color="auto" w:fill="FFFFFF"/>
        </w:rPr>
        <w:t>dinero</w:t>
      </w:r>
      <w:proofErr w:type="spellEnd"/>
      <w:r w:rsidRPr="008D2E72">
        <w:rPr>
          <w:color w:val="auto"/>
          <w:sz w:val="24"/>
          <w:szCs w:val="24"/>
          <w:shd w:val="clear" w:color="auto" w:fill="FFFFFF"/>
        </w:rPr>
        <w:t xml:space="preserve">. </w:t>
      </w:r>
      <w:proofErr w:type="spellStart"/>
      <w:r w:rsidRPr="008D2E72">
        <w:rPr>
          <w:color w:val="auto"/>
          <w:sz w:val="24"/>
          <w:szCs w:val="24"/>
          <w:shd w:val="clear" w:color="auto" w:fill="FFFFFF"/>
        </w:rPr>
        <w:t>Bien</w:t>
      </w:r>
      <w:proofErr w:type="spellEnd"/>
      <w:r w:rsidRPr="008D2E72">
        <w:rPr>
          <w:color w:val="auto"/>
          <w:sz w:val="24"/>
          <w:szCs w:val="24"/>
          <w:shd w:val="clear" w:color="auto" w:fill="FFFFFF"/>
        </w:rPr>
        <w:t xml:space="preserve"> jurídico tutelado. Fenomenologia </w:t>
      </w:r>
      <w:proofErr w:type="spellStart"/>
      <w:r w:rsidRPr="008D2E72">
        <w:rPr>
          <w:color w:val="auto"/>
          <w:sz w:val="24"/>
          <w:szCs w:val="24"/>
          <w:shd w:val="clear" w:color="auto" w:fill="FFFFFF"/>
        </w:rPr>
        <w:t>del</w:t>
      </w:r>
      <w:proofErr w:type="spellEnd"/>
      <w:r w:rsidRPr="008D2E72">
        <w:rPr>
          <w:color w:val="auto"/>
          <w:sz w:val="24"/>
          <w:szCs w:val="24"/>
          <w:shd w:val="clear" w:color="auto" w:fill="FFFFFF"/>
        </w:rPr>
        <w:t xml:space="preserve"> lavado de </w:t>
      </w:r>
      <w:proofErr w:type="spellStart"/>
      <w:r w:rsidRPr="008D2E72">
        <w:rPr>
          <w:color w:val="auto"/>
          <w:sz w:val="24"/>
          <w:szCs w:val="24"/>
          <w:shd w:val="clear" w:color="auto" w:fill="FFFFFF"/>
        </w:rPr>
        <w:t>dinero</w:t>
      </w:r>
      <w:proofErr w:type="spellEnd"/>
      <w:r w:rsidRPr="008D2E72">
        <w:rPr>
          <w:color w:val="auto"/>
          <w:sz w:val="24"/>
          <w:szCs w:val="24"/>
          <w:shd w:val="clear" w:color="auto" w:fill="FFFFFF"/>
        </w:rPr>
        <w:t>.</w:t>
      </w:r>
      <w:r w:rsidRPr="008D2E72">
        <w:rPr>
          <w:i/>
          <w:iCs/>
          <w:color w:val="auto"/>
          <w:sz w:val="24"/>
          <w:szCs w:val="24"/>
          <w:shd w:val="clear" w:color="auto" w:fill="FFFFFF"/>
        </w:rPr>
        <w:t xml:space="preserve"> Combate </w:t>
      </w:r>
      <w:proofErr w:type="spellStart"/>
      <w:r w:rsidRPr="008D2E72">
        <w:rPr>
          <w:i/>
          <w:iCs/>
          <w:color w:val="auto"/>
          <w:sz w:val="24"/>
          <w:szCs w:val="24"/>
          <w:shd w:val="clear" w:color="auto" w:fill="FFFFFF"/>
        </w:rPr>
        <w:t>del</w:t>
      </w:r>
      <w:proofErr w:type="spellEnd"/>
      <w:r w:rsidRPr="008D2E72">
        <w:rPr>
          <w:i/>
          <w:iCs/>
          <w:color w:val="auto"/>
          <w:sz w:val="24"/>
          <w:szCs w:val="24"/>
          <w:shd w:val="clear" w:color="auto" w:fill="FFFFFF"/>
        </w:rPr>
        <w:t xml:space="preserve"> lavado de </w:t>
      </w:r>
      <w:proofErr w:type="spellStart"/>
      <w:r w:rsidRPr="008D2E72">
        <w:rPr>
          <w:i/>
          <w:iCs/>
          <w:color w:val="auto"/>
          <w:sz w:val="24"/>
          <w:szCs w:val="24"/>
          <w:shd w:val="clear" w:color="auto" w:fill="FFFFFF"/>
        </w:rPr>
        <w:t>activos</w:t>
      </w:r>
      <w:proofErr w:type="spellEnd"/>
      <w:r w:rsidRPr="008D2E72">
        <w:rPr>
          <w:i/>
          <w:iCs/>
          <w:color w:val="auto"/>
          <w:sz w:val="24"/>
          <w:szCs w:val="24"/>
          <w:shd w:val="clear" w:color="auto" w:fill="FFFFFF"/>
        </w:rPr>
        <w:t xml:space="preserve"> desde </w:t>
      </w:r>
      <w:proofErr w:type="spellStart"/>
      <w:r w:rsidRPr="008D2E72">
        <w:rPr>
          <w:i/>
          <w:iCs/>
          <w:color w:val="auto"/>
          <w:sz w:val="24"/>
          <w:szCs w:val="24"/>
          <w:shd w:val="clear" w:color="auto" w:fill="FFFFFF"/>
        </w:rPr>
        <w:t>el</w:t>
      </w:r>
      <w:proofErr w:type="spellEnd"/>
      <w:r w:rsidRPr="008D2E72">
        <w:rPr>
          <w:i/>
          <w:iCs/>
          <w:color w:val="auto"/>
          <w:sz w:val="24"/>
          <w:szCs w:val="24"/>
          <w:shd w:val="clear" w:color="auto" w:fill="FFFFFF"/>
        </w:rPr>
        <w:t xml:space="preserve"> sistema judicial</w:t>
      </w:r>
      <w:r w:rsidRPr="008D2E72">
        <w:rPr>
          <w:color w:val="auto"/>
          <w:sz w:val="24"/>
          <w:szCs w:val="24"/>
          <w:shd w:val="clear" w:color="auto" w:fill="FFFFFF"/>
        </w:rPr>
        <w:t xml:space="preserve">, </w:t>
      </w:r>
      <w:r w:rsidRPr="008D2E72">
        <w:rPr>
          <w:i/>
          <w:iCs/>
          <w:color w:val="auto"/>
          <w:sz w:val="24"/>
          <w:szCs w:val="24"/>
          <w:shd w:val="clear" w:color="auto" w:fill="FFFFFF"/>
        </w:rPr>
        <w:t>3</w:t>
      </w:r>
      <w:r w:rsidRPr="008D2E72">
        <w:rPr>
          <w:color w:val="auto"/>
          <w:sz w:val="24"/>
          <w:szCs w:val="24"/>
          <w:shd w:val="clear" w:color="auto" w:fill="FFFFFF"/>
        </w:rPr>
        <w:t>.</w:t>
      </w:r>
    </w:p>
    <w:p w:rsidR="00805D2D" w:rsidRPr="008D2E72" w:rsidRDefault="00642C1A">
      <w:pPr>
        <w:pStyle w:val="Corpodotexto"/>
        <w:spacing w:after="0" w:line="240" w:lineRule="auto"/>
        <w:ind w:left="567" w:hanging="567"/>
        <w:jc w:val="both"/>
        <w:rPr>
          <w:rFonts w:ascii="Times New Roman" w:hAnsi="Times New Roman" w:cs="Times New Roman"/>
          <w:color w:val="auto"/>
          <w:lang w:val="en-US"/>
        </w:rPr>
      </w:pPr>
      <w:proofErr w:type="spellStart"/>
      <w:r w:rsidRPr="008D2E72">
        <w:rPr>
          <w:rFonts w:ascii="Times New Roman" w:hAnsi="Times New Roman" w:cs="Times New Roman"/>
          <w:color w:val="auto"/>
          <w:lang w:val="en-US"/>
        </w:rPr>
        <w:t>Coase</w:t>
      </w:r>
      <w:proofErr w:type="spellEnd"/>
      <w:r w:rsidRPr="008D2E72">
        <w:rPr>
          <w:rFonts w:ascii="Times New Roman" w:hAnsi="Times New Roman" w:cs="Times New Roman"/>
          <w:color w:val="auto"/>
          <w:lang w:val="en-US"/>
        </w:rPr>
        <w:t>, R.(1988). The firm, the market, and the law. Chicago: Chicago University.</w:t>
      </w:r>
    </w:p>
    <w:p w:rsidR="00805D2D" w:rsidRPr="008D2E72" w:rsidRDefault="00642C1A">
      <w:pPr>
        <w:pStyle w:val="Corpodotexto"/>
        <w:spacing w:after="0" w:line="240" w:lineRule="auto"/>
        <w:ind w:left="567" w:hanging="567"/>
        <w:jc w:val="both"/>
        <w:rPr>
          <w:rFonts w:ascii="Times New Roman" w:hAnsi="Times New Roman" w:cs="Times New Roman"/>
          <w:color w:val="auto"/>
          <w:highlight w:val="white"/>
          <w:lang w:val="en-US"/>
        </w:rPr>
      </w:pPr>
      <w:r w:rsidRPr="008D2E72">
        <w:rPr>
          <w:rFonts w:ascii="Times New Roman" w:hAnsi="Times New Roman" w:cs="Times New Roman"/>
          <w:color w:val="auto"/>
          <w:shd w:val="clear" w:color="auto" w:fill="FFFFFF"/>
          <w:lang w:val="en-US"/>
        </w:rPr>
        <w:t>Cohen, L., &amp; Malloy, C. J. (2014). Friends in high places.</w:t>
      </w:r>
      <w:r w:rsidRPr="008D2E72">
        <w:rPr>
          <w:rStyle w:val="apple-converted-space"/>
          <w:rFonts w:ascii="Times New Roman" w:hAnsi="Times New Roman" w:cs="Times New Roman"/>
          <w:color w:val="auto"/>
          <w:shd w:val="clear" w:color="auto" w:fill="FFFFFF"/>
          <w:lang w:val="en-US"/>
        </w:rPr>
        <w:t> </w:t>
      </w:r>
      <w:r w:rsidRPr="008D2E72">
        <w:rPr>
          <w:rFonts w:ascii="Times New Roman" w:hAnsi="Times New Roman" w:cs="Times New Roman"/>
          <w:i/>
          <w:iCs/>
          <w:color w:val="auto"/>
          <w:shd w:val="clear" w:color="auto" w:fill="FFFFFF"/>
          <w:lang w:val="en-US"/>
        </w:rPr>
        <w:t>American Economic Journal: Economic Policy</w:t>
      </w:r>
      <w:r w:rsidRPr="008D2E72">
        <w:rPr>
          <w:rFonts w:ascii="Times New Roman" w:hAnsi="Times New Roman" w:cs="Times New Roman"/>
          <w:color w:val="auto"/>
          <w:shd w:val="clear" w:color="auto" w:fill="FFFFFF"/>
          <w:lang w:val="en-US"/>
        </w:rPr>
        <w:t>,</w:t>
      </w:r>
      <w:r w:rsidRPr="008D2E72">
        <w:rPr>
          <w:rStyle w:val="apple-converted-space"/>
          <w:rFonts w:ascii="Times New Roman" w:hAnsi="Times New Roman" w:cs="Times New Roman"/>
          <w:color w:val="auto"/>
          <w:shd w:val="clear" w:color="auto" w:fill="FFFFFF"/>
          <w:lang w:val="en-US"/>
        </w:rPr>
        <w:t> </w:t>
      </w:r>
      <w:r w:rsidRPr="008D2E72">
        <w:rPr>
          <w:rFonts w:ascii="Times New Roman" w:hAnsi="Times New Roman" w:cs="Times New Roman"/>
          <w:i/>
          <w:iCs/>
          <w:color w:val="auto"/>
          <w:shd w:val="clear" w:color="auto" w:fill="FFFFFF"/>
          <w:lang w:val="en-US"/>
        </w:rPr>
        <w:t>6</w:t>
      </w:r>
      <w:r w:rsidRPr="008D2E72">
        <w:rPr>
          <w:rFonts w:ascii="Times New Roman" w:hAnsi="Times New Roman" w:cs="Times New Roman"/>
          <w:color w:val="auto"/>
          <w:shd w:val="clear" w:color="auto" w:fill="FFFFFF"/>
          <w:lang w:val="en-US"/>
        </w:rPr>
        <w:t>(3), 63-91.</w:t>
      </w:r>
    </w:p>
    <w:p w:rsidR="00805D2D" w:rsidRPr="008D2E72" w:rsidRDefault="00642C1A">
      <w:pPr>
        <w:pStyle w:val="Corpodotexto"/>
        <w:spacing w:after="0" w:line="240" w:lineRule="auto"/>
        <w:ind w:left="567" w:hanging="567"/>
        <w:jc w:val="both"/>
        <w:rPr>
          <w:rFonts w:ascii="Times New Roman" w:hAnsi="Times New Roman" w:cs="Times New Roman"/>
          <w:color w:val="auto"/>
          <w:highlight w:val="white"/>
        </w:rPr>
      </w:pPr>
      <w:proofErr w:type="spellStart"/>
      <w:r w:rsidRPr="008D2E72">
        <w:rPr>
          <w:rFonts w:ascii="Times New Roman" w:hAnsi="Times New Roman" w:cs="Times New Roman"/>
          <w:color w:val="auto"/>
          <w:shd w:val="clear" w:color="auto" w:fill="FFFFFF"/>
          <w:lang w:val="es-CL"/>
        </w:rPr>
        <w:t>Creswell</w:t>
      </w:r>
      <w:proofErr w:type="spellEnd"/>
      <w:r w:rsidRPr="008D2E72">
        <w:rPr>
          <w:rFonts w:ascii="Times New Roman" w:hAnsi="Times New Roman" w:cs="Times New Roman"/>
          <w:color w:val="auto"/>
          <w:shd w:val="clear" w:color="auto" w:fill="FFFFFF"/>
          <w:lang w:val="es-CL"/>
        </w:rPr>
        <w:t>, J. W., &amp; Clark, V. L. P. (2015). </w:t>
      </w:r>
      <w:r w:rsidRPr="008D2E72">
        <w:rPr>
          <w:rFonts w:ascii="Times New Roman" w:hAnsi="Times New Roman" w:cs="Times New Roman"/>
          <w:i/>
          <w:iCs/>
          <w:color w:val="auto"/>
          <w:shd w:val="clear" w:color="auto" w:fill="FFFFFF"/>
        </w:rPr>
        <w:t>Pesquisa de Métodos Mistos-: Série Métodos de Pesquisa</w:t>
      </w:r>
      <w:r w:rsidRPr="008D2E72">
        <w:rPr>
          <w:rFonts w:ascii="Times New Roman" w:hAnsi="Times New Roman" w:cs="Times New Roman"/>
          <w:color w:val="auto"/>
          <w:shd w:val="clear" w:color="auto" w:fill="FFFFFF"/>
        </w:rPr>
        <w:t>. Penso Editora.</w:t>
      </w:r>
    </w:p>
    <w:p w:rsidR="00805D2D" w:rsidRPr="008D2E72" w:rsidRDefault="00642C1A">
      <w:pPr>
        <w:ind w:left="567" w:hanging="567"/>
        <w:rPr>
          <w:color w:val="auto"/>
          <w:sz w:val="24"/>
          <w:szCs w:val="24"/>
        </w:rPr>
      </w:pPr>
      <w:proofErr w:type="spellStart"/>
      <w:r w:rsidRPr="008D2E72">
        <w:rPr>
          <w:color w:val="auto"/>
          <w:sz w:val="24"/>
          <w:szCs w:val="24"/>
        </w:rPr>
        <w:t>Dallagnol</w:t>
      </w:r>
      <w:proofErr w:type="spellEnd"/>
      <w:r w:rsidRPr="008D2E72">
        <w:rPr>
          <w:color w:val="auto"/>
          <w:sz w:val="24"/>
          <w:szCs w:val="24"/>
        </w:rPr>
        <w:t>, D. (2017) A luta contra a corrupção.  Rio de Janeiro: Primeira Pessoa, 2017.</w:t>
      </w:r>
    </w:p>
    <w:p w:rsidR="00805D2D" w:rsidRPr="008D2E72" w:rsidRDefault="00642C1A">
      <w:pPr>
        <w:ind w:left="567" w:hanging="567"/>
        <w:rPr>
          <w:color w:val="auto"/>
          <w:sz w:val="24"/>
          <w:szCs w:val="24"/>
        </w:rPr>
      </w:pPr>
      <w:r w:rsidRPr="008D2E72">
        <w:rPr>
          <w:color w:val="auto"/>
          <w:sz w:val="24"/>
          <w:szCs w:val="24"/>
        </w:rPr>
        <w:t xml:space="preserve">Extra. Lava-Jato: Laudo aponta sobrepreço de R$ 648  milhões em Abreu Lima, Rio de Janeiro, 2015. Recuperado em 14 de agosto, 2015, de http://extra.globo.com/noticias/brasil/lava-jato-laudo-aponta-sobrepreco-de-648-milhoes-em-abreu-lima-16695194.html. </w:t>
      </w:r>
    </w:p>
    <w:p w:rsidR="00805D2D" w:rsidRPr="008D2E72" w:rsidRDefault="00642C1A">
      <w:pPr>
        <w:ind w:left="567" w:hanging="567"/>
        <w:rPr>
          <w:color w:val="auto"/>
          <w:sz w:val="24"/>
          <w:szCs w:val="24"/>
        </w:rPr>
      </w:pPr>
      <w:r w:rsidRPr="008D2E72">
        <w:rPr>
          <w:color w:val="auto"/>
          <w:sz w:val="24"/>
          <w:szCs w:val="24"/>
        </w:rPr>
        <w:t xml:space="preserve">Folha. Petrobras pagou o dobro do custo real em obra de Abreu e Lima, São Paulo, 2015. Recuperado em 14 de agosto, 2015, de http://www1.folha.uol.com.br/poder/2015/08/1667790-petrobras-pagou-o-dobro-do-custo-real-em-obra-de-abreu-e-lima-diz-tcu.shtml. </w:t>
      </w:r>
    </w:p>
    <w:p w:rsidR="00805D2D" w:rsidRPr="008D2E72" w:rsidRDefault="00642C1A">
      <w:pPr>
        <w:ind w:left="567" w:hanging="567"/>
        <w:rPr>
          <w:color w:val="auto"/>
          <w:sz w:val="24"/>
          <w:szCs w:val="24"/>
        </w:rPr>
      </w:pPr>
      <w:r w:rsidRPr="008D2E72">
        <w:rPr>
          <w:color w:val="auto"/>
          <w:sz w:val="24"/>
          <w:szCs w:val="24"/>
        </w:rPr>
        <w:t>Gil, A. C. (1999). Pesquisa social: métodos e técnicas. São Paulo: Atlas, 5.</w:t>
      </w:r>
    </w:p>
    <w:p w:rsidR="00805D2D" w:rsidRPr="008D2E72" w:rsidRDefault="00642C1A">
      <w:pPr>
        <w:ind w:left="567" w:hanging="567"/>
        <w:rPr>
          <w:color w:val="auto"/>
          <w:sz w:val="24"/>
          <w:szCs w:val="24"/>
        </w:rPr>
      </w:pPr>
      <w:r w:rsidRPr="008D2E72">
        <w:rPr>
          <w:color w:val="auto"/>
          <w:sz w:val="24"/>
          <w:szCs w:val="24"/>
        </w:rPr>
        <w:t>Globo. Laudo da PF aponta lavagem de R$ 126 mi em contrato da Abreu Lima, Rio de Janeiro, 2015. Recuperado em 14 de agosto, 2015, de http://oglobo.globo.com/brasil/laudo-da-pf-aponta-lavagem-de-126-mi-em-contrato-da-abreu-lima-16697335.</w:t>
      </w:r>
    </w:p>
    <w:p w:rsidR="00805D2D" w:rsidRPr="008D2E72" w:rsidRDefault="00642C1A">
      <w:pPr>
        <w:ind w:left="567" w:hanging="567"/>
        <w:rPr>
          <w:color w:val="auto"/>
          <w:sz w:val="24"/>
          <w:szCs w:val="24"/>
          <w:highlight w:val="white"/>
          <w:lang w:val="en-US"/>
        </w:rPr>
      </w:pPr>
      <w:r w:rsidRPr="008D2E72">
        <w:rPr>
          <w:color w:val="auto"/>
          <w:sz w:val="24"/>
          <w:szCs w:val="24"/>
          <w:shd w:val="clear" w:color="auto" w:fill="FFFFFF"/>
        </w:rPr>
        <w:t xml:space="preserve">Greco Filho, V. (1997). Manual de Processo Penal. 4. ed. Ampliada e Atualizada. </w:t>
      </w:r>
      <w:r w:rsidRPr="008D2E72">
        <w:rPr>
          <w:color w:val="auto"/>
          <w:sz w:val="24"/>
          <w:szCs w:val="24"/>
          <w:shd w:val="clear" w:color="auto" w:fill="FFFFFF"/>
          <w:lang w:val="en-US"/>
        </w:rPr>
        <w:t xml:space="preserve">São Paulo: </w:t>
      </w:r>
      <w:proofErr w:type="spellStart"/>
      <w:r w:rsidRPr="008D2E72">
        <w:rPr>
          <w:color w:val="auto"/>
          <w:sz w:val="24"/>
          <w:szCs w:val="24"/>
          <w:shd w:val="clear" w:color="auto" w:fill="FFFFFF"/>
          <w:lang w:val="en-US"/>
        </w:rPr>
        <w:t>Saraiva</w:t>
      </w:r>
      <w:proofErr w:type="spellEnd"/>
      <w:r w:rsidRPr="008D2E72">
        <w:rPr>
          <w:color w:val="auto"/>
          <w:sz w:val="24"/>
          <w:szCs w:val="24"/>
          <w:shd w:val="clear" w:color="auto" w:fill="FFFFFF"/>
          <w:lang w:val="en-US"/>
        </w:rPr>
        <w:t>.</w:t>
      </w:r>
    </w:p>
    <w:p w:rsidR="00805D2D" w:rsidRPr="008D2E72" w:rsidRDefault="00642C1A">
      <w:pPr>
        <w:ind w:left="567" w:hanging="567"/>
        <w:rPr>
          <w:color w:val="auto"/>
          <w:sz w:val="24"/>
          <w:szCs w:val="24"/>
          <w:lang w:val="en-US"/>
        </w:rPr>
      </w:pPr>
      <w:r w:rsidRPr="008D2E72">
        <w:rPr>
          <w:color w:val="auto"/>
          <w:sz w:val="24"/>
          <w:szCs w:val="24"/>
          <w:lang w:val="en-US"/>
        </w:rPr>
        <w:t>Jain, A.K. (2001). Corruption: A review. Journal of Economic Surveys 15: 71-121.</w:t>
      </w:r>
    </w:p>
    <w:p w:rsidR="00805D2D" w:rsidRPr="008D2E72" w:rsidRDefault="00642C1A">
      <w:pPr>
        <w:ind w:left="567" w:hanging="567"/>
        <w:rPr>
          <w:color w:val="auto"/>
          <w:sz w:val="24"/>
          <w:szCs w:val="24"/>
          <w:lang w:val="en-US"/>
        </w:rPr>
      </w:pPr>
      <w:r w:rsidRPr="008D2E72">
        <w:rPr>
          <w:color w:val="auto"/>
          <w:sz w:val="24"/>
          <w:szCs w:val="24"/>
          <w:lang w:val="en-US"/>
        </w:rPr>
        <w:t xml:space="preserve">Jones, T. M. (1991). Ethical decision making by individuals in organizations: an issue-contingent model. </w:t>
      </w:r>
      <w:r w:rsidRPr="008D2E72">
        <w:rPr>
          <w:bCs/>
          <w:color w:val="auto"/>
          <w:sz w:val="24"/>
          <w:szCs w:val="24"/>
          <w:lang w:val="en-US"/>
        </w:rPr>
        <w:t>Academy of Management Review</w:t>
      </w:r>
      <w:r w:rsidRPr="008D2E72">
        <w:rPr>
          <w:color w:val="auto"/>
          <w:sz w:val="24"/>
          <w:szCs w:val="24"/>
          <w:lang w:val="en-US"/>
        </w:rPr>
        <w:t xml:space="preserve">, v. 16, pp. 366-395. </w:t>
      </w:r>
    </w:p>
    <w:p w:rsidR="00805D2D" w:rsidRPr="008D2E72" w:rsidRDefault="00642C1A">
      <w:pPr>
        <w:ind w:left="567" w:hanging="567"/>
        <w:rPr>
          <w:color w:val="auto"/>
          <w:sz w:val="24"/>
          <w:szCs w:val="24"/>
        </w:rPr>
      </w:pPr>
      <w:proofErr w:type="spellStart"/>
      <w:r w:rsidRPr="008D2E72">
        <w:rPr>
          <w:color w:val="auto"/>
          <w:sz w:val="24"/>
          <w:szCs w:val="24"/>
          <w:lang w:val="en-US"/>
        </w:rPr>
        <w:lastRenderedPageBreak/>
        <w:t>Justiça</w:t>
      </w:r>
      <w:proofErr w:type="spellEnd"/>
      <w:r w:rsidRPr="008D2E72">
        <w:rPr>
          <w:color w:val="auto"/>
          <w:sz w:val="24"/>
          <w:szCs w:val="24"/>
          <w:lang w:val="en-US"/>
        </w:rPr>
        <w:t xml:space="preserve"> Federal do Paraná. </w:t>
      </w:r>
      <w:r w:rsidRPr="008D2E72">
        <w:rPr>
          <w:color w:val="auto"/>
          <w:sz w:val="24"/>
          <w:szCs w:val="24"/>
        </w:rPr>
        <w:t>Recuperado em 12 de maio, 2015,  de https://eproc4.jfpr.jus.br/eprocV2/externo_controlador.php?acao=processo_consulta_publica.</w:t>
      </w:r>
    </w:p>
    <w:p w:rsidR="00805D2D" w:rsidRPr="008D2E72" w:rsidRDefault="00642C1A">
      <w:pPr>
        <w:ind w:left="567" w:hanging="567"/>
        <w:rPr>
          <w:color w:val="auto"/>
          <w:sz w:val="24"/>
          <w:szCs w:val="24"/>
          <w:highlight w:val="white"/>
          <w:lang w:val="en-US"/>
        </w:rPr>
      </w:pPr>
      <w:proofErr w:type="spellStart"/>
      <w:r w:rsidRPr="008D2E72">
        <w:rPr>
          <w:color w:val="auto"/>
          <w:sz w:val="24"/>
          <w:szCs w:val="24"/>
          <w:shd w:val="clear" w:color="auto" w:fill="FFFFFF"/>
          <w:lang w:val="es-CL"/>
        </w:rPr>
        <w:t>Khan</w:t>
      </w:r>
      <w:proofErr w:type="spellEnd"/>
      <w:r w:rsidRPr="008D2E72">
        <w:rPr>
          <w:color w:val="auto"/>
          <w:sz w:val="24"/>
          <w:szCs w:val="24"/>
          <w:shd w:val="clear" w:color="auto" w:fill="FFFFFF"/>
          <w:lang w:val="es-CL"/>
        </w:rPr>
        <w:t xml:space="preserve">, M. H. (2000). </w:t>
      </w:r>
      <w:r w:rsidRPr="008D2E72">
        <w:rPr>
          <w:color w:val="auto"/>
          <w:sz w:val="24"/>
          <w:szCs w:val="24"/>
          <w:shd w:val="clear" w:color="auto" w:fill="FFFFFF"/>
          <w:lang w:val="en-US"/>
        </w:rPr>
        <w:t>Rent-seeking as Process. </w:t>
      </w:r>
      <w:r w:rsidRPr="008D2E72">
        <w:rPr>
          <w:i/>
          <w:iCs/>
          <w:color w:val="auto"/>
          <w:sz w:val="24"/>
          <w:szCs w:val="24"/>
          <w:shd w:val="clear" w:color="auto" w:fill="FFFFFF"/>
          <w:lang w:val="en-US"/>
        </w:rPr>
        <w:t>Rents, Rent-seeking and Economic Development: theory and evidence in Asia</w:t>
      </w:r>
      <w:r w:rsidRPr="008D2E72">
        <w:rPr>
          <w:color w:val="auto"/>
          <w:sz w:val="24"/>
          <w:szCs w:val="24"/>
          <w:shd w:val="clear" w:color="auto" w:fill="FFFFFF"/>
          <w:lang w:val="en-US"/>
        </w:rPr>
        <w:t>, </w:t>
      </w:r>
      <w:r w:rsidRPr="008D2E72">
        <w:rPr>
          <w:i/>
          <w:iCs/>
          <w:color w:val="auto"/>
          <w:sz w:val="24"/>
          <w:szCs w:val="24"/>
          <w:shd w:val="clear" w:color="auto" w:fill="FFFFFF"/>
          <w:lang w:val="en-US"/>
        </w:rPr>
        <w:t>700144</w:t>
      </w:r>
      <w:r w:rsidRPr="008D2E72">
        <w:rPr>
          <w:color w:val="auto"/>
          <w:sz w:val="24"/>
          <w:szCs w:val="24"/>
          <w:shd w:val="clear" w:color="auto" w:fill="FFFFFF"/>
          <w:lang w:val="en-US"/>
        </w:rPr>
        <w:t>.</w:t>
      </w:r>
    </w:p>
    <w:p w:rsidR="00805D2D" w:rsidRPr="008D2E72" w:rsidRDefault="00642C1A">
      <w:pPr>
        <w:ind w:left="567" w:hanging="567"/>
        <w:rPr>
          <w:color w:val="auto"/>
          <w:sz w:val="24"/>
          <w:szCs w:val="24"/>
          <w:highlight w:val="white"/>
          <w:lang w:val="en-US"/>
        </w:rPr>
      </w:pPr>
      <w:proofErr w:type="spellStart"/>
      <w:r w:rsidRPr="008D2E72">
        <w:rPr>
          <w:color w:val="auto"/>
          <w:sz w:val="24"/>
          <w:szCs w:val="24"/>
          <w:shd w:val="clear" w:color="auto" w:fill="FFFFFF"/>
          <w:lang w:val="es-CL"/>
        </w:rPr>
        <w:t>Khan</w:t>
      </w:r>
      <w:proofErr w:type="spellEnd"/>
      <w:r w:rsidRPr="008D2E72">
        <w:rPr>
          <w:color w:val="auto"/>
          <w:sz w:val="24"/>
          <w:szCs w:val="24"/>
          <w:shd w:val="clear" w:color="auto" w:fill="FFFFFF"/>
          <w:lang w:val="es-CL"/>
        </w:rPr>
        <w:t xml:space="preserve">, M. (2006). </w:t>
      </w:r>
      <w:proofErr w:type="spellStart"/>
      <w:r w:rsidRPr="008D2E72">
        <w:rPr>
          <w:color w:val="auto"/>
          <w:sz w:val="24"/>
          <w:szCs w:val="24"/>
          <w:shd w:val="clear" w:color="auto" w:fill="FFFFFF"/>
          <w:lang w:val="es-CL"/>
        </w:rPr>
        <w:t>Determinants</w:t>
      </w:r>
      <w:proofErr w:type="spellEnd"/>
      <w:r w:rsidRPr="008D2E72">
        <w:rPr>
          <w:color w:val="auto"/>
          <w:sz w:val="24"/>
          <w:szCs w:val="24"/>
          <w:shd w:val="clear" w:color="auto" w:fill="FFFFFF"/>
          <w:lang w:val="es-CL"/>
        </w:rPr>
        <w:t xml:space="preserve"> of </w:t>
      </w:r>
      <w:proofErr w:type="spellStart"/>
      <w:r w:rsidRPr="008D2E72">
        <w:rPr>
          <w:color w:val="auto"/>
          <w:sz w:val="24"/>
          <w:szCs w:val="24"/>
          <w:shd w:val="clear" w:color="auto" w:fill="FFFFFF"/>
          <w:lang w:val="es-CL"/>
        </w:rPr>
        <w:t>corruption</w:t>
      </w:r>
      <w:proofErr w:type="spellEnd"/>
      <w:r w:rsidRPr="008D2E72">
        <w:rPr>
          <w:color w:val="auto"/>
          <w:sz w:val="24"/>
          <w:szCs w:val="24"/>
          <w:shd w:val="clear" w:color="auto" w:fill="FFFFFF"/>
          <w:lang w:val="es-CL"/>
        </w:rPr>
        <w:t xml:space="preserve"> in </w:t>
      </w:r>
      <w:proofErr w:type="spellStart"/>
      <w:r w:rsidRPr="008D2E72">
        <w:rPr>
          <w:color w:val="auto"/>
          <w:sz w:val="24"/>
          <w:szCs w:val="24"/>
          <w:shd w:val="clear" w:color="auto" w:fill="FFFFFF"/>
          <w:lang w:val="es-CL"/>
        </w:rPr>
        <w:t>developing</w:t>
      </w:r>
      <w:proofErr w:type="spellEnd"/>
      <w:r w:rsidRPr="008D2E72">
        <w:rPr>
          <w:color w:val="auto"/>
          <w:sz w:val="24"/>
          <w:szCs w:val="24"/>
          <w:shd w:val="clear" w:color="auto" w:fill="FFFFFF"/>
          <w:lang w:val="es-CL"/>
        </w:rPr>
        <w:t xml:space="preserve"> </w:t>
      </w:r>
      <w:proofErr w:type="spellStart"/>
      <w:r w:rsidRPr="008D2E72">
        <w:rPr>
          <w:color w:val="auto"/>
          <w:sz w:val="24"/>
          <w:szCs w:val="24"/>
          <w:shd w:val="clear" w:color="auto" w:fill="FFFFFF"/>
          <w:lang w:val="es-CL"/>
        </w:rPr>
        <w:t>countries</w:t>
      </w:r>
      <w:proofErr w:type="spellEnd"/>
      <w:r w:rsidRPr="008D2E72">
        <w:rPr>
          <w:color w:val="auto"/>
          <w:sz w:val="24"/>
          <w:szCs w:val="24"/>
          <w:shd w:val="clear" w:color="auto" w:fill="FFFFFF"/>
          <w:lang w:val="es-CL"/>
        </w:rPr>
        <w:t xml:space="preserve">: </w:t>
      </w:r>
      <w:proofErr w:type="spellStart"/>
      <w:r w:rsidRPr="008D2E72">
        <w:rPr>
          <w:color w:val="auto"/>
          <w:sz w:val="24"/>
          <w:szCs w:val="24"/>
          <w:shd w:val="clear" w:color="auto" w:fill="FFFFFF"/>
          <w:lang w:val="es-CL"/>
        </w:rPr>
        <w:t>the</w:t>
      </w:r>
      <w:proofErr w:type="spellEnd"/>
      <w:r w:rsidRPr="008D2E72">
        <w:rPr>
          <w:color w:val="auto"/>
          <w:sz w:val="24"/>
          <w:szCs w:val="24"/>
          <w:shd w:val="clear" w:color="auto" w:fill="FFFFFF"/>
          <w:lang w:val="es-CL"/>
        </w:rPr>
        <w:t xml:space="preserve"> </w:t>
      </w:r>
      <w:proofErr w:type="spellStart"/>
      <w:r w:rsidRPr="008D2E72">
        <w:rPr>
          <w:color w:val="auto"/>
          <w:sz w:val="24"/>
          <w:szCs w:val="24"/>
          <w:shd w:val="clear" w:color="auto" w:fill="FFFFFF"/>
          <w:lang w:val="es-CL"/>
        </w:rPr>
        <w:t>limits</w:t>
      </w:r>
      <w:proofErr w:type="spellEnd"/>
      <w:r w:rsidRPr="008D2E72">
        <w:rPr>
          <w:color w:val="auto"/>
          <w:sz w:val="24"/>
          <w:szCs w:val="24"/>
          <w:shd w:val="clear" w:color="auto" w:fill="FFFFFF"/>
          <w:lang w:val="es-CL"/>
        </w:rPr>
        <w:t xml:space="preserve"> of </w:t>
      </w:r>
      <w:proofErr w:type="spellStart"/>
      <w:r w:rsidRPr="008D2E72">
        <w:rPr>
          <w:color w:val="auto"/>
          <w:sz w:val="24"/>
          <w:szCs w:val="24"/>
          <w:shd w:val="clear" w:color="auto" w:fill="FFFFFF"/>
          <w:lang w:val="es-CL"/>
        </w:rPr>
        <w:t>conventional</w:t>
      </w:r>
      <w:proofErr w:type="spellEnd"/>
      <w:r w:rsidRPr="008D2E72">
        <w:rPr>
          <w:color w:val="auto"/>
          <w:sz w:val="24"/>
          <w:szCs w:val="24"/>
          <w:shd w:val="clear" w:color="auto" w:fill="FFFFFF"/>
          <w:lang w:val="es-CL"/>
        </w:rPr>
        <w:t xml:space="preserve"> </w:t>
      </w:r>
      <w:proofErr w:type="spellStart"/>
      <w:r w:rsidRPr="008D2E72">
        <w:rPr>
          <w:color w:val="auto"/>
          <w:sz w:val="24"/>
          <w:szCs w:val="24"/>
          <w:shd w:val="clear" w:color="auto" w:fill="FFFFFF"/>
          <w:lang w:val="es-CL"/>
        </w:rPr>
        <w:t>economic</w:t>
      </w:r>
      <w:proofErr w:type="spellEnd"/>
      <w:r w:rsidRPr="008D2E72">
        <w:rPr>
          <w:color w:val="auto"/>
          <w:sz w:val="24"/>
          <w:szCs w:val="24"/>
          <w:shd w:val="clear" w:color="auto" w:fill="FFFFFF"/>
          <w:lang w:val="es-CL"/>
        </w:rPr>
        <w:t xml:space="preserve"> </w:t>
      </w:r>
      <w:proofErr w:type="spellStart"/>
      <w:r w:rsidRPr="008D2E72">
        <w:rPr>
          <w:color w:val="auto"/>
          <w:sz w:val="24"/>
          <w:szCs w:val="24"/>
          <w:shd w:val="clear" w:color="auto" w:fill="FFFFFF"/>
          <w:lang w:val="es-CL"/>
        </w:rPr>
        <w:t>analysis</w:t>
      </w:r>
      <w:proofErr w:type="spellEnd"/>
      <w:r w:rsidRPr="008D2E72">
        <w:rPr>
          <w:color w:val="auto"/>
          <w:sz w:val="24"/>
          <w:szCs w:val="24"/>
          <w:shd w:val="clear" w:color="auto" w:fill="FFFFFF"/>
          <w:lang w:val="es-CL"/>
        </w:rPr>
        <w:t>. </w:t>
      </w:r>
      <w:r w:rsidRPr="008D2E72">
        <w:rPr>
          <w:i/>
          <w:iCs/>
          <w:color w:val="auto"/>
          <w:sz w:val="24"/>
          <w:szCs w:val="24"/>
          <w:shd w:val="clear" w:color="auto" w:fill="FFFFFF"/>
          <w:lang w:val="en-US"/>
        </w:rPr>
        <w:t>International handbook on the economics of corruption</w:t>
      </w:r>
      <w:r w:rsidRPr="008D2E72">
        <w:rPr>
          <w:color w:val="auto"/>
          <w:sz w:val="24"/>
          <w:szCs w:val="24"/>
          <w:shd w:val="clear" w:color="auto" w:fill="FFFFFF"/>
          <w:lang w:val="en-US"/>
        </w:rPr>
        <w:t>, 216-244.</w:t>
      </w:r>
    </w:p>
    <w:p w:rsidR="00805D2D" w:rsidRPr="008D2E72" w:rsidRDefault="00642C1A">
      <w:pPr>
        <w:ind w:left="567" w:hanging="567"/>
        <w:rPr>
          <w:color w:val="auto"/>
          <w:sz w:val="24"/>
          <w:szCs w:val="24"/>
          <w:highlight w:val="white"/>
        </w:rPr>
      </w:pPr>
      <w:proofErr w:type="spellStart"/>
      <w:r w:rsidRPr="008D2E72">
        <w:rPr>
          <w:color w:val="auto"/>
          <w:sz w:val="24"/>
          <w:szCs w:val="24"/>
          <w:shd w:val="clear" w:color="auto" w:fill="FFFFFF"/>
          <w:lang w:val="en-US"/>
        </w:rPr>
        <w:t>Klitgaard</w:t>
      </w:r>
      <w:proofErr w:type="spellEnd"/>
      <w:r w:rsidRPr="008D2E72">
        <w:rPr>
          <w:color w:val="auto"/>
          <w:sz w:val="24"/>
          <w:szCs w:val="24"/>
          <w:shd w:val="clear" w:color="auto" w:fill="FFFFFF"/>
          <w:lang w:val="en-US"/>
        </w:rPr>
        <w:t>, R. (1998). International cooperation against corruption. </w:t>
      </w:r>
      <w:proofErr w:type="spellStart"/>
      <w:r w:rsidRPr="008D2E72">
        <w:rPr>
          <w:i/>
          <w:iCs/>
          <w:color w:val="auto"/>
          <w:sz w:val="24"/>
          <w:szCs w:val="24"/>
          <w:shd w:val="clear" w:color="auto" w:fill="FFFFFF"/>
        </w:rPr>
        <w:t>Finance</w:t>
      </w:r>
      <w:proofErr w:type="spellEnd"/>
      <w:r w:rsidRPr="008D2E72">
        <w:rPr>
          <w:i/>
          <w:iCs/>
          <w:color w:val="auto"/>
          <w:sz w:val="24"/>
          <w:szCs w:val="24"/>
          <w:shd w:val="clear" w:color="auto" w:fill="FFFFFF"/>
        </w:rPr>
        <w:t xml:space="preserve"> </w:t>
      </w:r>
      <w:proofErr w:type="spellStart"/>
      <w:r w:rsidRPr="008D2E72">
        <w:rPr>
          <w:i/>
          <w:iCs/>
          <w:color w:val="auto"/>
          <w:sz w:val="24"/>
          <w:szCs w:val="24"/>
          <w:shd w:val="clear" w:color="auto" w:fill="FFFFFF"/>
        </w:rPr>
        <w:t>and</w:t>
      </w:r>
      <w:proofErr w:type="spellEnd"/>
      <w:r w:rsidRPr="008D2E72">
        <w:rPr>
          <w:i/>
          <w:iCs/>
          <w:color w:val="auto"/>
          <w:sz w:val="24"/>
          <w:szCs w:val="24"/>
          <w:shd w:val="clear" w:color="auto" w:fill="FFFFFF"/>
        </w:rPr>
        <w:t xml:space="preserve"> </w:t>
      </w:r>
      <w:proofErr w:type="spellStart"/>
      <w:r w:rsidRPr="008D2E72">
        <w:rPr>
          <w:i/>
          <w:iCs/>
          <w:color w:val="auto"/>
          <w:sz w:val="24"/>
          <w:szCs w:val="24"/>
          <w:shd w:val="clear" w:color="auto" w:fill="FFFFFF"/>
        </w:rPr>
        <w:t>Development</w:t>
      </w:r>
      <w:proofErr w:type="spellEnd"/>
      <w:r w:rsidRPr="008D2E72">
        <w:rPr>
          <w:color w:val="auto"/>
          <w:sz w:val="24"/>
          <w:szCs w:val="24"/>
          <w:shd w:val="clear" w:color="auto" w:fill="FFFFFF"/>
        </w:rPr>
        <w:t>, </w:t>
      </w:r>
      <w:r w:rsidRPr="008D2E72">
        <w:rPr>
          <w:i/>
          <w:iCs/>
          <w:color w:val="auto"/>
          <w:sz w:val="24"/>
          <w:szCs w:val="24"/>
          <w:shd w:val="clear" w:color="auto" w:fill="FFFFFF"/>
        </w:rPr>
        <w:t>35</w:t>
      </w:r>
      <w:r w:rsidRPr="008D2E72">
        <w:rPr>
          <w:color w:val="auto"/>
          <w:sz w:val="24"/>
          <w:szCs w:val="24"/>
          <w:shd w:val="clear" w:color="auto" w:fill="FFFFFF"/>
        </w:rPr>
        <w:t>(1), 3.</w:t>
      </w:r>
    </w:p>
    <w:p w:rsidR="00805D2D" w:rsidRPr="008D2E72" w:rsidRDefault="00642C1A">
      <w:pPr>
        <w:ind w:left="567" w:hanging="567"/>
        <w:rPr>
          <w:color w:val="auto"/>
          <w:sz w:val="24"/>
          <w:szCs w:val="24"/>
        </w:rPr>
      </w:pPr>
      <w:proofErr w:type="spellStart"/>
      <w:r w:rsidRPr="008D2E72">
        <w:rPr>
          <w:color w:val="auto"/>
          <w:sz w:val="24"/>
          <w:szCs w:val="24"/>
          <w:shd w:val="clear" w:color="auto" w:fill="FFFFFF"/>
        </w:rPr>
        <w:t>Lakatos</w:t>
      </w:r>
      <w:proofErr w:type="spellEnd"/>
      <w:r w:rsidRPr="008D2E72">
        <w:rPr>
          <w:color w:val="auto"/>
          <w:sz w:val="24"/>
          <w:szCs w:val="24"/>
          <w:shd w:val="clear" w:color="auto" w:fill="FFFFFF"/>
        </w:rPr>
        <w:t>, E. M., &amp; de Andrade Marconi, M. (2001). Metodologia do trabalho científico: procedimentos básicos, pesquisa bibliográfica, projeto e relatório, publicações e trabalhos científicos.</w:t>
      </w:r>
    </w:p>
    <w:p w:rsidR="00805D2D" w:rsidRPr="008D2E72" w:rsidRDefault="00642C1A">
      <w:pPr>
        <w:pStyle w:val="Corpodotexto"/>
        <w:spacing w:after="0" w:line="240" w:lineRule="auto"/>
        <w:ind w:left="567" w:hanging="567"/>
        <w:rPr>
          <w:rFonts w:ascii="Times New Roman" w:hAnsi="Times New Roman" w:cs="Times New Roman"/>
          <w:color w:val="auto"/>
          <w:highlight w:val="white"/>
          <w:lang w:val="en-US"/>
        </w:rPr>
      </w:pPr>
      <w:r w:rsidRPr="008D2E72">
        <w:rPr>
          <w:rFonts w:ascii="Times New Roman" w:hAnsi="Times New Roman" w:cs="Times New Roman"/>
          <w:color w:val="auto"/>
          <w:shd w:val="clear" w:color="auto" w:fill="FFFFFF"/>
        </w:rPr>
        <w:t xml:space="preserve">Lameira, V. D. J., &amp; Bertrand, H. (2008). </w:t>
      </w:r>
      <w:r w:rsidRPr="008D2E72">
        <w:rPr>
          <w:rFonts w:ascii="Times New Roman" w:hAnsi="Times New Roman" w:cs="Times New Roman"/>
          <w:color w:val="auto"/>
          <w:shd w:val="clear" w:color="auto" w:fill="FFFFFF"/>
          <w:lang w:val="en-US"/>
        </w:rPr>
        <w:t>Ethics, corruption, governance and emerging markets.</w:t>
      </w:r>
    </w:p>
    <w:p w:rsidR="00805D2D" w:rsidRPr="008D2E72" w:rsidRDefault="00642C1A">
      <w:pPr>
        <w:pStyle w:val="Corpodotexto"/>
        <w:spacing w:after="0" w:line="240" w:lineRule="auto"/>
        <w:ind w:left="567" w:hanging="567"/>
        <w:rPr>
          <w:rFonts w:ascii="Times New Roman" w:hAnsi="Times New Roman" w:cs="Times New Roman"/>
          <w:color w:val="auto"/>
          <w:highlight w:val="white"/>
          <w:lang w:val="es-CL"/>
        </w:rPr>
      </w:pPr>
      <w:proofErr w:type="spellStart"/>
      <w:r w:rsidRPr="008D2E72">
        <w:rPr>
          <w:rFonts w:ascii="Times New Roman" w:hAnsi="Times New Roman" w:cs="Times New Roman"/>
          <w:color w:val="auto"/>
          <w:shd w:val="clear" w:color="auto" w:fill="FFFFFF"/>
          <w:lang w:val="es-CL"/>
        </w:rPr>
        <w:t>Malhotra</w:t>
      </w:r>
      <w:proofErr w:type="spellEnd"/>
      <w:r w:rsidRPr="008D2E72">
        <w:rPr>
          <w:rFonts w:ascii="Times New Roman" w:hAnsi="Times New Roman" w:cs="Times New Roman"/>
          <w:color w:val="auto"/>
          <w:shd w:val="clear" w:color="auto" w:fill="FFFFFF"/>
          <w:lang w:val="es-CL"/>
        </w:rPr>
        <w:t>, N. K. (2008). </w:t>
      </w:r>
      <w:r w:rsidRPr="008D2E72">
        <w:rPr>
          <w:rFonts w:ascii="Times New Roman" w:hAnsi="Times New Roman" w:cs="Times New Roman"/>
          <w:i/>
          <w:iCs/>
          <w:color w:val="auto"/>
          <w:shd w:val="clear" w:color="auto" w:fill="FFFFFF"/>
          <w:lang w:val="es-CL"/>
        </w:rPr>
        <w:t xml:space="preserve">Marketing </w:t>
      </w:r>
      <w:proofErr w:type="spellStart"/>
      <w:r w:rsidRPr="008D2E72">
        <w:rPr>
          <w:rFonts w:ascii="Times New Roman" w:hAnsi="Times New Roman" w:cs="Times New Roman"/>
          <w:i/>
          <w:iCs/>
          <w:color w:val="auto"/>
          <w:shd w:val="clear" w:color="auto" w:fill="FFFFFF"/>
          <w:lang w:val="es-CL"/>
        </w:rPr>
        <w:t>research</w:t>
      </w:r>
      <w:proofErr w:type="spellEnd"/>
      <w:r w:rsidRPr="008D2E72">
        <w:rPr>
          <w:rFonts w:ascii="Times New Roman" w:hAnsi="Times New Roman" w:cs="Times New Roman"/>
          <w:i/>
          <w:iCs/>
          <w:color w:val="auto"/>
          <w:shd w:val="clear" w:color="auto" w:fill="FFFFFF"/>
          <w:lang w:val="es-CL"/>
        </w:rPr>
        <w:t xml:space="preserve">: </w:t>
      </w:r>
      <w:proofErr w:type="spellStart"/>
      <w:r w:rsidRPr="008D2E72">
        <w:rPr>
          <w:rFonts w:ascii="Times New Roman" w:hAnsi="Times New Roman" w:cs="Times New Roman"/>
          <w:i/>
          <w:iCs/>
          <w:color w:val="auto"/>
          <w:shd w:val="clear" w:color="auto" w:fill="FFFFFF"/>
          <w:lang w:val="es-CL"/>
        </w:rPr>
        <w:t>An</w:t>
      </w:r>
      <w:proofErr w:type="spellEnd"/>
      <w:r w:rsidRPr="008D2E72">
        <w:rPr>
          <w:rFonts w:ascii="Times New Roman" w:hAnsi="Times New Roman" w:cs="Times New Roman"/>
          <w:i/>
          <w:iCs/>
          <w:color w:val="auto"/>
          <w:shd w:val="clear" w:color="auto" w:fill="FFFFFF"/>
          <w:lang w:val="es-CL"/>
        </w:rPr>
        <w:t xml:space="preserve"> </w:t>
      </w:r>
      <w:proofErr w:type="spellStart"/>
      <w:r w:rsidRPr="008D2E72">
        <w:rPr>
          <w:rFonts w:ascii="Times New Roman" w:hAnsi="Times New Roman" w:cs="Times New Roman"/>
          <w:i/>
          <w:iCs/>
          <w:color w:val="auto"/>
          <w:shd w:val="clear" w:color="auto" w:fill="FFFFFF"/>
          <w:lang w:val="es-CL"/>
        </w:rPr>
        <w:t>applied</w:t>
      </w:r>
      <w:proofErr w:type="spellEnd"/>
      <w:r w:rsidRPr="008D2E72">
        <w:rPr>
          <w:rFonts w:ascii="Times New Roman" w:hAnsi="Times New Roman" w:cs="Times New Roman"/>
          <w:i/>
          <w:iCs/>
          <w:color w:val="auto"/>
          <w:shd w:val="clear" w:color="auto" w:fill="FFFFFF"/>
          <w:lang w:val="es-CL"/>
        </w:rPr>
        <w:t xml:space="preserve"> </w:t>
      </w:r>
      <w:proofErr w:type="spellStart"/>
      <w:r w:rsidRPr="008D2E72">
        <w:rPr>
          <w:rFonts w:ascii="Times New Roman" w:hAnsi="Times New Roman" w:cs="Times New Roman"/>
          <w:i/>
          <w:iCs/>
          <w:color w:val="auto"/>
          <w:shd w:val="clear" w:color="auto" w:fill="FFFFFF"/>
          <w:lang w:val="es-CL"/>
        </w:rPr>
        <w:t>orientation</w:t>
      </w:r>
      <w:proofErr w:type="spellEnd"/>
      <w:r w:rsidRPr="008D2E72">
        <w:rPr>
          <w:rFonts w:ascii="Times New Roman" w:hAnsi="Times New Roman" w:cs="Times New Roman"/>
          <w:i/>
          <w:iCs/>
          <w:color w:val="auto"/>
          <w:shd w:val="clear" w:color="auto" w:fill="FFFFFF"/>
          <w:lang w:val="es-CL"/>
        </w:rPr>
        <w:t>, 5/e</w:t>
      </w:r>
      <w:r w:rsidRPr="008D2E72">
        <w:rPr>
          <w:rFonts w:ascii="Times New Roman" w:hAnsi="Times New Roman" w:cs="Times New Roman"/>
          <w:color w:val="auto"/>
          <w:shd w:val="clear" w:color="auto" w:fill="FFFFFF"/>
          <w:lang w:val="es-CL"/>
        </w:rPr>
        <w:t xml:space="preserve">. </w:t>
      </w:r>
      <w:proofErr w:type="spellStart"/>
      <w:r w:rsidRPr="008D2E72">
        <w:rPr>
          <w:rFonts w:ascii="Times New Roman" w:hAnsi="Times New Roman" w:cs="Times New Roman"/>
          <w:color w:val="auto"/>
          <w:shd w:val="clear" w:color="auto" w:fill="FFFFFF"/>
          <w:lang w:val="es-CL"/>
        </w:rPr>
        <w:t>Pearson</w:t>
      </w:r>
      <w:proofErr w:type="spellEnd"/>
      <w:r w:rsidRPr="008D2E72">
        <w:rPr>
          <w:rFonts w:ascii="Times New Roman" w:hAnsi="Times New Roman" w:cs="Times New Roman"/>
          <w:color w:val="auto"/>
          <w:shd w:val="clear" w:color="auto" w:fill="FFFFFF"/>
          <w:lang w:val="es-CL"/>
        </w:rPr>
        <w:t xml:space="preserve"> </w:t>
      </w:r>
      <w:proofErr w:type="spellStart"/>
      <w:r w:rsidRPr="008D2E72">
        <w:rPr>
          <w:rFonts w:ascii="Times New Roman" w:hAnsi="Times New Roman" w:cs="Times New Roman"/>
          <w:color w:val="auto"/>
          <w:shd w:val="clear" w:color="auto" w:fill="FFFFFF"/>
          <w:lang w:val="es-CL"/>
        </w:rPr>
        <w:t>Education</w:t>
      </w:r>
      <w:proofErr w:type="spellEnd"/>
      <w:r w:rsidRPr="008D2E72">
        <w:rPr>
          <w:rFonts w:ascii="Times New Roman" w:hAnsi="Times New Roman" w:cs="Times New Roman"/>
          <w:color w:val="auto"/>
          <w:shd w:val="clear" w:color="auto" w:fill="FFFFFF"/>
          <w:lang w:val="es-CL"/>
        </w:rPr>
        <w:t xml:space="preserve"> India.</w:t>
      </w:r>
    </w:p>
    <w:p w:rsidR="00805D2D" w:rsidRPr="008D2E72" w:rsidRDefault="00642C1A">
      <w:pPr>
        <w:pStyle w:val="Corpodotexto"/>
        <w:spacing w:after="0" w:line="240" w:lineRule="auto"/>
        <w:ind w:left="567" w:hanging="567"/>
        <w:rPr>
          <w:rFonts w:ascii="Times New Roman" w:hAnsi="Times New Roman" w:cs="Times New Roman"/>
          <w:color w:val="auto"/>
          <w:highlight w:val="white"/>
        </w:rPr>
      </w:pPr>
      <w:r w:rsidRPr="008D2E72">
        <w:rPr>
          <w:rFonts w:ascii="Times New Roman" w:hAnsi="Times New Roman" w:cs="Times New Roman"/>
          <w:color w:val="auto"/>
          <w:shd w:val="clear" w:color="auto" w:fill="FFFFFF"/>
          <w:lang w:val="es-CL"/>
        </w:rPr>
        <w:t xml:space="preserve">Marion, J. C., &amp; </w:t>
      </w:r>
      <w:proofErr w:type="spellStart"/>
      <w:r w:rsidRPr="008D2E72">
        <w:rPr>
          <w:rFonts w:ascii="Times New Roman" w:hAnsi="Times New Roman" w:cs="Times New Roman"/>
          <w:color w:val="auto"/>
          <w:shd w:val="clear" w:color="auto" w:fill="FFFFFF"/>
          <w:lang w:val="es-CL"/>
        </w:rPr>
        <w:t>Iudícibus</w:t>
      </w:r>
      <w:proofErr w:type="spellEnd"/>
      <w:r w:rsidRPr="008D2E72">
        <w:rPr>
          <w:rFonts w:ascii="Times New Roman" w:hAnsi="Times New Roman" w:cs="Times New Roman"/>
          <w:color w:val="auto"/>
          <w:shd w:val="clear" w:color="auto" w:fill="FFFFFF"/>
          <w:lang w:val="es-CL"/>
        </w:rPr>
        <w:t xml:space="preserve">, S. D. (2000). </w:t>
      </w:r>
      <w:r w:rsidRPr="008D2E72">
        <w:rPr>
          <w:rFonts w:ascii="Times New Roman" w:hAnsi="Times New Roman" w:cs="Times New Roman"/>
          <w:color w:val="auto"/>
          <w:shd w:val="clear" w:color="auto" w:fill="FFFFFF"/>
        </w:rPr>
        <w:t>Introdução a teoria da contabilidade. </w:t>
      </w:r>
      <w:r w:rsidRPr="008D2E72">
        <w:rPr>
          <w:rFonts w:ascii="Times New Roman" w:hAnsi="Times New Roman" w:cs="Times New Roman"/>
          <w:i/>
          <w:iCs/>
          <w:color w:val="auto"/>
          <w:shd w:val="clear" w:color="auto" w:fill="FFFFFF"/>
        </w:rPr>
        <w:t>4ª. Edição</w:t>
      </w:r>
      <w:r w:rsidRPr="008D2E72">
        <w:rPr>
          <w:rFonts w:ascii="Times New Roman" w:hAnsi="Times New Roman" w:cs="Times New Roman"/>
          <w:color w:val="auto"/>
          <w:shd w:val="clear" w:color="auto" w:fill="FFFFFF"/>
        </w:rPr>
        <w:t>.</w:t>
      </w:r>
    </w:p>
    <w:p w:rsidR="00805D2D" w:rsidRPr="008D2E72" w:rsidRDefault="00642C1A">
      <w:pPr>
        <w:ind w:left="567" w:hanging="567"/>
        <w:rPr>
          <w:color w:val="auto"/>
          <w:sz w:val="24"/>
          <w:szCs w:val="24"/>
        </w:rPr>
      </w:pPr>
      <w:r w:rsidRPr="008D2E72">
        <w:rPr>
          <w:color w:val="auto"/>
          <w:sz w:val="24"/>
          <w:szCs w:val="24"/>
        </w:rPr>
        <w:t>MPF. Ministério Público Federal. Recuperado em 12 de agosto, 2015, de http://lavajato.mpf.mp.br/entenda-o-caso.</w:t>
      </w:r>
    </w:p>
    <w:p w:rsidR="00805D2D" w:rsidRPr="008D2E72" w:rsidRDefault="00642C1A">
      <w:pPr>
        <w:ind w:left="567" w:hanging="567"/>
        <w:rPr>
          <w:color w:val="auto"/>
          <w:sz w:val="24"/>
          <w:szCs w:val="24"/>
        </w:rPr>
      </w:pPr>
      <w:r w:rsidRPr="008D2E72">
        <w:rPr>
          <w:color w:val="auto"/>
          <w:sz w:val="24"/>
          <w:szCs w:val="24"/>
          <w:lang w:val="en-US"/>
        </w:rPr>
        <w:t xml:space="preserve">Nielsen, R. P. (2003) Corruption networks and implications for ethical corruption reform. </w:t>
      </w:r>
      <w:proofErr w:type="spellStart"/>
      <w:r w:rsidRPr="008D2E72">
        <w:rPr>
          <w:bCs/>
          <w:color w:val="auto"/>
          <w:sz w:val="24"/>
          <w:szCs w:val="24"/>
        </w:rPr>
        <w:t>Journal</w:t>
      </w:r>
      <w:proofErr w:type="spellEnd"/>
      <w:r w:rsidRPr="008D2E72">
        <w:rPr>
          <w:bCs/>
          <w:color w:val="auto"/>
          <w:sz w:val="24"/>
          <w:szCs w:val="24"/>
        </w:rPr>
        <w:t xml:space="preserve"> </w:t>
      </w:r>
      <w:proofErr w:type="spellStart"/>
      <w:r w:rsidRPr="008D2E72">
        <w:rPr>
          <w:bCs/>
          <w:color w:val="auto"/>
          <w:sz w:val="24"/>
          <w:szCs w:val="24"/>
        </w:rPr>
        <w:t>of</w:t>
      </w:r>
      <w:proofErr w:type="spellEnd"/>
      <w:r w:rsidRPr="008D2E72">
        <w:rPr>
          <w:bCs/>
          <w:color w:val="auto"/>
          <w:sz w:val="24"/>
          <w:szCs w:val="24"/>
        </w:rPr>
        <w:t xml:space="preserve"> Business </w:t>
      </w:r>
      <w:proofErr w:type="spellStart"/>
      <w:r w:rsidRPr="008D2E72">
        <w:rPr>
          <w:bCs/>
          <w:color w:val="auto"/>
          <w:sz w:val="24"/>
          <w:szCs w:val="24"/>
        </w:rPr>
        <w:t>Ethics</w:t>
      </w:r>
      <w:proofErr w:type="spellEnd"/>
      <w:r w:rsidRPr="008D2E72">
        <w:rPr>
          <w:color w:val="auto"/>
          <w:sz w:val="24"/>
          <w:szCs w:val="24"/>
        </w:rPr>
        <w:t xml:space="preserve">, v. 42, pp. 125-149. </w:t>
      </w:r>
    </w:p>
    <w:p w:rsidR="00805D2D" w:rsidRPr="008D2E72" w:rsidRDefault="00642C1A">
      <w:pPr>
        <w:ind w:left="567" w:hanging="567"/>
        <w:rPr>
          <w:color w:val="auto"/>
          <w:sz w:val="24"/>
          <w:szCs w:val="24"/>
          <w:highlight w:val="white"/>
        </w:rPr>
      </w:pPr>
      <w:proofErr w:type="spellStart"/>
      <w:r w:rsidRPr="008D2E72">
        <w:rPr>
          <w:color w:val="auto"/>
          <w:sz w:val="24"/>
          <w:szCs w:val="24"/>
          <w:shd w:val="clear" w:color="auto" w:fill="FFFFFF"/>
        </w:rPr>
        <w:t>Opilhar</w:t>
      </w:r>
      <w:proofErr w:type="spellEnd"/>
      <w:r w:rsidRPr="008D2E72">
        <w:rPr>
          <w:color w:val="auto"/>
          <w:sz w:val="24"/>
          <w:szCs w:val="24"/>
          <w:shd w:val="clear" w:color="auto" w:fill="FFFFFF"/>
        </w:rPr>
        <w:t xml:space="preserve">, </w:t>
      </w:r>
      <w:proofErr w:type="spellStart"/>
      <w:r w:rsidRPr="008D2E72">
        <w:rPr>
          <w:color w:val="auto"/>
          <w:sz w:val="24"/>
          <w:szCs w:val="24"/>
          <w:shd w:val="clear" w:color="auto" w:fill="FFFFFF"/>
        </w:rPr>
        <w:t>M.C.</w:t>
      </w:r>
      <w:proofErr w:type="spellEnd"/>
      <w:r w:rsidRPr="008D2E72">
        <w:rPr>
          <w:color w:val="auto"/>
          <w:sz w:val="24"/>
          <w:szCs w:val="24"/>
          <w:shd w:val="clear" w:color="auto" w:fill="FFFFFF"/>
        </w:rPr>
        <w:t xml:space="preserve"> (2006). </w:t>
      </w:r>
      <w:r w:rsidRPr="008D2E72">
        <w:rPr>
          <w:bCs/>
          <w:color w:val="auto"/>
          <w:sz w:val="24"/>
          <w:szCs w:val="24"/>
        </w:rPr>
        <w:t>Criminalística e Investigação Criminal.</w:t>
      </w:r>
      <w:r w:rsidRPr="008D2E72">
        <w:rPr>
          <w:color w:val="auto"/>
          <w:sz w:val="24"/>
          <w:szCs w:val="24"/>
          <w:shd w:val="clear" w:color="auto" w:fill="FFFFFF"/>
        </w:rPr>
        <w:t xml:space="preserve">Palhoça: </w:t>
      </w:r>
      <w:proofErr w:type="spellStart"/>
      <w:r w:rsidRPr="008D2E72">
        <w:rPr>
          <w:color w:val="auto"/>
          <w:sz w:val="24"/>
          <w:szCs w:val="24"/>
          <w:shd w:val="clear" w:color="auto" w:fill="FFFFFF"/>
        </w:rPr>
        <w:t>UnisulVirtual</w:t>
      </w:r>
      <w:proofErr w:type="spellEnd"/>
      <w:r w:rsidRPr="008D2E72">
        <w:rPr>
          <w:color w:val="auto"/>
          <w:sz w:val="24"/>
          <w:szCs w:val="24"/>
          <w:shd w:val="clear" w:color="auto" w:fill="FFFFFF"/>
        </w:rPr>
        <w:t>.</w:t>
      </w:r>
    </w:p>
    <w:p w:rsidR="00805D2D" w:rsidRPr="008D2E72" w:rsidRDefault="00642C1A">
      <w:pPr>
        <w:ind w:left="567" w:hanging="567"/>
        <w:rPr>
          <w:color w:val="auto"/>
          <w:sz w:val="24"/>
          <w:szCs w:val="24"/>
        </w:rPr>
      </w:pPr>
      <w:r w:rsidRPr="008D2E72">
        <w:rPr>
          <w:color w:val="auto"/>
          <w:sz w:val="24"/>
          <w:szCs w:val="24"/>
        </w:rPr>
        <w:t xml:space="preserve">Petrobras. </w:t>
      </w:r>
      <w:proofErr w:type="spellStart"/>
      <w:r w:rsidRPr="008D2E72">
        <w:rPr>
          <w:color w:val="auto"/>
          <w:sz w:val="24"/>
          <w:szCs w:val="24"/>
        </w:rPr>
        <w:t>Petroleo</w:t>
      </w:r>
      <w:proofErr w:type="spellEnd"/>
      <w:r w:rsidRPr="008D2E72">
        <w:rPr>
          <w:color w:val="auto"/>
          <w:sz w:val="24"/>
          <w:szCs w:val="24"/>
        </w:rPr>
        <w:t xml:space="preserve"> Brasileiro SA. Recuperado em 10 de agosto, 2015, de http://sites.petrobras.com.br/minisite/acessoainformacao/empregados/.</w:t>
      </w:r>
    </w:p>
    <w:p w:rsidR="00805D2D" w:rsidRPr="008D2E72" w:rsidRDefault="00642C1A">
      <w:pPr>
        <w:pStyle w:val="Corpodotexto"/>
        <w:spacing w:after="0" w:line="240" w:lineRule="auto"/>
        <w:ind w:left="567" w:hanging="567"/>
        <w:rPr>
          <w:rFonts w:ascii="Times New Roman" w:hAnsi="Times New Roman" w:cs="Times New Roman"/>
          <w:i/>
          <w:iCs/>
          <w:color w:val="auto"/>
          <w:highlight w:val="white"/>
        </w:rPr>
      </w:pPr>
      <w:r w:rsidRPr="008D2E72">
        <w:rPr>
          <w:rFonts w:ascii="Times New Roman" w:hAnsi="Times New Roman" w:cs="Times New Roman"/>
          <w:color w:val="auto"/>
          <w:shd w:val="clear" w:color="auto" w:fill="FFFFFF"/>
        </w:rPr>
        <w:t xml:space="preserve">Rose-Ackerman, S. (2002). A economia política da corrupção. </w:t>
      </w:r>
      <w:r w:rsidRPr="008D2E72">
        <w:rPr>
          <w:rFonts w:ascii="Times New Roman" w:hAnsi="Times New Roman" w:cs="Times New Roman"/>
          <w:i/>
          <w:iCs/>
          <w:color w:val="auto"/>
          <w:shd w:val="clear" w:color="auto" w:fill="FFFFFF"/>
        </w:rPr>
        <w:t>A corrupção e a economia global. Brasília: UnB</w:t>
      </w:r>
      <w:r w:rsidRPr="008D2E72">
        <w:rPr>
          <w:rFonts w:ascii="Times New Roman" w:hAnsi="Times New Roman" w:cs="Times New Roman"/>
          <w:color w:val="auto"/>
          <w:shd w:val="clear" w:color="auto" w:fill="FFFFFF"/>
        </w:rPr>
        <w:t>, 59-102.</w:t>
      </w:r>
    </w:p>
    <w:p w:rsidR="00805D2D" w:rsidRPr="008D2E72" w:rsidRDefault="00642C1A">
      <w:pPr>
        <w:ind w:left="567" w:hanging="567"/>
        <w:rPr>
          <w:color w:val="auto"/>
          <w:sz w:val="24"/>
          <w:szCs w:val="24"/>
        </w:rPr>
      </w:pPr>
      <w:proofErr w:type="spellStart"/>
      <w:r w:rsidRPr="008D2E72">
        <w:rPr>
          <w:color w:val="auto"/>
          <w:sz w:val="24"/>
          <w:szCs w:val="24"/>
        </w:rPr>
        <w:t>Miari</w:t>
      </w:r>
      <w:proofErr w:type="spellEnd"/>
      <w:r w:rsidRPr="008D2E72">
        <w:rPr>
          <w:color w:val="auto"/>
          <w:sz w:val="24"/>
          <w:szCs w:val="24"/>
        </w:rPr>
        <w:t xml:space="preserve">, R. C., Mesquita, J. M. C., &amp; </w:t>
      </w:r>
      <w:proofErr w:type="spellStart"/>
      <w:r w:rsidRPr="008D2E72">
        <w:rPr>
          <w:color w:val="auto"/>
          <w:sz w:val="24"/>
          <w:szCs w:val="24"/>
        </w:rPr>
        <w:t>Pardini</w:t>
      </w:r>
      <w:proofErr w:type="spellEnd"/>
      <w:r w:rsidRPr="008D2E72">
        <w:rPr>
          <w:color w:val="auto"/>
          <w:sz w:val="24"/>
          <w:szCs w:val="24"/>
        </w:rPr>
        <w:t xml:space="preserve">, D. J. (2015). </w:t>
      </w:r>
      <w:r w:rsidRPr="008D2E72">
        <w:rPr>
          <w:color w:val="auto"/>
          <w:sz w:val="24"/>
          <w:szCs w:val="24"/>
          <w:lang w:val="en-US"/>
        </w:rPr>
        <w:t xml:space="preserve">Market Efficiency and Organizational Corruption: Study on the Impact on Shareholder Value. </w:t>
      </w:r>
      <w:proofErr w:type="spellStart"/>
      <w:r w:rsidRPr="008D2E72">
        <w:rPr>
          <w:color w:val="auto"/>
          <w:sz w:val="24"/>
          <w:szCs w:val="24"/>
        </w:rPr>
        <w:t>Brazilian</w:t>
      </w:r>
      <w:proofErr w:type="spellEnd"/>
      <w:r w:rsidRPr="008D2E72">
        <w:rPr>
          <w:color w:val="auto"/>
          <w:sz w:val="24"/>
          <w:szCs w:val="24"/>
        </w:rPr>
        <w:t xml:space="preserve"> Business </w:t>
      </w:r>
      <w:proofErr w:type="spellStart"/>
      <w:r w:rsidRPr="008D2E72">
        <w:rPr>
          <w:color w:val="auto"/>
          <w:sz w:val="24"/>
          <w:szCs w:val="24"/>
        </w:rPr>
        <w:t>Review</w:t>
      </w:r>
      <w:proofErr w:type="spellEnd"/>
      <w:r w:rsidRPr="008D2E72">
        <w:rPr>
          <w:color w:val="auto"/>
          <w:sz w:val="24"/>
          <w:szCs w:val="24"/>
        </w:rPr>
        <w:t>, 12(Eng. ed. Online), 1-23.</w:t>
      </w:r>
    </w:p>
    <w:p w:rsidR="00805D2D" w:rsidRPr="008D2E72" w:rsidRDefault="00642C1A">
      <w:pPr>
        <w:ind w:left="567" w:hanging="567"/>
        <w:rPr>
          <w:color w:val="auto"/>
          <w:sz w:val="24"/>
          <w:szCs w:val="24"/>
        </w:rPr>
      </w:pPr>
      <w:r w:rsidRPr="008D2E72">
        <w:rPr>
          <w:color w:val="auto"/>
          <w:sz w:val="24"/>
          <w:szCs w:val="24"/>
        </w:rPr>
        <w:t>Moro, S. (2010) Crime de lavagem de dinheiro. São Paulo: Saraiva</w:t>
      </w:r>
    </w:p>
    <w:p w:rsidR="00805D2D" w:rsidRPr="008D2E72" w:rsidRDefault="00642C1A">
      <w:pPr>
        <w:ind w:left="567" w:hanging="567"/>
        <w:rPr>
          <w:color w:val="auto"/>
          <w:sz w:val="24"/>
          <w:szCs w:val="24"/>
        </w:rPr>
      </w:pPr>
      <w:r w:rsidRPr="008D2E72">
        <w:rPr>
          <w:color w:val="auto"/>
          <w:sz w:val="24"/>
          <w:szCs w:val="24"/>
          <w:shd w:val="clear" w:color="auto" w:fill="FFFFFF"/>
        </w:rPr>
        <w:t>Santiago, A. L. N., Borges, F. Q., &amp; Borges, F. Q. (2015). Teoria da Escolha Pública:Uma análise no ambiente do setor de energia elétrica no Brasil.</w:t>
      </w:r>
      <w:r w:rsidRPr="008D2E72">
        <w:rPr>
          <w:rStyle w:val="apple-converted-space"/>
          <w:color w:val="auto"/>
          <w:sz w:val="24"/>
          <w:szCs w:val="24"/>
          <w:shd w:val="clear" w:color="auto" w:fill="FFFFFF"/>
        </w:rPr>
        <w:t> </w:t>
      </w:r>
      <w:r w:rsidRPr="008D2E72">
        <w:rPr>
          <w:i/>
          <w:iCs/>
          <w:color w:val="auto"/>
          <w:sz w:val="24"/>
          <w:szCs w:val="24"/>
          <w:shd w:val="clear" w:color="auto" w:fill="FFFFFF"/>
        </w:rPr>
        <w:t xml:space="preserve">Gestão Pública: Práticas e </w:t>
      </w:r>
      <w:proofErr w:type="spellStart"/>
      <w:r w:rsidRPr="008D2E72">
        <w:rPr>
          <w:i/>
          <w:iCs/>
          <w:color w:val="auto"/>
          <w:sz w:val="24"/>
          <w:szCs w:val="24"/>
          <w:shd w:val="clear" w:color="auto" w:fill="FFFFFF"/>
        </w:rPr>
        <w:t>Desafios-ISSN</w:t>
      </w:r>
      <w:proofErr w:type="spellEnd"/>
      <w:r w:rsidRPr="008D2E72">
        <w:rPr>
          <w:i/>
          <w:iCs/>
          <w:color w:val="auto"/>
          <w:sz w:val="24"/>
          <w:szCs w:val="24"/>
          <w:shd w:val="clear" w:color="auto" w:fill="FFFFFF"/>
        </w:rPr>
        <w:t>: 2177-1243</w:t>
      </w:r>
      <w:r w:rsidRPr="008D2E72">
        <w:rPr>
          <w:color w:val="auto"/>
          <w:sz w:val="24"/>
          <w:szCs w:val="24"/>
          <w:shd w:val="clear" w:color="auto" w:fill="FFFFFF"/>
        </w:rPr>
        <w:t>,</w:t>
      </w:r>
      <w:r w:rsidRPr="008D2E72">
        <w:rPr>
          <w:rStyle w:val="apple-converted-space"/>
          <w:color w:val="auto"/>
          <w:sz w:val="24"/>
          <w:szCs w:val="24"/>
          <w:shd w:val="clear" w:color="auto" w:fill="FFFFFF"/>
        </w:rPr>
        <w:t> </w:t>
      </w:r>
      <w:r w:rsidRPr="008D2E72">
        <w:rPr>
          <w:i/>
          <w:iCs/>
          <w:color w:val="auto"/>
          <w:sz w:val="24"/>
          <w:szCs w:val="24"/>
          <w:shd w:val="clear" w:color="auto" w:fill="FFFFFF"/>
        </w:rPr>
        <w:t>5</w:t>
      </w:r>
      <w:r w:rsidRPr="008D2E72">
        <w:rPr>
          <w:color w:val="auto"/>
          <w:sz w:val="24"/>
          <w:szCs w:val="24"/>
          <w:shd w:val="clear" w:color="auto" w:fill="FFFFFF"/>
        </w:rPr>
        <w:t>(1). Recuperado em:  http://periodicos.ufpe.br/revistas/gestaopublica/article/view/1710</w:t>
      </w:r>
    </w:p>
    <w:p w:rsidR="00805D2D" w:rsidRPr="008D2E72" w:rsidRDefault="00642C1A">
      <w:pPr>
        <w:pStyle w:val="Corpodotexto"/>
        <w:spacing w:after="0" w:line="240" w:lineRule="auto"/>
        <w:ind w:left="567" w:hanging="567"/>
        <w:rPr>
          <w:rFonts w:ascii="Times New Roman" w:hAnsi="Times New Roman" w:cs="Times New Roman"/>
          <w:i/>
          <w:iCs/>
          <w:color w:val="auto"/>
          <w:highlight w:val="white"/>
        </w:rPr>
      </w:pPr>
      <w:r w:rsidRPr="008D2E72">
        <w:rPr>
          <w:rFonts w:ascii="Times New Roman" w:hAnsi="Times New Roman" w:cs="Times New Roman"/>
          <w:color w:val="auto"/>
          <w:shd w:val="clear" w:color="auto" w:fill="FFFFFF"/>
        </w:rPr>
        <w:t>Santos, J. L. D., Schmidt, P., Fernandes, L. A., &amp; Machado, N. P. (2007). Teoria da Contabilidade: introdutória, intermediária e avançada. </w:t>
      </w:r>
      <w:r w:rsidRPr="008D2E72">
        <w:rPr>
          <w:rFonts w:ascii="Times New Roman" w:hAnsi="Times New Roman" w:cs="Times New Roman"/>
          <w:i/>
          <w:iCs/>
          <w:color w:val="auto"/>
          <w:shd w:val="clear" w:color="auto" w:fill="FFFFFF"/>
        </w:rPr>
        <w:t>São Paulo: Atlas</w:t>
      </w:r>
    </w:p>
    <w:p w:rsidR="00805D2D" w:rsidRPr="008D2E72" w:rsidRDefault="00642C1A">
      <w:pPr>
        <w:pStyle w:val="Corpodotexto"/>
        <w:spacing w:after="0" w:line="240" w:lineRule="auto"/>
        <w:ind w:left="567" w:hanging="567"/>
        <w:rPr>
          <w:rFonts w:ascii="Times New Roman" w:hAnsi="Times New Roman" w:cs="Times New Roman"/>
          <w:color w:val="auto"/>
          <w:highlight w:val="white"/>
          <w:lang w:val="en-US"/>
        </w:rPr>
      </w:pPr>
      <w:r w:rsidRPr="008D2E72">
        <w:rPr>
          <w:rFonts w:ascii="Times New Roman" w:hAnsi="Times New Roman" w:cs="Times New Roman"/>
          <w:color w:val="auto"/>
          <w:shd w:val="clear" w:color="auto" w:fill="FFFFFF"/>
          <w:lang w:val="es-CL"/>
        </w:rPr>
        <w:t xml:space="preserve">Smith, M. (2017). </w:t>
      </w:r>
      <w:proofErr w:type="spellStart"/>
      <w:r w:rsidRPr="008D2E72">
        <w:rPr>
          <w:rFonts w:ascii="Times New Roman" w:hAnsi="Times New Roman" w:cs="Times New Roman"/>
          <w:i/>
          <w:iCs/>
          <w:color w:val="auto"/>
          <w:shd w:val="clear" w:color="auto" w:fill="FFFFFF"/>
          <w:lang w:val="es-CL"/>
        </w:rPr>
        <w:t>Research</w:t>
      </w:r>
      <w:proofErr w:type="spellEnd"/>
      <w:r w:rsidRPr="008D2E72">
        <w:rPr>
          <w:rFonts w:ascii="Times New Roman" w:hAnsi="Times New Roman" w:cs="Times New Roman"/>
          <w:i/>
          <w:iCs/>
          <w:color w:val="auto"/>
          <w:shd w:val="clear" w:color="auto" w:fill="FFFFFF"/>
          <w:lang w:val="es-CL"/>
        </w:rPr>
        <w:t xml:space="preserve"> </w:t>
      </w:r>
      <w:proofErr w:type="spellStart"/>
      <w:r w:rsidRPr="008D2E72">
        <w:rPr>
          <w:rFonts w:ascii="Times New Roman" w:hAnsi="Times New Roman" w:cs="Times New Roman"/>
          <w:i/>
          <w:iCs/>
          <w:color w:val="auto"/>
          <w:shd w:val="clear" w:color="auto" w:fill="FFFFFF"/>
          <w:lang w:val="es-CL"/>
        </w:rPr>
        <w:t>methods</w:t>
      </w:r>
      <w:proofErr w:type="spellEnd"/>
      <w:r w:rsidRPr="008D2E72">
        <w:rPr>
          <w:rFonts w:ascii="Times New Roman" w:hAnsi="Times New Roman" w:cs="Times New Roman"/>
          <w:i/>
          <w:iCs/>
          <w:color w:val="auto"/>
          <w:shd w:val="clear" w:color="auto" w:fill="FFFFFF"/>
          <w:lang w:val="es-CL"/>
        </w:rPr>
        <w:t xml:space="preserve"> in </w:t>
      </w:r>
      <w:proofErr w:type="spellStart"/>
      <w:r w:rsidRPr="008D2E72">
        <w:rPr>
          <w:rFonts w:ascii="Times New Roman" w:hAnsi="Times New Roman" w:cs="Times New Roman"/>
          <w:i/>
          <w:iCs/>
          <w:color w:val="auto"/>
          <w:shd w:val="clear" w:color="auto" w:fill="FFFFFF"/>
          <w:lang w:val="es-CL"/>
        </w:rPr>
        <w:t>accounting</w:t>
      </w:r>
      <w:proofErr w:type="spellEnd"/>
      <w:r w:rsidRPr="008D2E72">
        <w:rPr>
          <w:rFonts w:ascii="Times New Roman" w:hAnsi="Times New Roman" w:cs="Times New Roman"/>
          <w:color w:val="auto"/>
          <w:shd w:val="clear" w:color="auto" w:fill="FFFFFF"/>
          <w:lang w:val="es-CL"/>
        </w:rPr>
        <w:t xml:space="preserve">. </w:t>
      </w:r>
      <w:r w:rsidRPr="008D2E72">
        <w:rPr>
          <w:rFonts w:ascii="Times New Roman" w:hAnsi="Times New Roman" w:cs="Times New Roman"/>
          <w:color w:val="auto"/>
          <w:shd w:val="clear" w:color="auto" w:fill="FFFFFF"/>
          <w:lang w:val="en-US"/>
        </w:rPr>
        <w:t>Sage.</w:t>
      </w:r>
    </w:p>
    <w:p w:rsidR="00805D2D" w:rsidRPr="008D2E72" w:rsidRDefault="00642C1A">
      <w:pPr>
        <w:pStyle w:val="Corpodotexto"/>
        <w:spacing w:after="0" w:line="240" w:lineRule="auto"/>
        <w:ind w:left="567" w:hanging="567"/>
        <w:rPr>
          <w:rFonts w:ascii="Times New Roman" w:hAnsi="Times New Roman" w:cs="Times New Roman"/>
          <w:i/>
          <w:iCs/>
          <w:color w:val="auto"/>
          <w:highlight w:val="white"/>
        </w:rPr>
      </w:pPr>
      <w:proofErr w:type="spellStart"/>
      <w:r w:rsidRPr="008D2E72">
        <w:rPr>
          <w:rFonts w:ascii="Times New Roman" w:hAnsi="Times New Roman" w:cs="Times New Roman"/>
          <w:color w:val="auto"/>
          <w:shd w:val="clear" w:color="auto" w:fill="FFFFFF"/>
          <w:lang w:val="en-US"/>
        </w:rPr>
        <w:t>Theóphilo</w:t>
      </w:r>
      <w:proofErr w:type="spellEnd"/>
      <w:r w:rsidRPr="008D2E72">
        <w:rPr>
          <w:rFonts w:ascii="Times New Roman" w:hAnsi="Times New Roman" w:cs="Times New Roman"/>
          <w:color w:val="auto"/>
          <w:shd w:val="clear" w:color="auto" w:fill="FFFFFF"/>
          <w:lang w:val="en-US"/>
        </w:rPr>
        <w:t xml:space="preserve">, C. R., &amp; Martins, G. D. A. (2009). </w:t>
      </w:r>
      <w:r w:rsidRPr="008D2E72">
        <w:rPr>
          <w:rFonts w:ascii="Times New Roman" w:hAnsi="Times New Roman" w:cs="Times New Roman"/>
          <w:color w:val="auto"/>
          <w:shd w:val="clear" w:color="auto" w:fill="FFFFFF"/>
        </w:rPr>
        <w:t xml:space="preserve">Metodologia da investigação científica para ciências sociais aplicadas. </w:t>
      </w:r>
      <w:r w:rsidRPr="008D2E72">
        <w:rPr>
          <w:rFonts w:ascii="Times New Roman" w:hAnsi="Times New Roman" w:cs="Times New Roman"/>
          <w:i/>
          <w:iCs/>
          <w:color w:val="auto"/>
          <w:shd w:val="clear" w:color="auto" w:fill="FFFFFF"/>
        </w:rPr>
        <w:t>São Paulo: Atlas</w:t>
      </w:r>
      <w:r w:rsidRPr="008D2E72">
        <w:rPr>
          <w:rFonts w:ascii="Times New Roman" w:hAnsi="Times New Roman" w:cs="Times New Roman"/>
          <w:color w:val="auto"/>
          <w:shd w:val="clear" w:color="auto" w:fill="FFFFFF"/>
        </w:rPr>
        <w:t xml:space="preserve">, </w:t>
      </w:r>
      <w:r w:rsidRPr="008D2E72">
        <w:rPr>
          <w:rFonts w:ascii="Times New Roman" w:hAnsi="Times New Roman" w:cs="Times New Roman"/>
          <w:i/>
          <w:iCs/>
          <w:color w:val="auto"/>
          <w:shd w:val="clear" w:color="auto" w:fill="FFFFFF"/>
        </w:rPr>
        <w:t>2</w:t>
      </w:r>
      <w:r w:rsidRPr="008D2E72">
        <w:rPr>
          <w:rFonts w:ascii="Times New Roman" w:hAnsi="Times New Roman" w:cs="Times New Roman"/>
          <w:color w:val="auto"/>
          <w:shd w:val="clear" w:color="auto" w:fill="FFFFFF"/>
        </w:rPr>
        <w:t>, 104-119.</w:t>
      </w:r>
    </w:p>
    <w:p w:rsidR="00805D2D" w:rsidRPr="008D2E72" w:rsidRDefault="00642C1A">
      <w:pPr>
        <w:ind w:left="567" w:hanging="567"/>
        <w:rPr>
          <w:color w:val="auto"/>
          <w:sz w:val="24"/>
          <w:szCs w:val="24"/>
          <w:highlight w:val="white"/>
        </w:rPr>
      </w:pPr>
      <w:r w:rsidRPr="008D2E72">
        <w:rPr>
          <w:color w:val="auto"/>
          <w:sz w:val="24"/>
          <w:szCs w:val="24"/>
        </w:rPr>
        <w:t xml:space="preserve">Transparência Internacional. Recuperado em 20 de junho, 2017, de </w:t>
      </w:r>
      <w:r w:rsidRPr="008D2E72">
        <w:rPr>
          <w:color w:val="auto"/>
          <w:sz w:val="24"/>
          <w:szCs w:val="24"/>
          <w:shd w:val="clear" w:color="auto" w:fill="FFFFFF"/>
        </w:rPr>
        <w:t xml:space="preserve">https://www.transparency.org/news/feature/corruption_perceptions_index_2016. </w:t>
      </w:r>
    </w:p>
    <w:p w:rsidR="00805D2D" w:rsidRPr="008D2E72" w:rsidRDefault="00642C1A">
      <w:pPr>
        <w:pStyle w:val="Corpodotexto"/>
        <w:spacing w:after="0" w:line="240" w:lineRule="auto"/>
        <w:ind w:left="567" w:hanging="567"/>
        <w:rPr>
          <w:rFonts w:ascii="Times New Roman" w:hAnsi="Times New Roman" w:cs="Times New Roman"/>
          <w:color w:val="auto"/>
          <w:lang w:val="en-US"/>
        </w:rPr>
      </w:pPr>
      <w:proofErr w:type="spellStart"/>
      <w:r w:rsidRPr="008D2E72">
        <w:rPr>
          <w:rFonts w:ascii="Times New Roman" w:hAnsi="Times New Roman" w:cs="Times New Roman"/>
          <w:color w:val="auto"/>
          <w:shd w:val="clear" w:color="auto" w:fill="FFFFFF"/>
          <w:lang w:val="en-US"/>
        </w:rPr>
        <w:t>Tullock</w:t>
      </w:r>
      <w:proofErr w:type="spellEnd"/>
      <w:r w:rsidRPr="008D2E72">
        <w:rPr>
          <w:rFonts w:ascii="Times New Roman" w:hAnsi="Times New Roman" w:cs="Times New Roman"/>
          <w:color w:val="auto"/>
          <w:shd w:val="clear" w:color="auto" w:fill="FFFFFF"/>
          <w:lang w:val="en-US"/>
        </w:rPr>
        <w:t>, G. (1959). Problems of majority voting.</w:t>
      </w:r>
      <w:r w:rsidRPr="008D2E72">
        <w:rPr>
          <w:rStyle w:val="apple-converted-space"/>
          <w:rFonts w:ascii="Times New Roman" w:hAnsi="Times New Roman" w:cs="Times New Roman"/>
          <w:color w:val="auto"/>
          <w:shd w:val="clear" w:color="auto" w:fill="FFFFFF"/>
          <w:lang w:val="en-US"/>
        </w:rPr>
        <w:t> </w:t>
      </w:r>
      <w:r w:rsidRPr="008D2E72">
        <w:rPr>
          <w:rFonts w:ascii="Times New Roman" w:hAnsi="Times New Roman" w:cs="Times New Roman"/>
          <w:i/>
          <w:iCs/>
          <w:color w:val="auto"/>
          <w:shd w:val="clear" w:color="auto" w:fill="FFFFFF"/>
          <w:lang w:val="en-US"/>
        </w:rPr>
        <w:t>Journal of political economy</w:t>
      </w:r>
      <w:r w:rsidRPr="008D2E72">
        <w:rPr>
          <w:rFonts w:ascii="Times New Roman" w:hAnsi="Times New Roman" w:cs="Times New Roman"/>
          <w:color w:val="auto"/>
          <w:shd w:val="clear" w:color="auto" w:fill="FFFFFF"/>
          <w:lang w:val="en-US"/>
        </w:rPr>
        <w:t>,</w:t>
      </w:r>
      <w:r w:rsidRPr="008D2E72">
        <w:rPr>
          <w:rStyle w:val="apple-converted-space"/>
          <w:rFonts w:ascii="Times New Roman" w:hAnsi="Times New Roman" w:cs="Times New Roman"/>
          <w:color w:val="auto"/>
          <w:shd w:val="clear" w:color="auto" w:fill="FFFFFF"/>
          <w:lang w:val="en-US"/>
        </w:rPr>
        <w:t> </w:t>
      </w:r>
      <w:r w:rsidRPr="008D2E72">
        <w:rPr>
          <w:rFonts w:ascii="Times New Roman" w:hAnsi="Times New Roman" w:cs="Times New Roman"/>
          <w:i/>
          <w:iCs/>
          <w:color w:val="auto"/>
          <w:shd w:val="clear" w:color="auto" w:fill="FFFFFF"/>
          <w:lang w:val="en-US"/>
        </w:rPr>
        <w:t>67</w:t>
      </w:r>
      <w:r w:rsidRPr="008D2E72">
        <w:rPr>
          <w:rFonts w:ascii="Times New Roman" w:hAnsi="Times New Roman" w:cs="Times New Roman"/>
          <w:color w:val="auto"/>
          <w:shd w:val="clear" w:color="auto" w:fill="FFFFFF"/>
          <w:lang w:val="en-US"/>
        </w:rPr>
        <w:t xml:space="preserve">(6), 571-579. </w:t>
      </w:r>
      <w:proofErr w:type="spellStart"/>
      <w:r w:rsidRPr="008D2E72">
        <w:rPr>
          <w:rFonts w:ascii="Times New Roman" w:hAnsi="Times New Roman" w:cs="Times New Roman"/>
          <w:color w:val="auto"/>
          <w:shd w:val="clear" w:color="auto" w:fill="FFFFFF"/>
          <w:lang w:val="en-US"/>
        </w:rPr>
        <w:t>Recuperado</w:t>
      </w:r>
      <w:proofErr w:type="spellEnd"/>
      <w:r w:rsidRPr="008D2E72">
        <w:rPr>
          <w:rFonts w:ascii="Times New Roman" w:hAnsi="Times New Roman" w:cs="Times New Roman"/>
          <w:color w:val="auto"/>
          <w:shd w:val="clear" w:color="auto" w:fill="FFFFFF"/>
          <w:lang w:val="en-US"/>
        </w:rPr>
        <w:t xml:space="preserve"> </w:t>
      </w:r>
      <w:proofErr w:type="spellStart"/>
      <w:r w:rsidRPr="008D2E72">
        <w:rPr>
          <w:rFonts w:ascii="Times New Roman" w:hAnsi="Times New Roman" w:cs="Times New Roman"/>
          <w:color w:val="auto"/>
          <w:shd w:val="clear" w:color="auto" w:fill="FFFFFF"/>
          <w:lang w:val="en-US"/>
        </w:rPr>
        <w:t>em</w:t>
      </w:r>
      <w:proofErr w:type="spellEnd"/>
      <w:r w:rsidRPr="008D2E72">
        <w:rPr>
          <w:rFonts w:ascii="Times New Roman" w:hAnsi="Times New Roman" w:cs="Times New Roman"/>
          <w:color w:val="auto"/>
          <w:shd w:val="clear" w:color="auto" w:fill="FFFFFF"/>
          <w:lang w:val="en-US"/>
        </w:rPr>
        <w:t>: http://www.journals.uchicago.edu/doi/abs/10.1086/258244?journalCode=jpe</w:t>
      </w:r>
    </w:p>
    <w:p w:rsidR="00805D2D" w:rsidRPr="008D2E72" w:rsidRDefault="00642C1A">
      <w:pPr>
        <w:pStyle w:val="Corpodotexto"/>
        <w:spacing w:after="0" w:line="240" w:lineRule="auto"/>
        <w:ind w:left="567" w:hanging="567"/>
        <w:rPr>
          <w:rFonts w:ascii="Times New Roman" w:hAnsi="Times New Roman" w:cs="Times New Roman"/>
          <w:color w:val="auto"/>
          <w:highlight w:val="white"/>
        </w:rPr>
      </w:pPr>
      <w:proofErr w:type="spellStart"/>
      <w:r w:rsidRPr="008D2E72">
        <w:rPr>
          <w:rFonts w:ascii="Times New Roman" w:hAnsi="Times New Roman" w:cs="Times New Roman"/>
          <w:color w:val="auto"/>
          <w:shd w:val="clear" w:color="auto" w:fill="FFFFFF"/>
          <w:lang w:val="es-CL"/>
        </w:rPr>
        <w:t>Tullock</w:t>
      </w:r>
      <w:proofErr w:type="spellEnd"/>
      <w:r w:rsidRPr="008D2E72">
        <w:rPr>
          <w:rFonts w:ascii="Times New Roman" w:hAnsi="Times New Roman" w:cs="Times New Roman"/>
          <w:color w:val="auto"/>
          <w:shd w:val="clear" w:color="auto" w:fill="FFFFFF"/>
          <w:lang w:val="es-CL"/>
        </w:rPr>
        <w:t xml:space="preserve">, G., Brady, G. L., &amp; </w:t>
      </w:r>
      <w:proofErr w:type="spellStart"/>
      <w:r w:rsidRPr="008D2E72">
        <w:rPr>
          <w:rFonts w:ascii="Times New Roman" w:hAnsi="Times New Roman" w:cs="Times New Roman"/>
          <w:color w:val="auto"/>
          <w:shd w:val="clear" w:color="auto" w:fill="FFFFFF"/>
          <w:lang w:val="es-CL"/>
        </w:rPr>
        <w:t>Seldon</w:t>
      </w:r>
      <w:proofErr w:type="spellEnd"/>
      <w:r w:rsidRPr="008D2E72">
        <w:rPr>
          <w:rFonts w:ascii="Times New Roman" w:hAnsi="Times New Roman" w:cs="Times New Roman"/>
          <w:color w:val="auto"/>
          <w:shd w:val="clear" w:color="auto" w:fill="FFFFFF"/>
          <w:lang w:val="es-CL"/>
        </w:rPr>
        <w:t>, A. (2002).</w:t>
      </w:r>
      <w:r w:rsidRPr="008D2E72">
        <w:rPr>
          <w:rStyle w:val="apple-converted-space"/>
          <w:rFonts w:ascii="Times New Roman" w:hAnsi="Times New Roman" w:cs="Times New Roman"/>
          <w:color w:val="auto"/>
          <w:shd w:val="clear" w:color="auto" w:fill="FFFFFF"/>
          <w:lang w:val="es-CL"/>
        </w:rPr>
        <w:t> </w:t>
      </w:r>
      <w:r w:rsidRPr="008D2E72">
        <w:rPr>
          <w:rFonts w:ascii="Times New Roman" w:hAnsi="Times New Roman" w:cs="Times New Roman"/>
          <w:i/>
          <w:iCs/>
          <w:color w:val="auto"/>
          <w:shd w:val="clear" w:color="auto" w:fill="FFFFFF"/>
          <w:lang w:val="en-US"/>
        </w:rPr>
        <w:t>Government failure: a primer in public choice</w:t>
      </w:r>
      <w:r w:rsidRPr="008D2E72">
        <w:rPr>
          <w:rFonts w:ascii="Times New Roman" w:hAnsi="Times New Roman" w:cs="Times New Roman"/>
          <w:color w:val="auto"/>
          <w:shd w:val="clear" w:color="auto" w:fill="FFFFFF"/>
          <w:lang w:val="en-US"/>
        </w:rPr>
        <w:t xml:space="preserve">. </w:t>
      </w:r>
      <w:r w:rsidRPr="008D2E72">
        <w:rPr>
          <w:rFonts w:ascii="Times New Roman" w:hAnsi="Times New Roman" w:cs="Times New Roman"/>
          <w:color w:val="auto"/>
          <w:shd w:val="clear" w:color="auto" w:fill="FFFFFF"/>
        </w:rPr>
        <w:t xml:space="preserve">Cato </w:t>
      </w:r>
      <w:proofErr w:type="spellStart"/>
      <w:r w:rsidRPr="008D2E72">
        <w:rPr>
          <w:rFonts w:ascii="Times New Roman" w:hAnsi="Times New Roman" w:cs="Times New Roman"/>
          <w:color w:val="auto"/>
          <w:shd w:val="clear" w:color="auto" w:fill="FFFFFF"/>
        </w:rPr>
        <w:t>Institute</w:t>
      </w:r>
      <w:proofErr w:type="spellEnd"/>
      <w:r w:rsidRPr="008D2E72">
        <w:rPr>
          <w:rFonts w:ascii="Times New Roman" w:hAnsi="Times New Roman" w:cs="Times New Roman"/>
          <w:color w:val="auto"/>
          <w:shd w:val="clear" w:color="auto" w:fill="FFFFFF"/>
        </w:rPr>
        <w:t>. Recuperado em: http://wordlist.narod.ru/Government-Failure.pdf</w:t>
      </w:r>
    </w:p>
    <w:p w:rsidR="00805D2D" w:rsidRPr="008D2E72" w:rsidRDefault="00642C1A">
      <w:pPr>
        <w:suppressAutoHyphens w:val="0"/>
        <w:ind w:left="567" w:hanging="567"/>
        <w:rPr>
          <w:color w:val="auto"/>
        </w:rPr>
      </w:pPr>
      <w:proofErr w:type="spellStart"/>
      <w:r w:rsidRPr="008D2E72">
        <w:rPr>
          <w:rFonts w:eastAsiaTheme="minorHAnsi"/>
          <w:color w:val="auto"/>
          <w:sz w:val="24"/>
          <w:szCs w:val="24"/>
          <w:lang w:eastAsia="en-US"/>
        </w:rPr>
        <w:t>Zampronha</w:t>
      </w:r>
      <w:proofErr w:type="spellEnd"/>
      <w:r w:rsidRPr="008D2E72">
        <w:rPr>
          <w:rFonts w:eastAsiaTheme="minorHAnsi"/>
          <w:color w:val="auto"/>
          <w:sz w:val="24"/>
          <w:szCs w:val="24"/>
          <w:lang w:eastAsia="en-US"/>
        </w:rPr>
        <w:t xml:space="preserve"> de Oliveira, L. F. (2012). Remessas de Capitais ao Exterior: a lavagem de dinheiro através da evasão de divisas - Brasília: Academia Nacional de Polícia, 2012, 72 pp.</w:t>
      </w:r>
    </w:p>
    <w:sectPr w:rsidR="00805D2D" w:rsidRPr="008D2E72" w:rsidSect="00805D2D">
      <w:headerReference w:type="default" r:id="rId19"/>
      <w:footerReference w:type="default" r:id="rId20"/>
      <w:pgSz w:w="11906" w:h="16838"/>
      <w:pgMar w:top="1701" w:right="1134" w:bottom="1134" w:left="1701" w:header="372" w:footer="708" w:gutter="0"/>
      <w:cols w:space="720"/>
      <w:formProt w:val="0"/>
      <w:docGrid w:linePitch="360" w:charSpace="20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66BD" w:rsidRDefault="007C66BD" w:rsidP="00805D2D">
      <w:r>
        <w:separator/>
      </w:r>
    </w:p>
  </w:endnote>
  <w:endnote w:type="continuationSeparator" w:id="1">
    <w:p w:rsidR="007C66BD" w:rsidRDefault="007C66BD" w:rsidP="00805D2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Lucida Sans Unicode">
    <w:panose1 w:val="020B0602030504020204"/>
    <w:charset w:val="00"/>
    <w:family w:val="swiss"/>
    <w:pitch w:val="variable"/>
    <w:sig w:usb0="80000AFF" w:usb1="0000396B" w:usb2="00000000" w:usb3="00000000" w:csb0="000000BF" w:csb1="00000000"/>
  </w:font>
  <w:font w:name="Mangal">
    <w:altName w:val="Courier"/>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 Serif">
    <w:altName w:val="Times New Roman"/>
    <w:panose1 w:val="02020603050405020304"/>
    <w:charset w:val="00"/>
    <w:family w:val="roman"/>
    <w:pitch w:val="variable"/>
    <w:sig w:usb0="E0000AFF" w:usb1="500078FF" w:usb2="00000021" w:usb3="00000000" w:csb0="000001BF" w:csb1="00000000"/>
  </w:font>
  <w:font w:name="TimesNewRomanPSMT">
    <w:panose1 w:val="00000000000000000000"/>
    <w:charset w:val="00"/>
    <w:family w:val="roman"/>
    <w:notTrueType/>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8836983"/>
      <w:docPartObj>
        <w:docPartGallery w:val="Page Numbers (Bottom of Page)"/>
        <w:docPartUnique/>
      </w:docPartObj>
    </w:sdtPr>
    <w:sdtContent>
      <w:p w:rsidR="007C66BD" w:rsidRDefault="007C66BD">
        <w:pPr>
          <w:pStyle w:val="Footer"/>
          <w:jc w:val="right"/>
        </w:pPr>
        <w:fldSimple w:instr="PAGE">
          <w:r w:rsidR="008D2E72">
            <w:rPr>
              <w:noProof/>
            </w:rPr>
            <w:t>18</w:t>
          </w:r>
        </w:fldSimple>
      </w:p>
    </w:sdtContent>
  </w:sdt>
  <w:p w:rsidR="007C66BD" w:rsidRDefault="007C66B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66BD" w:rsidRDefault="007C66BD" w:rsidP="00805D2D">
      <w:r>
        <w:separator/>
      </w:r>
    </w:p>
  </w:footnote>
  <w:footnote w:type="continuationSeparator" w:id="1">
    <w:p w:rsidR="007C66BD" w:rsidRDefault="007C66BD" w:rsidP="00805D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66BD" w:rsidRDefault="007C66BD">
    <w:pPr>
      <w:pStyle w:val="Header"/>
      <w:tabs>
        <w:tab w:val="clear" w:pos="4419"/>
        <w:tab w:val="center" w:pos="4395"/>
      </w:tabs>
      <w:rPr>
        <w:rFonts w:ascii="Arial Narrow" w:hAnsi="Arial Narrow"/>
        <w:b/>
        <w:bCs/>
        <w:color w:val="2F5496" w:themeColor="accent1" w:themeShade="BF"/>
        <w:sz w:val="32"/>
      </w:rPr>
    </w:pPr>
    <w:r>
      <w:rPr>
        <w:noProof/>
        <w:lang w:eastAsia="pt-BR"/>
      </w:rPr>
      <w:drawing>
        <wp:anchor distT="0" distB="0" distL="114300" distR="114300" simplePos="0" relativeHeight="251658240" behindDoc="0" locked="0" layoutInCell="1" allowOverlap="1">
          <wp:simplePos x="0" y="0"/>
          <wp:positionH relativeFrom="column">
            <wp:posOffset>4977765</wp:posOffset>
          </wp:positionH>
          <wp:positionV relativeFrom="paragraph">
            <wp:posOffset>-69850</wp:posOffset>
          </wp:positionV>
          <wp:extent cx="1295400" cy="857250"/>
          <wp:effectExtent l="19050" t="0" r="0" b="0"/>
          <wp:wrapSquare wrapText="bothSides"/>
          <wp:docPr id="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295400" cy="857250"/>
                  </a:xfrm>
                  <a:prstGeom prst="rect">
                    <a:avLst/>
                  </a:prstGeom>
                  <a:noFill/>
                  <a:ln w="9525">
                    <a:noFill/>
                    <a:miter lim="800000"/>
                    <a:headEnd/>
                    <a:tailEnd/>
                  </a:ln>
                </pic:spPr>
              </pic:pic>
            </a:graphicData>
          </a:graphic>
        </wp:anchor>
      </w:drawing>
    </w:r>
    <w:r>
      <w:rPr>
        <w:noProof/>
        <w:lang w:eastAsia="pt-BR"/>
      </w:rPr>
      <w:drawing>
        <wp:anchor distT="0" distB="0" distL="114300" distR="118745" simplePos="0" relativeHeight="251657216" behindDoc="1" locked="0" layoutInCell="1" allowOverlap="1">
          <wp:simplePos x="0" y="0"/>
          <wp:positionH relativeFrom="column">
            <wp:posOffset>-570865</wp:posOffset>
          </wp:positionH>
          <wp:positionV relativeFrom="paragraph">
            <wp:posOffset>-118745</wp:posOffset>
          </wp:positionV>
          <wp:extent cx="1036955" cy="901700"/>
          <wp:effectExtent l="0" t="0" r="0" b="0"/>
          <wp:wrapNone/>
          <wp:docPr id="10" name="Figur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6"/>
                  <pic:cNvPicPr>
                    <a:picLocks noChangeAspect="1" noChangeArrowheads="1"/>
                  </pic:cNvPicPr>
                </pic:nvPicPr>
                <pic:blipFill>
                  <a:blip r:embed="rId2"/>
                  <a:stretch>
                    <a:fillRect/>
                  </a:stretch>
                </pic:blipFill>
                <pic:spPr bwMode="auto">
                  <a:xfrm>
                    <a:off x="0" y="0"/>
                    <a:ext cx="1036955" cy="901700"/>
                  </a:xfrm>
                  <a:prstGeom prst="rect">
                    <a:avLst/>
                  </a:prstGeom>
                </pic:spPr>
              </pic:pic>
            </a:graphicData>
          </a:graphic>
        </wp:anchor>
      </w:drawing>
    </w:r>
    <w:r>
      <w:rPr>
        <w:rFonts w:ascii="Arial Narrow" w:hAnsi="Arial Narrow"/>
        <w:b/>
        <w:bCs/>
        <w:color w:val="2F5496" w:themeColor="accent1" w:themeShade="BF"/>
        <w:sz w:val="28"/>
      </w:rPr>
      <w:tab/>
      <w:t>7º CONGRESSO UFSC DE CONTROLADORIA E FINANÇAS</w:t>
    </w:r>
  </w:p>
  <w:p w:rsidR="007C66BD" w:rsidRDefault="007C66BD">
    <w:pPr>
      <w:pStyle w:val="Header"/>
      <w:rPr>
        <w:rFonts w:ascii="Arial Narrow" w:hAnsi="Arial Narrow"/>
        <w:b/>
        <w:bCs/>
        <w:sz w:val="20"/>
      </w:rPr>
    </w:pPr>
    <w:r>
      <w:rPr>
        <w:rFonts w:ascii="Arial Narrow" w:hAnsi="Arial Narrow"/>
        <w:b/>
        <w:bCs/>
        <w:color w:val="2F5496" w:themeColor="accent1" w:themeShade="BF"/>
        <w:sz w:val="22"/>
      </w:rPr>
      <w:tab/>
      <w:t>7º CONGRESSO UFSC DE INICIAÇÃO CIENTÍFICA EM CONTABILIDADE</w:t>
    </w:r>
  </w:p>
  <w:p w:rsidR="007C66BD" w:rsidRDefault="007C66BD">
    <w:pPr>
      <w:pStyle w:val="Header"/>
      <w:spacing w:after="120"/>
      <w:rPr>
        <w:rFonts w:ascii="Arial Narrow" w:hAnsi="Arial Narrow"/>
        <w:b/>
        <w:color w:val="2F5496" w:themeColor="accent1" w:themeShade="BF"/>
        <w:sz w:val="32"/>
      </w:rPr>
    </w:pPr>
    <w:r>
      <w:rPr>
        <w:rFonts w:ascii="Arial Narrow" w:hAnsi="Arial Narrow"/>
        <w:b/>
        <w:bCs/>
        <w:color w:val="2F5496" w:themeColor="accent1" w:themeShade="BF"/>
        <w:sz w:val="36"/>
      </w:rPr>
      <w:tab/>
      <w:t>TRANSPARÊNCIA, CORRUPÇÃO E FRAUDES</w:t>
    </w:r>
  </w:p>
  <w:p w:rsidR="007C66BD" w:rsidRDefault="007C66BD">
    <w:pPr>
      <w:pStyle w:val="Header"/>
      <w:ind w:right="-1000"/>
      <w:jc w:val="center"/>
      <w:rPr>
        <w:rFonts w:ascii="Arial Narrow" w:hAnsi="Arial Narrow"/>
        <w:color w:val="000000" w:themeColor="text1"/>
        <w:sz w:val="20"/>
      </w:rPr>
    </w:pPr>
    <w:r>
      <w:rPr>
        <w:rFonts w:ascii="Arial Narrow" w:hAnsi="Arial Narrow"/>
        <w:color w:val="000000" w:themeColor="text1"/>
        <w:sz w:val="20"/>
      </w:rPr>
      <w:t>Florianópolis, 10 a 12 de Setembro de 2017</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2050"/>
  </w:hdrShapeDefaults>
  <w:footnotePr>
    <w:footnote w:id="0"/>
    <w:footnote w:id="1"/>
  </w:footnotePr>
  <w:endnotePr>
    <w:endnote w:id="0"/>
    <w:endnote w:id="1"/>
  </w:endnotePr>
  <w:compat/>
  <w:rsids>
    <w:rsidRoot w:val="00805D2D"/>
    <w:rsid w:val="000D7660"/>
    <w:rsid w:val="001479D6"/>
    <w:rsid w:val="001C2887"/>
    <w:rsid w:val="002E257B"/>
    <w:rsid w:val="00642C1A"/>
    <w:rsid w:val="007C66BD"/>
    <w:rsid w:val="00805D2D"/>
    <w:rsid w:val="008C294F"/>
    <w:rsid w:val="008D2E72"/>
    <w:rsid w:val="00A37C4D"/>
    <w:rsid w:val="00AF2DFB"/>
    <w:rsid w:val="00DB07D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77D"/>
    <w:pPr>
      <w:suppressAutoHyphens/>
    </w:pPr>
    <w:rPr>
      <w:rFonts w:ascii="Times New Roman" w:eastAsia="Times New Roman" w:hAnsi="Times New Roman" w:cs="Times New Roman"/>
      <w:color w:val="00000A"/>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1">
    <w:name w:val="Heading 1"/>
    <w:basedOn w:val="Ttulo"/>
    <w:link w:val="Ttulo1Char"/>
    <w:qFormat/>
    <w:rsid w:val="00EC6B0F"/>
    <w:pPr>
      <w:keepNext/>
      <w:widowControl w:val="0"/>
      <w:spacing w:before="240" w:after="120"/>
      <w:outlineLvl w:val="0"/>
    </w:pPr>
    <w:rPr>
      <w:rFonts w:ascii="Liberation Sans" w:eastAsia="Lucida Sans Unicode" w:hAnsi="Liberation Sans" w:cs="Mangal"/>
      <w:color w:val="00000A"/>
      <w:spacing w:val="0"/>
      <w:sz w:val="28"/>
      <w:szCs w:val="28"/>
      <w:lang w:eastAsia="zh-CN" w:bidi="hi-IN"/>
    </w:rPr>
  </w:style>
  <w:style w:type="paragraph" w:customStyle="1" w:styleId="Heading2">
    <w:name w:val="Heading 2"/>
    <w:basedOn w:val="Normal"/>
    <w:next w:val="Normal"/>
    <w:link w:val="Ttulo2Char"/>
    <w:uiPriority w:val="9"/>
    <w:semiHidden/>
    <w:unhideWhenUsed/>
    <w:qFormat/>
    <w:rsid w:val="007E4F32"/>
    <w:pPr>
      <w:keepNext/>
      <w:keepLines/>
      <w:spacing w:before="200"/>
      <w:outlineLvl w:val="1"/>
    </w:pPr>
    <w:rPr>
      <w:rFonts w:asciiTheme="majorHAnsi" w:eastAsiaTheme="majorEastAsia" w:hAnsiTheme="majorHAnsi" w:cstheme="majorBidi"/>
      <w:b/>
      <w:bCs/>
      <w:color w:val="4472C4" w:themeColor="accent1"/>
      <w:sz w:val="26"/>
      <w:szCs w:val="26"/>
    </w:rPr>
  </w:style>
  <w:style w:type="character" w:customStyle="1" w:styleId="CabealhoChar">
    <w:name w:val="Cabeçalho Char"/>
    <w:basedOn w:val="Fontepargpadro"/>
    <w:link w:val="Header"/>
    <w:uiPriority w:val="99"/>
    <w:qFormat/>
    <w:rsid w:val="008A5824"/>
  </w:style>
  <w:style w:type="character" w:customStyle="1" w:styleId="RodapChar">
    <w:name w:val="Rodapé Char"/>
    <w:basedOn w:val="Fontepargpadro"/>
    <w:link w:val="Footer"/>
    <w:uiPriority w:val="99"/>
    <w:qFormat/>
    <w:rsid w:val="008A5824"/>
  </w:style>
  <w:style w:type="character" w:customStyle="1" w:styleId="Ttulo1Char">
    <w:name w:val="Título 1 Char"/>
    <w:basedOn w:val="Fontepargpadro"/>
    <w:link w:val="Heading1"/>
    <w:qFormat/>
    <w:rsid w:val="00EC6B0F"/>
    <w:rPr>
      <w:rFonts w:ascii="Liberation Sans" w:eastAsia="Lucida Sans Unicode" w:hAnsi="Liberation Sans" w:cs="Mangal"/>
      <w:sz w:val="28"/>
      <w:szCs w:val="28"/>
      <w:lang w:eastAsia="zh-CN" w:bidi="hi-IN"/>
    </w:rPr>
  </w:style>
  <w:style w:type="character" w:customStyle="1" w:styleId="nfaseforte">
    <w:name w:val="Ênfase forte"/>
    <w:qFormat/>
    <w:rsid w:val="00EC6B0F"/>
    <w:rPr>
      <w:b/>
      <w:bCs/>
    </w:rPr>
  </w:style>
  <w:style w:type="character" w:customStyle="1" w:styleId="LinkdaInternet">
    <w:name w:val="Link da Internet"/>
    <w:basedOn w:val="Fontepargpadro"/>
    <w:uiPriority w:val="99"/>
    <w:unhideWhenUsed/>
    <w:rsid w:val="005220BD"/>
    <w:rPr>
      <w:color w:val="0000FF"/>
      <w:u w:val="single"/>
    </w:rPr>
  </w:style>
  <w:style w:type="character" w:customStyle="1" w:styleId="TtuloChar">
    <w:name w:val="Título Char"/>
    <w:basedOn w:val="Fontepargpadro"/>
    <w:link w:val="Ttulo"/>
    <w:uiPriority w:val="10"/>
    <w:qFormat/>
    <w:rsid w:val="00EC6B0F"/>
    <w:rPr>
      <w:rFonts w:asciiTheme="majorHAnsi" w:eastAsiaTheme="majorEastAsia" w:hAnsiTheme="majorHAnsi" w:cstheme="majorBidi"/>
      <w:color w:val="323E4F" w:themeColor="text2" w:themeShade="BF"/>
      <w:spacing w:val="5"/>
      <w:sz w:val="52"/>
      <w:szCs w:val="52"/>
      <w:lang w:eastAsia="pt-BR"/>
    </w:rPr>
  </w:style>
  <w:style w:type="character" w:customStyle="1" w:styleId="TextodebaloChar">
    <w:name w:val="Texto de balão Char"/>
    <w:basedOn w:val="Fontepargpadro"/>
    <w:link w:val="Textodebalo"/>
    <w:uiPriority w:val="99"/>
    <w:semiHidden/>
    <w:qFormat/>
    <w:rsid w:val="00F16218"/>
    <w:rPr>
      <w:rFonts w:ascii="Tahoma" w:eastAsia="Times New Roman" w:hAnsi="Tahoma" w:cs="Tahoma"/>
      <w:sz w:val="16"/>
      <w:szCs w:val="16"/>
      <w:lang w:eastAsia="pt-BR"/>
    </w:rPr>
  </w:style>
  <w:style w:type="character" w:styleId="nfase">
    <w:name w:val="Emphasis"/>
    <w:basedOn w:val="Fontepargpadro"/>
    <w:uiPriority w:val="20"/>
    <w:qFormat/>
    <w:rsid w:val="00E65D3F"/>
    <w:rPr>
      <w:i/>
      <w:iCs/>
    </w:rPr>
  </w:style>
  <w:style w:type="character" w:customStyle="1" w:styleId="Ttulo2Char">
    <w:name w:val="Título 2 Char"/>
    <w:basedOn w:val="Fontepargpadro"/>
    <w:link w:val="Heading2"/>
    <w:uiPriority w:val="9"/>
    <w:semiHidden/>
    <w:qFormat/>
    <w:rsid w:val="007E4F32"/>
    <w:rPr>
      <w:rFonts w:asciiTheme="majorHAnsi" w:eastAsiaTheme="majorEastAsia" w:hAnsiTheme="majorHAnsi" w:cstheme="majorBidi"/>
      <w:b/>
      <w:bCs/>
      <w:color w:val="4472C4" w:themeColor="accent1"/>
      <w:sz w:val="26"/>
      <w:szCs w:val="26"/>
      <w:lang w:eastAsia="pt-BR"/>
    </w:rPr>
  </w:style>
  <w:style w:type="character" w:styleId="Forte">
    <w:name w:val="Strong"/>
    <w:basedOn w:val="Fontepargpadro"/>
    <w:uiPriority w:val="22"/>
    <w:qFormat/>
    <w:rsid w:val="007E4F32"/>
    <w:rPr>
      <w:b/>
      <w:bCs/>
    </w:rPr>
  </w:style>
  <w:style w:type="character" w:customStyle="1" w:styleId="apple-converted-space">
    <w:name w:val="apple-converted-space"/>
    <w:basedOn w:val="Fontepargpadro"/>
    <w:qFormat/>
    <w:rsid w:val="00414DC7"/>
  </w:style>
  <w:style w:type="character" w:styleId="Refdecomentrio">
    <w:name w:val="annotation reference"/>
    <w:basedOn w:val="Fontepargpadro"/>
    <w:uiPriority w:val="99"/>
    <w:semiHidden/>
    <w:unhideWhenUsed/>
    <w:qFormat/>
    <w:rsid w:val="00827376"/>
    <w:rPr>
      <w:sz w:val="16"/>
      <w:szCs w:val="16"/>
    </w:rPr>
  </w:style>
  <w:style w:type="character" w:customStyle="1" w:styleId="TextodecomentrioChar">
    <w:name w:val="Texto de comentário Char"/>
    <w:basedOn w:val="Fontepargpadro"/>
    <w:link w:val="Textodecomentrio"/>
    <w:uiPriority w:val="99"/>
    <w:semiHidden/>
    <w:qFormat/>
    <w:rsid w:val="00827376"/>
    <w:rPr>
      <w:rFonts w:ascii="Times New Roman" w:eastAsia="Times New Roman" w:hAnsi="Times New Roman" w:cs="Times New Roman"/>
      <w:sz w:val="20"/>
      <w:szCs w:val="20"/>
      <w:lang w:eastAsia="pt-BR"/>
    </w:rPr>
  </w:style>
  <w:style w:type="character" w:customStyle="1" w:styleId="AssuntodocomentrioChar">
    <w:name w:val="Assunto do comentário Char"/>
    <w:basedOn w:val="TextodecomentrioChar"/>
    <w:link w:val="Assuntodocomentrio"/>
    <w:uiPriority w:val="99"/>
    <w:semiHidden/>
    <w:qFormat/>
    <w:rsid w:val="00827376"/>
    <w:rPr>
      <w:b/>
      <w:bCs/>
    </w:rPr>
  </w:style>
  <w:style w:type="character" w:customStyle="1" w:styleId="notranslate">
    <w:name w:val="notranslate"/>
    <w:basedOn w:val="Fontepargpadro"/>
    <w:qFormat/>
    <w:rsid w:val="00A02AC4"/>
  </w:style>
  <w:style w:type="character" w:customStyle="1" w:styleId="Pr-formataoHTMLChar">
    <w:name w:val="Pré-formatação HTML Char"/>
    <w:basedOn w:val="Fontepargpadro"/>
    <w:uiPriority w:val="99"/>
    <w:qFormat/>
    <w:rsid w:val="00A02AC4"/>
    <w:rPr>
      <w:rFonts w:ascii="Courier New" w:eastAsia="Times New Roman" w:hAnsi="Courier New" w:cs="Courier New"/>
      <w:sz w:val="20"/>
      <w:szCs w:val="20"/>
      <w:lang w:eastAsia="pt-BR"/>
    </w:rPr>
  </w:style>
  <w:style w:type="character" w:customStyle="1" w:styleId="st">
    <w:name w:val="st"/>
    <w:basedOn w:val="Fontepargpadro"/>
    <w:qFormat/>
    <w:rsid w:val="006B04C8"/>
  </w:style>
  <w:style w:type="character" w:customStyle="1" w:styleId="ms-font-s">
    <w:name w:val="ms-font-s"/>
    <w:basedOn w:val="Fontepargpadro"/>
    <w:qFormat/>
    <w:rsid w:val="00621381"/>
  </w:style>
  <w:style w:type="character" w:customStyle="1" w:styleId="ListLabel1">
    <w:name w:val="ListLabel 1"/>
    <w:qFormat/>
    <w:rsid w:val="00805D2D"/>
    <w:rPr>
      <w:sz w:val="20"/>
    </w:rPr>
  </w:style>
  <w:style w:type="paragraph" w:styleId="Ttulo">
    <w:name w:val="Title"/>
    <w:basedOn w:val="Normal"/>
    <w:next w:val="Corpodetexto"/>
    <w:link w:val="TtuloChar"/>
    <w:uiPriority w:val="10"/>
    <w:qFormat/>
    <w:rsid w:val="00EC6B0F"/>
    <w:pPr>
      <w:pBdr>
        <w:bottom w:val="single" w:sz="8" w:space="4" w:color="4472C4"/>
      </w:pBdr>
      <w:spacing w:after="300"/>
      <w:contextualSpacing/>
    </w:pPr>
    <w:rPr>
      <w:rFonts w:asciiTheme="majorHAnsi" w:eastAsiaTheme="majorEastAsia" w:hAnsiTheme="majorHAnsi" w:cstheme="majorBidi"/>
      <w:color w:val="323E4F" w:themeColor="text2" w:themeShade="BF"/>
      <w:spacing w:val="5"/>
      <w:sz w:val="52"/>
      <w:szCs w:val="52"/>
    </w:rPr>
  </w:style>
  <w:style w:type="paragraph" w:styleId="Corpodetexto">
    <w:name w:val="Body Text"/>
    <w:basedOn w:val="Normal"/>
    <w:rsid w:val="00805D2D"/>
    <w:pPr>
      <w:spacing w:after="140" w:line="288" w:lineRule="auto"/>
    </w:pPr>
  </w:style>
  <w:style w:type="paragraph" w:styleId="Lista">
    <w:name w:val="List"/>
    <w:basedOn w:val="Corpodetexto"/>
    <w:rsid w:val="00805D2D"/>
    <w:rPr>
      <w:rFonts w:cs="Arial Unicode MS"/>
    </w:rPr>
  </w:style>
  <w:style w:type="paragraph" w:customStyle="1" w:styleId="Caption">
    <w:name w:val="Caption"/>
    <w:basedOn w:val="Normal"/>
    <w:qFormat/>
    <w:rsid w:val="00805D2D"/>
    <w:pPr>
      <w:suppressLineNumbers/>
      <w:spacing w:before="120" w:after="120"/>
    </w:pPr>
    <w:rPr>
      <w:rFonts w:cs="Arial Unicode MS"/>
      <w:i/>
      <w:iCs/>
      <w:sz w:val="24"/>
      <w:szCs w:val="24"/>
    </w:rPr>
  </w:style>
  <w:style w:type="paragraph" w:customStyle="1" w:styleId="ndice">
    <w:name w:val="Índice"/>
    <w:basedOn w:val="Normal"/>
    <w:qFormat/>
    <w:rsid w:val="00805D2D"/>
    <w:pPr>
      <w:suppressLineNumbers/>
    </w:pPr>
    <w:rPr>
      <w:rFonts w:cs="Arial Unicode MS"/>
    </w:rPr>
  </w:style>
  <w:style w:type="paragraph" w:customStyle="1" w:styleId="Header">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paragraph" w:customStyle="1" w:styleId="Footer">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paragraph" w:styleId="NormalWeb">
    <w:name w:val="Normal (Web)"/>
    <w:basedOn w:val="Normal"/>
    <w:uiPriority w:val="99"/>
    <w:semiHidden/>
    <w:unhideWhenUsed/>
    <w:qFormat/>
    <w:rsid w:val="008A5824"/>
    <w:pPr>
      <w:spacing w:beforeAutospacing="1" w:afterAutospacing="1"/>
    </w:pPr>
  </w:style>
  <w:style w:type="paragraph" w:styleId="PargrafodaLista">
    <w:name w:val="List Paragraph"/>
    <w:basedOn w:val="Normal"/>
    <w:uiPriority w:val="34"/>
    <w:qFormat/>
    <w:rsid w:val="001C328B"/>
    <w:pPr>
      <w:ind w:left="720"/>
      <w:contextualSpacing/>
    </w:pPr>
  </w:style>
  <w:style w:type="paragraph" w:customStyle="1" w:styleId="Corpodotexto">
    <w:name w:val="Corpo do texto"/>
    <w:basedOn w:val="Normal"/>
    <w:qFormat/>
    <w:rsid w:val="00EC6B0F"/>
    <w:pPr>
      <w:widowControl w:val="0"/>
      <w:spacing w:after="140" w:line="288" w:lineRule="auto"/>
    </w:pPr>
    <w:rPr>
      <w:rFonts w:ascii="Liberation Serif" w:eastAsia="Lucida Sans Unicode" w:hAnsi="Liberation Serif" w:cs="Mangal"/>
      <w:sz w:val="24"/>
      <w:szCs w:val="24"/>
      <w:lang w:eastAsia="zh-CN" w:bidi="hi-IN"/>
    </w:rPr>
  </w:style>
  <w:style w:type="paragraph" w:customStyle="1" w:styleId="Padro">
    <w:name w:val="Padrão"/>
    <w:qFormat/>
    <w:rsid w:val="00EC6B0F"/>
    <w:pPr>
      <w:tabs>
        <w:tab w:val="left" w:pos="708"/>
      </w:tabs>
      <w:suppressAutoHyphens/>
      <w:spacing w:line="100" w:lineRule="atLeast"/>
      <w:jc w:val="both"/>
    </w:pPr>
    <w:rPr>
      <w:rFonts w:ascii="Times New Roman" w:eastAsia="Times New Roman" w:hAnsi="Times New Roman" w:cs="Times New Roman"/>
      <w:color w:val="00000A"/>
      <w:lang w:eastAsia="es-ES" w:bidi="hi-IN"/>
    </w:rPr>
  </w:style>
  <w:style w:type="paragraph" w:styleId="Textodebalo">
    <w:name w:val="Balloon Text"/>
    <w:basedOn w:val="Normal"/>
    <w:link w:val="TextodebaloChar"/>
    <w:uiPriority w:val="99"/>
    <w:semiHidden/>
    <w:unhideWhenUsed/>
    <w:qFormat/>
    <w:rsid w:val="00F16218"/>
    <w:rPr>
      <w:rFonts w:ascii="Tahoma" w:hAnsi="Tahoma" w:cs="Tahoma"/>
      <w:sz w:val="16"/>
      <w:szCs w:val="16"/>
    </w:rPr>
  </w:style>
  <w:style w:type="paragraph" w:styleId="Textodecomentrio">
    <w:name w:val="annotation text"/>
    <w:basedOn w:val="Normal"/>
    <w:link w:val="TextodecomentrioChar"/>
    <w:uiPriority w:val="99"/>
    <w:semiHidden/>
    <w:unhideWhenUsed/>
    <w:qFormat/>
    <w:rsid w:val="00827376"/>
  </w:style>
  <w:style w:type="paragraph" w:styleId="Assuntodocomentrio">
    <w:name w:val="annotation subject"/>
    <w:basedOn w:val="Textodecomentrio"/>
    <w:link w:val="AssuntodocomentrioChar"/>
    <w:uiPriority w:val="99"/>
    <w:semiHidden/>
    <w:unhideWhenUsed/>
    <w:qFormat/>
    <w:rsid w:val="00827376"/>
    <w:rPr>
      <w:b/>
      <w:bCs/>
    </w:rPr>
  </w:style>
  <w:style w:type="paragraph" w:styleId="Pr-formataoHTML">
    <w:name w:val="HTML Preformatted"/>
    <w:basedOn w:val="Normal"/>
    <w:uiPriority w:val="99"/>
    <w:unhideWhenUsed/>
    <w:qFormat/>
    <w:rsid w:val="00A0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paragraph" w:customStyle="1" w:styleId="western">
    <w:name w:val="western"/>
    <w:basedOn w:val="Normal"/>
    <w:qFormat/>
    <w:rsid w:val="003F36E8"/>
    <w:pPr>
      <w:suppressAutoHyphens w:val="0"/>
      <w:spacing w:beforeAutospacing="1" w:after="142" w:line="288" w:lineRule="auto"/>
    </w:pPr>
    <w:rPr>
      <w:rFonts w:ascii="Calibri" w:hAnsi="Calibri"/>
      <w:color w:val="000000"/>
      <w:sz w:val="22"/>
      <w:szCs w:val="22"/>
    </w:rPr>
  </w:style>
  <w:style w:type="table" w:styleId="Tabelacomgrade">
    <w:name w:val="Table Grid"/>
    <w:basedOn w:val="Tabelanormal"/>
    <w:uiPriority w:val="39"/>
    <w:rsid w:val="002F459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bealho">
    <w:name w:val="header"/>
    <w:basedOn w:val="Normal"/>
    <w:link w:val="CabealhoChar1"/>
    <w:uiPriority w:val="99"/>
    <w:semiHidden/>
    <w:unhideWhenUsed/>
    <w:rsid w:val="002E257B"/>
    <w:pPr>
      <w:tabs>
        <w:tab w:val="center" w:pos="4252"/>
        <w:tab w:val="right" w:pos="8504"/>
      </w:tabs>
    </w:pPr>
  </w:style>
  <w:style w:type="character" w:customStyle="1" w:styleId="CabealhoChar1">
    <w:name w:val="Cabeçalho Char1"/>
    <w:basedOn w:val="Fontepargpadro"/>
    <w:link w:val="Cabealho"/>
    <w:uiPriority w:val="99"/>
    <w:semiHidden/>
    <w:rsid w:val="002E257B"/>
    <w:rPr>
      <w:rFonts w:ascii="Times New Roman" w:eastAsia="Times New Roman" w:hAnsi="Times New Roman" w:cs="Times New Roman"/>
      <w:color w:val="00000A"/>
      <w:szCs w:val="20"/>
      <w:lang w:eastAsia="pt-BR"/>
    </w:rPr>
  </w:style>
  <w:style w:type="paragraph" w:styleId="Rodap">
    <w:name w:val="footer"/>
    <w:basedOn w:val="Normal"/>
    <w:link w:val="RodapChar1"/>
    <w:uiPriority w:val="99"/>
    <w:semiHidden/>
    <w:unhideWhenUsed/>
    <w:rsid w:val="002E257B"/>
    <w:pPr>
      <w:tabs>
        <w:tab w:val="center" w:pos="4252"/>
        <w:tab w:val="right" w:pos="8504"/>
      </w:tabs>
    </w:pPr>
  </w:style>
  <w:style w:type="character" w:customStyle="1" w:styleId="RodapChar1">
    <w:name w:val="Rodapé Char1"/>
    <w:basedOn w:val="Fontepargpadro"/>
    <w:link w:val="Rodap"/>
    <w:uiPriority w:val="99"/>
    <w:semiHidden/>
    <w:rsid w:val="002E257B"/>
    <w:rPr>
      <w:rFonts w:ascii="Times New Roman" w:eastAsia="Times New Roman" w:hAnsi="Times New Roman" w:cs="Times New Roman"/>
      <w:color w:val="00000A"/>
      <w:szCs w:val="20"/>
      <w:lang w:eastAsia="pt-BR"/>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sciencedirect.com/science/article/pii/S0362331916300441" TargetMode="External"/><Relationship Id="rId12" Type="http://schemas.openxmlformats.org/officeDocument/2006/relationships/hyperlink" Target="http://ri.search.yahoo.com/_ylt=A0LEVjOYUNFVrrAAr6Yf7At.;_ylu=X3oDMTBya3R2ZmV1BHNlYwNzcgRwb3MDNARjb2xvA2JmMQR2dGlkAw--/RV=2/RE=1439809816/RO=10/RU=http%3A%2F%2Fwww.ecc.conselhonacional.com.br%2Fj%2Findex.php%3Foption%3Dcom_content%26view%3Darticle%26id%3D131%3A-1o-etapa%26catid%3D40%3Aecc%26Itemid%3D65/RK=0/RS=_Ir5grZJIP4ip6DUmVpEOcPxIyo-"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ri.search.yahoo.com/_ylt=A0LEVjOYUNFVrrAAr6Yf7At.;_ylu=X3oDMTBya3R2ZmV1BHNlYwNzcgRwb3MDNARjb2xvA2JmMQR2dGlkAw--/RV=2/RE=1439809816/RO=10/RU=http%3A%2F%2Fwww.ecc.conselhonacional.com.br%2Fj%2Findex.php%3Foption%3Dcom_content%26view%3Darticle%26id%3D131%3A-1o-etapa%26catid%3D40%3Aecc%26Itemid%3D65/RK=0/RS=_Ir5grZJIP4ip6DUmVpEOcPxIyo-"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ri.search.yahoo.com/_ylt=A0LEVjOYUNFVrrAAr6Yf7At.;_ylu=X3oDMTBya3R2ZmV1BHNlYwNzcgRwb3MDNARjb2xvA2JmMQR2dGlkAw--/RV=2/RE=1439809816/RO=10/RU=http%3A%2F%2Fwww.ecc.conselhonacional.com.br%2Fj%2Findex.php%3Foption%3Dcom_content%26view%3Darticle%26id%3D131%3A-1o-etapa%26catid%3D40%3Aecc%26Itemid%3D65/RK=0/RS=_Ir5grZJIP4ip6DUmVpEOcPxIyo-"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ri.search.yahoo.com/_ylt=A0LEVjOYUNFVrrAAr6Yf7At.;_ylu=X3oDMTBya3R2ZmV1BHNlYwNzcgRwb3MDNARjb2xvA2JmMQR2dGlkAw--/RV=2/RE=1439809816/RO=10/RU=http%3A%2F%2Fwww.ecc.conselhonacional.com.br%2Fj%2Findex.php%3Foption%3Dcom_content%26view%3Darticle%26id%3D131%3A-1o-etapa%26catid%3D40%3Aecc%26Itemid%3D65/RK=0/RS=_Ir5grZJIP4ip6DUmVpEOcPxIyo-" TargetMode="External"/><Relationship Id="rId14" Type="http://schemas.openxmlformats.org/officeDocument/2006/relationships/image" Target="media/image3.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9.tiff"/><Relationship Id="rId1" Type="http://schemas.openxmlformats.org/officeDocument/2006/relationships/image" Target="media/image8.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F66F245-FA40-49B8-8392-954E72F37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9589</Words>
  <Characters>51786</Characters>
  <Application>Microsoft Office Word</Application>
  <DocSecurity>0</DocSecurity>
  <Lines>431</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Microsoft Office</dc:creator>
  <cp:lastModifiedBy>Jonatas</cp:lastModifiedBy>
  <cp:revision>3</cp:revision>
  <cp:lastPrinted>2017-09-05T13:44:00Z</cp:lastPrinted>
  <dcterms:created xsi:type="dcterms:W3CDTF">2017-09-10T23:51:00Z</dcterms:created>
  <dcterms:modified xsi:type="dcterms:W3CDTF">2017-09-10T23:52:00Z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