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06053" w14:textId="77777777" w:rsidR="001647F1" w:rsidRPr="008D1CCE" w:rsidRDefault="001647F1" w:rsidP="001647F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D7FBF1" w14:textId="156F0563" w:rsidR="001647F1" w:rsidRPr="008D1CCE" w:rsidRDefault="001647F1" w:rsidP="004E561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Contabilidade Ambiental: um enfoque s</w:t>
      </w:r>
      <w:r w:rsidR="002B5217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obre sua definição a partir de t</w:t>
      </w: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rabalhos do CSEAR</w:t>
      </w:r>
    </w:p>
    <w:p w14:paraId="516CFDBE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Luana Caroline da Silva</w:t>
      </w:r>
    </w:p>
    <w:p w14:paraId="5D4F4D8B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Santa Catarina (UFSC)</w:t>
      </w:r>
    </w:p>
    <w:p w14:paraId="465EC070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luana.s07@hotmail.com</w:t>
      </w:r>
    </w:p>
    <w:p w14:paraId="3C095497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FEFEC5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Andréia </w:t>
      </w:r>
      <w:proofErr w:type="spellStart"/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Cittadin</w:t>
      </w:r>
      <w:proofErr w:type="spellEnd"/>
    </w:p>
    <w:p w14:paraId="6D80A434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do Extremo Sul Catarinense (UNESC)</w:t>
      </w:r>
    </w:p>
    <w:p w14:paraId="7B285A85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aci@unesc.net</w:t>
      </w:r>
    </w:p>
    <w:p w14:paraId="5625956E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E27333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Fabricia</w:t>
      </w:r>
      <w:proofErr w:type="spellEnd"/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Silva da Rosa</w:t>
      </w:r>
    </w:p>
    <w:p w14:paraId="5C6A6E5A" w14:textId="77777777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Santa Catarina (UFSC)</w:t>
      </w:r>
    </w:p>
    <w:p w14:paraId="1B813628" w14:textId="7A18523A" w:rsidR="00834FC6" w:rsidRPr="008D1CCE" w:rsidRDefault="00834FC6" w:rsidP="00834FC6">
      <w:pPr>
        <w:spacing w:after="0" w:line="240" w:lineRule="auto"/>
        <w:jc w:val="right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fabriciasrosa@hotmail.com</w:t>
      </w:r>
    </w:p>
    <w:p w14:paraId="00BD1592" w14:textId="77777777" w:rsidR="00834FC6" w:rsidRPr="008D1CCE" w:rsidRDefault="00834FC6" w:rsidP="007E544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75966FA" w14:textId="0BD035D4" w:rsidR="00834FC6" w:rsidRPr="008D1CCE" w:rsidRDefault="00B600B9" w:rsidP="00F1475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Resumo</w:t>
      </w:r>
    </w:p>
    <w:p w14:paraId="2A26F5F9" w14:textId="17B8F96E" w:rsidR="003760FE" w:rsidRPr="008D1CCE" w:rsidRDefault="003760FE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objetivo</w:t>
      </w:r>
      <w:r w:rsidR="008D6C3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estudo é trazer a definição de contabilidade ambiental a partir de trabalhos </w:t>
      </w:r>
      <w:r w:rsidR="00D469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apresentados no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CSEAR.</w:t>
      </w:r>
      <w:r w:rsidR="00594F6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tanto, realizou-se um </w:t>
      </w:r>
      <w:r w:rsidR="00A92C9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estudo descritivo</w:t>
      </w:r>
      <w:r w:rsidR="00967DD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com abordagem qualitativa</w:t>
      </w:r>
      <w:r w:rsidR="00022DA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67DD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2C9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pesquisa </w:t>
      </w:r>
      <w:r w:rsidR="00215D2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documental </w:t>
      </w:r>
      <w:r w:rsidR="00022DA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nas</w:t>
      </w:r>
      <w:r w:rsidR="005337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conferências organizadas pelo </w:t>
      </w:r>
      <w:r w:rsidR="005337D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Centre </w:t>
      </w:r>
      <w:proofErr w:type="gramStart"/>
      <w:r w:rsidR="005337D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 Social</w:t>
      </w:r>
      <w:proofErr w:type="gramEnd"/>
      <w:r w:rsidR="005337D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 Environmental </w:t>
      </w:r>
      <w:proofErr w:type="spellStart"/>
      <w:r w:rsidR="005337D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="005337D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5337D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Research</w:t>
      </w:r>
      <w:proofErr w:type="spellEnd"/>
      <w:r w:rsidR="005337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CSEAR</w:t>
      </w:r>
      <w:r w:rsidR="00594F6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período de 2003 a 2017. </w:t>
      </w:r>
      <w:r w:rsidR="00BA4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partir das conferências 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="00BA4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identificado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A4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0FA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locais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sede e membros</w:t>
      </w:r>
      <w:r w:rsidR="00BA4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="00BA4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CSEA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BA4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temas e abordagens utilizadas</w:t>
      </w:r>
      <w:r w:rsidR="009328E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A4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rede de pesquisadores</w:t>
      </w:r>
      <w:r w:rsidR="009328E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17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também compõem o comitê organizador 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423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328E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posteriormente</w:t>
      </w:r>
      <w:r w:rsidR="00AD0CE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foram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2D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analisados</w:t>
      </w:r>
      <w:r w:rsidR="00370D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trabalhos </w:t>
      </w:r>
      <w:r w:rsidR="009328E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publicados </w:t>
      </w:r>
      <w:r w:rsidR="00AD0CE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intuito de </w:t>
      </w:r>
      <w:r w:rsidR="00704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fazer um</w:t>
      </w:r>
      <w:r w:rsidR="00D64F8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04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4F8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análise</w:t>
      </w:r>
      <w:r w:rsidR="00704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bibliométric</w:t>
      </w:r>
      <w:r w:rsidR="00D64F8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04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D0CE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cunhar um conceito de</w:t>
      </w:r>
      <w:r w:rsidR="009328E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contabilidade ambiental.</w:t>
      </w:r>
      <w:r w:rsidR="004B41D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D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Ao final do levantamento, identificaram-se 1</w:t>
      </w:r>
      <w:r w:rsidR="00FE6F3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51D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6E0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E6F3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dezesseis</w:t>
      </w:r>
      <w:r w:rsidR="00526E0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E51D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artigos publicados nas conferências alinhados às delimitações postas </w:t>
      </w:r>
      <w:r w:rsidR="002917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nesse estudo</w:t>
      </w:r>
      <w:r w:rsidR="00E51D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209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4B41D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 resulta</w:t>
      </w:r>
      <w:r w:rsidR="00732B0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revelam </w:t>
      </w:r>
      <w:r w:rsidR="00F8209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732B0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conceitos dos autores corroboram entre si, podendo-se definir contabilidade ambiental como um ramo da</w:t>
      </w:r>
      <w:r w:rsidR="00F339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32B0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39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732B0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iência</w:t>
      </w:r>
      <w:r w:rsidR="00F339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 Contábeis</w:t>
      </w:r>
      <w:r w:rsidR="00732B0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permite identificar, mensurar, registrar e evidenciar os fatos de gestão do meio ambiente por organizações, tendo como finalidade apoiar as decisões sobre gestão ambiental</w:t>
      </w:r>
      <w:r w:rsidR="00552D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2B0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B71EEF" w14:textId="77777777" w:rsidR="004B41D1" w:rsidRPr="008D1CCE" w:rsidRDefault="004B41D1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A899F" w14:textId="4283E1BA" w:rsidR="00D308A9" w:rsidRPr="008D1CCE" w:rsidRDefault="00150394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Palavras-chave:</w:t>
      </w:r>
      <w:r w:rsidR="00D308A9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308A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Contabilidade ambiental; CSEAR; Pesquisas científicas.</w:t>
      </w:r>
    </w:p>
    <w:p w14:paraId="58777F53" w14:textId="77777777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E6796" w14:textId="7B5C7C6C" w:rsidR="00B600B9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Linha Temática: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Responsabilidade Social e Ambiental</w:t>
      </w:r>
    </w:p>
    <w:p w14:paraId="261E434E" w14:textId="7208DBC7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E45654" w14:textId="4AD0CA3A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AFA9F" w14:textId="3F9D80A6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D46CF" w14:textId="4D723942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0B6C73" w14:textId="7B4C3896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3D744" w14:textId="18062073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179FF6" w14:textId="2B608572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EC4187" w14:textId="729AAD15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F050D" w14:textId="16A19878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62F7C7" w14:textId="7FC8725E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881A0" w14:textId="57F1AC2B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79B85" w14:textId="68218D12" w:rsidR="00A15D67" w:rsidRPr="008D1CCE" w:rsidRDefault="00A15D67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C62E" w14:textId="77777777" w:rsidR="007B267C" w:rsidRPr="008D1CCE" w:rsidRDefault="007B267C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08C2A2" w14:textId="509E9AE7" w:rsidR="00B600B9" w:rsidRPr="008D1CCE" w:rsidRDefault="00003031" w:rsidP="00F14757">
      <w:pPr>
        <w:pStyle w:val="Ttulo1"/>
        <w:numPr>
          <w:ilvl w:val="0"/>
          <w:numId w:val="2"/>
        </w:numPr>
        <w:spacing w:before="0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</w:t>
      </w:r>
      <w:r w:rsidR="001647F1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ntrodução</w:t>
      </w:r>
    </w:p>
    <w:p w14:paraId="6C233F5E" w14:textId="09B747B8" w:rsidR="00ED3AFA" w:rsidRPr="008D1CCE" w:rsidRDefault="00ED3AFA" w:rsidP="00ED3AFA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 questões ambientais têm motivado o crescente interesse das empresas, da comunidade acadêmica, dos órgãos de regulação contábil, entre outros, sobre a área da Contabilidade Socioambiental (</w:t>
      </w:r>
      <w:r w:rsidR="009313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athews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1997, 2003 e 2004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13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ray,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2002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13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eegan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2002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13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arker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2005</w:t>
      </w:r>
      <w:r w:rsidR="00383AC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2011).</w:t>
      </w:r>
    </w:p>
    <w:p w14:paraId="751F6BDC" w14:textId="3B411B59" w:rsidR="000341A9" w:rsidRPr="008D1CCE" w:rsidRDefault="00ED3AFA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1C28D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êm</w:t>
      </w:r>
      <w:r w:rsidR="00403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ganhando maior relevância nos últimos anos, inclusive </w:t>
      </w:r>
      <w:r w:rsidR="00265D7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no contexto</w:t>
      </w:r>
      <w:r w:rsidR="00403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54D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econômico e </w:t>
      </w:r>
      <w:r w:rsidR="00403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socioambienta</w:t>
      </w:r>
      <w:r w:rsidR="00BF602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031E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levando as or</w:t>
      </w:r>
      <w:r w:rsidR="001C28D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ganizações a maior </w:t>
      </w:r>
      <w:r w:rsidR="00BF602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preocupação </w:t>
      </w:r>
      <w:r w:rsidR="00E91E1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os </w:t>
      </w:r>
      <w:r w:rsidR="001C28D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aspectos relacionados a proteção, preservação e recuperação do meio ambiente.</w:t>
      </w:r>
    </w:p>
    <w:p w14:paraId="5179BACD" w14:textId="135A0190" w:rsidR="005B2FC1" w:rsidRPr="008D1CCE" w:rsidRDefault="005B2FC1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atingir este objetivo é necessário a implantação </w:t>
      </w:r>
      <w:r w:rsidR="00910B4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gestão ambiental, </w:t>
      </w:r>
      <w:r w:rsidR="00BF602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oportunize o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r w:rsidR="001E3A1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BF602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impacto d</w:t>
      </w:r>
      <w:r w:rsidR="00806CD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atividades produtivas sobre o meio ambiente (S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antos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al, 2001). </w:t>
      </w:r>
      <w:r w:rsidR="00910B4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contabilidade é considerada uma </w:t>
      </w:r>
      <w:r w:rsidR="00806CD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importante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ferramenta para este processo</w:t>
      </w:r>
      <w:r w:rsidR="00910B4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7792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pois permite</w:t>
      </w:r>
      <w:r w:rsidR="00910B4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identificar, mensurar, registrar e evidenciar os fatos de gestão do meio ambiente por organizações, tendo como finalidade apoiar as decisões sobre gestão ambiental. </w:t>
      </w:r>
      <w:r w:rsidR="007F4AA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Abrange</w:t>
      </w:r>
      <w:r w:rsidR="00910B4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planejamento, controle e gerenciamento de políticas organizacionais, práticas e procedimentos contábeis que visam o desenvolvimento sustentável</w:t>
      </w:r>
      <w:r w:rsidR="002515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54AD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Santos, 2001</w:t>
      </w:r>
      <w:r w:rsidR="002515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6002942" w14:textId="5DAB4B55" w:rsidR="00D55DCC" w:rsidRPr="008D1CCE" w:rsidRDefault="00C25D3C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8360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ão pelo menos duas as razões para dar atenção às questões da Contabilidade Ambiental: a primeira é que as diferenças entre questões voltadas para o meio ambiente e questões sociais é puramente artificial; e a segunda diz respeito ao impulso relativo à publicação de relatórios ambientais, que inevitavelmente atraiu interesse para a Contabilidade Ambiental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Gray &amp; </w:t>
      </w:r>
      <w:proofErr w:type="spellStart"/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Bebbington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2001)</w:t>
      </w:r>
      <w:r w:rsidR="00D8360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3B9A34" w14:textId="25522E44" w:rsidR="001C2B7F" w:rsidRPr="008D1CCE" w:rsidRDefault="001C2B7F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pesquisas desenvolvidas por Gray e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Bebbington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(2001) trouxeram grande impulso para a Contabilidade Ambiental, a partir da sistematização</w:t>
      </w:r>
      <w:r w:rsidR="00AA05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estudos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 ensino e das práticas de Contabilidade Ambiental desenvolvidas pelo </w:t>
      </w:r>
      <w:r w:rsidR="00AA05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entro de </w:t>
      </w:r>
      <w:r w:rsidR="00AA05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esquisas </w:t>
      </w:r>
      <w:r w:rsidR="005B379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Contabilidade Soci</w:t>
      </w:r>
      <w:r w:rsidR="00FA30E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e </w:t>
      </w:r>
      <w:r w:rsidR="003614D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mbiental, o CSEAR (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Centre </w:t>
      </w:r>
      <w:proofErr w:type="gram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 Social</w:t>
      </w:r>
      <w:proofErr w:type="gram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Environmental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Research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B41A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C976C77" w14:textId="77B13628" w:rsidR="003B41A3" w:rsidRPr="008D1CCE" w:rsidRDefault="009E5607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CSEAR é uma rede internacional baseada em membros que visa mobilizar estudos contábeis para possibilitar uma sociedade mais sustentável.</w:t>
      </w:r>
      <w:r w:rsidR="003B41A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B41A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ongrega cerca de 600 pesquisadores de 30 países para o desenvolvimento de estudos em contabilidade social e ambiental, gestão ambiental, desenvolvimento sustentável e outros temas correlatos. Criado em 1991 é </w:t>
      </w:r>
      <w:r w:rsidR="00D859A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atualmente </w:t>
      </w:r>
      <w:r w:rsidR="003B41A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mais importante centro mundial de pesquisas de Contabilidade Socioambiental</w:t>
      </w:r>
      <w:r w:rsidR="00C51D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R</w:t>
      </w:r>
      <w:r w:rsidR="00DE603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ealiza conferências em todo o mundo</w:t>
      </w:r>
      <w:r w:rsidR="00BC08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 fim de gerar e disseminar conhecimento sobre contabilidade e responsabilidade social e ambiental como forma de prever e permitir uma sociedade sustentável.</w:t>
      </w:r>
    </w:p>
    <w:p w14:paraId="58291E8B" w14:textId="04A21E73" w:rsidR="00D47171" w:rsidRPr="008D1CCE" w:rsidRDefault="00F262FC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Diante disto, </w:t>
      </w:r>
      <w:r w:rsidR="004A0EF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surge </w:t>
      </w:r>
      <w:r w:rsidR="00C575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seguinte </w:t>
      </w:r>
      <w:r w:rsidR="00C575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questão de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pesquisa: qual a definição de Contabilidade Ambiental a partir de trabalhos do CSEAR? Desta forma, o presente artigo tem como objetivo geral trazer a definição de contabilidade ambiental segundo as pesquisas </w:t>
      </w:r>
      <w:r w:rsidR="000E364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científicas publicadas no CSEAR.</w:t>
      </w:r>
      <w:r w:rsidR="006021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tanto</w:t>
      </w:r>
      <w:r w:rsidR="00E101F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021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 traçados os seguintes objetivos específicos: i) </w:t>
      </w:r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descrever as características das conferências realizadas; </w:t>
      </w:r>
      <w:proofErr w:type="spellStart"/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 identificar as pesquisas efetuadas</w:t>
      </w:r>
      <w:r w:rsidR="001E3A1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pelos</w:t>
      </w:r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autores que fazem parte do comitê organizacional; e </w:t>
      </w:r>
      <w:proofErr w:type="spellStart"/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iii</w:t>
      </w:r>
      <w:proofErr w:type="spellEnd"/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 comparar os conceitos sobre contabilidade ambiental apresentados nesses trabalhos.</w:t>
      </w:r>
    </w:p>
    <w:p w14:paraId="3C85AA84" w14:textId="60A95A50" w:rsidR="00D8360D" w:rsidRPr="008D1CCE" w:rsidRDefault="00950150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estudo se justifica d</w:t>
      </w:r>
      <w:r w:rsidR="00EB2E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evido à importância da contabilidade ambiental tanto para as organizações quanto para a sociedade em geral</w:t>
      </w:r>
      <w:r w:rsidR="00517AA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eficiente aplicação dos conceitos de contabilidade ambiental além de fazer com que as empresas ganhem vantagem competitiva</w:t>
      </w:r>
      <w:r w:rsidR="00802B2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colabora na sustentabilidade do planeta, </w:t>
      </w:r>
      <w:r w:rsidR="00023CC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em um</w:t>
      </w:r>
      <w:r w:rsidR="00802B2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momento em que se verifica </w:t>
      </w:r>
      <w:r w:rsidR="000F473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5448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 questões ambientais têm</w:t>
      </w:r>
      <w:r w:rsidR="00466B6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tornado uma preocupação constante de estudiosos e da população como um todo.</w:t>
      </w:r>
    </w:p>
    <w:p w14:paraId="7FD20BB2" w14:textId="05D6A5E3" w:rsidR="001A1C40" w:rsidRPr="008D1CCE" w:rsidRDefault="001A1C40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Nesse contexto, cabe investigar como se configuram as pesquisas </w:t>
      </w:r>
      <w:r w:rsidR="007614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um dos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principa</w:t>
      </w:r>
      <w:r w:rsidR="007614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evento</w:t>
      </w:r>
      <w:r w:rsidR="007614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10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internacionais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área, identificando </w:t>
      </w:r>
      <w:r w:rsidR="00FE56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pesquisadores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compõem o comitê organizador das conferências, os temas abordados, as principais pesquisas realizadas por </w:t>
      </w:r>
      <w:r w:rsidR="00FE56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estes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as redes de autores, </w:t>
      </w:r>
      <w:r w:rsidR="0075286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e, sobretudo a definição de Contabilidade Ambiental.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EEB52A2" w14:textId="647787AD" w:rsidR="0077504F" w:rsidRPr="008D1CCE" w:rsidRDefault="0077504F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Esse artigo este estruturado em cinco seções, incluindo essa introdução. A segunda seção apresenta o referencial teórico que aborda aspectos da Contabilidade Ambiental e do CSEAR</w:t>
      </w:r>
      <w:r w:rsidR="009D6EF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Na terceira seção é exposta a metodologia da pesquisa; a quarta traz a </w:t>
      </w:r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apresentação e </w:t>
      </w:r>
      <w:r w:rsidR="009D6EF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discussão dos resultados; e na quinta seção </w:t>
      </w:r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tem-se </w:t>
      </w:r>
      <w:r w:rsidR="00B059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 considerações finais, limitações da pesquisa e sugestões para futur</w:t>
      </w:r>
      <w:r w:rsidR="009A16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estudos</w:t>
      </w:r>
      <w:r w:rsidR="00B059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CDF208" w14:textId="77777777" w:rsidR="00EB2E22" w:rsidRPr="008D1CCE" w:rsidRDefault="00EB2E22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B0D5F" w14:textId="201D835F" w:rsidR="00B600B9" w:rsidRPr="008D1CCE" w:rsidRDefault="001647F1" w:rsidP="00F14757">
      <w:pPr>
        <w:pStyle w:val="Ttulo1"/>
        <w:numPr>
          <w:ilvl w:val="0"/>
          <w:numId w:val="2"/>
        </w:numPr>
        <w:spacing w:before="0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Referencial Teórico</w:t>
      </w:r>
    </w:p>
    <w:p w14:paraId="37CCE801" w14:textId="77777777" w:rsidR="00003031" w:rsidRPr="008D1CCE" w:rsidRDefault="00003031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D36D2" w14:textId="77777777" w:rsidR="003B5E77" w:rsidRPr="008D1CCE" w:rsidRDefault="00150394" w:rsidP="00F14757">
      <w:pPr>
        <w:pStyle w:val="Ttulo2"/>
        <w:numPr>
          <w:ilvl w:val="1"/>
          <w:numId w:val="2"/>
        </w:numPr>
        <w:spacing w:before="0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Contabilidade Ambiental</w:t>
      </w:r>
    </w:p>
    <w:p w14:paraId="4B6CAB11" w14:textId="41F1C5AE" w:rsidR="00003031" w:rsidRPr="008D1CCE" w:rsidRDefault="008D3EC5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questões de contabilidade </w:t>
      </w:r>
      <w:r w:rsidR="00FC4BA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ambiental </w:t>
      </w:r>
      <w:r w:rsidR="0005761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surgiram </w:t>
      </w:r>
      <w:r w:rsidR="007909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literatura contábil </w:t>
      </w:r>
      <w:r w:rsidR="0005761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na década de 1970</w:t>
      </w:r>
      <w:r w:rsidR="007909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alixto</w:t>
      </w:r>
      <w:r w:rsidR="007909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2004)</w:t>
      </w:r>
      <w:r w:rsidR="00CE026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desde então são demonstrados vínculos entre literatura de desenvolvimento sustentável e contabilidade</w:t>
      </w:r>
      <w:r w:rsidR="00AF4D7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Bebbington</w:t>
      </w:r>
      <w:proofErr w:type="spellEnd"/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Larrinaga</w:t>
      </w:r>
      <w:proofErr w:type="spellEnd"/>
      <w:r w:rsidR="00AF4D7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2014)</w:t>
      </w:r>
      <w:r w:rsidR="00CE026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D314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57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 acordo com Ferreira (2011), o que motivou o surgimento da contabilidade ambiental foram os problemas ligados às questões ambientais que as gestões de empresas vinham enfrentando, principalmente a partir da década de 90, quando ficou mais acentuada a gravidade dos problemas inerentes ao meio ambiente.</w:t>
      </w:r>
    </w:p>
    <w:p w14:paraId="48CA79E3" w14:textId="02F200C4" w:rsidR="00866592" w:rsidRPr="008D1CCE" w:rsidRDefault="00866592" w:rsidP="0086659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denominada Contabilidade Ambiental passou a ser um dos ramos de estudos das Ciências Contábeis em fevereiro de 1998 por meio do Relatório Financeiro e Contábil sobre Passivo e Custos Ambientais, de responsabilidade do ISAR, permitindo a realização de pesquisas utilizando-se da mesma metodologia da contabilidade tradicional, podendo gerar conhecimento e trazendo diferentes aspectos da gestão, que tenham por finalidade</w:t>
      </w:r>
      <w:r w:rsidR="005A2FD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vertente da sustentabilidade (</w:t>
      </w:r>
      <w:proofErr w:type="spellStart"/>
      <w:r w:rsidR="005A2FD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Zanluca</w:t>
      </w:r>
      <w:proofErr w:type="spellEnd"/>
      <w:r w:rsidR="005A2FD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2011</w:t>
      </w:r>
      <w:r w:rsidR="0095055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A2FD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D5FF8B" w14:textId="7BB2F613" w:rsidR="00D20157" w:rsidRPr="008D1CCE" w:rsidRDefault="00C06A8B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concepção de </w:t>
      </w:r>
      <w:r w:rsidR="00C12DC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et.al. (2001)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C12DC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contabilidade ambiental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define-se </w:t>
      </w:r>
      <w:r w:rsidR="00C12DC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como uma área da contabilidade que estuda o patrimônio ambiental das entidades e fornece aos seus usuários informações sobre os eventos ambientais que causam modificações na situação patrimonial.</w:t>
      </w:r>
    </w:p>
    <w:p w14:paraId="2FDF317E" w14:textId="1B9721E7" w:rsidR="008E28A2" w:rsidRPr="008D1CCE" w:rsidRDefault="00763D86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Tinoco e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Kraemer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(2004) sustentam que </w:t>
      </w:r>
      <w:r w:rsidR="007455D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objetivo da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Contabilidade Ambiental</w:t>
      </w:r>
      <w:r w:rsidR="007455D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evidenciar e espelhar a relação das empresas com o meio ambiente.</w:t>
      </w:r>
      <w:r w:rsidR="005301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28A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acordo com Ribeiro (2005, p. 45), o objetivo da </w:t>
      </w:r>
      <w:r w:rsidR="00320A1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E28A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ontabilidade </w:t>
      </w:r>
      <w:r w:rsidR="00320A1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E28A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mbiental é “identificar, mensurar e esclarecer os eventos e transações econômico-financeiras que estejam relacionados com a proteção, preservação e recuperação ambiental, ocorridos em um determinado período, visando à evidenciação da situação patrimonial de uma entidade”.</w:t>
      </w:r>
    </w:p>
    <w:p w14:paraId="207A6F84" w14:textId="0D12BDBF" w:rsidR="00AF4D79" w:rsidRPr="008D1CCE" w:rsidRDefault="00AF4D79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Segundo Carvalho (2008), a contabilidade ambiental pode ser definida como o destaque dado pela</w:t>
      </w:r>
      <w:r w:rsidR="005301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01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iência</w:t>
      </w:r>
      <w:r w:rsidR="005301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01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ontáb</w:t>
      </w:r>
      <w:r w:rsidR="005301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eis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aos registros e evidenciações da entidade referentes aos fatos relacionados com o meio ambiente</w:t>
      </w:r>
      <w:r w:rsidR="00D72B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não se configurando em nenhuma nova técnica ou ciência</w:t>
      </w:r>
      <w:r w:rsidR="00DC5DC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mas em uma vertente da contabilidade.</w:t>
      </w:r>
    </w:p>
    <w:p w14:paraId="1414CC09" w14:textId="77777777" w:rsidR="00DC5DCB" w:rsidRPr="008D1CCE" w:rsidRDefault="00DC5DCB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Reforçando esse conceito Ferreira (2006) frisa que a contabilidade ambiental não se refere a uma nova contabilidade, mas sim um conjunto de informações em termos econômicos, modificando em suas ações seu patrimônio.</w:t>
      </w:r>
    </w:p>
    <w:p w14:paraId="7CE427C5" w14:textId="77777777" w:rsidR="00057616" w:rsidRPr="008D1CCE" w:rsidRDefault="00AF4D79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Para Paiva (200</w:t>
      </w:r>
      <w:r w:rsidR="00AF3C1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), a contabilidade ambiental é a atividade de identificação de dados e registro de eventos ambientais, processamento e geração de informações que subsidiem o usuário servindo como parâmetro para suas decisões.</w:t>
      </w:r>
    </w:p>
    <w:p w14:paraId="57D69ABD" w14:textId="3B1FD67B" w:rsidR="00AF4D79" w:rsidRPr="008D1CCE" w:rsidRDefault="00AF4D79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Costa (2012) aborda que a contabilidade ambiental é a contabilização dos benefícios e prejuízos que o desenvolvimento de um produto ou serviços pode trazer ao meio ambiente.</w:t>
      </w:r>
    </w:p>
    <w:p w14:paraId="5EFB2D55" w14:textId="4F73EE2C" w:rsidR="00DE603D" w:rsidRPr="008D1CCE" w:rsidRDefault="00AF4D79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Zanluca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</w:t>
      </w:r>
      <w:r w:rsidR="00886A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), a Contabilidade Ambiental é o registro de bens, direitos e obrigações ambientais de determinada entidade e suas respectivas mutações expressos monetariamente, com o objetivo de</w:t>
      </w:r>
      <w:r w:rsidR="0047609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oferecer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regulares aos usuários internos e externos acerca dos eventos ambientais que causaram </w:t>
      </w:r>
      <w:r w:rsidR="0047609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mudanças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situação patrimonial da respectiva entidade. </w:t>
      </w:r>
    </w:p>
    <w:p w14:paraId="65070C90" w14:textId="77777777" w:rsidR="00C32E7C" w:rsidRPr="008D1CCE" w:rsidRDefault="00C32E7C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 acordo com Lins (2015), a contabilidade socioambiental pode ser definida como um instrumento de mensuração e acompanhamento dos gastos voltados à preservação e mitigação dos danos ambientais e ainda na avaliação de desempenho, devidamente integrada e coordenada com a contabilidade financeira, abrangendo desde a avaliação e classificação dos fornecedores sob a ótica ambiental para a aquisição de insumos, até a destinação dos descartes dos seus produtos pelos seus consumidores.</w:t>
      </w:r>
    </w:p>
    <w:p w14:paraId="116EDC40" w14:textId="6DDBD31B" w:rsidR="00AF4D79" w:rsidRPr="008D1CCE" w:rsidRDefault="003F03F2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Para Lima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Ferreira (2017), a contabilidade socioambiental trata dos eventos e transações que reflitam as interações da entidade com o meio ambiente, e, consequentemente, com a sociedade. </w:t>
      </w:r>
    </w:p>
    <w:p w14:paraId="65044842" w14:textId="77777777" w:rsidR="000100CA" w:rsidRPr="008D1CCE" w:rsidRDefault="000100CA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a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Environmental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Protection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Agency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(EPA) (2011), a Contabilidade Ambiental possui muitos significados e usos que podem abranger a Contabilidade Nacional (</w:t>
      </w:r>
      <w:r w:rsidR="00F93A8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mensura as atividades macroeconômicas de um país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), a Contabilidade Financeira (foco no usuário externo) e a Contabilidade Gerencial (foco no usuário interno).</w:t>
      </w:r>
    </w:p>
    <w:p w14:paraId="7054F0FA" w14:textId="77777777" w:rsidR="00F93A8B" w:rsidRPr="008D1CCE" w:rsidRDefault="00F93A8B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contabilidade ambiental é composta pelos grupos das contas patrimoniais: </w:t>
      </w:r>
      <w:r w:rsidR="00C0760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tivo ambiental e passivo ambiental e as </w:t>
      </w:r>
      <w:r w:rsidR="00C0760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ontas de resultado: receita ambiental e custos (despesas) ambiental.</w:t>
      </w:r>
    </w:p>
    <w:p w14:paraId="05ADA155" w14:textId="70EBE241" w:rsidR="00C07605" w:rsidRPr="008D1CCE" w:rsidRDefault="00C07605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considerados ativos ambientais todos os bens e direitos destinados ou provenientes da atividade de gerenciamento ambiental, podendo estar na forma de capital circulante ou capital fixo. </w:t>
      </w:r>
      <w:r w:rsidR="001E2F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Ribeiro (2010) conceitua os ativos ambientais como sendo constituídos por todos os bens e direitos possuídos pelas empresas, que tenham capacidade de geração de benefícios econômicos em períodos futuros e que visem à preservação, proteção e recuperação ambiental.</w:t>
      </w:r>
    </w:p>
    <w:p w14:paraId="7112ECC1" w14:textId="7CA60CEC" w:rsidR="00C07605" w:rsidRPr="008D1CCE" w:rsidRDefault="00C07605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Passivo ambiental é toda obrigação contraída voluntária ou involuntariamente destinada a aplicação em ações de controle, preservação e recuperação do meio ambiente, originando, como contrapartida, um ativo ou custo ambiental</w:t>
      </w:r>
      <w:r w:rsidR="00481E3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antos</w:t>
      </w:r>
      <w:r w:rsidR="00481E3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</w:t>
      </w:r>
      <w:r w:rsidR="006F5EE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81E3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2001)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6609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Sousa e Ribeiro (2004) os passivos ambientais </w:t>
      </w:r>
      <w:r w:rsidR="00C836E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caracterizados pelos gastos gerados com o intuito de promover o controle dos impactos ambientais causados pela atuação da empresa, e </w:t>
      </w:r>
      <w:r w:rsidR="0056609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surgem como contrapartida dos seus respectivos ativos ambientais</w:t>
      </w:r>
      <w:r w:rsidR="00C836E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118EC3" w14:textId="58A41C8D" w:rsidR="00287D6E" w:rsidRPr="008D1CCE" w:rsidRDefault="00BF44C3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 r</w:t>
      </w:r>
      <w:r w:rsidR="004E62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eceitas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4E62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mbientais são os recursos auferidos pela entidade, em decorrência da venda de seus subprodutos ou de materiais reciclados (C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osta,</w:t>
      </w:r>
      <w:r w:rsidR="004E62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2012)</w:t>
      </w:r>
      <w:r w:rsidR="00AC1E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222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Tinoco e </w:t>
      </w:r>
      <w:proofErr w:type="spellStart"/>
      <w:r w:rsidR="00A222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Kraemer</w:t>
      </w:r>
      <w:proofErr w:type="spellEnd"/>
      <w:r w:rsidR="00A222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(2004) </w:t>
      </w:r>
      <w:r w:rsidR="00F47A5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descrevem as receitas ambientais como as </w:t>
      </w:r>
      <w:r w:rsidR="00A222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decorre</w:t>
      </w:r>
      <w:r w:rsidR="00F47A5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ntes</w:t>
      </w:r>
      <w:r w:rsidR="00A222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prestação de serviço especializado em gestão ambiental, venda de produtos elaborados de sobras de insumos ou de reciclados, aproveitamento de gases e calor, redução do consumo de energia e água</w:t>
      </w:r>
      <w:r w:rsidR="0081127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711F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ainda o ganho de mercado que a empresa adquire no momento de reconhecimento da opinião pública sobre sua política </w:t>
      </w:r>
      <w:r w:rsidR="00F47A5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ambiental.</w:t>
      </w:r>
    </w:p>
    <w:p w14:paraId="029EC95A" w14:textId="580067BC" w:rsidR="00C07605" w:rsidRPr="008D1CCE" w:rsidRDefault="00C07605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Custos e despesas ambientais são gastos aplicados direta ou indiretamente no sistema de gerenciamento ambiental do processo produtivo e em atividades ecológicas da empresa. Quando aplicados diretamente na produção, estes gastos são classificados como custo e se forem aplicados de forma indireta são </w:t>
      </w:r>
      <w:r w:rsidR="000655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denominados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 despesa.</w:t>
      </w:r>
      <w:r w:rsidR="00EB285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Carvalho (2007, p. 140), refere-se às despesas ambientais como “todos os gastos efetuados pela empresa que tenham relação </w:t>
      </w:r>
      <w:r w:rsidR="00EB285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 o meio ambiente, ocorridos no período, e que não estejam diretamente relacionados com a atividade produtiva da entidade.”</w:t>
      </w:r>
    </w:p>
    <w:p w14:paraId="209F3493" w14:textId="22988944" w:rsidR="00DE603D" w:rsidRPr="008D1CCE" w:rsidRDefault="000100CA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Considerando-se a relevância dessa temática e sua complexidade, ressalta-se a necessidade de enfatizar a definição d</w:t>
      </w:r>
      <w:r w:rsidR="00A6644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contabilidade ambiental, tendo </w:t>
      </w:r>
      <w:r w:rsidR="00B7578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vista o papel relevante no </w:t>
      </w:r>
      <w:r w:rsidR="00EB244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cotidiano </w:t>
      </w:r>
      <w:r w:rsidR="00B7578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das empresas, pois se torna responsável por apurar, mensurar e registrar os fatos relacionados com o meio ambiente.</w:t>
      </w:r>
    </w:p>
    <w:p w14:paraId="16B0ABB2" w14:textId="77777777" w:rsidR="00F55236" w:rsidRPr="008D1CCE" w:rsidRDefault="00F55236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B7904D" w14:textId="77777777" w:rsidR="00B600B9" w:rsidRPr="008D1CCE" w:rsidRDefault="00666E29" w:rsidP="001953A8">
      <w:pPr>
        <w:pStyle w:val="Ttulo2"/>
        <w:numPr>
          <w:ilvl w:val="1"/>
          <w:numId w:val="2"/>
        </w:numPr>
        <w:spacing w:before="0" w:line="24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Centro de Pesquisa em Contabilidade Social e Ambiental </w:t>
      </w:r>
      <w:r w:rsidR="00D55DCC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="00150394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CSEAR</w:t>
      </w:r>
    </w:p>
    <w:p w14:paraId="27279C23" w14:textId="57BA6926" w:rsidR="00D55DCC" w:rsidRPr="008D1CCE" w:rsidRDefault="00600C30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Centro de Pesquisa em Contabilidade Social e Ambiental (CSEAR), foi criado em 1991 por Rob Gray</w:t>
      </w:r>
      <w:r w:rsidR="00A36D2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Gray, </w:t>
      </w:r>
      <w:r w:rsidR="001903A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A36D2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é o primeiro pesquisador a escrever um livro sobre Contabilidade Ambiental</w:t>
      </w:r>
      <w:r w:rsidR="001903A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Esse</w:t>
      </w:r>
      <w:r w:rsidR="00A36D2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autor </w:t>
      </w:r>
      <w:r w:rsidR="001903A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possui</w:t>
      </w:r>
      <w:r w:rsidR="00A36D2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de 300 publicações sobre o tema, como</w:t>
      </w:r>
      <w:r w:rsidR="001903A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36D2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for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Environment</w:t>
      </w:r>
      <w:proofErr w:type="spellEnd"/>
      <w:r w:rsidR="00A36D2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Financial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="00A36D2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practice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principles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FC14F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accountability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: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Changes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challenges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corporate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social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environmental</w:t>
      </w:r>
      <w:proofErr w:type="spellEnd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36D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reporting</w:t>
      </w:r>
      <w:proofErr w:type="spellEnd"/>
      <w:r w:rsidR="00DA264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até hoje é líder nas pesquisas dessa área.</w:t>
      </w:r>
    </w:p>
    <w:p w14:paraId="359DAD1A" w14:textId="77777777" w:rsidR="00DA2648" w:rsidRPr="008D1CCE" w:rsidRDefault="00DA2648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CSEAR</w:t>
      </w:r>
      <w:r w:rsidR="007F6E6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centro de pesquisas que congrega cerca de 600 pesquisadores de 30 países para o desenvolvimento de estudos em contabilidade social e ambiental, gestão ambiental, desenvolvimento sustentável e outros temas afins.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6E6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ornou-se o mais importante centro mundial de pesquisas de Contabilidade Socioambiental, vinculado à Escola de Gestão da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University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St. Andrews.</w:t>
      </w:r>
    </w:p>
    <w:p w14:paraId="7D0695BC" w14:textId="77777777" w:rsidR="00FE1B2D" w:rsidRPr="008D1CCE" w:rsidRDefault="00FE1B2D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Tem como visão ser uma comunidade global de estudiosos reconhecidos mundialmente, que se envolvem com estudantes, ativistas, profissionais, decisores políticos e outros grupos interessados, a fim de gerar e disseminar conhecimento sobre contabilidade e responsabilidade social e ambiental como forma de prever e permitir uma sociedade sustentável.</w:t>
      </w:r>
    </w:p>
    <w:p w14:paraId="00AB3E98" w14:textId="2560AA94" w:rsidR="00FE1B2D" w:rsidRPr="008D1CCE" w:rsidRDefault="00FE1B2D" w:rsidP="00F14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Sua missão é incentivar e facilitar a alta qualidade, a pesquisa relevante, ensino e envolvimento externo com práticas e políticas </w:t>
      </w:r>
      <w:r w:rsidR="008729F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meio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desenvolvimento de conhecimento, competências, recursos e uma rede de apoio para orientação e desenvolvimento de carreira. Além disso, realizar conferências </w:t>
      </w:r>
      <w:r w:rsidR="00FC5F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B66E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Reino Unido (UK)</w:t>
      </w:r>
      <w:r w:rsidR="00B66E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 em todo o mundo.</w:t>
      </w:r>
    </w:p>
    <w:p w14:paraId="7E3F7236" w14:textId="3BD1BB5D" w:rsidR="004523FB" w:rsidRPr="008D1CCE" w:rsidRDefault="00D979AA" w:rsidP="00616A7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Dentre seus principais valores tem-se: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accountability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respeito, integridade, sustentabilidade, transparência, qualidade e excelência.</w:t>
      </w:r>
    </w:p>
    <w:p w14:paraId="780DA19E" w14:textId="77777777" w:rsidR="00616A7D" w:rsidRPr="008D1CCE" w:rsidRDefault="00616A7D" w:rsidP="00616A7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0D7621" w14:textId="032356DF" w:rsidR="004523FB" w:rsidRPr="008D1CCE" w:rsidRDefault="001647F1" w:rsidP="00616A7D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Metodologia da Pesquisa </w:t>
      </w:r>
    </w:p>
    <w:p w14:paraId="1679BB37" w14:textId="77777777" w:rsidR="004523FB" w:rsidRPr="008D1CCE" w:rsidRDefault="004523FB" w:rsidP="00616A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estudo tem caráter descritivo, efetuado mediante análise qualitativa e procedimento documental, com o objetivo de identificar as características da produção científica e o conceito de contabilidade ambiental nos trabalhos apresentados no CSEAR.</w:t>
      </w:r>
    </w:p>
    <w:p w14:paraId="570FDDAF" w14:textId="27AA59A4" w:rsidR="004523FB" w:rsidRPr="008D1CCE" w:rsidRDefault="004523FB" w:rsidP="00F1475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pesquisa descritiva visa apresentar as características de determinada população ou fenômeno e estabelecer relações entre variáveis (G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2002). A abordagem qualitativa permite descrever a complexidade de problemas, analisar a interação de variáveis, compreender e classificar processos vividos por grupos sociais (R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ichardson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1999).</w:t>
      </w:r>
    </w:p>
    <w:p w14:paraId="16B85EF7" w14:textId="55751340" w:rsidR="004523FB" w:rsidRPr="008D1CCE" w:rsidRDefault="004523FB" w:rsidP="00F1475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pesquisa documental baseia-se em materiais que ainda não receberam tratamento analítico ou que podem ser retrabalhados conforme os objetivos do estudo (G</w:t>
      </w:r>
      <w:r w:rsidR="007E7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2002).  Desse modo, foi realizada busca no site do CSEAR, no mês de novembro de 2017, no intuito de identificar o número de conferências por local de realização </w:t>
      </w:r>
      <w:r w:rsidR="000E558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desses eventos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períodos, principais temáticas abordadas, </w:t>
      </w:r>
      <w:r w:rsidR="002E0F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comissões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organizador</w:t>
      </w:r>
      <w:r w:rsidR="002E0F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 do evento, publicações, principais palavras-chave, entre outros.</w:t>
      </w:r>
    </w:p>
    <w:p w14:paraId="3A1FDBC9" w14:textId="0B95D7DC" w:rsidR="004523FB" w:rsidRPr="008D1CCE" w:rsidRDefault="004523FB" w:rsidP="00F14757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Foram identificados 11</w:t>
      </w:r>
      <w:r w:rsidR="002E0F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(onze) locais de conferências</w:t>
      </w:r>
      <w:r w:rsidR="00ED1CA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12 países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 saber: Australásia, que contempla Austrália e Nova Zelândia; China; Reino Unido</w:t>
      </w:r>
      <w:r w:rsidR="00AF3D0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Finlândia; França; Itália; </w:t>
      </w:r>
      <w:r w:rsidR="00AF3D0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Amé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rica do Norte (USA e Canadá); Portugal; Am</w:t>
      </w:r>
      <w:r w:rsidR="003D1CA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rica do Sul (Brasil); e Espanha. No total foram encontradas 69 (sessenta e nove) conferências</w:t>
      </w:r>
      <w:r w:rsidR="002E0F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7793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0FC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87793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período de 2003 a 2017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resultaram em 1.398 (um mil, trezentos e noventa e oito) trabalhos, </w:t>
      </w:r>
      <w:r w:rsidR="00011AB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compondo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população dessa pesquisa.</w:t>
      </w:r>
    </w:p>
    <w:p w14:paraId="5481234D" w14:textId="094FD005" w:rsidR="00E44675" w:rsidRPr="008D1CCE" w:rsidRDefault="004523FB" w:rsidP="00340FD8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Para seleção da amostra dos artigos optou-se</w:t>
      </w:r>
      <w:r w:rsidR="00E4467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</w:t>
      </w:r>
      <w:r w:rsidR="00E4467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critério de acessibilidade,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identificar a rede de autores que fazem parte da organização do CSEAR</w:t>
      </w:r>
      <w:r w:rsidR="00374B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7CF4AB5" w14:textId="33B1E492" w:rsidR="00396374" w:rsidRPr="008D1CCE" w:rsidRDefault="00637C77" w:rsidP="00777303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Cabe destacar que há uma </w:t>
      </w:r>
      <w:r w:rsidR="003D6D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significativa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limitação no</w:t>
      </w:r>
      <w:r w:rsidR="001F3E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4B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dados disponibilizados pelo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site</w:t>
      </w:r>
      <w:r w:rsidR="00374B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CSEAR, </w:t>
      </w:r>
      <w:r w:rsidR="001F3E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vez que </w:t>
      </w:r>
      <w:r w:rsidR="00374B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 69 (sessenta e nove) conferências foi possível identificar o comitê organizacional de </w:t>
      </w:r>
      <w:r w:rsidR="001F3E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somente</w:t>
      </w:r>
      <w:r w:rsidR="00BD47F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22 (vinte e dois) eventos</w:t>
      </w:r>
      <w:r w:rsidR="00F403A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Com base nisso, fo</w:t>
      </w:r>
      <w:r w:rsidR="00C456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 encontrada uma rede composta por</w:t>
      </w:r>
      <w:r w:rsidR="00F403A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087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79</w:t>
      </w:r>
      <w:r w:rsidR="009423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4B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(setenta e </w:t>
      </w:r>
      <w:r w:rsidR="003B087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nov</w:t>
      </w:r>
      <w:r w:rsidR="0089083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74B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F3E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637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membros</w:t>
      </w:r>
      <w:r w:rsidR="001615D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456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</w:t>
      </w:r>
      <w:r w:rsidR="001615D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desconsidera</w:t>
      </w:r>
      <w:r w:rsidR="00C456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1615D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que se repetiam </w:t>
      </w:r>
      <w:r w:rsidR="00C456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em mais de uma</w:t>
      </w:r>
      <w:r w:rsidR="001615D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comissão organizadora</w:t>
      </w:r>
      <w:r w:rsidR="0039637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tais como:</w:t>
      </w:r>
      <w:r w:rsidR="0039637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Charles H. Cho (França e América do Norte); Teresa Eugénio, Maria Eduarda Fernandes, Liliana Pimentel e Natália Canadas (Portugal); </w:t>
      </w:r>
      <w:proofErr w:type="spellStart"/>
      <w:r w:rsidR="0039637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Aracéli</w:t>
      </w:r>
      <w:proofErr w:type="spellEnd"/>
      <w:r w:rsidR="0039637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Cristina de Sousa Ferreira</w:t>
      </w:r>
      <w:r w:rsidR="005142F2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</w:t>
      </w:r>
      <w:r w:rsidR="0039637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7E7B7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Maísa</w:t>
      </w:r>
      <w:r w:rsidR="0039637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de Souza Ribeiro</w:t>
      </w:r>
      <w:r w:rsidR="005142F2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Leila Márcia Sousa de Lima Elias,</w:t>
      </w:r>
      <w:r w:rsidR="0039637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Sonia Maria da Silva Gomes</w:t>
      </w:r>
      <w:r w:rsidR="005142F2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 André Luiz </w:t>
      </w:r>
      <w:proofErr w:type="spellStart"/>
      <w:r w:rsidR="005142F2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Bufoni</w:t>
      </w:r>
      <w:proofErr w:type="spellEnd"/>
      <w:r w:rsidR="005142F2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(América do Sul).</w:t>
      </w:r>
    </w:p>
    <w:p w14:paraId="4D4777F1" w14:textId="744B5965" w:rsidR="00F7311D" w:rsidRPr="008D1CCE" w:rsidRDefault="00374BC4" w:rsidP="00F7311D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Dessa rede, </w:t>
      </w:r>
      <w:r w:rsidR="00C2007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foi possível acessar os trabalhos de apenas</w:t>
      </w:r>
      <w:r w:rsidR="00557ED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007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2007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dez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C2007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membros do comitê organizacional que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tiveram publicações nos eventos.</w:t>
      </w:r>
      <w:r w:rsidR="00ED5DC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31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seguida, foram identificados os trabalhos publicados por esses organizadores, totalizando 28 (vinte e oito) artigos. Dentre estes, foram excluídos 12 (doze) artigos por não ser possível acessá-los, restando 16 (dezesseis) para compor a amostra de pesquisa. Os artigos selecionados que representam as publicações científicas sobre contabilidade ambiental pelos membros dos comitês organizadores constituíram o portfólio bibliográfico da análise. </w:t>
      </w:r>
    </w:p>
    <w:p w14:paraId="3D5CE914" w14:textId="112D68D3" w:rsidR="00C20073" w:rsidRPr="008D1CCE" w:rsidRDefault="00C20073" w:rsidP="00777303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Percebeu-se que alguns trabalhos </w:t>
      </w:r>
      <w:r w:rsidR="007B45E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disponíveis para pesquisa foram publicados no </w:t>
      </w:r>
      <w:hyperlink r:id="rId8" w:history="1">
        <w:r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Social </w:t>
        </w:r>
        <w:proofErr w:type="spellStart"/>
        <w:r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and</w:t>
        </w:r>
        <w:proofErr w:type="spellEnd"/>
        <w:r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 Environmental </w:t>
        </w:r>
        <w:proofErr w:type="spellStart"/>
        <w:r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Accountability</w:t>
        </w:r>
        <w:proofErr w:type="spellEnd"/>
        <w:r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Journal</w:t>
        </w:r>
        <w:proofErr w:type="spellEnd"/>
        <w:r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.</w:t>
        </w:r>
        <w:r w:rsidRPr="008D1C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r w:rsidR="00444BB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site do CSEAR 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stão disponíveis os volumes de nº 18 ao nº 37, porém para poder acessa-los é preciso ser associado ao CSEAR. </w:t>
      </w:r>
    </w:p>
    <w:p w14:paraId="4E31F1DE" w14:textId="47A5CA29" w:rsidR="00EA292D" w:rsidRPr="008D1CCE" w:rsidRDefault="00EA292D" w:rsidP="00FE568F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Para a análise dos dados, levou-se em consideração: período, autores, número de citações, palavras-chave e metodologia de pesquisa.</w:t>
      </w:r>
      <w:r w:rsidR="0078731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identificar as metodologias de pesquisa utilizadas pelos autores, utilizou-se a classificação de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Birnberg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 (1990) e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Hesford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 (2007), conforme </w:t>
      </w:r>
      <w:r w:rsidR="00F742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Tabela 1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92B007" w14:textId="77777777" w:rsidR="0097058A" w:rsidRPr="008D1CCE" w:rsidRDefault="0097058A" w:rsidP="00FE568F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D18A1E5" w14:textId="5A712543" w:rsidR="00EA292D" w:rsidRPr="008D1CCE" w:rsidRDefault="001647F1" w:rsidP="00EA292D">
      <w:pPr>
        <w:pStyle w:val="Legend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Tabela</w:t>
      </w:r>
      <w:r w:rsidR="00EA292D"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74222"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1.</w:t>
      </w:r>
      <w:r w:rsidR="000957A3"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EA292D"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Metodologias de Pesquisa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2672"/>
        <w:gridCol w:w="6237"/>
      </w:tblGrid>
      <w:tr w:rsidR="008D1CCE" w:rsidRPr="008D1CCE" w14:paraId="12FE53D2" w14:textId="77777777" w:rsidTr="00164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35D79DCF" w14:textId="77777777" w:rsidR="00EA292D" w:rsidRPr="008D1CCE" w:rsidRDefault="00EA292D" w:rsidP="00164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Métodos de Pesquisa</w:t>
            </w:r>
          </w:p>
        </w:tc>
        <w:tc>
          <w:tcPr>
            <w:tcW w:w="6237" w:type="dxa"/>
            <w:vAlign w:val="center"/>
          </w:tcPr>
          <w:p w14:paraId="2BCDD8AE" w14:textId="77777777" w:rsidR="00EA292D" w:rsidRPr="008D1CCE" w:rsidRDefault="00EA292D" w:rsidP="001647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Definição</w:t>
            </w:r>
          </w:p>
        </w:tc>
      </w:tr>
      <w:tr w:rsidR="008D1CCE" w:rsidRPr="008D1CCE" w14:paraId="633E4E37" w14:textId="77777777" w:rsidTr="0016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41E25324" w14:textId="77777777" w:rsidR="00EA292D" w:rsidRPr="008D1CCE" w:rsidRDefault="00EA292D" w:rsidP="001647F1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Analítica</w:t>
            </w:r>
          </w:p>
        </w:tc>
        <w:tc>
          <w:tcPr>
            <w:tcW w:w="6237" w:type="dxa"/>
            <w:vAlign w:val="center"/>
          </w:tcPr>
          <w:p w14:paraId="229C5A3B" w14:textId="77777777" w:rsidR="00EA292D" w:rsidRPr="008D1CCE" w:rsidRDefault="00EA292D" w:rsidP="006033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Envolve o estudo e avaliação aprofundados de informações disponíveis na tentativa de explicar o contexto de um fenômeno. </w:t>
            </w:r>
          </w:p>
        </w:tc>
      </w:tr>
      <w:tr w:rsidR="008D1CCE" w:rsidRPr="008D1CCE" w14:paraId="7FE1D2FD" w14:textId="77777777" w:rsidTr="00164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684B8A71" w14:textId="77777777" w:rsidR="00EA292D" w:rsidRPr="008D1CCE" w:rsidRDefault="00EA292D" w:rsidP="001647F1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Arquivo/Documental</w:t>
            </w:r>
          </w:p>
        </w:tc>
        <w:tc>
          <w:tcPr>
            <w:tcW w:w="6237" w:type="dxa"/>
            <w:vAlign w:val="center"/>
          </w:tcPr>
          <w:p w14:paraId="350AF18F" w14:textId="17474C61" w:rsidR="00EA292D" w:rsidRPr="008D1CCE" w:rsidRDefault="00EA292D" w:rsidP="006033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Envolve a utilização </w:t>
            </w:r>
            <w:r w:rsidR="007C6DB0"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 informações que ainda não tiveram um tratamento científico.</w:t>
            </w:r>
          </w:p>
        </w:tc>
      </w:tr>
      <w:tr w:rsidR="008D1CCE" w:rsidRPr="008D1CCE" w14:paraId="4F306E6B" w14:textId="77777777" w:rsidTr="0016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15681E29" w14:textId="12C9B9B2" w:rsidR="00EA292D" w:rsidRPr="008D1CCE" w:rsidRDefault="007C6DB0" w:rsidP="001647F1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Campo</w:t>
            </w:r>
          </w:p>
        </w:tc>
        <w:tc>
          <w:tcPr>
            <w:tcW w:w="6237" w:type="dxa"/>
            <w:vAlign w:val="center"/>
          </w:tcPr>
          <w:p w14:paraId="5659D440" w14:textId="70A21657" w:rsidR="00EA292D" w:rsidRPr="008D1CCE" w:rsidRDefault="007C6DB0" w:rsidP="006033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Envolve a investigação de fenômenos, inclusive pessoas, procedimentos e estruturas em duas ou mais organizações. </w:t>
            </w:r>
          </w:p>
        </w:tc>
      </w:tr>
      <w:tr w:rsidR="008D1CCE" w:rsidRPr="008D1CCE" w14:paraId="2E069B01" w14:textId="77777777" w:rsidTr="00164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1008F08A" w14:textId="7B82E539" w:rsidR="00EA292D" w:rsidRPr="008D1CCE" w:rsidRDefault="007C6DB0" w:rsidP="001647F1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Caso</w:t>
            </w:r>
          </w:p>
        </w:tc>
        <w:tc>
          <w:tcPr>
            <w:tcW w:w="6237" w:type="dxa"/>
            <w:vAlign w:val="center"/>
          </w:tcPr>
          <w:p w14:paraId="4200A6AA" w14:textId="5D804C57" w:rsidR="00EA292D" w:rsidRPr="008D1CCE" w:rsidRDefault="007C6DB0" w:rsidP="006033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Envolve a investigação de fenômenos, inclusive pessoas, procedimentos e estruturas em uma única organização.</w:t>
            </w:r>
          </w:p>
        </w:tc>
      </w:tr>
      <w:tr w:rsidR="008D1CCE" w:rsidRPr="008D1CCE" w14:paraId="256D59BF" w14:textId="77777777" w:rsidTr="0016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4E7547A2" w14:textId="14798379" w:rsidR="00EA292D" w:rsidRPr="008D1CCE" w:rsidRDefault="007C6DB0" w:rsidP="001647F1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Experimental </w:t>
            </w:r>
          </w:p>
        </w:tc>
        <w:tc>
          <w:tcPr>
            <w:tcW w:w="6237" w:type="dxa"/>
            <w:vAlign w:val="center"/>
          </w:tcPr>
          <w:p w14:paraId="0449FCA1" w14:textId="13DA46EB" w:rsidR="00EA292D" w:rsidRPr="008D1CCE" w:rsidRDefault="007C6DB0" w:rsidP="006033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Envolve a manipulação e tratamentos na tentativa de estabelecer relações de causa-efeito nas variáveis investigadas.</w:t>
            </w:r>
          </w:p>
        </w:tc>
      </w:tr>
      <w:tr w:rsidR="008D1CCE" w:rsidRPr="008D1CCE" w14:paraId="1F2012BF" w14:textId="77777777" w:rsidTr="00164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6F18C322" w14:textId="1FAED477" w:rsidR="00EA292D" w:rsidRPr="008D1CCE" w:rsidRDefault="007C6DB0" w:rsidP="001647F1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Framework</w:t>
            </w:r>
          </w:p>
        </w:tc>
        <w:tc>
          <w:tcPr>
            <w:tcW w:w="6237" w:type="dxa"/>
            <w:vAlign w:val="center"/>
          </w:tcPr>
          <w:p w14:paraId="2402EBE2" w14:textId="70D240EE" w:rsidR="007C6DB0" w:rsidRPr="008D1CCE" w:rsidRDefault="007C6DB0" w:rsidP="006033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Envolve o desenvolvimento de um novo conceito, de novas perspectivas.</w:t>
            </w:r>
          </w:p>
        </w:tc>
      </w:tr>
      <w:tr w:rsidR="008D1CCE" w:rsidRPr="008D1CCE" w14:paraId="7FAB6AF3" w14:textId="77777777" w:rsidTr="00164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2C7BF477" w14:textId="5D926B16" w:rsidR="00EA292D" w:rsidRPr="008D1CCE" w:rsidRDefault="007C6DB0" w:rsidP="001647F1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Levantamento</w:t>
            </w:r>
          </w:p>
        </w:tc>
        <w:tc>
          <w:tcPr>
            <w:tcW w:w="6237" w:type="dxa"/>
            <w:vAlign w:val="center"/>
          </w:tcPr>
          <w:p w14:paraId="2A5E5339" w14:textId="79E91C14" w:rsidR="00EA292D" w:rsidRPr="008D1CCE" w:rsidRDefault="007C6DB0" w:rsidP="006033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Envolve a investigação de um grupo de pessoas, geralmente realizado via a aplicação de questionário.</w:t>
            </w:r>
          </w:p>
        </w:tc>
      </w:tr>
      <w:tr w:rsidR="008D1CCE" w:rsidRPr="008D1CCE" w14:paraId="5346ED13" w14:textId="77777777" w:rsidTr="00164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center"/>
          </w:tcPr>
          <w:p w14:paraId="6E32E3C9" w14:textId="0B0AC8C7" w:rsidR="00EA292D" w:rsidRPr="008D1CCE" w:rsidRDefault="007C6DB0" w:rsidP="001647F1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Revisão</w:t>
            </w:r>
          </w:p>
        </w:tc>
        <w:tc>
          <w:tcPr>
            <w:tcW w:w="6237" w:type="dxa"/>
            <w:vAlign w:val="center"/>
          </w:tcPr>
          <w:p w14:paraId="31598B6F" w14:textId="7724E4E3" w:rsidR="00EA292D" w:rsidRPr="008D1CCE" w:rsidRDefault="007C6DB0" w:rsidP="006033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Envolve basicamente síntese e revisão de literatura já conhecida.</w:t>
            </w:r>
          </w:p>
        </w:tc>
      </w:tr>
    </w:tbl>
    <w:p w14:paraId="12C3B49A" w14:textId="629B1169" w:rsidR="00EA292D" w:rsidRPr="008D1CCE" w:rsidRDefault="00EA292D" w:rsidP="00EA292D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Fonte: Adaptado de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>Birnberg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et al (1990);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>Hesford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et al (2007);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>Lunkes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et al (2012).</w:t>
      </w:r>
    </w:p>
    <w:p w14:paraId="637A8090" w14:textId="099E0E8F" w:rsidR="004523FB" w:rsidRPr="008D1CCE" w:rsidRDefault="002F61B2" w:rsidP="0086659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Finalmente para a análise do</w:t>
      </w:r>
      <w:r w:rsidR="00D64CE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objetivo</w:t>
      </w:r>
      <w:r w:rsidR="00D64CE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almejados, os artigos foram lidos na íntegra afim de buscar a definição de Contabilidade Ambiental.</w:t>
      </w:r>
      <w:r w:rsidR="0086659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dados foram tabulados em planilhas eletrônicas Microsoft Office Excel.</w:t>
      </w:r>
    </w:p>
    <w:p w14:paraId="6DA301EE" w14:textId="77777777" w:rsidR="004523FB" w:rsidRPr="008D1CCE" w:rsidRDefault="004523FB" w:rsidP="00B039A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DFDB3" w14:textId="4F34E001" w:rsidR="004523FB" w:rsidRPr="008D1CCE" w:rsidRDefault="001647F1" w:rsidP="00B039A1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Resultados </w:t>
      </w:r>
      <w:r w:rsidR="00F76648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Discussão </w:t>
      </w:r>
    </w:p>
    <w:p w14:paraId="5F4A87C7" w14:textId="15FC7565" w:rsidR="004523FB" w:rsidRPr="008D1CCE" w:rsidRDefault="004523FB" w:rsidP="00B039A1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Nessa seção são expostas as características das conferências e das pesquisas </w:t>
      </w:r>
      <w:r w:rsidR="002F3A0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realizadas pelos membros do</w:t>
      </w:r>
      <w:r w:rsidR="008A43E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F3A0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comitê</w:t>
      </w:r>
      <w:r w:rsidR="008A43E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F3A0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organizador</w:t>
      </w:r>
      <w:r w:rsidR="008A43E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r w:rsidR="002F3A0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bem como o</w:t>
      </w:r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 de contabilidade ambiental </w:t>
      </w:r>
      <w:r w:rsidR="00AA281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expostos</w:t>
      </w:r>
      <w:r w:rsidR="002D50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</w:t>
      </w:r>
      <w:r w:rsidR="00AA281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trabalhos apresentados no CSEAR.</w:t>
      </w:r>
    </w:p>
    <w:p w14:paraId="4947CFA2" w14:textId="77777777" w:rsidR="004523FB" w:rsidRPr="008D1CCE" w:rsidRDefault="004523FB" w:rsidP="00F1475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F55ABB" w14:textId="7F322081" w:rsidR="004523FB" w:rsidRPr="008D1CCE" w:rsidRDefault="004523FB" w:rsidP="00D71F45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Características das conferências</w:t>
      </w:r>
    </w:p>
    <w:p w14:paraId="79A6B2D0" w14:textId="003B022D" w:rsidR="004523FB" w:rsidRPr="008D1CCE" w:rsidRDefault="004523FB" w:rsidP="001E3A1A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realização do CSEAR contemplou 11(onze) localidades, teve início em 2003 e até o ano de 2017 foram realizadas 69 (sessenta e nova) conferências. A Tabela </w:t>
      </w:r>
      <w:r w:rsidR="00F742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distribuição desses eventos por localidade, período de realização e percentual de participação de cada localidade. </w:t>
      </w:r>
    </w:p>
    <w:p w14:paraId="463287BF" w14:textId="77777777" w:rsidR="00AB2E72" w:rsidRPr="008D1CCE" w:rsidRDefault="00AB2E72" w:rsidP="00F14757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29931" w14:textId="02283E15" w:rsidR="004523FB" w:rsidRPr="008D1CCE" w:rsidRDefault="004523FB" w:rsidP="004C6B12">
      <w:pPr>
        <w:spacing w:after="0" w:line="240" w:lineRule="auto"/>
        <w:rPr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Tabela </w:t>
      </w:r>
      <w:r w:rsidR="00F742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Quantidade de conferências por localidade e período</w:t>
      </w:r>
    </w:p>
    <w:tbl>
      <w:tblPr>
        <w:tblStyle w:val="TabelaSimples21"/>
        <w:tblW w:w="8574" w:type="dxa"/>
        <w:tblLook w:val="0420" w:firstRow="1" w:lastRow="0" w:firstColumn="0" w:lastColumn="0" w:noHBand="0" w:noVBand="1"/>
      </w:tblPr>
      <w:tblGrid>
        <w:gridCol w:w="1835"/>
        <w:gridCol w:w="3427"/>
        <w:gridCol w:w="1456"/>
        <w:gridCol w:w="1856"/>
      </w:tblGrid>
      <w:tr w:rsidR="008D1CCE" w:rsidRPr="008D1CCE" w14:paraId="5FDF4CCF" w14:textId="77777777" w:rsidTr="00630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tcW w:w="1835" w:type="dxa"/>
            <w:vAlign w:val="center"/>
            <w:hideMark/>
          </w:tcPr>
          <w:p w14:paraId="74FBCDC1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Locais</w:t>
            </w:r>
          </w:p>
        </w:tc>
        <w:tc>
          <w:tcPr>
            <w:tcW w:w="3427" w:type="dxa"/>
            <w:vAlign w:val="center"/>
            <w:hideMark/>
          </w:tcPr>
          <w:p w14:paraId="7B11671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Período de Realização</w:t>
            </w:r>
          </w:p>
        </w:tc>
        <w:tc>
          <w:tcPr>
            <w:tcW w:w="1456" w:type="dxa"/>
            <w:vAlign w:val="center"/>
            <w:hideMark/>
          </w:tcPr>
          <w:p w14:paraId="65ADA311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Nº de Eventos</w:t>
            </w:r>
          </w:p>
        </w:tc>
        <w:tc>
          <w:tcPr>
            <w:tcW w:w="1856" w:type="dxa"/>
            <w:noWrap/>
            <w:vAlign w:val="center"/>
            <w:hideMark/>
          </w:tcPr>
          <w:p w14:paraId="5155B3CB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% de Participação</w:t>
            </w:r>
          </w:p>
        </w:tc>
      </w:tr>
      <w:tr w:rsidR="008D1CCE" w:rsidRPr="008D1CCE" w14:paraId="187ACC98" w14:textId="77777777" w:rsidTr="0063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tcW w:w="1835" w:type="dxa"/>
            <w:vAlign w:val="center"/>
            <w:hideMark/>
          </w:tcPr>
          <w:p w14:paraId="149287C7" w14:textId="23CBCEA0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Australásia</w:t>
            </w:r>
          </w:p>
        </w:tc>
        <w:tc>
          <w:tcPr>
            <w:tcW w:w="3427" w:type="dxa"/>
            <w:vAlign w:val="center"/>
            <w:hideMark/>
          </w:tcPr>
          <w:p w14:paraId="546FAA51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2003, 2004, 2005, 2006, 2007, 2008, 2009, 2010, 2011, 2012, 2013, 2014, 2015, 2016, 2017</w:t>
            </w:r>
          </w:p>
        </w:tc>
        <w:tc>
          <w:tcPr>
            <w:tcW w:w="1456" w:type="dxa"/>
            <w:vAlign w:val="center"/>
            <w:hideMark/>
          </w:tcPr>
          <w:p w14:paraId="5AE5DB23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856" w:type="dxa"/>
            <w:noWrap/>
            <w:vAlign w:val="center"/>
            <w:hideMark/>
          </w:tcPr>
          <w:p w14:paraId="3F14B544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22%</w:t>
            </w:r>
          </w:p>
        </w:tc>
      </w:tr>
      <w:tr w:rsidR="008D1CCE" w:rsidRPr="008D1CCE" w14:paraId="4D962161" w14:textId="77777777" w:rsidTr="00630190">
        <w:trPr>
          <w:trHeight w:val="567"/>
        </w:trPr>
        <w:tc>
          <w:tcPr>
            <w:tcW w:w="1835" w:type="dxa"/>
            <w:vAlign w:val="center"/>
            <w:hideMark/>
          </w:tcPr>
          <w:p w14:paraId="3A07A35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Reino Unido (UK)</w:t>
            </w:r>
          </w:p>
        </w:tc>
        <w:tc>
          <w:tcPr>
            <w:tcW w:w="3427" w:type="dxa"/>
            <w:vAlign w:val="center"/>
            <w:hideMark/>
          </w:tcPr>
          <w:p w14:paraId="5212C67B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2003, 2004, 2005, 2006, 2007, 2008, 2009, 2010, 2011, 2012, 2013, 2014, 2015, 2017</w:t>
            </w:r>
          </w:p>
        </w:tc>
        <w:tc>
          <w:tcPr>
            <w:tcW w:w="1456" w:type="dxa"/>
            <w:vAlign w:val="center"/>
            <w:hideMark/>
          </w:tcPr>
          <w:p w14:paraId="35553028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856" w:type="dxa"/>
            <w:noWrap/>
            <w:vAlign w:val="center"/>
            <w:hideMark/>
          </w:tcPr>
          <w:p w14:paraId="20252F59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20%</w:t>
            </w:r>
          </w:p>
        </w:tc>
      </w:tr>
      <w:tr w:rsidR="008D1CCE" w:rsidRPr="008D1CCE" w14:paraId="528C95EF" w14:textId="77777777" w:rsidTr="0063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835" w:type="dxa"/>
            <w:vAlign w:val="center"/>
            <w:hideMark/>
          </w:tcPr>
          <w:p w14:paraId="138B5AF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Espanha</w:t>
            </w:r>
          </w:p>
        </w:tc>
        <w:tc>
          <w:tcPr>
            <w:tcW w:w="3427" w:type="dxa"/>
            <w:vAlign w:val="center"/>
            <w:hideMark/>
          </w:tcPr>
          <w:p w14:paraId="642E39BB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2005, 2007, 2009, 2011, 2013, 2014, 2015, 2017</w:t>
            </w:r>
          </w:p>
        </w:tc>
        <w:tc>
          <w:tcPr>
            <w:tcW w:w="1456" w:type="dxa"/>
            <w:vAlign w:val="center"/>
            <w:hideMark/>
          </w:tcPr>
          <w:p w14:paraId="5C69A003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56" w:type="dxa"/>
            <w:noWrap/>
            <w:vAlign w:val="center"/>
            <w:hideMark/>
          </w:tcPr>
          <w:p w14:paraId="5B2C6E34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12%</w:t>
            </w:r>
          </w:p>
        </w:tc>
      </w:tr>
      <w:tr w:rsidR="008D1CCE" w:rsidRPr="008D1CCE" w14:paraId="05FB17E1" w14:textId="77777777" w:rsidTr="00630190">
        <w:trPr>
          <w:trHeight w:val="510"/>
        </w:trPr>
        <w:tc>
          <w:tcPr>
            <w:tcW w:w="1835" w:type="dxa"/>
            <w:vAlign w:val="center"/>
            <w:hideMark/>
          </w:tcPr>
          <w:p w14:paraId="7660D1E1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Portugal</w:t>
            </w:r>
          </w:p>
        </w:tc>
        <w:tc>
          <w:tcPr>
            <w:tcW w:w="3427" w:type="dxa"/>
            <w:vAlign w:val="center"/>
            <w:hideMark/>
          </w:tcPr>
          <w:p w14:paraId="7B609FB1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2005, 2006, 2008, 2010, 2012, 2014, 2016</w:t>
            </w:r>
          </w:p>
        </w:tc>
        <w:tc>
          <w:tcPr>
            <w:tcW w:w="1456" w:type="dxa"/>
            <w:vAlign w:val="center"/>
            <w:hideMark/>
          </w:tcPr>
          <w:p w14:paraId="44DB4C5A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56" w:type="dxa"/>
            <w:noWrap/>
            <w:vAlign w:val="center"/>
            <w:hideMark/>
          </w:tcPr>
          <w:p w14:paraId="2C0CE6B2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10%</w:t>
            </w:r>
          </w:p>
        </w:tc>
      </w:tr>
      <w:tr w:rsidR="008D1CCE" w:rsidRPr="008D1CCE" w14:paraId="34846F39" w14:textId="77777777" w:rsidTr="0063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tcW w:w="1835" w:type="dxa"/>
            <w:vAlign w:val="center"/>
            <w:hideMark/>
          </w:tcPr>
          <w:p w14:paraId="0CCFC4B8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Itália</w:t>
            </w:r>
          </w:p>
        </w:tc>
        <w:tc>
          <w:tcPr>
            <w:tcW w:w="3427" w:type="dxa"/>
            <w:vAlign w:val="center"/>
            <w:hideMark/>
          </w:tcPr>
          <w:p w14:paraId="19BA803E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2006,2008, 2010, 2012, 2014, 2016</w:t>
            </w:r>
          </w:p>
        </w:tc>
        <w:tc>
          <w:tcPr>
            <w:tcW w:w="1456" w:type="dxa"/>
            <w:vAlign w:val="center"/>
            <w:hideMark/>
          </w:tcPr>
          <w:p w14:paraId="22D6833F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56" w:type="dxa"/>
            <w:noWrap/>
            <w:vAlign w:val="center"/>
            <w:hideMark/>
          </w:tcPr>
          <w:p w14:paraId="1A75CE9F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9%</w:t>
            </w:r>
          </w:p>
        </w:tc>
      </w:tr>
      <w:tr w:rsidR="008D1CCE" w:rsidRPr="008D1CCE" w14:paraId="6CB3CC05" w14:textId="77777777" w:rsidTr="00630190">
        <w:trPr>
          <w:trHeight w:val="510"/>
        </w:trPr>
        <w:tc>
          <w:tcPr>
            <w:tcW w:w="1835" w:type="dxa"/>
            <w:vAlign w:val="center"/>
            <w:hideMark/>
          </w:tcPr>
          <w:p w14:paraId="57AB9FCB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América do Norte (Canadá e EUA)</w:t>
            </w:r>
          </w:p>
        </w:tc>
        <w:tc>
          <w:tcPr>
            <w:tcW w:w="3427" w:type="dxa"/>
            <w:vAlign w:val="center"/>
            <w:hideMark/>
          </w:tcPr>
          <w:p w14:paraId="6E1E1086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2008, 2010, 2011, 2013, 2014, 2016</w:t>
            </w:r>
          </w:p>
        </w:tc>
        <w:tc>
          <w:tcPr>
            <w:tcW w:w="1456" w:type="dxa"/>
            <w:vAlign w:val="center"/>
            <w:hideMark/>
          </w:tcPr>
          <w:p w14:paraId="126CE675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56" w:type="dxa"/>
            <w:noWrap/>
            <w:vAlign w:val="center"/>
            <w:hideMark/>
          </w:tcPr>
          <w:p w14:paraId="76D1E10E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9%</w:t>
            </w:r>
          </w:p>
        </w:tc>
      </w:tr>
      <w:tr w:rsidR="008D1CCE" w:rsidRPr="008D1CCE" w14:paraId="5357E045" w14:textId="77777777" w:rsidTr="0063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tcW w:w="1835" w:type="dxa"/>
            <w:vAlign w:val="center"/>
            <w:hideMark/>
          </w:tcPr>
          <w:p w14:paraId="48A6D86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América do Sul (Brasil)</w:t>
            </w:r>
          </w:p>
        </w:tc>
        <w:tc>
          <w:tcPr>
            <w:tcW w:w="3427" w:type="dxa"/>
            <w:vAlign w:val="center"/>
            <w:hideMark/>
          </w:tcPr>
          <w:p w14:paraId="43C983C5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2009, 2011, 2013, 2015, 2017</w:t>
            </w:r>
          </w:p>
        </w:tc>
        <w:tc>
          <w:tcPr>
            <w:tcW w:w="1456" w:type="dxa"/>
            <w:vAlign w:val="center"/>
            <w:hideMark/>
          </w:tcPr>
          <w:p w14:paraId="24D102E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56" w:type="dxa"/>
            <w:noWrap/>
            <w:vAlign w:val="center"/>
            <w:hideMark/>
          </w:tcPr>
          <w:p w14:paraId="0169CFD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7%</w:t>
            </w:r>
          </w:p>
        </w:tc>
      </w:tr>
      <w:tr w:rsidR="008D1CCE" w:rsidRPr="008D1CCE" w14:paraId="153AA303" w14:textId="77777777" w:rsidTr="00630190">
        <w:trPr>
          <w:trHeight w:val="255"/>
        </w:trPr>
        <w:tc>
          <w:tcPr>
            <w:tcW w:w="1835" w:type="dxa"/>
            <w:vAlign w:val="center"/>
            <w:hideMark/>
          </w:tcPr>
          <w:p w14:paraId="6D439D7E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França</w:t>
            </w:r>
          </w:p>
        </w:tc>
        <w:tc>
          <w:tcPr>
            <w:tcW w:w="3427" w:type="dxa"/>
            <w:vAlign w:val="center"/>
            <w:hideMark/>
          </w:tcPr>
          <w:p w14:paraId="55FDDBB0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2011, 2013, 2015, 2017</w:t>
            </w:r>
          </w:p>
        </w:tc>
        <w:tc>
          <w:tcPr>
            <w:tcW w:w="1456" w:type="dxa"/>
            <w:vAlign w:val="center"/>
            <w:hideMark/>
          </w:tcPr>
          <w:p w14:paraId="06E1E4F4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56" w:type="dxa"/>
            <w:noWrap/>
            <w:vAlign w:val="center"/>
            <w:hideMark/>
          </w:tcPr>
          <w:p w14:paraId="23191B57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6%</w:t>
            </w:r>
          </w:p>
        </w:tc>
      </w:tr>
      <w:tr w:rsidR="008D1CCE" w:rsidRPr="008D1CCE" w14:paraId="18F6C990" w14:textId="77777777" w:rsidTr="0063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835" w:type="dxa"/>
            <w:vAlign w:val="center"/>
            <w:hideMark/>
          </w:tcPr>
          <w:p w14:paraId="058C6BBB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China</w:t>
            </w:r>
          </w:p>
        </w:tc>
        <w:tc>
          <w:tcPr>
            <w:tcW w:w="3427" w:type="dxa"/>
            <w:vAlign w:val="center"/>
            <w:hideMark/>
          </w:tcPr>
          <w:p w14:paraId="770D9CE7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2012, 2017</w:t>
            </w:r>
          </w:p>
        </w:tc>
        <w:tc>
          <w:tcPr>
            <w:tcW w:w="1456" w:type="dxa"/>
            <w:vAlign w:val="center"/>
            <w:hideMark/>
          </w:tcPr>
          <w:p w14:paraId="60493E0E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56" w:type="dxa"/>
            <w:noWrap/>
            <w:vAlign w:val="center"/>
            <w:hideMark/>
          </w:tcPr>
          <w:p w14:paraId="74DE8DE7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3%</w:t>
            </w:r>
          </w:p>
        </w:tc>
      </w:tr>
      <w:tr w:rsidR="008D1CCE" w:rsidRPr="008D1CCE" w14:paraId="32E24161" w14:textId="77777777" w:rsidTr="00630190">
        <w:trPr>
          <w:trHeight w:val="255"/>
        </w:trPr>
        <w:tc>
          <w:tcPr>
            <w:tcW w:w="1835" w:type="dxa"/>
            <w:vAlign w:val="center"/>
            <w:hideMark/>
          </w:tcPr>
          <w:p w14:paraId="4E9F497E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Finlândia</w:t>
            </w:r>
          </w:p>
        </w:tc>
        <w:tc>
          <w:tcPr>
            <w:tcW w:w="3427" w:type="dxa"/>
            <w:vAlign w:val="center"/>
            <w:hideMark/>
          </w:tcPr>
          <w:p w14:paraId="4FD338BF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1456" w:type="dxa"/>
            <w:vAlign w:val="center"/>
            <w:hideMark/>
          </w:tcPr>
          <w:p w14:paraId="7534C649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56" w:type="dxa"/>
            <w:noWrap/>
            <w:vAlign w:val="center"/>
            <w:hideMark/>
          </w:tcPr>
          <w:p w14:paraId="04A7C2A1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1%</w:t>
            </w:r>
          </w:p>
        </w:tc>
      </w:tr>
      <w:tr w:rsidR="008D1CCE" w:rsidRPr="008D1CCE" w14:paraId="5BE59E64" w14:textId="77777777" w:rsidTr="00630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835" w:type="dxa"/>
            <w:vAlign w:val="center"/>
            <w:hideMark/>
          </w:tcPr>
          <w:p w14:paraId="2CF2E421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Irlanda</w:t>
            </w:r>
          </w:p>
        </w:tc>
        <w:tc>
          <w:tcPr>
            <w:tcW w:w="3427" w:type="dxa"/>
            <w:vAlign w:val="center"/>
            <w:hideMark/>
          </w:tcPr>
          <w:p w14:paraId="7D26A12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1456" w:type="dxa"/>
            <w:vAlign w:val="center"/>
            <w:hideMark/>
          </w:tcPr>
          <w:p w14:paraId="4E02175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56" w:type="dxa"/>
            <w:noWrap/>
            <w:vAlign w:val="center"/>
            <w:hideMark/>
          </w:tcPr>
          <w:p w14:paraId="4147005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1%</w:t>
            </w:r>
          </w:p>
        </w:tc>
      </w:tr>
      <w:tr w:rsidR="008D1CCE" w:rsidRPr="008D1CCE" w14:paraId="2D6C511D" w14:textId="77777777" w:rsidTr="00630190">
        <w:trPr>
          <w:trHeight w:val="255"/>
        </w:trPr>
        <w:tc>
          <w:tcPr>
            <w:tcW w:w="1835" w:type="dxa"/>
            <w:vAlign w:val="center"/>
            <w:hideMark/>
          </w:tcPr>
          <w:p w14:paraId="12FA3B6C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Total de Eventos</w:t>
            </w:r>
          </w:p>
        </w:tc>
        <w:tc>
          <w:tcPr>
            <w:tcW w:w="3427" w:type="dxa"/>
            <w:vAlign w:val="center"/>
            <w:hideMark/>
          </w:tcPr>
          <w:p w14:paraId="24C65097" w14:textId="5CC286AC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56" w:type="dxa"/>
            <w:vAlign w:val="center"/>
            <w:hideMark/>
          </w:tcPr>
          <w:p w14:paraId="670E66BA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856" w:type="dxa"/>
            <w:noWrap/>
            <w:vAlign w:val="center"/>
            <w:hideMark/>
          </w:tcPr>
          <w:p w14:paraId="2E87DE6A" w14:textId="77777777" w:rsidR="004523FB" w:rsidRPr="008D1CCE" w:rsidRDefault="004523FB" w:rsidP="0063019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100%</w:t>
            </w:r>
          </w:p>
        </w:tc>
      </w:tr>
    </w:tbl>
    <w:p w14:paraId="2F709FC0" w14:textId="36FA1420" w:rsidR="004523FB" w:rsidRPr="008D1CCE" w:rsidRDefault="004523FB" w:rsidP="001E3A1A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>Fonte: Dados da pesquisa (2017).</w:t>
      </w:r>
    </w:p>
    <w:p w14:paraId="32E2ECFD" w14:textId="77777777" w:rsidR="00AB2E72" w:rsidRPr="008D1CCE" w:rsidRDefault="00AB2E72" w:rsidP="00F14757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A857EB" w14:textId="60C3B6B4" w:rsidR="0087738F" w:rsidRPr="008D1CCE" w:rsidRDefault="004523FB" w:rsidP="00F14757">
      <w:pPr>
        <w:pStyle w:val="PargrafodaLista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Nota-se que o CSEAR tem maior concentração nos países do continente europeu.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dados disponíveis para pesquisa apontam que a</w:t>
      </w: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primeiras conferências </w:t>
      </w:r>
      <w:r w:rsidR="0087738F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foram realizadas 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Reino Unido (UK), que </w:t>
      </w:r>
      <w:r w:rsidR="00AB4DE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representa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20%</w:t>
      </w:r>
      <w:r w:rsidR="00DE58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relação às 69 conferências </w:t>
      </w:r>
      <w:r w:rsidR="000C088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disponíveis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E58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sendo 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no ano de 2016 </w:t>
      </w:r>
      <w:r w:rsidR="000C088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 país 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não realizou o evento</w:t>
      </w:r>
      <w:r w:rsidR="00DE58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 região denominada Au</w:t>
      </w:r>
      <w:r w:rsidR="00D76C11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tralásia, que contempla a 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Austrália e Nova Zelândia, </w:t>
      </w:r>
      <w:r w:rsidR="00AB4DE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equivalente a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22% 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desse universo.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Vale ressaltar que </w:t>
      </w:r>
      <w:r w:rsidR="005D5D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essas constatações apresent</w:t>
      </w:r>
      <w:r w:rsidR="00BA6B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 algumas limitações, tendo em vista que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site </w:t>
      </w:r>
      <w:r w:rsidR="005D5D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CSEAR utilizado </w:t>
      </w:r>
      <w:r w:rsidR="00FE055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base para coleta de dados </w:t>
      </w:r>
      <w:r w:rsidR="00BA6B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possui um padrão em relação às conferências e </w:t>
      </w:r>
      <w:r w:rsidR="00FE055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aos </w:t>
      </w:r>
      <w:r w:rsidR="000C088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locais</w:t>
      </w:r>
      <w:r w:rsidR="00FE055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sua realização. C</w:t>
      </w:r>
      <w:r w:rsidR="00BA6B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omo por exemplo</w:t>
      </w:r>
      <w:r w:rsidR="00AE6D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A6B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6D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tem-se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CSEAR UK </w:t>
      </w:r>
      <w:r w:rsidR="00AE6D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está </w:t>
      </w:r>
      <w:r w:rsidR="00AE6D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30º </w:t>
      </w:r>
      <w:r w:rsidR="00AE6D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edição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E6D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porém, </w:t>
      </w:r>
      <w:r w:rsidR="00E2539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apresenta apenas 14 conferências disponíveis para pesquisa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773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AD56E7" w14:textId="5B0B0AC0" w:rsidR="007D533D" w:rsidRPr="008D1CCE" w:rsidRDefault="00D76C11" w:rsidP="00F14757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Na sequência</w:t>
      </w:r>
      <w:r w:rsidR="007D533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os países que se destacaram com maior número de conferências foram: </w:t>
      </w:r>
      <w:r w:rsidR="00452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Espanha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(12%)</w:t>
      </w:r>
      <w:r w:rsidR="00452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Portugal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(10%) e</w:t>
      </w:r>
      <w:r w:rsidR="00452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Itália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(9%). No continente </w:t>
      </w:r>
      <w:r w:rsidR="00452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ericano as conferências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iniciaram a partir de 2008 e na China, Finlândia e Irlanda posteriormente a 2012</w:t>
      </w:r>
      <w:r w:rsidR="00452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D533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Fato que chama a atenção é a realização do CSEAR na França somente a partir de 2011.</w:t>
      </w:r>
    </w:p>
    <w:p w14:paraId="2AEBA0B4" w14:textId="26FAFB13" w:rsidR="004523FB" w:rsidRPr="008D1CCE" w:rsidRDefault="007D533D" w:rsidP="00F14757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Percebe-se, ainda, que 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somente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alguns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locais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apresentam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periodicidade 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padrão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realização 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do evento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como a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Australásia (anual) e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Itália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França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América do Sul</w:t>
      </w:r>
      <w:r w:rsidR="00307F4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as conferências ocorrem 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cada dois anos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76C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demais</w:t>
      </w:r>
      <w:r w:rsidR="00307F4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têm </w:t>
      </w:r>
      <w:r w:rsidR="00307F4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essas características de periodicidade.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8E0CE4" w14:textId="2D7967E8" w:rsidR="00DD4D5B" w:rsidRPr="008D1CCE" w:rsidRDefault="00820C02" w:rsidP="00DD4D5B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dessas características, deve-se dar destaque as denominações dadas aos eventos nos diferentes países. No Reino Unido, o CSEAR é conhecido como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CSEAR Summer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School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seja, Escola de Verão. Em Portugal é denominado GECAMB, </w:t>
      </w:r>
      <w:r w:rsidR="00AF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conferência internacional </w:t>
      </w:r>
      <w:r w:rsidR="00AF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realizada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parceria com o CSEAR.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Espanha, é chamado de Centro de Investigação em Contabilidade Social e Meio ambiental 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F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CICSMA</w:t>
      </w:r>
      <w:r w:rsidR="009E0D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que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juntamente com o CSEAR</w:t>
      </w:r>
      <w:r w:rsidR="00983E6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apoia a confer</w:t>
      </w:r>
      <w:r w:rsidR="005D5D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ê</w:t>
      </w:r>
      <w:r w:rsidR="00983E6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ncia bianual espanhola sobre pesquisa de contabilidade social e ambiental.</w:t>
      </w:r>
      <w:r w:rsidR="00DD4D5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fim, o CSEAR da América do Sul em sua </w:t>
      </w:r>
      <w:r w:rsidR="00991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última</w:t>
      </w:r>
      <w:r w:rsidR="00DD4D5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conferência passou a ser denominado de Conferência Sul-americana de Contabilidade para Sustentabilidade (CSCA).</w:t>
      </w:r>
    </w:p>
    <w:p w14:paraId="1B88E6CC" w14:textId="0E7A2312" w:rsidR="00E31B57" w:rsidRPr="008D1CCE" w:rsidRDefault="005D5DFE" w:rsidP="00630190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relação aos temas </w:t>
      </w:r>
      <w:r w:rsidR="00EA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 subtemas tratados</w:t>
      </w:r>
      <w:r w:rsidR="009C383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9C383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AB4DE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eventos, foi constatado que </w:t>
      </w:r>
      <w:r w:rsidR="001A05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também não há padronização</w:t>
      </w:r>
      <w:r w:rsidR="00023D9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sendo que das 69 conferências realizadas foram encontrados apenas </w:t>
      </w:r>
      <w:r w:rsidR="00AF3B0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E74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762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(vinte e </w:t>
      </w:r>
      <w:r w:rsidR="007E74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5E0F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uas</w:t>
      </w:r>
      <w:r w:rsidR="001762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 que apresentam temática</w:t>
      </w:r>
      <w:r w:rsidR="001A05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FEC999" w14:textId="6995EC42" w:rsidR="00E31B57" w:rsidRPr="008D1CCE" w:rsidRDefault="00E31B57" w:rsidP="00B9693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Percebe-se que </w:t>
      </w:r>
      <w:r w:rsidR="002021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 conferências</w:t>
      </w:r>
      <w:r w:rsidR="001F034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66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tratam</w:t>
      </w:r>
      <w:r w:rsidR="001F034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sobretudo, da </w:t>
      </w:r>
      <w:r w:rsidR="000A66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temática </w:t>
      </w:r>
      <w:r w:rsidR="001F034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contabilidade ambiental</w:t>
      </w:r>
      <w:r w:rsidR="000A66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Contudo, não deixam de lado</w:t>
      </w:r>
      <w:r w:rsidR="002021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66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 w:rsidR="002021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aspectos sociais e econômicos, </w:t>
      </w:r>
      <w:r w:rsidR="00F27D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053D5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responsabilidade </w:t>
      </w:r>
      <w:r w:rsidR="00F27D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social corporativa, a evidenciação dos </w:t>
      </w:r>
      <w:r w:rsidR="002021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relatórios s</w:t>
      </w:r>
      <w:r w:rsidR="00436A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2021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cio</w:t>
      </w:r>
      <w:r w:rsidR="00F27D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ambientais</w:t>
      </w:r>
      <w:r w:rsidR="002021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36A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auditoria ambiental, sistemas de gestão ambiental, </w:t>
      </w:r>
      <w:r w:rsidR="0020213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ética, ensino e pesquisa</w:t>
      </w:r>
      <w:r w:rsidR="00F27D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contabilidade ambiental, </w:t>
      </w:r>
      <w:r w:rsidR="001F034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valores humanos</w:t>
      </w:r>
      <w:r w:rsidR="00FF02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 e abarcam diversos setores</w:t>
      </w:r>
      <w:r w:rsidR="001F034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F02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tanto o </w:t>
      </w:r>
      <w:r w:rsidR="002B29E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privado</w:t>
      </w:r>
      <w:r w:rsidR="00FF02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o</w:t>
      </w:r>
      <w:r w:rsidR="00B9693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público, cooperativ</w:t>
      </w:r>
      <w:r w:rsidR="006F527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ismo </w:t>
      </w:r>
      <w:r w:rsidR="00B9693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B29E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organizações do </w:t>
      </w:r>
      <w:r w:rsidR="00B9693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terceiro setor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629118" w14:textId="77777777" w:rsidR="00866592" w:rsidRPr="008D1CCE" w:rsidRDefault="00866592" w:rsidP="001E3A1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B2824EE" w14:textId="39BDD638" w:rsidR="004523FB" w:rsidRPr="008D1CCE" w:rsidRDefault="004523FB" w:rsidP="00F32A25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Perfil </w:t>
      </w:r>
      <w:r w:rsidR="00866592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 publicação dos comitês organizadores</w:t>
      </w:r>
    </w:p>
    <w:p w14:paraId="749F6153" w14:textId="268861DF" w:rsidR="00C01A38" w:rsidRPr="008D1CCE" w:rsidRDefault="00C01A38" w:rsidP="00C01A3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Conforme explicitado na metodologia desta pesquisa, primeiramente identificou-se os comitês organizadores dos eventos para compor a rede de pesquisadores, e em seguida fo</w:t>
      </w:r>
      <w:r w:rsidR="007D648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ram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identificado</w:t>
      </w:r>
      <w:r w:rsidR="007D648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trabalhos publicados por esses autores</w:t>
      </w:r>
      <w:r w:rsidR="007D648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conforme Tabela </w:t>
      </w:r>
      <w:r w:rsidR="0060338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D648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2E91A2" w14:textId="77777777" w:rsidR="003F32CD" w:rsidRPr="008D1CCE" w:rsidRDefault="003F32CD" w:rsidP="00F80CF2">
      <w:pPr>
        <w:pStyle w:val="Legenda"/>
        <w:keepNext/>
        <w:spacing w:after="0"/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</w:pPr>
    </w:p>
    <w:p w14:paraId="5DB7B95D" w14:textId="5FB9EDD9" w:rsidR="00F80CF2" w:rsidRPr="008D1CCE" w:rsidRDefault="00F80CF2" w:rsidP="00F80CF2">
      <w:pPr>
        <w:pStyle w:val="Legend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Tabela </w:t>
      </w:r>
      <w:r w:rsidR="00603384"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4222"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Portfólio Bibliográfico da Pesquisa</w:t>
      </w:r>
    </w:p>
    <w:tbl>
      <w:tblPr>
        <w:tblStyle w:val="TabelaSimples21"/>
        <w:tblW w:w="9219" w:type="dxa"/>
        <w:tblLayout w:type="fixed"/>
        <w:tblLook w:val="04A0" w:firstRow="1" w:lastRow="0" w:firstColumn="1" w:lastColumn="0" w:noHBand="0" w:noVBand="1"/>
      </w:tblPr>
      <w:tblGrid>
        <w:gridCol w:w="4683"/>
        <w:gridCol w:w="2982"/>
        <w:gridCol w:w="1554"/>
      </w:tblGrid>
      <w:tr w:rsidR="008D1CCE" w:rsidRPr="008D1CCE" w14:paraId="0F503A16" w14:textId="77777777" w:rsidTr="00AF3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624BFF02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2982" w:type="dxa"/>
            <w:vAlign w:val="center"/>
            <w:hideMark/>
          </w:tcPr>
          <w:p w14:paraId="1882D45C" w14:textId="77777777" w:rsidR="001953A8" w:rsidRPr="008D1CCE" w:rsidRDefault="001953A8" w:rsidP="00AF3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Palavras-chave</w:t>
            </w:r>
          </w:p>
        </w:tc>
        <w:tc>
          <w:tcPr>
            <w:tcW w:w="1554" w:type="dxa"/>
            <w:vAlign w:val="center"/>
            <w:hideMark/>
          </w:tcPr>
          <w:p w14:paraId="631F6CFA" w14:textId="77777777" w:rsidR="001953A8" w:rsidRPr="008D1CCE" w:rsidRDefault="001953A8" w:rsidP="00AF3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Autor(es)</w:t>
            </w:r>
          </w:p>
        </w:tc>
      </w:tr>
      <w:tr w:rsidR="008D1CCE" w:rsidRPr="008D1CCE" w14:paraId="3CA6581E" w14:textId="77777777" w:rsidTr="00AF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13D118AA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Um Estudo sobre a Avaliação Socioambiental do Relatório de Impacto Ambiental do Terminal Graneleiro da Cargill em Santarém – PA.</w:t>
            </w:r>
          </w:p>
        </w:tc>
        <w:tc>
          <w:tcPr>
            <w:tcW w:w="2982" w:type="dxa"/>
            <w:vAlign w:val="center"/>
            <w:hideMark/>
          </w:tcPr>
          <w:p w14:paraId="57ABEDD9" w14:textId="0A0F5082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Socioambiental, Cargill, RIMA</w:t>
            </w:r>
          </w:p>
        </w:tc>
        <w:tc>
          <w:tcPr>
            <w:tcW w:w="1554" w:type="dxa"/>
            <w:vAlign w:val="center"/>
            <w:hideMark/>
          </w:tcPr>
          <w:p w14:paraId="516E6669" w14:textId="2B4A861B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Ferreira e Lima (2017)</w:t>
            </w:r>
          </w:p>
        </w:tc>
      </w:tr>
      <w:tr w:rsidR="008D1CCE" w:rsidRPr="008D1CCE" w14:paraId="186D4028" w14:textId="77777777" w:rsidTr="00AF320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548F4BCB" w14:textId="150EA7C9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Uma análise da produção científica sobre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>Full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>Cost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>Accounting</w:t>
            </w:r>
            <w:proofErr w:type="spellEnd"/>
          </w:p>
        </w:tc>
        <w:tc>
          <w:tcPr>
            <w:tcW w:w="2982" w:type="dxa"/>
            <w:vAlign w:val="center"/>
            <w:hideMark/>
          </w:tcPr>
          <w:p w14:paraId="185B7CDF" w14:textId="300A5B8E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Full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Cost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Accouting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Mensuração, Contabilidade Socioambiental</w:t>
            </w:r>
          </w:p>
        </w:tc>
        <w:tc>
          <w:tcPr>
            <w:tcW w:w="1554" w:type="dxa"/>
            <w:vAlign w:val="center"/>
            <w:hideMark/>
          </w:tcPr>
          <w:p w14:paraId="0227C9EA" w14:textId="52EFFEE6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Angoti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Ferreira e Carvalho (2017)</w:t>
            </w:r>
          </w:p>
        </w:tc>
      </w:tr>
      <w:tr w:rsidR="008D1CCE" w:rsidRPr="008D1CCE" w14:paraId="39135AE0" w14:textId="77777777" w:rsidTr="00AF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32430783" w14:textId="25DDA75B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bookmarkStart w:id="0" w:name="_Hlk507611431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Contabilidade e Sustentabilidade: o caso da Samarco S.A.</w:t>
            </w:r>
            <w:bookmarkEnd w:id="0"/>
          </w:p>
        </w:tc>
        <w:tc>
          <w:tcPr>
            <w:tcW w:w="2982" w:type="dxa"/>
            <w:vAlign w:val="center"/>
            <w:hideMark/>
          </w:tcPr>
          <w:p w14:paraId="50840348" w14:textId="03E76506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Socioambiental, Samarco, Impacto Ambiental, Barragem</w:t>
            </w:r>
          </w:p>
        </w:tc>
        <w:tc>
          <w:tcPr>
            <w:tcW w:w="1554" w:type="dxa"/>
            <w:vAlign w:val="center"/>
            <w:hideMark/>
          </w:tcPr>
          <w:p w14:paraId="60C16FD5" w14:textId="49B31A74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Cabral, Ferreira e Queiroz (2017)</w:t>
            </w:r>
          </w:p>
        </w:tc>
      </w:tr>
      <w:tr w:rsidR="008D1CCE" w:rsidRPr="008D1CCE" w14:paraId="15A3F06F" w14:textId="77777777" w:rsidTr="00AF320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369220D0" w14:textId="187AD01A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Análise Bibliométrica da Produção Científica no Social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Responsibility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Journa</w:t>
            </w:r>
            <w:proofErr w:type="spellEnd"/>
          </w:p>
        </w:tc>
        <w:tc>
          <w:tcPr>
            <w:tcW w:w="2982" w:type="dxa"/>
            <w:vAlign w:val="center"/>
            <w:hideMark/>
          </w:tcPr>
          <w:p w14:paraId="1F019272" w14:textId="2DFED01D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Social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Responsibility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Journal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Produção científica sobre RSC, Análise bibliométrica, Análise de rede social,</w:t>
            </w:r>
          </w:p>
        </w:tc>
        <w:tc>
          <w:tcPr>
            <w:tcW w:w="1554" w:type="dxa"/>
            <w:vAlign w:val="center"/>
            <w:hideMark/>
          </w:tcPr>
          <w:p w14:paraId="547ECF68" w14:textId="37D9B861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Freire, Lopes 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Panza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(2017)</w:t>
            </w:r>
          </w:p>
        </w:tc>
      </w:tr>
      <w:tr w:rsidR="008D1CCE" w:rsidRPr="008D1CCE" w14:paraId="3CBFB045" w14:textId="77777777" w:rsidTr="00AF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4D4B9A08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lastRenderedPageBreak/>
              <w:t xml:space="preserve">Forças e Fraquezas da </w:t>
            </w:r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 xml:space="preserve">Performance </w:t>
            </w: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Social Corporativa de Instituições Financeiras</w:t>
            </w:r>
          </w:p>
        </w:tc>
        <w:tc>
          <w:tcPr>
            <w:tcW w:w="2982" w:type="dxa"/>
            <w:vAlign w:val="center"/>
            <w:hideMark/>
          </w:tcPr>
          <w:p w14:paraId="6860F839" w14:textId="77777777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Responsabilidade Socioambiental,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Performace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Social Corporativa, Instituições financeiras.</w:t>
            </w:r>
          </w:p>
        </w:tc>
        <w:tc>
          <w:tcPr>
            <w:tcW w:w="1554" w:type="dxa"/>
            <w:vAlign w:val="center"/>
            <w:hideMark/>
          </w:tcPr>
          <w:p w14:paraId="37A2975A" w14:textId="620C8C0A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Fagundes e Freire (2017)</w:t>
            </w:r>
          </w:p>
        </w:tc>
      </w:tr>
      <w:tr w:rsidR="008D1CCE" w:rsidRPr="008D1CCE" w14:paraId="4B621E31" w14:textId="77777777" w:rsidTr="00AF320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20DA26E7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Comparabilidade na Evidenciação de Informações sobre Provisões e Passivos Contingentes Ambientais em Companhias Abertas: um Estudo Internacional</w:t>
            </w:r>
          </w:p>
        </w:tc>
        <w:tc>
          <w:tcPr>
            <w:tcW w:w="2982" w:type="dxa"/>
            <w:vAlign w:val="center"/>
            <w:hideMark/>
          </w:tcPr>
          <w:p w14:paraId="6C132B9B" w14:textId="77777777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4" w:type="dxa"/>
            <w:vAlign w:val="center"/>
            <w:hideMark/>
          </w:tcPr>
          <w:p w14:paraId="6B36306D" w14:textId="21F9837B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Prado e Ribeiro (2017)</w:t>
            </w:r>
          </w:p>
        </w:tc>
      </w:tr>
      <w:tr w:rsidR="008D1CCE" w:rsidRPr="008D1CCE" w14:paraId="3C4E9C10" w14:textId="77777777" w:rsidTr="00AF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0E2D1B77" w14:textId="3DD23064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Contabilidade Ambiental -</w:t>
            </w: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br/>
              <w:t>Gastos ambientais em empresas certificadas pela ISO 14001 em Portugal</w:t>
            </w:r>
          </w:p>
        </w:tc>
        <w:tc>
          <w:tcPr>
            <w:tcW w:w="2982" w:type="dxa"/>
            <w:vAlign w:val="center"/>
            <w:hideMark/>
          </w:tcPr>
          <w:p w14:paraId="738359A7" w14:textId="77777777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Gastos Ambientais, ISO 14001, Contabilidade Ambiental, Portugal,</w:t>
            </w: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br/>
              <w:t>Sustentabilidade</w:t>
            </w:r>
          </w:p>
        </w:tc>
        <w:tc>
          <w:tcPr>
            <w:tcW w:w="1554" w:type="dxa"/>
            <w:vAlign w:val="center"/>
            <w:hideMark/>
          </w:tcPr>
          <w:p w14:paraId="2BE6CC25" w14:textId="1C4ECB0B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Eugenio, Bonito e Novas (2016)</w:t>
            </w:r>
          </w:p>
        </w:tc>
      </w:tr>
      <w:tr w:rsidR="008D1CCE" w:rsidRPr="008D1CCE" w14:paraId="37FEF104" w14:textId="77777777" w:rsidTr="00AF320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2EC5DF24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Contabilidade para a Sustentabilidade Uma análise dos principais trabalhos publicados nas Top 10 do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>Scimago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>Journal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i/>
                <w:iCs/>
                <w:color w:val="000000" w:themeColor="text1"/>
                <w:sz w:val="20"/>
                <w:szCs w:val="20"/>
                <w:lang w:eastAsia="pt-BR"/>
              </w:rPr>
              <w:t xml:space="preserve"> Rank</w:t>
            </w:r>
          </w:p>
        </w:tc>
        <w:tc>
          <w:tcPr>
            <w:tcW w:w="2982" w:type="dxa"/>
            <w:vAlign w:val="center"/>
            <w:hideMark/>
          </w:tcPr>
          <w:p w14:paraId="780E2CEF" w14:textId="3614A565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Contabilidade ambiental e social, Sustentabilidade, Investigação</w:t>
            </w:r>
          </w:p>
        </w:tc>
        <w:tc>
          <w:tcPr>
            <w:tcW w:w="1554" w:type="dxa"/>
            <w:vAlign w:val="center"/>
            <w:hideMark/>
          </w:tcPr>
          <w:p w14:paraId="4801FC26" w14:textId="078792EF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Casca, Rodrigues e Eugenio (2016)</w:t>
            </w:r>
          </w:p>
        </w:tc>
      </w:tr>
      <w:tr w:rsidR="008D1CCE" w:rsidRPr="008D1CCE" w14:paraId="70B3AAE1" w14:textId="77777777" w:rsidTr="00AF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4A71022A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The rationales behind corporate involvement and reporting on community activities: Evidence from Saudi Arabia</w:t>
            </w:r>
          </w:p>
        </w:tc>
        <w:tc>
          <w:tcPr>
            <w:tcW w:w="2982" w:type="dxa"/>
            <w:vAlign w:val="center"/>
            <w:hideMark/>
          </w:tcPr>
          <w:p w14:paraId="6C6CEBAF" w14:textId="77777777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pt-BR"/>
              </w:rPr>
              <w:t>CSR, CSR reporting, community involvement activities, stakeholder theory and Saudi Arabia</w:t>
            </w:r>
          </w:p>
        </w:tc>
        <w:tc>
          <w:tcPr>
            <w:tcW w:w="1554" w:type="dxa"/>
            <w:vAlign w:val="center"/>
            <w:hideMark/>
          </w:tcPr>
          <w:p w14:paraId="26E1AA49" w14:textId="22547252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Silawi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Tilt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(2015)</w:t>
            </w:r>
          </w:p>
        </w:tc>
      </w:tr>
      <w:tr w:rsidR="008D1CCE" w:rsidRPr="008D1CCE" w14:paraId="6D53BBB7" w14:textId="77777777" w:rsidTr="00AF320D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37AF63D6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Comportamento ambiental: estudo comparativo entre estudantes brasileiros e portugueses</w:t>
            </w:r>
          </w:p>
        </w:tc>
        <w:tc>
          <w:tcPr>
            <w:tcW w:w="2982" w:type="dxa"/>
            <w:vAlign w:val="center"/>
            <w:hideMark/>
          </w:tcPr>
          <w:p w14:paraId="5E95EA5F" w14:textId="116DF421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Comportamento ambiental, Atitudes ambientais, Consumo verde, Estudo transcultural.</w:t>
            </w:r>
          </w:p>
        </w:tc>
        <w:tc>
          <w:tcPr>
            <w:tcW w:w="1554" w:type="dxa"/>
            <w:vAlign w:val="center"/>
            <w:hideMark/>
          </w:tcPr>
          <w:p w14:paraId="0491797F" w14:textId="3ECE96BF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bookmarkStart w:id="1" w:name="_Hlk507597438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Fernandes et al. </w:t>
            </w:r>
            <w:bookmarkEnd w:id="1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(2014)</w:t>
            </w:r>
          </w:p>
        </w:tc>
      </w:tr>
      <w:tr w:rsidR="008D1CCE" w:rsidRPr="008D1CCE" w14:paraId="73C69767" w14:textId="77777777" w:rsidTr="00AF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40555337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As Práticas de Relato Ambiental nas Empresas Cotadas no PSI20: uma Análise Longitudinal</w:t>
            </w:r>
          </w:p>
        </w:tc>
        <w:tc>
          <w:tcPr>
            <w:tcW w:w="2982" w:type="dxa"/>
            <w:vAlign w:val="center"/>
            <w:hideMark/>
          </w:tcPr>
          <w:p w14:paraId="24664903" w14:textId="17523C61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Relato Ambiental, Fatores Determinantes, Análise Conteúdo,</w:t>
            </w: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br/>
              <w:t>Portugal.</w:t>
            </w:r>
          </w:p>
        </w:tc>
        <w:tc>
          <w:tcPr>
            <w:tcW w:w="1554" w:type="dxa"/>
            <w:vAlign w:val="center"/>
            <w:hideMark/>
          </w:tcPr>
          <w:p w14:paraId="74932AE2" w14:textId="6BC0148A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Mata, Fialho e Eugenio (2014)</w:t>
            </w:r>
          </w:p>
        </w:tc>
      </w:tr>
      <w:tr w:rsidR="008D1CCE" w:rsidRPr="008D1CCE" w14:paraId="38648C1E" w14:textId="77777777" w:rsidTr="00AF320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24AB38DD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Relato de Sustentabilidade - Práticas no setor da Construção Civil</w:t>
            </w:r>
          </w:p>
        </w:tc>
        <w:tc>
          <w:tcPr>
            <w:tcW w:w="2982" w:type="dxa"/>
            <w:vAlign w:val="center"/>
            <w:hideMark/>
          </w:tcPr>
          <w:p w14:paraId="57B1463C" w14:textId="77777777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Relatório de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Sutentabilidade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, Divulgação, Sustentabilidade, GRI</w:t>
            </w:r>
          </w:p>
        </w:tc>
        <w:tc>
          <w:tcPr>
            <w:tcW w:w="1554" w:type="dxa"/>
            <w:vAlign w:val="center"/>
            <w:hideMark/>
          </w:tcPr>
          <w:p w14:paraId="23C57C6F" w14:textId="5D199DF5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bookmarkStart w:id="2" w:name="_Hlk507692225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Caetano e Eugenio </w:t>
            </w:r>
            <w:bookmarkEnd w:id="2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(2014)</w:t>
            </w:r>
          </w:p>
        </w:tc>
      </w:tr>
      <w:tr w:rsidR="008D1CCE" w:rsidRPr="008D1CCE" w14:paraId="5FF1A326" w14:textId="77777777" w:rsidTr="00AF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046022FC" w14:textId="2F1557EC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Performance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sociale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et performance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financière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Etat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l’art</w:t>
            </w:r>
            <w:proofErr w:type="spellEnd"/>
          </w:p>
        </w:tc>
        <w:tc>
          <w:tcPr>
            <w:tcW w:w="2982" w:type="dxa"/>
            <w:vAlign w:val="center"/>
            <w:hideMark/>
          </w:tcPr>
          <w:p w14:paraId="772AC6FB" w14:textId="2F09F1BB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Responsabilité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sociale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d’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entreprise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, performance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sociale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, performance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financière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lien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causalité</w:t>
            </w:r>
            <w:proofErr w:type="spellEnd"/>
          </w:p>
        </w:tc>
        <w:tc>
          <w:tcPr>
            <w:tcW w:w="1554" w:type="dxa"/>
            <w:vAlign w:val="center"/>
            <w:hideMark/>
          </w:tcPr>
          <w:p w14:paraId="5B62AB3C" w14:textId="7FD92315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Gillet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e Martinez (2013)</w:t>
            </w:r>
          </w:p>
        </w:tc>
      </w:tr>
      <w:tr w:rsidR="008D1CCE" w:rsidRPr="008D1CCE" w14:paraId="0AB72420" w14:textId="77777777" w:rsidTr="00AF320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540CDA2C" w14:textId="643A63D9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Les provisions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comptables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environnementales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sont-elles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fiables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? Une lecture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institutionnelle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 du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cas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 des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sociétés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cotées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françaises</w:t>
            </w:r>
            <w:proofErr w:type="spellEnd"/>
          </w:p>
        </w:tc>
        <w:tc>
          <w:tcPr>
            <w:tcW w:w="2982" w:type="dxa"/>
            <w:vAlign w:val="center"/>
            <w:hideMark/>
          </w:tcPr>
          <w:p w14:paraId="0C1A9D02" w14:textId="77777777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provisions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environnementales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fiabilité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l’information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comptable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gestion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du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résultat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légitimité</w:t>
            </w:r>
            <w:proofErr w:type="spellEnd"/>
          </w:p>
        </w:tc>
        <w:tc>
          <w:tcPr>
            <w:tcW w:w="1554" w:type="dxa"/>
            <w:vAlign w:val="center"/>
            <w:hideMark/>
          </w:tcPr>
          <w:p w14:paraId="2817507E" w14:textId="04F44066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Maurice (2013)</w:t>
            </w:r>
          </w:p>
        </w:tc>
      </w:tr>
      <w:tr w:rsidR="008D1CCE" w:rsidRPr="008D1CCE" w14:paraId="0C72D568" w14:textId="77777777" w:rsidTr="00AF3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  <w:hideMark/>
          </w:tcPr>
          <w:p w14:paraId="37EFFD72" w14:textId="77777777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The Rise and Fall of Asbestos: A tale of two companies</w:t>
            </w:r>
          </w:p>
        </w:tc>
        <w:tc>
          <w:tcPr>
            <w:tcW w:w="2982" w:type="dxa"/>
            <w:vAlign w:val="center"/>
            <w:hideMark/>
          </w:tcPr>
          <w:p w14:paraId="0CDACB98" w14:textId="77777777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4" w:type="dxa"/>
            <w:vAlign w:val="center"/>
            <w:hideMark/>
          </w:tcPr>
          <w:p w14:paraId="50536D63" w14:textId="4C20925F" w:rsidR="001953A8" w:rsidRPr="008D1CCE" w:rsidRDefault="001953A8" w:rsidP="00AF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Moerman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Laan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e Campbell (2012)</w:t>
            </w:r>
          </w:p>
        </w:tc>
      </w:tr>
      <w:tr w:rsidR="008D1CCE" w:rsidRPr="008D1CCE" w14:paraId="3CDEA015" w14:textId="77777777" w:rsidTr="00AF320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3" w:type="dxa"/>
            <w:vAlign w:val="center"/>
          </w:tcPr>
          <w:p w14:paraId="291EE9FC" w14:textId="0D0203DC" w:rsidR="001953A8" w:rsidRPr="008D1CCE" w:rsidRDefault="001953A8" w:rsidP="00AF320D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val="en-US" w:eastAsia="pt-BR"/>
              </w:rPr>
              <w:t>The role of management accounting practices as facilitators of the environmental management</w:t>
            </w:r>
          </w:p>
        </w:tc>
        <w:tc>
          <w:tcPr>
            <w:tcW w:w="2982" w:type="dxa"/>
            <w:vAlign w:val="center"/>
          </w:tcPr>
          <w:p w14:paraId="22034323" w14:textId="05951E6D" w:rsidR="001953A8" w:rsidRPr="008D1CCE" w:rsidRDefault="00814D86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pt-BR"/>
              </w:rPr>
            </w:pPr>
            <w:hyperlink r:id="rId9" w:history="1">
              <w:r w:rsidR="001953A8" w:rsidRPr="008D1CC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val="en-US" w:eastAsia="pt-BR"/>
                </w:rPr>
                <w:t>Management accounting</w:t>
              </w:r>
            </w:hyperlink>
            <w:r w:rsidR="001953A8"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pt-BR"/>
              </w:rPr>
              <w:t>, </w:t>
            </w:r>
            <w:hyperlink r:id="rId10" w:history="1">
              <w:r w:rsidR="001953A8" w:rsidRPr="008D1CC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val="en-US" w:eastAsia="pt-BR"/>
                </w:rPr>
                <w:t>Environmental management</w:t>
              </w:r>
            </w:hyperlink>
            <w:r w:rsidR="001953A8"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pt-BR"/>
              </w:rPr>
              <w:t>, </w:t>
            </w:r>
            <w:hyperlink r:id="rId11" w:history="1">
              <w:r w:rsidR="001953A8" w:rsidRPr="008D1CCE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lang w:val="en-US" w:eastAsia="pt-BR"/>
                </w:rPr>
                <w:t>Spain</w:t>
              </w:r>
            </w:hyperlink>
          </w:p>
        </w:tc>
        <w:tc>
          <w:tcPr>
            <w:tcW w:w="1554" w:type="dxa"/>
            <w:vAlign w:val="center"/>
          </w:tcPr>
          <w:p w14:paraId="3803E683" w14:textId="3559BF4B" w:rsidR="001953A8" w:rsidRPr="008D1CCE" w:rsidRDefault="001953A8" w:rsidP="00AF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>Albelda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t-BR"/>
              </w:rPr>
              <w:t xml:space="preserve"> (2011)</w:t>
            </w:r>
          </w:p>
        </w:tc>
      </w:tr>
    </w:tbl>
    <w:p w14:paraId="1162011A" w14:textId="348B6223" w:rsidR="00FD39F9" w:rsidRPr="008D1CCE" w:rsidRDefault="00FD61EC" w:rsidP="00F14757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>Fonte: Dados da Pesquisa (2017).</w:t>
      </w:r>
    </w:p>
    <w:p w14:paraId="62409FAC" w14:textId="75392D2A" w:rsidR="00FD61EC" w:rsidRPr="008D1CCE" w:rsidRDefault="007D6482" w:rsidP="00DA1D8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D86A25D" w14:textId="02D5A701" w:rsidR="007D6482" w:rsidRPr="008D1CCE" w:rsidRDefault="00DA1D8B" w:rsidP="002B144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Verificou-se que as publicações dos artigos sobre contabilidade ambiental pelos organizadores dos eventos se concentram no an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de 2017. Foi possível identificar que Eugenio e F</w:t>
      </w:r>
      <w:r w:rsidR="0000690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erreira 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autores </w:t>
      </w:r>
      <w:r w:rsidR="00575CE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destaque</w:t>
      </w:r>
      <w:r w:rsidR="0005637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respectivamente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quatro e três publicações nos eventos realizados pelo CSEA</w:t>
      </w:r>
      <w:r w:rsidR="0005637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Observando a quantidade de citações, é possível constatar que </w:t>
      </w:r>
      <w:r w:rsidR="00C70C7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</w:t>
      </w:r>
      <w:r w:rsidR="00C70C7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destaca 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="00A526A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49 (quarenta e nove) citações o artigo </w:t>
      </w:r>
      <w:r w:rsidR="0098087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A526AA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 xml:space="preserve">The role </w:t>
      </w:r>
      <w:proofErr w:type="spellStart"/>
      <w:r w:rsidR="00A526AA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>of</w:t>
      </w:r>
      <w:proofErr w:type="spellEnd"/>
      <w:r w:rsidR="00A526AA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 xml:space="preserve"> management</w:t>
      </w:r>
      <w:r w:rsidR="00B0775A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t-BR"/>
        </w:rPr>
        <w:t xml:space="preserve"> </w:t>
      </w:r>
      <w:r w:rsidR="00A526AA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pt-BR"/>
        </w:rPr>
        <w:t>accounting practices as</w:t>
      </w:r>
      <w:r w:rsidR="002B1446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pt-BR"/>
        </w:rPr>
        <w:t xml:space="preserve"> </w:t>
      </w:r>
      <w:r w:rsidR="00A526AA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pt-BR"/>
        </w:rPr>
        <w:t>facilitators of the environmental</w:t>
      </w:r>
      <w:r w:rsidR="002B1446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pt-BR"/>
        </w:rPr>
        <w:t xml:space="preserve"> </w:t>
      </w:r>
      <w:r w:rsidR="00A526AA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pt-BR"/>
        </w:rPr>
        <w:t>management</w:t>
      </w:r>
      <w:r w:rsidR="0098087D" w:rsidRPr="008D1C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pt-BR"/>
        </w:rPr>
        <w:t>”</w:t>
      </w:r>
      <w:r w:rsidR="002B1446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 de </w:t>
      </w:r>
      <w:proofErr w:type="spellStart"/>
      <w:r w:rsidR="002B1446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Albelda</w:t>
      </w:r>
      <w:proofErr w:type="spellEnd"/>
      <w:r w:rsidR="0008346A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A526A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seguida, aparecem com 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(uma) citação </w:t>
      </w:r>
      <w:r w:rsidR="00A526A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artigos “Contabilidade Ambiental</w:t>
      </w:r>
      <w:r w:rsidR="00F01A9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Gastos ambientais em empresas certificadas pela ISO 14001 em Portugal”</w:t>
      </w:r>
      <w:r w:rsidR="00C70C7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autores Eugenio, Bonito e Novas</w:t>
      </w:r>
      <w:r w:rsidR="00A91B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“Comportamento ambiental: estudo comparativo entre estudantes brasileiros e portugueses”</w:t>
      </w:r>
      <w:r w:rsidR="00C70C7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 autores Fernandes et al.</w:t>
      </w:r>
      <w:r w:rsidR="00A91B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C70C7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 “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provisions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comptables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environnementales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sont-elles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fiables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? Une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lecture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institutionnelle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du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sociétés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cotées</w:t>
      </w:r>
      <w:proofErr w:type="spellEnd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070C23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françaises</w:t>
      </w:r>
      <w:proofErr w:type="spellEnd"/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C70C7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autor Maurice</w:t>
      </w:r>
      <w:r w:rsidR="00070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P</w:t>
      </w:r>
      <w:r w:rsidR="0005637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ode-se observar que </w:t>
      </w:r>
      <w:r w:rsidR="0025446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alguns dos artigos da amostra são muito atuais e não houve tempo para que fossem citados em outras publicações</w:t>
      </w:r>
      <w:r w:rsidR="00DB0E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DB83CF" w14:textId="359C1B4D" w:rsidR="00510A18" w:rsidRPr="008D1CCE" w:rsidRDefault="00BE50DC" w:rsidP="00DB0E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No que diz respeito </w:t>
      </w:r>
      <w:r w:rsidR="00560C5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às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palavras-chaves, </w:t>
      </w:r>
      <w:r w:rsidR="00DB0E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nota-se que as palavras mais utilizadas para coleta de artigos pelos autores foram: “Contabilidade Socioambiental” e “Responsabilidade Social”.</w:t>
      </w:r>
      <w:r w:rsidR="00510A1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do levantamento d</w:t>
      </w:r>
      <w:r w:rsidR="001D11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esses </w:t>
      </w:r>
      <w:r w:rsidR="00510A1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aspectos</w:t>
      </w:r>
      <w:r w:rsidR="001D11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0A1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que se destacam na amostra</w:t>
      </w:r>
      <w:r w:rsidR="001D11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173A7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pesquisa</w:t>
      </w:r>
      <w:r w:rsidR="00510A1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são analisados os aspectos metodológicos e teóricos que contribuem com o tema pesquisado.</w:t>
      </w:r>
    </w:p>
    <w:p w14:paraId="1C47A05B" w14:textId="435BA9CD" w:rsidR="0020034A" w:rsidRPr="008D1CCE" w:rsidRDefault="00510A18" w:rsidP="006151D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61E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metodologia predominante </w:t>
      </w:r>
      <w:r w:rsidR="00393D2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refere-se </w:t>
      </w:r>
      <w:r w:rsidR="002136D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à Analítica</w:t>
      </w:r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763D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artigos)</w:t>
      </w:r>
      <w:r w:rsidR="002136D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sendo po</w:t>
      </w:r>
      <w:r w:rsidR="00A91B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ssível observar que nos artigos </w:t>
      </w:r>
      <w:r w:rsidR="002136D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metodologia foi utilizada para explorar o tema de contabilidade ambiental, em termos de gestão ambiental, sustentabilidade e evidenciação ambiental. </w:t>
      </w:r>
      <w:r w:rsidR="006E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seguida, são utilizados </w:t>
      </w:r>
      <w:r w:rsidR="00932E2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6E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evisão e </w:t>
      </w:r>
      <w:r w:rsidR="00A91B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E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esquisa </w:t>
      </w:r>
      <w:r w:rsidR="00932E2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E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ocumental</w:t>
      </w:r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6039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ambos </w:t>
      </w:r>
      <w:r w:rsidR="00A91B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4 artigos)</w:t>
      </w:r>
      <w:r w:rsidR="006E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4614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Nesses modelos respectivamente, </w:t>
      </w:r>
      <w:proofErr w:type="spellStart"/>
      <w:r w:rsidR="0044614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Angoti</w:t>
      </w:r>
      <w:proofErr w:type="spellEnd"/>
      <w:r w:rsidR="0044614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Ferreira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44614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Carvalho (2017) desenvolveram uma análise das pesquisas sobre o FCA publicadas nas últimas duas décadas, procurando mapear e discutir a produção científica referente ao tema. </w:t>
      </w:r>
      <w:r w:rsidR="006E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Casca, Rodrigues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6E78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Eugenio (2016) </w:t>
      </w:r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desenvolveram uma pesquisa documental buscando identificar produção científica em contabilidade ambiental e social no período de 2009 a 2015, nas revistas de contabilidade consideradas </w:t>
      </w:r>
      <w:r w:rsidR="006151D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Top 10</w:t>
      </w:r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a classificação de </w:t>
      </w:r>
      <w:proofErr w:type="spellStart"/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Scimago</w:t>
      </w:r>
      <w:proofErr w:type="spellEnd"/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Journal</w:t>
      </w:r>
      <w:proofErr w:type="spellEnd"/>
      <w:r w:rsidR="006151D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Rank (SJR).</w:t>
      </w:r>
    </w:p>
    <w:p w14:paraId="5DFEA1DC" w14:textId="4FE80995" w:rsidR="00926F36" w:rsidRPr="008D1CCE" w:rsidRDefault="008E6449" w:rsidP="009972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53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Um artigo utili</w:t>
      </w:r>
      <w:r w:rsidR="00A91B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zou a metodologia de Estudo de C</w:t>
      </w:r>
      <w:r w:rsidR="002F53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aso</w:t>
      </w:r>
      <w:r w:rsidR="00000D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um artigo</w:t>
      </w:r>
      <w:r w:rsidR="00600A2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Pesquisa de Campo.</w:t>
      </w:r>
      <w:r w:rsidR="00000D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53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0A2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Respectivamente,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Ferreira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 (2017) </w:t>
      </w:r>
      <w:r w:rsidR="00932E2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realizaram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</w:t>
      </w:r>
      <w:r w:rsidR="002F53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estudo de caso</w:t>
      </w:r>
      <w:r w:rsidR="00932E2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tem por finalidade fazer uma verificação, sob a ótica contábil, do Relatório de Impacto Ambiental – RIMA do projeto do terminal graneleiro da Cargill S.A. no rio Tapajós, apresentado em fevereiro de 2010.</w:t>
      </w:r>
      <w:r w:rsidR="00C65B7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0A2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Albelda</w:t>
      </w:r>
      <w:proofErr w:type="spellEnd"/>
      <w:r w:rsidR="00600A2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(2011) pretende</w:t>
      </w:r>
      <w:r w:rsidR="003F50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600A2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explorar o papel das práticas de contabilidade gerencial como facilitadores da gestão ambiental</w:t>
      </w:r>
      <w:r w:rsidR="003F50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3098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por meio de entrevistas com</w:t>
      </w:r>
      <w:r w:rsidR="003F50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gerentes ambientais e contábeis de seis f</w:t>
      </w:r>
      <w:r w:rsidR="00EC3D1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F504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bricas espanholas</w:t>
      </w:r>
      <w:r w:rsidR="00EC3D1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F72758" w14:textId="2C268D11" w:rsidR="00997225" w:rsidRPr="008D1CCE" w:rsidRDefault="00C65B78" w:rsidP="00926F3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finalmente, um artigo utilizou a </w:t>
      </w:r>
      <w:r w:rsidR="00A91B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etodologia </w:t>
      </w:r>
      <w:r w:rsidR="00A91B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xperimental, manipulando e tratando dados visando estabelecer causa-efeito nas variáveis investigadas. </w:t>
      </w:r>
      <w:r w:rsidR="007A0E4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Maurice (2013) propôs avaliar a confiabilidade das provisões ambientais no contexto das IFRS no período recente e explorar possíveis</w:t>
      </w:r>
      <w:r w:rsidR="0011436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0E4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explicações para essa (não) responsabilidade</w:t>
      </w:r>
      <w:r w:rsidR="0011436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CE5277" w14:textId="2FA4E9C6" w:rsidR="008D76AA" w:rsidRPr="008D1CCE" w:rsidRDefault="008D76AA" w:rsidP="009972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Com intuito de responder </w:t>
      </w:r>
      <w:r w:rsidR="009C6D7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à questão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 pesquisa,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 definições de contabilidade ambiental</w:t>
      </w:r>
      <w:r w:rsidR="00B47A1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partir dos trabalhos do CSEAR listado</w:t>
      </w:r>
      <w:r w:rsidR="00266B8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47A1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Tabela </w:t>
      </w:r>
      <w:r w:rsidR="007A0A6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são expost</w:t>
      </w:r>
      <w:r w:rsidR="000549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37309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Tabela </w:t>
      </w:r>
      <w:r w:rsidR="007A0A6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0549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7309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AE0510" w14:textId="4504FBBF" w:rsidR="004C6B12" w:rsidRPr="008D1CCE" w:rsidRDefault="004C6B12" w:rsidP="009972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803DCA" w14:textId="2F2C1266" w:rsidR="004C6B12" w:rsidRPr="008D1CCE" w:rsidRDefault="004C6B12" w:rsidP="004C6B12">
      <w:pPr>
        <w:pStyle w:val="Legenda"/>
        <w:keepNext/>
        <w:spacing w:after="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Tabela </w:t>
      </w:r>
      <w:r w:rsidR="007A0A61"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="00F74222"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Definição de Contabilidade Ambiental a partir de trabalhos do CSEAR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2997"/>
        <w:gridCol w:w="6064"/>
      </w:tblGrid>
      <w:tr w:rsidR="008D1CCE" w:rsidRPr="008D1CCE" w14:paraId="1C7C29B9" w14:textId="77777777" w:rsidTr="00425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7F795C99" w14:textId="56532AB9" w:rsidR="00837681" w:rsidRPr="008D1CCE" w:rsidRDefault="00C84C56" w:rsidP="00425DF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Autores</w:t>
            </w:r>
          </w:p>
        </w:tc>
        <w:tc>
          <w:tcPr>
            <w:tcW w:w="6064" w:type="dxa"/>
            <w:vAlign w:val="center"/>
          </w:tcPr>
          <w:p w14:paraId="6DE244F4" w14:textId="72FDFADF" w:rsidR="00837681" w:rsidRPr="008D1CCE" w:rsidRDefault="00C84C56" w:rsidP="00425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Definição</w:t>
            </w:r>
          </w:p>
        </w:tc>
      </w:tr>
      <w:tr w:rsidR="008D1CCE" w:rsidRPr="008D1CCE" w14:paraId="5C095148" w14:textId="77777777" w:rsidTr="0042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19B9C2F3" w14:textId="0E845F16" w:rsidR="004C6B12" w:rsidRPr="008D1CCE" w:rsidRDefault="004C6B12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Ferreira</w:t>
            </w:r>
            <w:r w:rsidR="00D81DF8"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</w:t>
            </w: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Lima (2017)</w:t>
            </w:r>
          </w:p>
        </w:tc>
        <w:tc>
          <w:tcPr>
            <w:tcW w:w="6064" w:type="dxa"/>
            <w:vAlign w:val="center"/>
          </w:tcPr>
          <w:p w14:paraId="06789C1A" w14:textId="4A148494" w:rsidR="004C6B12" w:rsidRPr="008D1CCE" w:rsidRDefault="00556185" w:rsidP="00425D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D01959"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rata dos eventos e transações que reflitam as interações da entidade com o meio ambiente, e, consequentemente, com a sociedade.</w:t>
            </w:r>
          </w:p>
        </w:tc>
      </w:tr>
      <w:tr w:rsidR="008D1CCE" w:rsidRPr="008D1CCE" w14:paraId="5EE7A5D0" w14:textId="77777777" w:rsidTr="0042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6C802E11" w14:textId="3F89FB79" w:rsidR="004C6B12" w:rsidRPr="008D1CCE" w:rsidRDefault="00D01959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Angotti</w:t>
            </w:r>
            <w:proofErr w:type="spellEnd"/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, Ferreira</w:t>
            </w:r>
            <w:r w:rsidR="00D81DF8"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</w:t>
            </w: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Carvalho (2017)</w:t>
            </w:r>
          </w:p>
        </w:tc>
        <w:tc>
          <w:tcPr>
            <w:tcW w:w="6064" w:type="dxa"/>
            <w:vAlign w:val="center"/>
          </w:tcPr>
          <w:p w14:paraId="0C742622" w14:textId="56DAF9AD" w:rsidR="004C6B12" w:rsidRPr="008D1CCE" w:rsidRDefault="00556185" w:rsidP="00425D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="004E1148"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nfatiza a necessidade de converter dados físicos em termos monetários (mensuração) e a elaboração de demonstrações/relatórios (evidenciação).</w:t>
            </w:r>
          </w:p>
        </w:tc>
      </w:tr>
      <w:tr w:rsidR="008D1CCE" w:rsidRPr="008D1CCE" w14:paraId="6A4EFD42" w14:textId="77777777" w:rsidTr="0042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77D116FE" w14:textId="7C9BDDDD" w:rsidR="004C6B12" w:rsidRPr="008D1CCE" w:rsidRDefault="00675BC5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Cabral, Ferreira</w:t>
            </w:r>
            <w:r w:rsidR="00D81DF8"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</w:t>
            </w: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Queiroz (2017)</w:t>
            </w:r>
          </w:p>
        </w:tc>
        <w:tc>
          <w:tcPr>
            <w:tcW w:w="6064" w:type="dxa"/>
            <w:vAlign w:val="center"/>
          </w:tcPr>
          <w:p w14:paraId="2B6C06D6" w14:textId="7DA2BF70" w:rsidR="004C6B12" w:rsidRPr="008D1CCE" w:rsidRDefault="00883923" w:rsidP="00425D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Visa gerar informações acerca do patrimônio das empresas, patrimônio esse que é alterado por questões ambientais geradas pela entidade. Utiliza, os relatórios de sustentabilidade como uma de suas ferramentas, bem como análises técnicas específicas.</w:t>
            </w:r>
          </w:p>
        </w:tc>
      </w:tr>
      <w:tr w:rsidR="008D1CCE" w:rsidRPr="008D1CCE" w14:paraId="0C9E1EE2" w14:textId="77777777" w:rsidTr="0042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544DC410" w14:textId="1F04C538" w:rsidR="00363556" w:rsidRPr="008D1CCE" w:rsidRDefault="00875E50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lastRenderedPageBreak/>
              <w:t>Prado</w:t>
            </w:r>
            <w:r w:rsidR="00D81DF8"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</w:t>
            </w: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Ribeiro (2017)</w:t>
            </w:r>
          </w:p>
        </w:tc>
        <w:tc>
          <w:tcPr>
            <w:tcW w:w="6064" w:type="dxa"/>
            <w:vAlign w:val="center"/>
          </w:tcPr>
          <w:p w14:paraId="46678675" w14:textId="30B7B101" w:rsidR="00363556" w:rsidRPr="008D1CCE" w:rsidRDefault="00556185" w:rsidP="00425D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Tem por objetivo o reconhecimento, mensuração e divulgação de fatos de gestão ambiental, principalmente dos passivos ambientais, permitindo a comparabilidade das práticas de </w:t>
            </w:r>
            <w:proofErr w:type="spellStart"/>
            <w:r w:rsidRPr="008D1CCE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disclosure</w:t>
            </w:r>
            <w:proofErr w:type="spellEnd"/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1CCE" w:rsidRPr="008D1CCE" w14:paraId="4C909B00" w14:textId="77777777" w:rsidTr="0042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229929FB" w14:textId="5087EE1E" w:rsidR="006A24F0" w:rsidRPr="008D1CCE" w:rsidRDefault="006A24F0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Eugenio, Bonito</w:t>
            </w:r>
            <w:r w:rsidR="00D81DF8"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e</w:t>
            </w: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Novas (2016)</w:t>
            </w:r>
          </w:p>
        </w:tc>
        <w:tc>
          <w:tcPr>
            <w:tcW w:w="6064" w:type="dxa"/>
            <w:vAlign w:val="center"/>
          </w:tcPr>
          <w:p w14:paraId="68EC4E9C" w14:textId="35EDBF23" w:rsidR="006A24F0" w:rsidRPr="008D1CCE" w:rsidRDefault="007C75E8" w:rsidP="00425D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contabilidade ambiental é uma ferramenta imprescindível para mensurar e evidenciar os gastos e investimentos com a gestão ambiental na prevenção, reparação e preservação do meio ambiente, permitindo a analisar as alterações patrimoniais provenientes e fornecendo informações para as decisões estratégicas a nível econômico e ambiental.</w:t>
            </w:r>
          </w:p>
        </w:tc>
      </w:tr>
      <w:tr w:rsidR="008D1CCE" w:rsidRPr="008D1CCE" w14:paraId="0502EE75" w14:textId="77777777" w:rsidTr="0042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6DDAB798" w14:textId="044588D6" w:rsidR="00B01B43" w:rsidRPr="008D1CCE" w:rsidRDefault="005D2835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Casca, Rodrigues</w:t>
            </w:r>
            <w:r w:rsidR="00D81DF8"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e</w:t>
            </w: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Eugenio (2016)</w:t>
            </w:r>
          </w:p>
        </w:tc>
        <w:tc>
          <w:tcPr>
            <w:tcW w:w="6064" w:type="dxa"/>
            <w:vAlign w:val="center"/>
          </w:tcPr>
          <w:p w14:paraId="7AC22499" w14:textId="30C7379C" w:rsidR="00B01B43" w:rsidRPr="008D1CCE" w:rsidRDefault="005A155F" w:rsidP="00425D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8D1CCE" w:rsidRPr="008D1CCE" w14:paraId="6477A51C" w14:textId="77777777" w:rsidTr="0042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333CFA50" w14:textId="26DBEBB1" w:rsidR="00573D59" w:rsidRPr="008D1CCE" w:rsidRDefault="00573D59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Silawi</w:t>
            </w:r>
            <w:proofErr w:type="spellEnd"/>
            <w:r w:rsidR="00D81DF8"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</w:t>
            </w: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Tilt</w:t>
            </w:r>
            <w:proofErr w:type="spellEnd"/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(2015)</w:t>
            </w:r>
          </w:p>
        </w:tc>
        <w:tc>
          <w:tcPr>
            <w:tcW w:w="6064" w:type="dxa"/>
            <w:vAlign w:val="center"/>
          </w:tcPr>
          <w:p w14:paraId="455B8E87" w14:textId="2337F452" w:rsidR="00573D59" w:rsidRPr="008D1CCE" w:rsidRDefault="00980190" w:rsidP="00425D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8D1CCE" w:rsidRPr="008D1CCE" w14:paraId="1B84D3E4" w14:textId="77777777" w:rsidTr="0042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05A3A199" w14:textId="51C190FE" w:rsidR="00B01B43" w:rsidRPr="008D1CCE" w:rsidRDefault="00B01B43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Fernandes et al.  (2014)</w:t>
            </w:r>
          </w:p>
        </w:tc>
        <w:tc>
          <w:tcPr>
            <w:tcW w:w="6064" w:type="dxa"/>
            <w:vAlign w:val="center"/>
          </w:tcPr>
          <w:p w14:paraId="717B1FEE" w14:textId="213F33A7" w:rsidR="00B01B43" w:rsidRPr="008D1CCE" w:rsidRDefault="00F15DBB" w:rsidP="00425D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8D1CCE" w:rsidRPr="008D1CCE" w14:paraId="2A6514A8" w14:textId="77777777" w:rsidTr="0042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2913788E" w14:textId="11309BBF" w:rsidR="00363556" w:rsidRPr="008D1CCE" w:rsidRDefault="004B5FAA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Mata, Fialho</w:t>
            </w:r>
            <w:r w:rsidR="00D81DF8"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</w:t>
            </w: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Eugénio (2014)</w:t>
            </w:r>
          </w:p>
        </w:tc>
        <w:tc>
          <w:tcPr>
            <w:tcW w:w="6064" w:type="dxa"/>
            <w:vAlign w:val="center"/>
          </w:tcPr>
          <w:p w14:paraId="6B0498C1" w14:textId="1D9A4A01" w:rsidR="00363556" w:rsidRPr="008D1CCE" w:rsidRDefault="004B5FAA" w:rsidP="00425D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Aborda o reconhecimento, mensuração e divulgação das despesas ambientais, bem como os ativos e passivos que lhe estão associados.</w:t>
            </w:r>
          </w:p>
        </w:tc>
      </w:tr>
      <w:tr w:rsidR="008D1CCE" w:rsidRPr="008D1CCE" w14:paraId="14889297" w14:textId="77777777" w:rsidTr="0042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02D64448" w14:textId="49E11759" w:rsidR="00363556" w:rsidRPr="008D1CCE" w:rsidRDefault="00AC532F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>Caetano</w:t>
            </w:r>
            <w:r w:rsidR="00D81DF8"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</w:t>
            </w:r>
            <w:r w:rsidRPr="008D1CCE"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  <w:t xml:space="preserve"> Eugenio (2014)</w:t>
            </w:r>
          </w:p>
        </w:tc>
        <w:tc>
          <w:tcPr>
            <w:tcW w:w="6064" w:type="dxa"/>
            <w:vAlign w:val="center"/>
          </w:tcPr>
          <w:p w14:paraId="71062A10" w14:textId="6C1398D7" w:rsidR="00363556" w:rsidRPr="008D1CCE" w:rsidRDefault="00AE0EE9" w:rsidP="00425D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Consiste na prática de medir, divulgar e prestar contas, às várias partes interessadas, sobre o desempenho das organizações, visando atingir o objetivo do desenvolvimento sustentável.</w:t>
            </w:r>
          </w:p>
        </w:tc>
      </w:tr>
      <w:tr w:rsidR="008D1CCE" w:rsidRPr="008D1CCE" w14:paraId="7015D4F1" w14:textId="77777777" w:rsidTr="0042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163CB871" w14:textId="393FF5FC" w:rsidR="00076481" w:rsidRPr="008D1CCE" w:rsidRDefault="00076481" w:rsidP="00425DF6">
            <w:pPr>
              <w:rPr>
                <w:rFonts w:ascii="Times New Roman" w:hAnsi="Times New Roman" w:cs="Times New Roman"/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Gillet</w:t>
            </w:r>
            <w:proofErr w:type="spellEnd"/>
            <w:r w:rsidR="00D81DF8"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e</w:t>
            </w: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Martinez (2013)</w:t>
            </w:r>
          </w:p>
        </w:tc>
        <w:tc>
          <w:tcPr>
            <w:tcW w:w="6064" w:type="dxa"/>
            <w:vAlign w:val="center"/>
          </w:tcPr>
          <w:p w14:paraId="327C92BB" w14:textId="62229C22" w:rsidR="00076481" w:rsidRPr="008D1CCE" w:rsidRDefault="00452A42" w:rsidP="00425D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8D1CCE" w:rsidRPr="008D1CCE" w14:paraId="4F732447" w14:textId="77777777" w:rsidTr="0042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2F9A0D8D" w14:textId="5D94934E" w:rsidR="00B32C23" w:rsidRPr="008D1CCE" w:rsidRDefault="00B32C23" w:rsidP="00425DF6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highlight w:val="yellow"/>
                <w:lang w:eastAsia="pt-BR"/>
              </w:rPr>
            </w:pP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Maurice (2013)</w:t>
            </w:r>
          </w:p>
        </w:tc>
        <w:tc>
          <w:tcPr>
            <w:tcW w:w="6064" w:type="dxa"/>
            <w:vAlign w:val="center"/>
          </w:tcPr>
          <w:p w14:paraId="4406AEF7" w14:textId="2993C73F" w:rsidR="00B32C23" w:rsidRPr="008D1CCE" w:rsidRDefault="001F1857" w:rsidP="00425D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8D1CCE" w:rsidRPr="008D1CCE" w14:paraId="3A1E3877" w14:textId="77777777" w:rsidTr="0042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251055AA" w14:textId="4827285D" w:rsidR="00B32C23" w:rsidRPr="008D1CCE" w:rsidRDefault="00B32C23" w:rsidP="00425DF6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Moerman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Laan</w:t>
            </w:r>
            <w:proofErr w:type="spellEnd"/>
            <w:r w:rsidR="00D81DF8"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e</w:t>
            </w:r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Campbell (2012)</w:t>
            </w:r>
          </w:p>
        </w:tc>
        <w:tc>
          <w:tcPr>
            <w:tcW w:w="6064" w:type="dxa"/>
            <w:vAlign w:val="center"/>
          </w:tcPr>
          <w:p w14:paraId="7EB3284E" w14:textId="34574713" w:rsidR="00B32C23" w:rsidRPr="008D1CCE" w:rsidRDefault="00B32C23" w:rsidP="00425D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É a apresentação de informações socioambientais pelas organizações por meio do balanço social e/ou relatório de sustentabilidade sendo responsáveis por definir “quando”, “como” e “o que” divulgar.</w:t>
            </w:r>
          </w:p>
        </w:tc>
      </w:tr>
      <w:tr w:rsidR="008D1CCE" w:rsidRPr="008D1CCE" w14:paraId="495C57EB" w14:textId="77777777" w:rsidTr="00425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41A504F9" w14:textId="1D5C8FB5" w:rsidR="00931F13" w:rsidRPr="008D1CCE" w:rsidRDefault="00931F13" w:rsidP="00425DF6">
            <w:pPr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>Albelda</w:t>
            </w:r>
            <w:proofErr w:type="spellEnd"/>
            <w:r w:rsidRPr="008D1CCE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0"/>
                <w:szCs w:val="20"/>
                <w:lang w:eastAsia="pt-BR"/>
              </w:rPr>
              <w:t xml:space="preserve"> (2011)</w:t>
            </w:r>
          </w:p>
        </w:tc>
        <w:tc>
          <w:tcPr>
            <w:tcW w:w="6064" w:type="dxa"/>
            <w:vAlign w:val="center"/>
          </w:tcPr>
          <w:p w14:paraId="72BCA03E" w14:textId="29C89347" w:rsidR="00931F13" w:rsidRPr="008D1CCE" w:rsidRDefault="0098087D" w:rsidP="0042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1C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6B3AAC6B" w14:textId="289C1C4F" w:rsidR="004C6B12" w:rsidRPr="008D1CCE" w:rsidRDefault="004C6B12" w:rsidP="009972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Fonte: Dados da </w:t>
      </w:r>
      <w:r w:rsidR="004F3AE9"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Pr="008D1CCE">
        <w:rPr>
          <w:rFonts w:ascii="Times New Roman" w:hAnsi="Times New Roman" w:cs="Times New Roman"/>
          <w:color w:val="000000" w:themeColor="text1"/>
          <w:sz w:val="20"/>
          <w:szCs w:val="20"/>
        </w:rPr>
        <w:t>esquisa (2017/2018).</w:t>
      </w:r>
    </w:p>
    <w:p w14:paraId="7717F8B3" w14:textId="77777777" w:rsidR="004C6B12" w:rsidRPr="008D1CCE" w:rsidRDefault="004C6B12" w:rsidP="0099722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7E29C4" w14:textId="692CAFEA" w:rsidR="00C42330" w:rsidRPr="008D1CCE" w:rsidRDefault="00994130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estudo de Ferreira</w:t>
      </w:r>
      <w:r w:rsidR="00B32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C4233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Lima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 teve como objetivo principal analisar se existem os r</w:t>
      </w:r>
      <w:r w:rsidR="00526A0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espectivos registros contábeis 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nas demonstrações contábeis subsequentes à implantação do projeto do terminal fluvial graneleiro as margens do Rio Tapajós, em 2003. </w:t>
      </w:r>
      <w:r w:rsidR="00C4233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Secundariamente, 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procur</w:t>
      </w:r>
      <w:r w:rsidR="00C4233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verificar se o </w:t>
      </w:r>
      <w:r w:rsidR="00C4233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Relatório de Impacto Ambiental - 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RIMA do projeto da Cargill S.A. no rio Tapajós, foi </w:t>
      </w:r>
      <w:r w:rsidR="00567C7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elaborado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observância à legislação aplicável ao caso</w:t>
      </w:r>
      <w:r w:rsidR="00526A0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4233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esses autores, a</w:t>
      </w:r>
      <w:r w:rsidR="00505E9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contabilidade socioambiental trata dos eventos e transações que reflitam as interações da entidade com o meio ambiente, e, consequentemente, com a sociedade</w:t>
      </w:r>
      <w:r w:rsidR="0011565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31A325" w14:textId="7D4C70E4" w:rsidR="00C42330" w:rsidRPr="008D1CCE" w:rsidRDefault="00C42330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7C7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pesquisa de </w:t>
      </w:r>
      <w:proofErr w:type="spellStart"/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Angotti</w:t>
      </w:r>
      <w:proofErr w:type="spellEnd"/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Ferreira e</w:t>
      </w:r>
      <w:r w:rsidR="00C76A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Carvalho (2017), teve por objetivo desenvolver uma análise das pesquisas sobre o </w:t>
      </w:r>
      <w:proofErr w:type="spellStart"/>
      <w:r w:rsidR="00C76A9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Full</w:t>
      </w:r>
      <w:proofErr w:type="spellEnd"/>
      <w:r w:rsidR="00C76A9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C76A9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Cost</w:t>
      </w:r>
      <w:proofErr w:type="spellEnd"/>
      <w:r w:rsidR="00C76A9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C76A9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="00C76A9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C76A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(FCA) publicadas nas últimas duas décadas, procurando mapear e discutir a produção científica referente ao tema. Os autores não trata</w:t>
      </w:r>
      <w:r w:rsidR="004B61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ram</w:t>
      </w:r>
      <w:r w:rsidR="00C76A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especificamente de contabilidade ambiental, mas sim, de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Contabilidade</w:t>
      </w:r>
      <w:r w:rsidR="00C76A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Gerencial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Ambiental</w:t>
      </w:r>
      <w:r w:rsidR="004B61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4B6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que</w:t>
      </w:r>
      <w:r w:rsidR="00C76A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identifica, coleta e analisa informações físicas e informações monetárias sobre o</w:t>
      </w:r>
      <w:r w:rsidR="00C76A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ambiente como custos e preservação.</w:t>
      </w:r>
      <w:r w:rsidR="004B61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157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Porém, em relação a contabilidade ambiental, enfatizaram a necessidade de converter dados físicos em termos monetários (mensuração) e a elaboração de demonstrações/relatórios, ou seja, evidenciação.</w:t>
      </w:r>
    </w:p>
    <w:p w14:paraId="65ED928A" w14:textId="0297DEB6" w:rsidR="00150394" w:rsidRPr="008D1CCE" w:rsidRDefault="00C42330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114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objetivo da pesquisa de Cabral, Ferreira</w:t>
      </w:r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4E114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Queiroz (2017) </w:t>
      </w:r>
      <w:r w:rsidR="000B4B6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foi</w:t>
      </w:r>
      <w:r w:rsidR="004E114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investigar a consistência das informações divulgadas relativas ao meio ambiente com foco nos relatórios da Samarco S.A. no período de 2012 </w:t>
      </w:r>
      <w:r w:rsidR="00675BC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4E114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buscando examinar as informações contábeis bem como as ambientais.</w:t>
      </w:r>
      <w:r w:rsidR="00EA2FC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forma, foram comparados os Relatórios Financeiros com os Relatórios de Sustentabilidade.</w:t>
      </w:r>
      <w:r w:rsidR="001F04D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45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decorrer do texto, é possível identificar a definição de contabilidade ambiental para os autores, </w:t>
      </w:r>
      <w:r w:rsidR="0001388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que consiste em</w:t>
      </w:r>
      <w:r w:rsidR="00EB459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gerar informações acerca do patrimônio das empresas, patrimônio esse que é alterado por questões ambientais geradas pela entidade. Utiliza, os relatórios de sustentabilidade como uma de suas ferramentas, bem como análises técnicas específicas.</w:t>
      </w:r>
    </w:p>
    <w:p w14:paraId="6DDF28D7" w14:textId="5630531D" w:rsidR="00A8550E" w:rsidRPr="008D1CCE" w:rsidRDefault="001F454B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A855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estudo de Freire, Lopez e </w:t>
      </w:r>
      <w:proofErr w:type="spellStart"/>
      <w:r w:rsidR="00A855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Panza</w:t>
      </w:r>
      <w:proofErr w:type="spellEnd"/>
      <w:r w:rsidR="00A855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 tem como objetivo geral empreender uma análise bibliométrica e de rede social para averiguar a evolução da produção científica no periódico </w:t>
      </w:r>
      <w:r w:rsidR="00A8550E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Social </w:t>
      </w:r>
      <w:proofErr w:type="spellStart"/>
      <w:r w:rsidR="00A8550E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Responsibility</w:t>
      </w:r>
      <w:proofErr w:type="spellEnd"/>
      <w:r w:rsidR="00A8550E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A8550E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Journal</w:t>
      </w:r>
      <w:proofErr w:type="spellEnd"/>
      <w:r w:rsidR="00A855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</w:t>
      </w:r>
      <w:r w:rsidR="00526A0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RJ), no período de 2005 a 2016. </w:t>
      </w:r>
      <w:r w:rsidR="00A855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Esse estudo não apresentou definições de contabilidade ambiental, </w:t>
      </w:r>
      <w:r w:rsidR="00012E3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pois o</w:t>
      </w:r>
      <w:r w:rsidR="00A855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tema tratado </w:t>
      </w:r>
      <w:r w:rsidR="00012E3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foi</w:t>
      </w:r>
      <w:r w:rsidR="00A855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Responsabilidade Social Corporativa (RSC).</w:t>
      </w:r>
      <w:r w:rsidR="0042754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Seguindo essa linha, a</w:t>
      </w:r>
      <w:r w:rsidR="00BC040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pesquisa de </w:t>
      </w:r>
      <w:r w:rsidR="002601A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Fagundes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BC040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Freire (2017), </w:t>
      </w:r>
      <w:r w:rsidR="0042754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teve como </w:t>
      </w:r>
      <w:r w:rsidR="00BC040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objetivo analisar as forças e fraquezas da </w:t>
      </w:r>
      <w:r w:rsidR="00BC040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Performance Social Corporativa</w:t>
      </w:r>
      <w:r w:rsidR="00BC040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(PSC) do Banco do Brasil, Bradesco, Caixa e Santander, a respeito das dimensões socioambientais sugeridas pela </w:t>
      </w:r>
      <w:r w:rsidR="00BC040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Global </w:t>
      </w:r>
      <w:proofErr w:type="spellStart"/>
      <w:r w:rsidR="00BC040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Reporting</w:t>
      </w:r>
      <w:proofErr w:type="spellEnd"/>
      <w:r w:rsidR="00BC040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BC040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Initiative</w:t>
      </w:r>
      <w:proofErr w:type="spellEnd"/>
      <w:r w:rsidR="00BC040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(GRI</w:t>
      </w:r>
      <w:r w:rsidR="0042754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), ou seja, também objetivou por estudar responsabilidade social corporativa não apresentando definições de contabilidade ambiental.</w:t>
      </w:r>
    </w:p>
    <w:p w14:paraId="29B004AC" w14:textId="66A10A6C" w:rsidR="0042754A" w:rsidRPr="008D1CCE" w:rsidRDefault="0042754A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Pode-se inferir que ao estudar responsabilidade social,</w:t>
      </w:r>
      <w:r w:rsidR="004C610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conceitos de contabilidade ambiental</w:t>
      </w:r>
      <w:r w:rsidR="004C610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devem ser resgatados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C610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358F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visto que ela é</w:t>
      </w:r>
      <w:r w:rsidR="00B939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muitas vezes defendida como componente da Responsabilidade Social Corporativa.</w:t>
      </w:r>
      <w:r w:rsidR="004C610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contabilidade ambiental tem papel fundamental em incentivar as empresas a implantarem gestão ambiental e </w:t>
      </w:r>
      <w:bookmarkStart w:id="3" w:name="_Hlk508128261"/>
      <w:r w:rsidR="004C610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é utilizada como ferramenta de responsabilidade social (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Trindade &amp; </w:t>
      </w:r>
      <w:proofErr w:type="spellStart"/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Brondani</w:t>
      </w:r>
      <w:proofErr w:type="spellEnd"/>
      <w:r w:rsidR="004C610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2005).</w:t>
      </w:r>
      <w:bookmarkEnd w:id="3"/>
    </w:p>
    <w:p w14:paraId="5406179C" w14:textId="2BFFCB65" w:rsidR="00356811" w:rsidRPr="008D1CCE" w:rsidRDefault="00875E50" w:rsidP="00F1475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Prado 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Ribeiro (2017)</w:t>
      </w:r>
      <w:r w:rsidR="00EE0BE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realizaram um estudo que teve por objetivo avaliar a comparabilidade das práticas de evidenciação de provisões e passivos contingentes ambientais em empresas de países que adotam IFRS</w:t>
      </w:r>
      <w:r w:rsidR="00D8043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5618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esses pesquisadores, a contabilidade ambiental tem por objetivo o reconhecimento, mensuração e divulgação de fatos de gestão ambiental, principalmente dos passivos ambientais, permitindo a comparabilidade das práticas de </w:t>
      </w:r>
      <w:proofErr w:type="spellStart"/>
      <w:r w:rsidR="0055618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disclosure</w:t>
      </w:r>
      <w:proofErr w:type="spellEnd"/>
      <w:r w:rsidR="0055618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2726165" w14:textId="1A408B2D" w:rsidR="003E33DD" w:rsidRPr="008D1CCE" w:rsidRDefault="004F43CA" w:rsidP="00D357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E33DD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Eugenio, Bonito</w:t>
      </w:r>
      <w:r w:rsidR="00322980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</w:t>
      </w:r>
      <w:r w:rsidR="003E33DD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Novas (2016)</w:t>
      </w:r>
      <w:r w:rsidR="00D26DC3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objetivaram analisar o tratamento e utilização dos gastos ambientais como parte da contabilidade ambiental </w:t>
      </w:r>
      <w:r w:rsidR="004E41B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nas empresas certificadas pela ISO-14001 em Portugal. Os autores constataram que a contabilidade ambiental permite o registro analítico de vários tipo</w:t>
      </w:r>
      <w:r w:rsidR="00E03165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 de gastos, </w:t>
      </w:r>
      <w:r w:rsidR="004E41B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contribuindo para uma gestão mais eficaz</w:t>
      </w:r>
      <w:r w:rsidR="00E03165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A ISO 14001</w:t>
      </w:r>
      <w:r w:rsidR="0031216D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contribui</w:t>
      </w:r>
      <w:r w:rsidR="004E41B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31216D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para </w:t>
      </w:r>
      <w:r w:rsidR="004E41B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controles operacionais mais eficientes e tomadas de decisões mais con</w:t>
      </w:r>
      <w:r w:rsidR="0031216D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</w:t>
      </w:r>
      <w:r w:rsidR="004E41B4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cientes.</w:t>
      </w:r>
    </w:p>
    <w:p w14:paraId="75D3DFB9" w14:textId="3632C1A9" w:rsidR="005D2835" w:rsidRPr="008D1CCE" w:rsidRDefault="00AC1282" w:rsidP="00FE19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Na</w:t>
      </w:r>
      <w:r w:rsidR="00FE19B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pesquisa de </w:t>
      </w:r>
      <w:r w:rsidR="005D2835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Casca, Rodrigues</w:t>
      </w:r>
      <w:r w:rsidR="00D81DF8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</w:t>
      </w:r>
      <w:r w:rsidR="005D2835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Eugenio (2016)</w:t>
      </w: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foi</w:t>
      </w:r>
      <w:r w:rsidR="00FE19B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identific</w:t>
      </w: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ad</w:t>
      </w:r>
      <w:r w:rsidR="00FE19B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</w:t>
      </w:r>
      <w:r w:rsidR="00FE19B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produção científica em contabilidade ambiental e social no período de 2009 a 2015, nas revistas de contabilidade consideradas Top 10 de acordo com a classificação de </w:t>
      </w:r>
      <w:proofErr w:type="spellStart"/>
      <w:r w:rsidR="00FE19B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Scimago</w:t>
      </w:r>
      <w:proofErr w:type="spellEnd"/>
      <w:r w:rsidR="00FE19B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FE19B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Journal</w:t>
      </w:r>
      <w:proofErr w:type="spellEnd"/>
      <w:r w:rsidR="00FE19BC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Rank (SJR).</w:t>
      </w:r>
      <w:r w:rsidR="005A155F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 estudo não apresenta definição de contabilidade ambiental, contudo os resultados apontam </w:t>
      </w: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que a contabilidade ambiental identifica, mensura e evidencia as práticas sociais e ambientais, promove a gestão de riscos ambientais e </w:t>
      </w:r>
      <w:r w:rsidR="005A155F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contribui para o desenvolvimento de estratégias de sustentabili</w:t>
      </w: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</w:t>
      </w:r>
      <w:r w:rsidR="005A155F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ade</w:t>
      </w:r>
    </w:p>
    <w:p w14:paraId="71161A76" w14:textId="747F0A93" w:rsidR="004F43CA" w:rsidRPr="008D1CCE" w:rsidRDefault="00D35742" w:rsidP="00E0316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estudo de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Silawi</w:t>
      </w:r>
      <w:proofErr w:type="spellEnd"/>
      <w:r w:rsidR="00EA126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Tilt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(2015) teve como um dos principais objetivos identificar as razões pelas quais as empresas da Arábia Saudita estão envolvidas em atividades de CSR em geral, e</w:t>
      </w:r>
      <w:r w:rsidR="00A3050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elaborando</w:t>
      </w:r>
      <w:r w:rsidR="00FA6303" w:rsidRPr="008D1CCE">
        <w:rPr>
          <w:color w:val="000000" w:themeColor="text1"/>
        </w:rPr>
        <w:t xml:space="preserve"> </w:t>
      </w:r>
      <w:r w:rsidR="00FA63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relatórios sobre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atividades de participação comunitária </w:t>
      </w:r>
      <w:r w:rsidR="00FA63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como parte da responsabilidade social neste país</w:t>
      </w:r>
      <w:r w:rsidR="001F736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919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Observa-se que </w:t>
      </w:r>
      <w:r w:rsidR="009313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autores</w:t>
      </w:r>
      <w:r w:rsidR="006919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13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trataram de</w:t>
      </w:r>
      <w:r w:rsidR="006919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responsabilidade social especificamente e não foram trazidas</w:t>
      </w:r>
      <w:r w:rsidR="002601A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919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1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mais uma vez</w:t>
      </w:r>
      <w:r w:rsidR="002601A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919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definições de contabilidade ambiental. No entanto, </w:t>
      </w:r>
      <w:r w:rsidR="009313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como já mencionado anteriormente, a contabilidade ambiental é ferramenta de responsabilidade social (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Trindade &amp; </w:t>
      </w:r>
      <w:proofErr w:type="spellStart"/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Brondani</w:t>
      </w:r>
      <w:proofErr w:type="spellEnd"/>
      <w:r w:rsidR="0093138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2005), visto que </w:t>
      </w:r>
      <w:r w:rsidR="00CB647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utilizada para a elaboração de relatórios anuais, assegurando informações a todas </w:t>
      </w:r>
      <w:r w:rsidR="009F253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0CB647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partes interessadas.</w:t>
      </w:r>
    </w:p>
    <w:p w14:paraId="6AD93366" w14:textId="79B04F3B" w:rsidR="00322980" w:rsidRPr="008D1CCE" w:rsidRDefault="00322980" w:rsidP="0032298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Fernandes et al.  (2014)</w:t>
      </w:r>
      <w:r w:rsidR="00F15DB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verificaram como está estruturado o comportamento ambiental de estu</w:t>
      </w:r>
      <w:r w:rsidR="00F15DB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dantes universitários, buscando analisar as semelhanças e diferenças entre brasileiros e portugueses.</w:t>
      </w:r>
      <w:r w:rsidR="00EA126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estudo não apresentou conceito sobre contabilidade ambiental, uma vez que enfocava o comportamento ambiental de estudantes</w:t>
      </w:r>
      <w:r w:rsidR="004050D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universitários sendo constatada</w:t>
      </w:r>
      <w:r w:rsidR="00EA126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semelhança entre brasileiros e portugueses</w:t>
      </w:r>
      <w:r w:rsidR="004050D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B518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resultados evidenciaram a</w:t>
      </w:r>
      <w:r w:rsidR="004050D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spectos como informações </w:t>
      </w:r>
      <w:r w:rsidR="004050D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ambientais, </w:t>
      </w:r>
      <w:proofErr w:type="spellStart"/>
      <w:r w:rsidR="004050D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conteúdos</w:t>
      </w:r>
      <w:proofErr w:type="spellEnd"/>
      <w:r w:rsidR="004050D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específicos em cursos de graduação e projetos desenvolvidos em instituições de ensino contribuem para o desenvolvimento de consciência ambiental.</w:t>
      </w:r>
    </w:p>
    <w:p w14:paraId="0AB9323E" w14:textId="5BE2C304" w:rsidR="000A5867" w:rsidRPr="008D1CCE" w:rsidRDefault="002C4B54" w:rsidP="0032298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pesq</w:t>
      </w:r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uisa realizada por Mata, Fialho 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Eugénio (2014) teve como objetivo geral avaliar o nível de relato ambiental, pós adoção das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International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Standard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(IAS), nas empresas cotadas no PSI20. </w:t>
      </w:r>
      <w:r w:rsidR="003073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objetivos específicos: analisar a informação ambiental obrigatória relatada no Relatório e Contas; analisar a informação ambiental voluntária relatada no Relatório e Contas; identificar os fatores determinantes do relato de informação ambiental.</w:t>
      </w:r>
      <w:r w:rsidR="00397B9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contabilidade ambiental para os autores aborda o reconhecimento, mensuração e divulgação das despesas ambientais, bem como os ativos e passivos que lhe estão associados.</w:t>
      </w:r>
    </w:p>
    <w:p w14:paraId="1F4893E0" w14:textId="1247D481" w:rsidR="0042754A" w:rsidRPr="008D1CCE" w:rsidRDefault="0042754A" w:rsidP="005755A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Caetano e</w:t>
      </w:r>
      <w:r w:rsidR="005C617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Eugenio (2014)</w:t>
      </w:r>
      <w:r w:rsidR="00526A0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fizeram um estudo com os objetivos de</w:t>
      </w:r>
      <w:r w:rsidR="00E734F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verificar as práticas de relato das empresas do setor da constru</w:t>
      </w:r>
      <w:r w:rsidR="00526A0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ção civil em Portugal e Espanha;</w:t>
      </w:r>
      <w:r w:rsidR="00E734F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analisar se as empresas divulgam</w:t>
      </w:r>
      <w:r w:rsidR="000E6D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34F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informação recomendada pela GRI</w:t>
      </w:r>
      <w:r w:rsidR="00070AF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34F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 por último</w:t>
      </w:r>
      <w:r w:rsidR="00070AF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734F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0AF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734F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dentificar os indicadores econ</w:t>
      </w:r>
      <w:r w:rsidR="00F970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ô</w:t>
      </w:r>
      <w:r w:rsidR="00E734F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micos, ambientais e sociais mais relevantes para este setor de atividade.</w:t>
      </w:r>
      <w:r w:rsidR="00DF70B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70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autores</w:t>
      </w:r>
      <w:r w:rsidR="00DF13C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59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empregam</w:t>
      </w:r>
      <w:r w:rsidR="00F970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termo “sustentabilidade”</w:t>
      </w:r>
      <w:r w:rsidR="00D0059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41A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 sua divulgação por meio de relatórios de sustentabilidade</w:t>
      </w:r>
      <w:r w:rsidR="00F970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fazendo surgir, portanto, a contabilidade ambiental como ferramenta para uma gestão sustentável. </w:t>
      </w:r>
      <w:r w:rsidR="00DF13C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E6D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endo assim, na visão dos autores, contabilidade ambiental </w:t>
      </w:r>
      <w:r w:rsidR="00F970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consiste na prática de medir, divulgar e prestar contas, às várias partes interessadas, sobre o desempenho das organizações, visando atingir o objetivo do desenvolvimento sustentável.</w:t>
      </w:r>
    </w:p>
    <w:p w14:paraId="64DAAC06" w14:textId="759BBA30" w:rsidR="005C44D9" w:rsidRPr="008D1CCE" w:rsidRDefault="00881552" w:rsidP="00985D1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B32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Gillet</w:t>
      </w:r>
      <w:proofErr w:type="spellEnd"/>
      <w:r w:rsidR="00B32C2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5C44D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Martinez (2013) </w:t>
      </w:r>
      <w:r w:rsidR="001A12E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realizaram uma pesquisa cujo objetivo é entender melhor o vínculo causal entre </w:t>
      </w:r>
      <w:r w:rsidR="005755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desempenho</w:t>
      </w:r>
      <w:r w:rsidR="001A12E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social e desempenho financeiro.</w:t>
      </w:r>
      <w:r w:rsidR="005755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artigo apresenta um estado de arte e uma síntese das diferentes proposições teóricas </w:t>
      </w:r>
      <w:r w:rsidR="000B13C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efetuadas</w:t>
      </w:r>
      <w:r w:rsidR="005755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examinar a evolução do conceito de </w:t>
      </w:r>
      <w:r w:rsidR="005755AD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performance</w:t>
      </w:r>
      <w:r w:rsidR="005755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social e debates atuais.</w:t>
      </w:r>
      <w:r w:rsidR="00EC63F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 a responsabilidade social corporativa é foco de estudo</w:t>
      </w:r>
      <w:r w:rsidR="00985D1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e os pesquisadores não abordam definições de contabilidade ambiental. No entanto, afirma</w:t>
      </w:r>
      <w:r w:rsidR="002C34C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985D1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as medidas contábeis provaram ser melhores preditores de responsabilidade social corporativa</w:t>
      </w:r>
      <w:r w:rsidR="00413C5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2CA49C" w14:textId="37008492" w:rsidR="001F1857" w:rsidRPr="008D1CCE" w:rsidRDefault="00B32C23" w:rsidP="003D1F7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Maurice (2013)</w:t>
      </w:r>
      <w:r w:rsidR="007450A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buscou 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avaliar a 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confiabilidade das informações da contabilidade ambiental 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no contexto das IFRS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Para tanto, fez uso de uma combinação de métodos de pesquisa quantitativa e qualitativa numa perspectiva de triangulação, com uso de múltiplas regressões. O trabalho não apresentou conceitos sobre a contabilidade ambiental, apenas procurou discutir s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bre os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pressupostos comportamentais oportunistas dos líderes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que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podem afetar o resultado de maneira discricionária, contudo 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ainda são válidos por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explicações institucionais de comportamento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P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or outro lado,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B13C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estudo apresentou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fatores que podem levar a uma melhoria na confiabilidade</w:t>
      </w:r>
      <w:r w:rsidR="003D1F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 informações da contabilidade ambiental</w:t>
      </w:r>
      <w:r w:rsidR="001F18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B448AE" w14:textId="3AE0EA6C" w:rsidR="006529DB" w:rsidRPr="008D1CCE" w:rsidRDefault="00A64ECB" w:rsidP="00B32C2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trabalho de</w:t>
      </w:r>
      <w:r w:rsidR="008E394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198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Mo</w:t>
      </w:r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erman</w:t>
      </w:r>
      <w:proofErr w:type="spellEnd"/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Laan</w:t>
      </w:r>
      <w:proofErr w:type="spellEnd"/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F7198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Campbell (2012)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teve como objetivo explorar a grande narrativa de dois gigantes industriais do amianto James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Hardie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Industries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Ltd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(James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Hardie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e Turner &amp;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Newall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(Reino Unido) </w:t>
      </w:r>
      <w:r w:rsidR="000B13C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por meio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relatórios anuais longitudinalmente. Os relatórios anuais são precedidos por um discurso considerável que consiste em representações narrativas, pictóricas e gráficas. Essas divulgações narrativas servem para enq</w:t>
      </w:r>
      <w:r w:rsidR="00E65E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uadrar as informações contábeis. </w:t>
      </w:r>
      <w:r w:rsidR="00EB58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os autores, contabilidade ambiental é </w:t>
      </w:r>
      <w:r w:rsidR="00AF43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B58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apresentação de informações socioambientais</w:t>
      </w:r>
      <w:r w:rsidR="00AF43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58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pelas organizações </w:t>
      </w:r>
      <w:r w:rsidR="00AF43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por meio</w:t>
      </w:r>
      <w:r w:rsidR="00EB58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balanço social e/ou relatório de sustentabilidade</w:t>
      </w:r>
      <w:r w:rsidR="0013253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F433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sendo responsáveis por definir “quando”, “como” e “o que” divulgar.</w:t>
      </w:r>
    </w:p>
    <w:p w14:paraId="0F3538D9" w14:textId="14218A46" w:rsidR="008509AD" w:rsidRPr="008D1CCE" w:rsidRDefault="000B4814" w:rsidP="008509A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ab/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Albelda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(2011)</w:t>
      </w:r>
      <w:r w:rsidR="00076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buscou in</w:t>
      </w:r>
      <w:r w:rsidR="00F94C4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076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estigar o papel das práticas contábeis </w:t>
      </w:r>
      <w:r w:rsidR="00F94C4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gerenciais</w:t>
      </w:r>
      <w:r w:rsidR="00076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facilitadores da gestão ambiental</w:t>
      </w:r>
      <w:r w:rsidR="0037537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meio de entrevistas semiestruturadas com gerentes ambientais e contadores de gestão em organizações registradas EMAS. </w:t>
      </w:r>
      <w:r w:rsidR="00F94C4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resultados aponta</w:t>
      </w:r>
      <w:r w:rsidR="008509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r w:rsidR="00F94C4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</w:t>
      </w:r>
      <w:r w:rsidR="00076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as práticas contábeis de gestão funcionam como um mecanismo facilitador para o gerenciamento ambiental ao reforçar os quatro elementos significativos do EMAS: </w:t>
      </w:r>
      <w:r w:rsidR="00076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compromisso com a melhoria contínua do desempenho ambiental; conformidade com a legislação ambiental; comunicação com as partes interessadas; e envolvimento dos funcionários.</w:t>
      </w:r>
      <w:r w:rsidR="000763FB" w:rsidRPr="008D1CCE">
        <w:rPr>
          <w:rFonts w:ascii="Arial" w:hAnsi="Arial" w:cs="Arial"/>
          <w:color w:val="000000" w:themeColor="text1"/>
          <w:spacing w:val="5"/>
          <w:shd w:val="clear" w:color="auto" w:fill="FFFFFF"/>
        </w:rPr>
        <w:t> </w:t>
      </w:r>
      <w:r w:rsidR="00EF088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Contudo</w:t>
      </w:r>
      <w:r w:rsidR="000763F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509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autora chama atenção para a eficácia das práticas da contabilidade de gestão na promoção da transparência organizacional, que poderá ser utilizada apenas como um viés comercial.</w:t>
      </w:r>
      <w:r w:rsidR="008509AD" w:rsidRPr="008D1CCE">
        <w:rPr>
          <w:rFonts w:ascii="Arial" w:hAnsi="Arial" w:cs="Arial"/>
          <w:color w:val="000000" w:themeColor="text1"/>
          <w:spacing w:val="5"/>
          <w:shd w:val="clear" w:color="auto" w:fill="FFFFFF"/>
        </w:rPr>
        <w:t xml:space="preserve">  </w:t>
      </w:r>
    </w:p>
    <w:p w14:paraId="2E6A35B4" w14:textId="2B7CAC03" w:rsidR="006529DB" w:rsidRPr="008D1CCE" w:rsidRDefault="000B4814" w:rsidP="005755A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0566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É importante</w:t>
      </w:r>
      <w:r w:rsidR="006529D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ressaltar </w:t>
      </w:r>
      <w:r w:rsidR="0010566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E505C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embora </w:t>
      </w:r>
      <w:r w:rsidR="006529D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algumas </w:t>
      </w:r>
      <w:r w:rsidR="0010566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pesquisas não apresent</w:t>
      </w:r>
      <w:r w:rsidR="00E505C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10566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definição de contabilidade ambiental, pois tiveram como foco o estudo da responsabilidade social, demonstrando a importância de estudos nessa temática, </w:t>
      </w:r>
      <w:r w:rsidR="00145DD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E505C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objetivo geral</w:t>
      </w:r>
      <w:r w:rsidR="00145DD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1A9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foi alcançado.</w:t>
      </w:r>
    </w:p>
    <w:p w14:paraId="5A9EEE23" w14:textId="2802A913" w:rsidR="006529DB" w:rsidRPr="008D1CCE" w:rsidRDefault="00494C72" w:rsidP="005755A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63D5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Sendo assim, 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partir d</w:t>
      </w:r>
      <w:r w:rsidR="005530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</w:t>
      </w:r>
      <w:r w:rsidR="005530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apresentados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pode-se definir contabilidade ambiental </w:t>
      </w:r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como um ramo das C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iência</w:t>
      </w:r>
      <w:r w:rsidR="00C232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 Contábeis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permite identificar, mensurar, registrar e evidenciar os fatos de gestão do meio ambiente por organizações, tendo como finalidade apoiar as decisões sobre gestão ambiental. Trata do planejamento, do controle e do gerenciamento de políticas organizacionais, práticas e procedimentos contábeis que visam o desenvolvimento sustentável (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Ferreira &amp; Lima, 2017; </w:t>
      </w:r>
      <w:proofErr w:type="spellStart"/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Angotti</w:t>
      </w:r>
      <w:proofErr w:type="spellEnd"/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Ferreira, &amp; Carvalho, 2017; Cabral, Ferreira, &amp; Queiroz, 2017; Prado &amp; Ribeiro, 2017; </w:t>
      </w:r>
      <w:r w:rsidR="00D81DF8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Eugenio, Bonito, &amp; Novas, 2016;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Mata, Fialho, &amp; Eugénio, 2014; Caetano &amp; Eugénio, 2014</w:t>
      </w:r>
      <w:r w:rsidR="002C34C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D0DF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529D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90B23A" w14:textId="3D831505" w:rsidR="00994130" w:rsidRPr="008D1CCE" w:rsidRDefault="00F9328A" w:rsidP="00F7198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Perante a leitura dos artigos</w:t>
      </w:r>
      <w:r w:rsidR="004742D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possível identificar </w:t>
      </w:r>
      <w:r w:rsidR="002D0A4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ainda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que os autores recorrem às Teorias da Legitimidade</w:t>
      </w:r>
      <w:r w:rsidR="001D50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Stakeholders</w:t>
      </w:r>
      <w:r w:rsidR="001D50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907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A165E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artigos</w:t>
      </w:r>
      <w:r w:rsidR="001D50C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4742D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proofErr w:type="spellStart"/>
      <w:r w:rsidR="004742D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Deegan</w:t>
      </w:r>
      <w:proofErr w:type="spellEnd"/>
      <w:r w:rsidR="004742D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(2002), são as teorias dominantes na investigação sobre práticas de divulgação de responsabilidade social.</w:t>
      </w:r>
    </w:p>
    <w:p w14:paraId="58124FF1" w14:textId="2BABEB6A" w:rsidR="00CA0DCF" w:rsidRPr="008D1CCE" w:rsidRDefault="005D4D40" w:rsidP="00F7198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maneira detalhada, dos </w:t>
      </w:r>
      <w:r w:rsidR="00AE3B4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2474B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E3B4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oito</w:t>
      </w:r>
      <w:r w:rsidR="002474B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artigos que abordam as teorias citadas</w:t>
      </w:r>
      <w:r w:rsidR="00CA0D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recorrentes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6702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474B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(dois)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</w:t>
      </w:r>
      <w:r w:rsidR="002474B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unicamente </w:t>
      </w:r>
      <w:r w:rsidR="002474B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 da Legitimidade em seu</w:t>
      </w:r>
      <w:r w:rsidR="00DE27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estudo</w:t>
      </w:r>
      <w:r w:rsidR="00DE27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A0D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enquanto 1 (um) utiliza a Teoria dos </w:t>
      </w:r>
      <w:r w:rsidR="00CA0DC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Stakeholders</w:t>
      </w:r>
      <w:r w:rsidR="00CA0D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0D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demais</w:t>
      </w:r>
      <w:r w:rsidR="0012113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0D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9079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CA0D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artigos)</w:t>
      </w:r>
      <w:r w:rsidR="0012113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utilizam </w:t>
      </w:r>
      <w:r w:rsidR="001D2B3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simultaneamente as</w:t>
      </w:r>
      <w:r w:rsidR="0012113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duas teorias</w:t>
      </w:r>
      <w:r w:rsidR="002474B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0D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na realização de suas pesquisas.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2E7FED" w14:textId="6FB99CFC" w:rsidR="00AC2422" w:rsidRPr="008D1CCE" w:rsidRDefault="00CA0DCF" w:rsidP="0001638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 acordo com M</w:t>
      </w:r>
      <w:r w:rsidR="00597B4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oreira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et al. (2014), a Teoria da Legitimidade tem sido usada para explicar a escolha do conteúdo, apresentação e volume dos relatórios socioambientais pelas empresas</w:t>
      </w:r>
      <w:r w:rsidR="00AC24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163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433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</w:t>
      </w:r>
      <w:r w:rsidR="00144339" w:rsidRPr="008D1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Eugenio, Bonito e Novas (2016), </w:t>
      </w:r>
      <w:r w:rsidR="0014433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Teoria dos </w:t>
      </w:r>
      <w:r w:rsidR="00144339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Stakeholders</w:t>
      </w:r>
      <w:r w:rsidR="0014433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 ganhado destaque devido os </w:t>
      </w:r>
      <w:r w:rsidR="00144339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stakeholder</w:t>
      </w:r>
      <w:r w:rsidR="0001638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="0014433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serem grupos de influência, muitos poderosos, uma vez que as organizações estão posicionadas cada vez mais a uma escala global</w:t>
      </w:r>
      <w:r w:rsidR="00DA639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163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primeira </w:t>
      </w:r>
      <w:r w:rsidR="00AC24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focaliza-se na perspe</w:t>
      </w:r>
      <w:r w:rsidR="001272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AC24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tiva de sociedade, enquanto a </w:t>
      </w:r>
      <w:r w:rsidR="000163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segunda</w:t>
      </w:r>
      <w:r w:rsidR="00AC24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considera todas as partes inte</w:t>
      </w:r>
      <w:r w:rsidR="0001638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ressadas pelas ações da empresa</w:t>
      </w:r>
      <w:r w:rsidR="00AC242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379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81D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Caetano &amp; Eugenio</w:t>
      </w:r>
      <w:r w:rsidR="00D6379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2014)</w:t>
      </w:r>
      <w:r w:rsidR="005304E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BE523E" w14:textId="09F64365" w:rsidR="00F9328A" w:rsidRPr="008D1CCE" w:rsidRDefault="00121130" w:rsidP="00F32A2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D4D4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lém destas,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outras teorias foram abordadas nos estudos pelos autores: </w:t>
      </w:r>
      <w:r w:rsidR="005D4D4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Teoria do </w:t>
      </w:r>
      <w:proofErr w:type="spellStart"/>
      <w:r w:rsidR="005D4D40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Disclosure</w:t>
      </w:r>
      <w:proofErr w:type="spellEnd"/>
      <w:r w:rsidR="005D4D4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Discricionário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1272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artigo</w:t>
      </w:r>
      <w:r w:rsidR="001272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D4D4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Teoria Institucional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801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artigos)</w:t>
      </w:r>
      <w:r w:rsidR="005D4D4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Teoria do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Triple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Bottom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Line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 artigo), Teoria da Agência (</w:t>
      </w:r>
      <w:r w:rsidR="008801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artigo</w:t>
      </w:r>
      <w:r w:rsidR="0088019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474B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43CA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Teoria da Política Econômica (</w:t>
      </w:r>
      <w:r w:rsidR="00FA283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43CA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artigo</w:t>
      </w:r>
      <w:r w:rsidR="00FA283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43CA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474B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Teoria Positiva da Contabilidade (1 artigo).</w:t>
      </w:r>
      <w:r w:rsidR="002708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554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Diante disto, </w:t>
      </w:r>
      <w:r w:rsidR="0000670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pode-se inferir</w:t>
      </w:r>
      <w:r w:rsidR="00E9554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39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a </w:t>
      </w:r>
      <w:r w:rsidR="00E9554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utilização de uma teoria </w:t>
      </w:r>
      <w:r w:rsidR="006E774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em um trabalho científico para suportar suas hipóteses ou pressupostos</w:t>
      </w:r>
      <w:r w:rsidR="00FC639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 extrema importância.</w:t>
      </w:r>
    </w:p>
    <w:p w14:paraId="478441B3" w14:textId="77777777" w:rsidR="00F32A25" w:rsidRPr="008D1CCE" w:rsidRDefault="00F32A25" w:rsidP="00F32A2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1BA441" w14:textId="2C281C26" w:rsidR="00B059AF" w:rsidRPr="008D1CCE" w:rsidRDefault="001647F1" w:rsidP="00F32A25">
      <w:pPr>
        <w:pStyle w:val="Ttulo1"/>
        <w:numPr>
          <w:ilvl w:val="0"/>
          <w:numId w:val="2"/>
        </w:numPr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Considerações Finais</w:t>
      </w:r>
    </w:p>
    <w:p w14:paraId="313F4F6E" w14:textId="2EF46AD4" w:rsidR="00FE568F" w:rsidRPr="008D1CCE" w:rsidRDefault="00021377" w:rsidP="00F32A25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Em face da importância do tema contabilidade ambiental</w:t>
      </w:r>
      <w:r w:rsidR="00637C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 importância que CSEAR representa para as discussões sobre a temática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o objetivo deste trabalho é trazer a definição de contabilidade ambiental a partir das publicações científicas n</w:t>
      </w:r>
      <w:r w:rsidR="00637C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37C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ses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eventos. </w:t>
      </w:r>
    </w:p>
    <w:p w14:paraId="033C8836" w14:textId="26C1D6B0" w:rsidR="00D877D8" w:rsidRPr="008D1CCE" w:rsidRDefault="00021377" w:rsidP="00FE568F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Desta maneira, </w:t>
      </w:r>
      <w:r w:rsidR="00FE568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A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relação às características das conferências realizadas observou-se que o continente Europeu apresentou maior número de conferências, </w:t>
      </w:r>
      <w:r w:rsidR="00572E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destaque para o Reino Unido (UK) e região da Australásia. </w:t>
      </w:r>
      <w:r w:rsidR="00D877D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 temas abordados vers</w:t>
      </w:r>
      <w:r w:rsidR="007826E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D877D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contabilidade ambiental, responsabilidade social corporativa, relatórios socioambientais, sistemas de gestão ambiental, ética, ensino e pesquisa em contabilidade ambiental e valores humanos.</w:t>
      </w:r>
    </w:p>
    <w:p w14:paraId="5ADCAD6D" w14:textId="3F5EF462" w:rsidR="00FE568F" w:rsidRPr="008D1CCE" w:rsidRDefault="00FE568F" w:rsidP="00EA754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Com base nas 69 conferências </w:t>
      </w:r>
      <w:r w:rsidR="00B574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da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dispon</w:t>
      </w:r>
      <w:r w:rsidR="00B574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ibilidade dos dados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site do CSEAR, constou-se que são </w:t>
      </w:r>
      <w:r w:rsidR="00F731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  <w:r w:rsidR="00A165E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731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dez</w:t>
      </w:r>
      <w:r w:rsidR="00A165E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que apresentaram trabalhos e também f</w:t>
      </w:r>
      <w:r w:rsidR="00B574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izeram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parte do comitê organizacional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produziram </w:t>
      </w:r>
      <w:r w:rsidR="00F731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 </w:t>
      </w:r>
      <w:r w:rsidR="00A165E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7311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dezesseis</w:t>
      </w:r>
      <w:r w:rsidR="00A165E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trabalhos </w:t>
      </w:r>
      <w:r w:rsidR="00771B8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nessas conferências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 mantém uma rede de 3</w:t>
      </w:r>
      <w:r w:rsidR="00564BC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pesquisadores. Os membros do CSEAR que se destacaram com maior número de publicações foram: Teresa Eugénio, de Portugal;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Araceli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Cristina de Sousa Ferreira e Fátima de Souza Freire</w:t>
      </w:r>
      <w:r w:rsidR="00AE060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ambas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Brasil.</w:t>
      </w:r>
    </w:p>
    <w:p w14:paraId="475372A8" w14:textId="3F532AA8" w:rsidR="00DC3AAE" w:rsidRPr="008D1CCE" w:rsidRDefault="00E44E13" w:rsidP="00EA754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Quan</w:t>
      </w:r>
      <w:r w:rsidR="0065772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ao perfil dos trabalhos, not</w:t>
      </w:r>
      <w:r w:rsidR="00C6101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-se que as palavras-chave mais utilizadas para coleta de artigos pelos autores foram: “Contabilidade Socioambiental” e “Responsabilidade Social”</w:t>
      </w:r>
      <w:r w:rsidR="007151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75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metodologia predominante refer</w:t>
      </w:r>
      <w:r w:rsidR="00C6101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iu</w:t>
      </w:r>
      <w:r w:rsidR="00A06C8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à Analítica (5 artigos). </w:t>
      </w:r>
      <w:r w:rsidR="00BD75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seguida, </w:t>
      </w:r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BD75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utilizad</w:t>
      </w:r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D757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 Revisão e Pesquisa Documental (ambos com 4 artigos)</w:t>
      </w:r>
      <w:r w:rsidR="00600A2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estudo de caso, campo e</w:t>
      </w:r>
      <w:r w:rsidR="002708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metodologia experimental (ambos</w:t>
      </w:r>
      <w:r w:rsidR="00332F1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</w:t>
      </w:r>
      <w:r w:rsidR="0027085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artigo).</w:t>
      </w:r>
      <w:r w:rsidR="00600A2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FC5156" w14:textId="309641BE" w:rsidR="00F33903" w:rsidRPr="008D1CCE" w:rsidRDefault="00AE060E" w:rsidP="00F3390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71B8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a análise dos estudos pode-se identificar os </w:t>
      </w:r>
      <w:r w:rsidR="00EA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conceitos sobre contabilidade ambiental apresentados nesses trabalhos</w:t>
      </w:r>
      <w:r w:rsidR="00771B8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339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Logo, chegou-se no conceito da Contabilidade Ambiental como um ramo das Ciências Contábeis que permite identificar, mensurar, registrar e evidenciar os fatos de gestão do meio ambiente por organizações, tendo como finalidade apoiar as decisões sobre gestão ambiental definição de contabilidade ambiental.</w:t>
      </w:r>
    </w:p>
    <w:p w14:paraId="3D22EBB3" w14:textId="2ADAD70F" w:rsidR="00B059AF" w:rsidRPr="008D1CCE" w:rsidRDefault="00B059AF" w:rsidP="00F14757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Como limitações da pesquisa</w:t>
      </w:r>
      <w:r w:rsidR="00771B8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destacam-se</w:t>
      </w:r>
      <w:r w:rsidR="00BD21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i)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falta de padrão do site do </w:t>
      </w:r>
      <w:r w:rsidR="006E5FE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CSEAR utilizado para levantamento dos dados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572E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21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="00BD21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572E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eventos </w:t>
      </w:r>
      <w:r w:rsidR="00771B8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disponíveis somente </w:t>
      </w:r>
      <w:r w:rsidR="00572E5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partir de 2003</w:t>
      </w:r>
      <w:r w:rsidR="00771B8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BD21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F4AD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BD21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BD21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impossibilidade de identificação do</w:t>
      </w:r>
      <w:r w:rsidR="007B45E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comitê</w:t>
      </w:r>
      <w:r w:rsidR="007B45E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organizaciona</w:t>
      </w:r>
      <w:r w:rsidR="007B45E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F6215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 tod</w:t>
      </w:r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conferências disponíveis no site; e, </w:t>
      </w:r>
      <w:proofErr w:type="spellStart"/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iv</w:t>
      </w:r>
      <w:proofErr w:type="spellEnd"/>
      <w:r w:rsidR="00B2450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D215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3FC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impossibilidade de acesso a todos os trabalhos</w:t>
      </w:r>
      <w:r w:rsidR="00771B8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23FC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FB90EEF" w14:textId="69DCF774" w:rsidR="00B059AF" w:rsidRPr="008D1CCE" w:rsidRDefault="007B45E5" w:rsidP="00F14757">
      <w:pPr>
        <w:pStyle w:val="PargrafodaLista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Destaca</w:t>
      </w:r>
      <w:r w:rsidR="00637A1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-se que alguns trabalho</w:t>
      </w:r>
      <w:r w:rsidR="0042267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foram publicados no </w:t>
      </w:r>
      <w:hyperlink r:id="rId12" w:history="1">
        <w:r w:rsidR="0042267F"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Social </w:t>
        </w:r>
        <w:proofErr w:type="spellStart"/>
        <w:r w:rsidR="0042267F"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and</w:t>
        </w:r>
        <w:proofErr w:type="spellEnd"/>
        <w:r w:rsidR="0042267F"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 Environmental </w:t>
        </w:r>
        <w:proofErr w:type="spellStart"/>
        <w:r w:rsidR="0042267F"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Accountability</w:t>
        </w:r>
        <w:proofErr w:type="spellEnd"/>
        <w:r w:rsidR="0042267F"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 xml:space="preserve"> </w:t>
        </w:r>
        <w:proofErr w:type="spellStart"/>
        <w:r w:rsidR="0042267F"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Journal</w:t>
        </w:r>
        <w:proofErr w:type="spellEnd"/>
        <w:r w:rsidR="0042267F" w:rsidRPr="008D1CCE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,</w:t>
        </w:r>
        <w:r w:rsidR="0042267F" w:rsidRPr="008D1C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</w:t>
        </w:r>
        <w:r w:rsidR="00637A19" w:rsidRPr="008D1C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requer </w:t>
        </w:r>
        <w:r w:rsidR="00232C14" w:rsidRPr="008D1CCE">
          <w:rPr>
            <w:rFonts w:ascii="Times New Roman" w:hAnsi="Times New Roman" w:cs="Times New Roman"/>
            <w:color w:val="000000" w:themeColor="text1"/>
            <w:sz w:val="24"/>
            <w:szCs w:val="24"/>
          </w:rPr>
          <w:t>associa</w:t>
        </w:r>
        <w:r w:rsidR="00637A19" w:rsidRPr="008D1CCE">
          <w:rPr>
            <w:rFonts w:ascii="Times New Roman" w:hAnsi="Times New Roman" w:cs="Times New Roman"/>
            <w:color w:val="000000" w:themeColor="text1"/>
            <w:sz w:val="24"/>
            <w:szCs w:val="24"/>
          </w:rPr>
          <w:t>ção a</w:t>
        </w:r>
        <w:r w:rsidR="00232C14" w:rsidRPr="008D1CCE">
          <w:rPr>
            <w:rFonts w:ascii="Times New Roman" w:hAnsi="Times New Roman" w:cs="Times New Roman"/>
            <w:color w:val="000000" w:themeColor="text1"/>
            <w:sz w:val="24"/>
            <w:szCs w:val="24"/>
          </w:rPr>
          <w:t>o CSEAR</w:t>
        </w:r>
        <w:r w:rsidR="0042267F" w:rsidRPr="008D1C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</w:t>
        </w:r>
        <w:r w:rsidR="00637A19" w:rsidRPr="008D1C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permitir acesso. </w:t>
        </w:r>
      </w:hyperlink>
      <w:r w:rsidR="00232C1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Dentre os estudo</w:t>
      </w:r>
      <w:r w:rsidR="00F6215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publicados nesse periódico destacam-se</w:t>
      </w:r>
      <w:r w:rsidR="0094759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publicações </w:t>
      </w:r>
      <w:r w:rsidR="00012A8B"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Rob</w:t>
      </w:r>
      <w:r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ert</w:t>
      </w:r>
      <w:r w:rsidR="00012A8B"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Gray</w:t>
      </w:r>
      <w:r w:rsidR="00012A8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="0094759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Charles H. Cho</w:t>
      </w:r>
      <w:r w:rsidR="009729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Lee </w:t>
      </w:r>
      <w:proofErr w:type="spellStart"/>
      <w:r w:rsidR="009729F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Moerman</w:t>
      </w:r>
      <w:proofErr w:type="spellEnd"/>
      <w:r w:rsidR="00E5669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Carlos </w:t>
      </w:r>
      <w:proofErr w:type="spellStart"/>
      <w:r w:rsidR="00E5669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Larrinaga</w:t>
      </w:r>
      <w:proofErr w:type="spellEnd"/>
      <w:r w:rsidR="00BF77B9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="00BF77B9"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Ericka</w:t>
      </w:r>
      <w:proofErr w:type="spellEnd"/>
      <w:r w:rsidR="00BF77B9"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Costa</w:t>
      </w:r>
      <w:r w:rsidR="00B06BAE"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E61B16"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Carol </w:t>
      </w:r>
      <w:proofErr w:type="spellStart"/>
      <w:r w:rsidR="00E61B16"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Tilt</w:t>
      </w:r>
      <w:proofErr w:type="spellEnd"/>
      <w:r w:rsidR="00E61B16" w:rsidRPr="008D1CCE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D95E58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Massimo </w:t>
      </w:r>
      <w:proofErr w:type="spellStart"/>
      <w:r w:rsidR="00D95E58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Contrafatto</w:t>
      </w:r>
      <w:proofErr w:type="spellEnd"/>
      <w:r w:rsidR="00D95E58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B06BAE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Gianfranco </w:t>
      </w:r>
      <w:proofErr w:type="spellStart"/>
      <w:r w:rsidR="00B06BAE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Rusconi</w:t>
      </w:r>
      <w:proofErr w:type="spellEnd"/>
      <w:r w:rsidR="00D95E58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Giovanna </w:t>
      </w:r>
      <w:proofErr w:type="spellStart"/>
      <w:r w:rsidR="00D95E58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Michelon</w:t>
      </w:r>
      <w:proofErr w:type="spellEnd"/>
      <w:r w:rsidR="00474D65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474D65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Markus</w:t>
      </w:r>
      <w:proofErr w:type="spellEnd"/>
      <w:r w:rsidR="00474D65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J. </w:t>
      </w:r>
      <w:proofErr w:type="spellStart"/>
      <w:r w:rsidR="00474D65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Milne</w:t>
      </w:r>
      <w:proofErr w:type="spellEnd"/>
      <w:r w:rsidR="00836B95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Michelle Rodrigue</w:t>
      </w:r>
      <w:r w:rsidR="00E61B16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Ronald P </w:t>
      </w:r>
      <w:proofErr w:type="spellStart"/>
      <w:r w:rsidR="00E61B16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Guidry</w:t>
      </w:r>
      <w:proofErr w:type="spellEnd"/>
      <w:r w:rsidR="00E61B16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2363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E61B16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26EA3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Sónia Maria da Silva Monteiro</w:t>
      </w:r>
      <w:r w:rsidR="00192363" w:rsidRPr="008D1C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37A1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Acredita</w:t>
      </w:r>
      <w:r w:rsidR="00590E0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-se</w:t>
      </w:r>
      <w:r w:rsidR="00637A1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replicar essa pesquisa com base nos estudos publicados nesse periódico poderia corr</w:t>
      </w:r>
      <w:r w:rsidR="00F6215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37A1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borar com os resultados expostos </w:t>
      </w:r>
      <w:r w:rsidR="00590E0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presente artigo. </w:t>
      </w:r>
      <w:r w:rsidR="00B059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Deixa-se</w:t>
      </w:r>
      <w:r w:rsidR="00590E0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ainda,</w:t>
      </w:r>
      <w:r w:rsidR="00B059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 sugestão para futuras pesquisas ampliar a pesquisa incluindo </w:t>
      </w:r>
      <w:r w:rsidR="0016754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 análise das conferências realizadas n</w:t>
      </w:r>
      <w:r w:rsidR="00B059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 ano de 2018</w:t>
      </w:r>
      <w:r w:rsidR="0016754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B059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analisar os demais trabalhos</w:t>
      </w:r>
      <w:r w:rsidR="00CB75D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publicados nos eventos</w:t>
      </w:r>
      <w:r w:rsidR="00D947E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 restringir a amostra aos pesquisadores que fazem parte do comitê organizacional</w:t>
      </w:r>
      <w:r w:rsidR="00B059A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7EF004" w14:textId="77777777" w:rsidR="00B059AF" w:rsidRPr="008D1CCE" w:rsidRDefault="00B059AF" w:rsidP="00F1475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CAB9C6" w14:textId="1B477837" w:rsidR="00150394" w:rsidRPr="008D1CCE" w:rsidRDefault="00150394" w:rsidP="00F14757">
      <w:pPr>
        <w:pStyle w:val="Ttulo1"/>
        <w:spacing w:before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D1C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7F55B8" w:rsidRPr="008D1C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eferências</w:t>
      </w:r>
      <w:proofErr w:type="spellEnd"/>
    </w:p>
    <w:p w14:paraId="57EC8403" w14:textId="0004B22B" w:rsidR="00663868" w:rsidRPr="008D1CCE" w:rsidRDefault="00663868" w:rsidP="00F147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Albelda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E.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(2011).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The role of management accounting practices as facilitators of the environmental management: Evidence from EMAS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organisations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Sustainability Accounting, Management and Policy Journal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Vol.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Issue: 1, p.76-100. </w:t>
      </w:r>
    </w:p>
    <w:p w14:paraId="47DADCB9" w14:textId="1303FDCD" w:rsidR="00B137C4" w:rsidRPr="008D1CCE" w:rsidRDefault="00CB4858" w:rsidP="00F147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Angotti</w:t>
      </w:r>
      <w:proofErr w:type="spellEnd"/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erreira</w:t>
      </w:r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A. C. de S.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CARVALHO, R. M. C.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(2017). </w:t>
      </w:r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análise da produção científica sobre </w:t>
      </w:r>
      <w:proofErr w:type="spellStart"/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Full</w:t>
      </w:r>
      <w:proofErr w:type="spellEnd"/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Cost</w:t>
      </w:r>
      <w:proofErr w:type="spellEnd"/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Accounting</w:t>
      </w:r>
      <w:proofErr w:type="spellEnd"/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137C4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Revista de Contabilidade da UFBA</w:t>
      </w:r>
      <w:r w:rsidR="00B137C4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Vol.</w:t>
      </w:r>
      <w:r w:rsidR="00B137C4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11, n. 3, p. 95-119.</w:t>
      </w:r>
    </w:p>
    <w:p w14:paraId="18B10BD2" w14:textId="36BC2472" w:rsidR="00971FAF" w:rsidRPr="008D1CCE" w:rsidRDefault="00971FAF" w:rsidP="00F147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abral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A. C. A.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erreira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A. C. de S.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ueiroz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M. 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(2017).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Contabilidade e Sustentabilidade: o caso da Samarco S.A.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Anais</w:t>
      </w:r>
      <w:r w:rsidR="00CB4858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V Conferência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Sulamericana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 Contabilidade Ambiental</w:t>
      </w:r>
      <w:r w:rsidR="00FC232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Brasília.</w:t>
      </w:r>
    </w:p>
    <w:p w14:paraId="2B85D2EE" w14:textId="4A5833FB" w:rsidR="00005D78" w:rsidRPr="008D1CCE" w:rsidRDefault="00005D78" w:rsidP="00F1475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aetano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D. C.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&amp;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ugenio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 </w:t>
      </w:r>
      <w:r w:rsidR="00C33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(2014). </w:t>
      </w:r>
      <w:bookmarkStart w:id="4" w:name="_GoBack"/>
      <w:bookmarkEnd w:id="4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Relato de Sustentabilidade - Práticas no setor da Construção Civil.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Anais</w:t>
      </w:r>
      <w:r w:rsidR="00FC23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VIth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GECAMB conference on Environmental Management and Accounting – the Portuguese CSEAR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2F918D5" w14:textId="69DF53D8" w:rsidR="007909AD" w:rsidRPr="008D1CCE" w:rsidRDefault="007909AD" w:rsidP="008A68E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alixto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 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(2004).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Contabilidade Ambiental: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aplicação do ISAR em empresas do setor de</w:t>
      </w:r>
      <w:r w:rsidR="001359C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mineração. Dissertação de Mestrado, Universidade do Estado do Rio de Janeiro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3A6AC8" w14:textId="375CF766" w:rsidR="007864B5" w:rsidRPr="008D1CCE" w:rsidRDefault="007864B5" w:rsidP="008A68E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arvalho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M. B. de. 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(2007)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Contabilidade ambiental: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 e prática.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Curitíba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PR: Juruá.</w:t>
      </w:r>
    </w:p>
    <w:p w14:paraId="6F124FE0" w14:textId="670DD8E0" w:rsidR="005F5684" w:rsidRPr="008D1CCE" w:rsidRDefault="005F5684" w:rsidP="00D81DF8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asca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A.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odrigues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A.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ugenio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 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(2016).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Contabilidade para a Sustentabilidade uma análise dos principais trabalhos publicados nas Top 10 do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Scimago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Anais</w:t>
      </w:r>
      <w:r w:rsidR="00FC232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VIIth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GECAMB - Conference on Environmental Management and Accounting</w:t>
      </w:r>
      <w:r w:rsidRPr="008D1CC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The</w:t>
      </w:r>
      <w:proofErr w:type="gram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Portuguese CSEAR Conference.</w:t>
      </w:r>
    </w:p>
    <w:p w14:paraId="511F7ED4" w14:textId="5B81B3BA" w:rsidR="006D4D12" w:rsidRPr="008D1CCE" w:rsidRDefault="006D4D12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osta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="009F5B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9F5B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G. 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(2012).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Contabilidade Ambiental: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Mensuração, evidenciação e</w:t>
      </w:r>
      <w:r w:rsidR="009F5B7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transparência. São Paulo: Atlas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5174BD" w14:textId="73642BB6" w:rsidR="00C73F62" w:rsidRPr="008D1CCE" w:rsidRDefault="00C73F62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CSEAR. 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(2017).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Centre </w:t>
      </w:r>
      <w:proofErr w:type="gram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 Social</w:t>
      </w:r>
      <w:proofErr w:type="gram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 Environmental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Research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Disponível em: &lt;https://www.st-andrews.ac.uk/csear/&gt;. Acesso em: 17 no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v.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2017.</w:t>
      </w:r>
    </w:p>
    <w:p w14:paraId="48B2E49F" w14:textId="4DEAE27E" w:rsidR="004742DA" w:rsidRPr="008D1CCE" w:rsidRDefault="004742D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eegan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C. 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(2002).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Legitimising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effect of social and environmental disclosures - a theoretical foundation,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Accounting, Auditing &amp; Accountability Journal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Vol.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15, n. 3, p. 282–311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FF85BD1" w14:textId="3EC18FEB" w:rsidR="00CC3E9C" w:rsidRPr="008D1CCE" w:rsidRDefault="00CC3E9C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EPA.</w:t>
      </w:r>
      <w:r w:rsidR="00CB485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(2018).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ENVIRONMENTAL PROTECTION AGENCY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Disponível em: &lt;http://www.epa.gov/&gt;. Acesso em: 23 fev. 2018.</w:t>
      </w:r>
    </w:p>
    <w:p w14:paraId="0CC8C7C5" w14:textId="1C50078D" w:rsidR="004A52D2" w:rsidRPr="008D1CCE" w:rsidRDefault="004A52D2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ugenio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T.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onito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M. G.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&amp;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ovas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C.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(2016).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Contabilidade Ambiental - Gastos ambientais em empresas certificadas pela ISO 14001 em Portugal.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Anais</w:t>
      </w:r>
      <w:r w:rsidR="008F5CBA"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VII GECAMB conference on Environmental Management and Accounting – the Portuguese CSEAR conference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F90259E" w14:textId="02972B29" w:rsidR="008949F5" w:rsidRPr="008D1CCE" w:rsidRDefault="008F5CB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Fagundes, B. G., &amp; Freire</w:t>
      </w:r>
      <w:r w:rsidR="008949F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 de S.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(2017). </w:t>
      </w:r>
      <w:r w:rsidR="008949F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Forças e Fraquezas da </w:t>
      </w:r>
      <w:r w:rsidR="008949F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Performance</w:t>
      </w:r>
      <w:r w:rsidR="008949F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Social Corporativa de Instituições Financeiras. </w:t>
      </w:r>
      <w:r w:rsidR="004E2BEE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Anais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</w:t>
      </w:r>
      <w:r w:rsidR="004E2BEE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2BEE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V Conferência </w:t>
      </w:r>
      <w:proofErr w:type="spellStart"/>
      <w:r w:rsidR="004E2BEE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Sulamericana</w:t>
      </w:r>
      <w:proofErr w:type="spellEnd"/>
      <w:r w:rsidR="004E2BEE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 Contabilidade Ambiental</w:t>
      </w:r>
      <w:r w:rsidR="00DE00B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Brasília.</w:t>
      </w:r>
    </w:p>
    <w:p w14:paraId="5BED1994" w14:textId="3DD5F8B5" w:rsidR="00C403BD" w:rsidRPr="008D1CCE" w:rsidRDefault="00C403BD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ernandes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E.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 T. et al.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(2016). </w:t>
      </w:r>
      <w:r w:rsidR="00FC14A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Comportamento ambiental: estudo comparativo entre estudantes brasileiros e portugueses. </w:t>
      </w:r>
      <w:r w:rsidR="00FC14A5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Ambiente &amp; Sociedade</w:t>
      </w:r>
      <w:r w:rsidR="00FC14A5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r w:rsidR="00FC14A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XIX, n. 3, p. 111-134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E71CA5" w14:textId="16F1C93C" w:rsidR="00567ED4" w:rsidRPr="008D1CCE" w:rsidRDefault="00567ED4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erreira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 C. S.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(2011).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Contabilidade Ambiental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Uma informação para o desenvolvimento sustentável. 3ª ed. São Paulo: Atlas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A328F7" w14:textId="61264C62" w:rsidR="008949F5" w:rsidRPr="008D1CCE" w:rsidRDefault="008F5CB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Freire, F. De S., Lopes, F. J., &amp;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Panza</w:t>
      </w:r>
      <w:proofErr w:type="spellEnd"/>
      <w:r w:rsidR="00F3074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C. C. </w:t>
      </w:r>
      <w:proofErr w:type="spellStart"/>
      <w:r w:rsidR="00F3074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proofErr w:type="spellEnd"/>
      <w:r w:rsidR="00F3074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(2017). </w:t>
      </w:r>
      <w:r w:rsidR="00F3074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Análise Bibliométrica da Produção Científica no Social </w:t>
      </w:r>
      <w:proofErr w:type="spellStart"/>
      <w:r w:rsidR="00F3074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Responsibility</w:t>
      </w:r>
      <w:proofErr w:type="spellEnd"/>
      <w:r w:rsidR="00F3074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3074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Journal</w:t>
      </w:r>
      <w:proofErr w:type="spellEnd"/>
      <w:r w:rsidR="00F3074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3074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Anais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 </w:t>
      </w:r>
      <w:r w:rsidR="00F3074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V Conferência </w:t>
      </w:r>
      <w:proofErr w:type="spellStart"/>
      <w:r w:rsidR="00F3074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Sulamericana</w:t>
      </w:r>
      <w:proofErr w:type="spellEnd"/>
      <w:r w:rsidR="00F3074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 Contabilidade Ambiental</w:t>
      </w:r>
      <w:r w:rsidR="00DE00B7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DE00B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Brasília.</w:t>
      </w:r>
    </w:p>
    <w:p w14:paraId="044900DE" w14:textId="7B410BDD" w:rsidR="00D34EBC" w:rsidRPr="008D1CCE" w:rsidRDefault="008F5CB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Global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Compact</w:t>
      </w:r>
      <w:proofErr w:type="spellEnd"/>
      <w:r w:rsidR="00D34EB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(2018). </w:t>
      </w:r>
      <w:r w:rsidR="00D34EB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Disponível em:</w:t>
      </w:r>
      <w:r w:rsidR="004E3B69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http://globalcompact.pt/39-actividade/ods-e-alianca/221-teresa-eugenio</w:t>
      </w:r>
      <w:r w:rsidR="00D34EB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Acesso em: 07 mar. 2018.</w:t>
      </w:r>
    </w:p>
    <w:p w14:paraId="4E934C04" w14:textId="7320411B" w:rsidR="008949F5" w:rsidRPr="008D1CCE" w:rsidRDefault="00533C56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A</w:t>
      </w:r>
      <w:r w:rsidR="001A0CC3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(2002).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Como elaborar projetos de pesquisa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3. ed. São Paulo: Atlas.</w:t>
      </w:r>
    </w:p>
    <w:p w14:paraId="628F589B" w14:textId="4EC02F90" w:rsidR="00547541" w:rsidRPr="008D1CCE" w:rsidRDefault="008F5CB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Gillet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C., &amp; Martinez</w:t>
      </w:r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I.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(2013). </w:t>
      </w:r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Performance </w:t>
      </w:r>
      <w:proofErr w:type="spellStart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sociale</w:t>
      </w:r>
      <w:proofErr w:type="spellEnd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performance </w:t>
      </w:r>
      <w:proofErr w:type="spellStart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financière</w:t>
      </w:r>
      <w:proofErr w:type="spellEnd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Etat</w:t>
      </w:r>
      <w:proofErr w:type="spellEnd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l’art</w:t>
      </w:r>
      <w:proofErr w:type="spellEnd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47541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Anais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do</w:t>
      </w:r>
      <w:r w:rsidR="00547541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2nd CSEAR France </w:t>
      </w:r>
      <w:proofErr w:type="spellStart"/>
      <w:r w:rsidR="00547541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Congress</w:t>
      </w:r>
      <w:proofErr w:type="spellEnd"/>
      <w:r w:rsidR="0054754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6E1CB7" w14:textId="32074414" w:rsidR="00CC3E9C" w:rsidRPr="008D1CCE" w:rsidRDefault="008F5CB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Gray, R., &amp; Bebbington</w:t>
      </w:r>
      <w:r w:rsidR="00CC3E9C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J.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(2001). </w:t>
      </w:r>
      <w:r w:rsidR="00CC3E9C"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Accounting for the Environment</w:t>
      </w:r>
      <w:r w:rsidR="00CC3E9C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CC3E9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2nd ed. London: </w:t>
      </w:r>
      <w:proofErr w:type="spellStart"/>
      <w:r w:rsidR="00CC3E9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Sage</w:t>
      </w:r>
      <w:proofErr w:type="spellEnd"/>
      <w:r w:rsidR="00CC3E9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C5894" w14:textId="79F717ED" w:rsidR="00FC4DA0" w:rsidRPr="008D1CCE" w:rsidRDefault="00FC4DA0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ray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R.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(2002).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social accounting</w:t>
      </w:r>
      <w:r w:rsidR="000D4A2B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project and accounting organizations and society. Privileging engagement, imaginings, new accountings and pragmatism over </w:t>
      </w:r>
      <w:proofErr w:type="gram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critique?.</w:t>
      </w:r>
      <w:proofErr w:type="gram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Accounting, Organizations and Society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27, n. 7, p. 687-708.</w:t>
      </w:r>
    </w:p>
    <w:p w14:paraId="4B508FEA" w14:textId="7A8FE069" w:rsidR="00217336" w:rsidRPr="008D1CCE" w:rsidRDefault="008F5CB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Lima, F. B., &amp; Ferreira</w:t>
      </w:r>
      <w:r w:rsidR="0021733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 C. de S.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(2017). </w:t>
      </w:r>
      <w:r w:rsidR="0021733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Um estudo sobre a avaliação socioambiental do relatório de impacto ambiental do terminal graneleiro da Cargill em Santarém – PA.</w:t>
      </w:r>
      <w:r w:rsidR="004341AD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41AD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Anais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</w:t>
      </w:r>
      <w:r w:rsidR="004341AD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V Conferência </w:t>
      </w:r>
      <w:proofErr w:type="spellStart"/>
      <w:r w:rsidR="004341AD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Sulamericana</w:t>
      </w:r>
      <w:proofErr w:type="spellEnd"/>
      <w:r w:rsidR="004341AD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 Contabilidade Ambiental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ADF286" w14:textId="4428A5D4" w:rsidR="00C32E7C" w:rsidRPr="008D1CCE" w:rsidRDefault="00C32E7C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ins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L. S.</w:t>
      </w:r>
      <w:r w:rsidR="008F5CBA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Introdução à gestão ambiental empresarial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1ª ed. São Paulo: Atlas.</w:t>
      </w:r>
    </w:p>
    <w:p w14:paraId="7F862AE8" w14:textId="75BA0947" w:rsidR="00F818B6" w:rsidRPr="008D1CCE" w:rsidRDefault="008F5CB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Lunkes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R. J., &amp; Rosa</w:t>
      </w:r>
      <w:r w:rsidR="00F818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 S.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(2012). </w:t>
      </w:r>
      <w:r w:rsidR="00F818B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Gestão Hoteleira</w:t>
      </w:r>
      <w:r w:rsidR="00F818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Custos, Sistemas de Informação, </w:t>
      </w:r>
      <w:proofErr w:type="spellStart"/>
      <w:r w:rsidR="00F818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Planeja-mento</w:t>
      </w:r>
      <w:proofErr w:type="spellEnd"/>
      <w:r w:rsidR="00F818B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Estratégico, Orçamento e Gestão Ambiental. 1ª. ed. Curitiba: Juruá, 1, 276.</w:t>
      </w:r>
    </w:p>
    <w:p w14:paraId="613F37EF" w14:textId="4A6634D7" w:rsidR="00024267" w:rsidRPr="008D1CCE" w:rsidRDefault="008F5CB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Mata, C., Fialho, A., &amp; Eugenio</w:t>
      </w:r>
      <w:r w:rsidR="0002426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(2014). </w:t>
      </w:r>
      <w:r w:rsidR="00024267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Práticas de Relato Ambiental nas Empresas Cotadas no PSI20: uma Análise Longitudinal. </w:t>
      </w:r>
      <w:r w:rsidR="00024267"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Anais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="00024267"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VIth</w:t>
      </w:r>
      <w:proofErr w:type="spellEnd"/>
      <w:r w:rsidR="00024267"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GECAMB conference on Environmental Management and Accounting – the Portuguese CSEAR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410BB8E" w14:textId="6B17BC3B" w:rsidR="007844AC" w:rsidRPr="008D1CCE" w:rsidRDefault="007844AC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</w:t>
      </w:r>
      <w:r w:rsidR="00B3267E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athews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M. R. </w:t>
      </w:r>
      <w:r w:rsidR="00B3267E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(1997).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Twenty five years of social and environmental accounting research: is there a silver jubilee to </w:t>
      </w:r>
      <w:proofErr w:type="gram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celebrate?.</w:t>
      </w:r>
      <w:proofErr w:type="gram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Accountability, Auditing and Accountability Journal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100642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10, n. 4, p. 481-531.</w:t>
      </w:r>
    </w:p>
    <w:p w14:paraId="203009EA" w14:textId="779403ED" w:rsidR="00C37F03" w:rsidRPr="008D1CCE" w:rsidRDefault="00C37F03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B3267E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athews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M. R.</w:t>
      </w:r>
      <w:r w:rsidR="00100642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(2003).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brief description and preliminary analysis of recent social and environmental accounting research literature.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Indonesian Management and Accounting Research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100642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2, n. 2, p. 197-264.</w:t>
      </w:r>
    </w:p>
    <w:p w14:paraId="1CDA1CA4" w14:textId="79CE92BE" w:rsidR="00C37F03" w:rsidRPr="008D1CCE" w:rsidRDefault="00C37F03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100642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athews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M. R. </w:t>
      </w:r>
      <w:r w:rsidR="00100642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(2004).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Developing a matrix approach to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categorise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social and environmental accounting research literature.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Qualitative Research in Accounting and Management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100642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1, n. 1, p. 30-45.</w:t>
      </w:r>
    </w:p>
    <w:p w14:paraId="150FAA6F" w14:textId="6C5E75A8" w:rsidR="00722F8C" w:rsidRPr="008D1CCE" w:rsidRDefault="00722F8C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aurice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J.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(2013).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Les provisions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comptables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environnementales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sont-elles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fiables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?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Une lecture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institutionnelle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du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sociétés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cotées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françaises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Comptabilité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sans </w:t>
      </w:r>
      <w:proofErr w:type="spellStart"/>
      <w:proofErr w:type="gram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frontières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..</w:t>
      </w:r>
      <w:proofErr w:type="gram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French Connection, May 2013, Montréal, Canada. pp.cd-rom.</w:t>
      </w:r>
    </w:p>
    <w:p w14:paraId="631DFD5F" w14:textId="53354550" w:rsidR="004E3116" w:rsidRPr="008D1CCE" w:rsidRDefault="00314FE8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Moerman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L.,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Laan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S. van der, &amp; Campbell</w:t>
      </w:r>
      <w:r w:rsidR="004E3116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(2012). </w:t>
      </w:r>
      <w:r w:rsidR="004E3116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Rise and Fall of Asbestos: A tale of two companies. </w:t>
      </w:r>
      <w:r w:rsidR="004E311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Anais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do</w:t>
      </w:r>
      <w:r w:rsidR="004E311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11th CSEAR </w:t>
      </w:r>
      <w:proofErr w:type="spellStart"/>
      <w:r w:rsidR="004E311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Australasian</w:t>
      </w:r>
      <w:proofErr w:type="spellEnd"/>
      <w:r w:rsidR="004E311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4E3116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Conference</w:t>
      </w:r>
      <w:proofErr w:type="spellEnd"/>
      <w:r w:rsidR="004E311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3DFBCF" w14:textId="781F906D" w:rsidR="00D53492" w:rsidRPr="008D1CCE" w:rsidRDefault="00D53492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aiva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P. R. de. 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(2006).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Contabilidade Ambiental: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Evidenciação dos Gastos Ambientais com Transparência e Focada na Prevenção.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ed. 2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reimpr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São Paulo: Atlas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29D5597" w14:textId="51DD5FC1" w:rsidR="00DE3F49" w:rsidRPr="008D1CCE" w:rsidRDefault="00DE3F49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arker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L.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(2005).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Social and environmental accountability research: A view from the commentary box.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Accounting, Auditing &amp; Accountability Journal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18, n. 6, p. 842-860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FF322B1" w14:textId="5886CFAE" w:rsidR="00DE3F49" w:rsidRPr="008D1CCE" w:rsidRDefault="00DE3F49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arker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L. 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(2011).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Twenty-one years of social and environmental accountability research: A coming of age.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Accounting</w:t>
      </w:r>
      <w:proofErr w:type="spellEnd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Forum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35, p. 1-10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884A9F" w14:textId="45A855B3" w:rsidR="000C602B" w:rsidRPr="008D1CCE" w:rsidRDefault="00314FE8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Plataforma Lattes</w:t>
      </w:r>
      <w:r w:rsidR="000C602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(2018). </w:t>
      </w:r>
      <w:r w:rsidR="000C602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Disponível em: </w:t>
      </w:r>
      <w:r w:rsidR="00C33165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http://buscatextual.cnpq.br/buscatextual/busca.do</w:t>
      </w:r>
      <w:r w:rsidR="000C602B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Acesso em: 07 mar. 2018.</w:t>
      </w:r>
    </w:p>
    <w:p w14:paraId="7B443B7B" w14:textId="3809EF1D" w:rsidR="00D53FDF" w:rsidRPr="008D1CCE" w:rsidRDefault="00314FE8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Prado, T. A. dos R., &amp; Ribeiro</w:t>
      </w:r>
      <w:r w:rsidR="00D53FD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de S.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(2017). </w:t>
      </w:r>
      <w:r w:rsidR="00D53FD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Comparabilidade na Evidenciação de Informações sobre Provisões e Passivos Contingentes Ambientais em Companhias Abertas: um Estudo Internacional. </w:t>
      </w:r>
      <w:r w:rsidR="00D53FD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Anais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</w:t>
      </w:r>
      <w:r w:rsidR="00D53FD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V Conferência </w:t>
      </w:r>
      <w:proofErr w:type="spellStart"/>
      <w:r w:rsidR="00D53FD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Sulamericana</w:t>
      </w:r>
      <w:proofErr w:type="spellEnd"/>
      <w:r w:rsidR="00D53FD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de Contabilidade Ambiental</w:t>
      </w:r>
      <w:r w:rsidR="00D53FD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Brasília.</w:t>
      </w:r>
    </w:p>
    <w:p w14:paraId="2CF21B3A" w14:textId="4BF4CAF2" w:rsidR="00AA088E" w:rsidRPr="008D1CCE" w:rsidRDefault="00AA088E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ibeiro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M</w:t>
      </w:r>
      <w:r w:rsidR="00217336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S.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(2005).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Contabilidade Ambiental.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Paulo: Saraiva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0B508B" w14:textId="11FD1097" w:rsidR="008831FD" w:rsidRPr="008D1CCE" w:rsidRDefault="008831FD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ibeiro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de S. 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(2010).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Contabilidade ambiental.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Paulo: Saraiva.</w:t>
      </w:r>
    </w:p>
    <w:p w14:paraId="501DC17B" w14:textId="5FFB0C67" w:rsidR="0080512A" w:rsidRPr="008D1CCE" w:rsidRDefault="0080512A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ichardson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</w:t>
      </w:r>
      <w:r w:rsidR="00314FE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(1999).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Pesquisa Social: Métodos e Técnicas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3. Ed. São Paulo: Atlas.</w:t>
      </w:r>
    </w:p>
    <w:p w14:paraId="2094757C" w14:textId="5F411C67" w:rsidR="005C01EF" w:rsidRPr="008D1CCE" w:rsidRDefault="00314FE8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Santos, A. de O., Silva, F. B., Souza, S. de, &amp; Sousa</w:t>
      </w:r>
      <w:r w:rsidR="005C01E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F. R. de.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(2001). </w:t>
      </w:r>
      <w:r w:rsidR="005C01E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Contabilidade ambiental: um estudo sobre sua aplicabilidade em empresas Brasileiras. </w:t>
      </w:r>
      <w:r w:rsidR="005C01EF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Revista de Contabilidade e Finanças</w:t>
      </w:r>
      <w:r w:rsidR="005C01E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r w:rsidR="005C01EF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12, n. 27.</w:t>
      </w:r>
    </w:p>
    <w:p w14:paraId="7A6BDBCD" w14:textId="19C98F45" w:rsidR="00E25C02" w:rsidRPr="008D1CCE" w:rsidRDefault="00314FE8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Sousa, V. R. de, &amp; Ribeiro</w:t>
      </w:r>
      <w:r w:rsidR="00E25C0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M</w:t>
      </w:r>
      <w:r w:rsidR="006C69C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25C0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(2004). </w:t>
      </w:r>
      <w:r w:rsidR="00E25C0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Aplicação da Contabilidade</w:t>
      </w:r>
      <w:r w:rsidR="006C69C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5C02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Ambiental na Indústria Madeireira. </w:t>
      </w:r>
      <w:r w:rsidR="006C69C0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Rev. contab. </w:t>
      </w:r>
      <w:proofErr w:type="spellStart"/>
      <w:r w:rsidR="006C69C0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Finanç</w:t>
      </w:r>
      <w:proofErr w:type="spellEnd"/>
      <w:r w:rsidR="006C69C0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.,</w:t>
      </w:r>
      <w:r w:rsidR="006C69C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Vol</w:t>
      </w:r>
      <w:r w:rsidR="006C69C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.15, n.35.</w:t>
      </w:r>
    </w:p>
    <w:p w14:paraId="16DC4BCD" w14:textId="60317C99" w:rsidR="007455D8" w:rsidRPr="008D1CCE" w:rsidRDefault="00314FE8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Tinoco, J. E. P., &amp;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Kraemer</w:t>
      </w:r>
      <w:proofErr w:type="spellEnd"/>
      <w:r w:rsidR="007455D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M. E. P.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(2004).</w:t>
      </w:r>
      <w:r w:rsidR="007455D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55D8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Contabilidade e gestão ambiental</w:t>
      </w:r>
      <w:r w:rsidR="007455D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São Paulo: Atlas</w:t>
      </w:r>
      <w:r w:rsidR="003E0BF8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6143EF" w14:textId="279BCE96" w:rsidR="00EE0BE0" w:rsidRPr="008D1CCE" w:rsidRDefault="002F5011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Trindade, L. de L., &amp; </w:t>
      </w: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Brondani</w:t>
      </w:r>
      <w:proofErr w:type="spellEnd"/>
      <w:r w:rsidR="00EE0BE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(2005). </w:t>
      </w:r>
      <w:r w:rsidR="00EE0BE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contabilidade e sua responsabilidade social. </w:t>
      </w:r>
      <w:r w:rsidR="00EE0BE0"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Revista Eletrônica de Contabilidade,</w:t>
      </w:r>
      <w:r w:rsidR="00EE0BE0" w:rsidRPr="008D1C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E0BE0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ed. especial, jul.</w:t>
      </w:r>
    </w:p>
    <w:p w14:paraId="1C54A28F" w14:textId="4FC69751" w:rsidR="00886A71" w:rsidRPr="008D1CCE" w:rsidRDefault="00886A71" w:rsidP="00D81D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="002F50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anluca</w:t>
      </w:r>
      <w:proofErr w:type="spellEnd"/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, J</w:t>
      </w:r>
      <w:r w:rsidR="00CC3E9C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</w:t>
      </w:r>
      <w:r w:rsidR="002F5011"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(2011). </w:t>
      </w:r>
      <w:r w:rsidRPr="008D1CC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 que é Contabilidade Ambiental</w:t>
      </w:r>
      <w:r w:rsidRPr="008D1CCE">
        <w:rPr>
          <w:rFonts w:ascii="Times New Roman" w:hAnsi="Times New Roman" w:cs="Times New Roman"/>
          <w:color w:val="000000" w:themeColor="text1"/>
          <w:sz w:val="24"/>
          <w:szCs w:val="24"/>
        </w:rPr>
        <w:t>. Disponível em: &lt;http://www.portaldacontabilidade.com.br/tematicas/contabilidadeambiental.htm&gt;. Acesso em 22 fev. 2018.</w:t>
      </w:r>
    </w:p>
    <w:sectPr w:rsidR="00886A71" w:rsidRPr="008D1CCE" w:rsidSect="002C71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701" w:header="709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D3D22" w14:textId="77777777" w:rsidR="00814D86" w:rsidRDefault="00814D86" w:rsidP="001647F1">
      <w:pPr>
        <w:spacing w:after="0" w:line="240" w:lineRule="auto"/>
      </w:pPr>
      <w:r>
        <w:separator/>
      </w:r>
    </w:p>
  </w:endnote>
  <w:endnote w:type="continuationSeparator" w:id="0">
    <w:p w14:paraId="3D8B7721" w14:textId="77777777" w:rsidR="00814D86" w:rsidRDefault="00814D86" w:rsidP="0016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E947F" w14:textId="77777777" w:rsidR="002C718D" w:rsidRDefault="002C71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9D91A" w14:textId="46E1A517" w:rsidR="002C718D" w:rsidRPr="00C04F45" w:rsidRDefault="002C718D" w:rsidP="002C718D">
    <w:pPr>
      <w:pStyle w:val="Rodap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anchor distT="0" distB="0" distL="114300" distR="114300" simplePos="0" relativeHeight="251662848" behindDoc="1" locked="0" layoutInCell="1" allowOverlap="1" wp14:anchorId="4F6AA298" wp14:editId="48EC8D7D">
          <wp:simplePos x="0" y="0"/>
          <wp:positionH relativeFrom="column">
            <wp:posOffset>241300</wp:posOffset>
          </wp:positionH>
          <wp:positionV relativeFrom="paragraph">
            <wp:posOffset>149225</wp:posOffset>
          </wp:positionV>
          <wp:extent cx="5562600" cy="728980"/>
          <wp:effectExtent l="19050" t="0" r="0" b="0"/>
          <wp:wrapNone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2600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04F45">
      <w:rPr>
        <w:rFonts w:ascii="Times New Roman" w:hAnsi="Times New Roman" w:cs="Times New Roman"/>
      </w:rPr>
      <w:fldChar w:fldCharType="begin"/>
    </w:r>
    <w:r w:rsidRPr="00C04F45">
      <w:rPr>
        <w:rFonts w:ascii="Times New Roman" w:hAnsi="Times New Roman" w:cs="Times New Roman"/>
      </w:rPr>
      <w:instrText xml:space="preserve"> PAGE   \* MERGEFORMAT </w:instrText>
    </w:r>
    <w:r w:rsidRPr="00C04F45">
      <w:rPr>
        <w:rFonts w:ascii="Times New Roman" w:hAnsi="Times New Roman" w:cs="Times New Roman"/>
      </w:rPr>
      <w:fldChar w:fldCharType="separate"/>
    </w:r>
    <w:r w:rsidR="002B5217" w:rsidRPr="002B5217">
      <w:rPr>
        <w:noProof/>
      </w:rPr>
      <w:t>17</w:t>
    </w:r>
    <w:r w:rsidRPr="00C04F45">
      <w:rPr>
        <w:rFonts w:ascii="Times New Roman" w:hAnsi="Times New Roman" w:cs="Times New Roman"/>
      </w:rPr>
      <w:fldChar w:fldCharType="end"/>
    </w:r>
  </w:p>
  <w:p w14:paraId="020CAD1B" w14:textId="77777777" w:rsidR="00A15D67" w:rsidRDefault="00A15D6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31E84" w14:textId="77777777" w:rsidR="002C718D" w:rsidRDefault="002C71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860E2" w14:textId="77777777" w:rsidR="00814D86" w:rsidRDefault="00814D86" w:rsidP="001647F1">
      <w:pPr>
        <w:spacing w:after="0" w:line="240" w:lineRule="auto"/>
      </w:pPr>
      <w:r>
        <w:separator/>
      </w:r>
    </w:p>
  </w:footnote>
  <w:footnote w:type="continuationSeparator" w:id="0">
    <w:p w14:paraId="74570A89" w14:textId="77777777" w:rsidR="00814D86" w:rsidRDefault="00814D86" w:rsidP="0016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85651" w14:textId="77777777" w:rsidR="002C718D" w:rsidRDefault="002C71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2FE36" w14:textId="49522593" w:rsidR="00340FD8" w:rsidRDefault="00340FD8">
    <w:pPr>
      <w:pStyle w:val="Cabealho"/>
    </w:pPr>
    <w:r>
      <w:rPr>
        <w:noProof/>
        <w:lang w:eastAsia="pt-BR"/>
      </w:rPr>
      <w:drawing>
        <wp:inline distT="0" distB="0" distL="0" distR="0" wp14:anchorId="6F786199" wp14:editId="78452BAE">
          <wp:extent cx="5756275" cy="108648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4EAB2" w14:textId="77777777" w:rsidR="002C718D" w:rsidRDefault="002C71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42A"/>
    <w:multiLevelType w:val="hybridMultilevel"/>
    <w:tmpl w:val="144E7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2F03"/>
    <w:multiLevelType w:val="multilevel"/>
    <w:tmpl w:val="0FC43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D76BCD"/>
    <w:multiLevelType w:val="hybridMultilevel"/>
    <w:tmpl w:val="E17E4E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35"/>
    <w:rsid w:val="00000D8E"/>
    <w:rsid w:val="00003031"/>
    <w:rsid w:val="000030EC"/>
    <w:rsid w:val="00005D78"/>
    <w:rsid w:val="0000670A"/>
    <w:rsid w:val="000067E0"/>
    <w:rsid w:val="0000690F"/>
    <w:rsid w:val="00007A11"/>
    <w:rsid w:val="000100CA"/>
    <w:rsid w:val="00011ABC"/>
    <w:rsid w:val="00012A8B"/>
    <w:rsid w:val="00012E35"/>
    <w:rsid w:val="00012EFF"/>
    <w:rsid w:val="00013188"/>
    <w:rsid w:val="00013880"/>
    <w:rsid w:val="00016386"/>
    <w:rsid w:val="00021377"/>
    <w:rsid w:val="00022DA1"/>
    <w:rsid w:val="00023CC7"/>
    <w:rsid w:val="00023D99"/>
    <w:rsid w:val="00024267"/>
    <w:rsid w:val="0002493C"/>
    <w:rsid w:val="00025F74"/>
    <w:rsid w:val="000341A9"/>
    <w:rsid w:val="00052F61"/>
    <w:rsid w:val="00053D5C"/>
    <w:rsid w:val="0005490E"/>
    <w:rsid w:val="00056372"/>
    <w:rsid w:val="00057616"/>
    <w:rsid w:val="000655BA"/>
    <w:rsid w:val="00070AFD"/>
    <w:rsid w:val="00070C23"/>
    <w:rsid w:val="00071AF0"/>
    <w:rsid w:val="000763FB"/>
    <w:rsid w:val="00076481"/>
    <w:rsid w:val="0008346A"/>
    <w:rsid w:val="00087CD1"/>
    <w:rsid w:val="00092B73"/>
    <w:rsid w:val="000957A3"/>
    <w:rsid w:val="000A5867"/>
    <w:rsid w:val="000A66C8"/>
    <w:rsid w:val="000B13CA"/>
    <w:rsid w:val="000B4814"/>
    <w:rsid w:val="000B4B60"/>
    <w:rsid w:val="000B4CFD"/>
    <w:rsid w:val="000C088A"/>
    <w:rsid w:val="000C1C9B"/>
    <w:rsid w:val="000C602B"/>
    <w:rsid w:val="000D03DF"/>
    <w:rsid w:val="000D11F7"/>
    <w:rsid w:val="000D4A2B"/>
    <w:rsid w:val="000E3647"/>
    <w:rsid w:val="000E49C1"/>
    <w:rsid w:val="000E5584"/>
    <w:rsid w:val="000E6D3E"/>
    <w:rsid w:val="000F4738"/>
    <w:rsid w:val="000F68F0"/>
    <w:rsid w:val="0010006E"/>
    <w:rsid w:val="00100642"/>
    <w:rsid w:val="0010566D"/>
    <w:rsid w:val="001140AA"/>
    <w:rsid w:val="0011436E"/>
    <w:rsid w:val="00115655"/>
    <w:rsid w:val="00121130"/>
    <w:rsid w:val="00124766"/>
    <w:rsid w:val="0012727C"/>
    <w:rsid w:val="0013253D"/>
    <w:rsid w:val="00133615"/>
    <w:rsid w:val="001359CB"/>
    <w:rsid w:val="00144339"/>
    <w:rsid w:val="00145DDD"/>
    <w:rsid w:val="00150394"/>
    <w:rsid w:val="001615DC"/>
    <w:rsid w:val="001647F1"/>
    <w:rsid w:val="00165718"/>
    <w:rsid w:val="0016702D"/>
    <w:rsid w:val="00167540"/>
    <w:rsid w:val="001712FA"/>
    <w:rsid w:val="00173A75"/>
    <w:rsid w:val="00176203"/>
    <w:rsid w:val="00176436"/>
    <w:rsid w:val="00182FDA"/>
    <w:rsid w:val="001843D9"/>
    <w:rsid w:val="001903A0"/>
    <w:rsid w:val="00192363"/>
    <w:rsid w:val="00192C12"/>
    <w:rsid w:val="00193733"/>
    <w:rsid w:val="00194303"/>
    <w:rsid w:val="001953A8"/>
    <w:rsid w:val="001A0425"/>
    <w:rsid w:val="001A05C8"/>
    <w:rsid w:val="001A0CC3"/>
    <w:rsid w:val="001A12E6"/>
    <w:rsid w:val="001A1C40"/>
    <w:rsid w:val="001B0071"/>
    <w:rsid w:val="001B7F5C"/>
    <w:rsid w:val="001C1E3F"/>
    <w:rsid w:val="001C28D5"/>
    <w:rsid w:val="001C2B7F"/>
    <w:rsid w:val="001C4112"/>
    <w:rsid w:val="001C4CD6"/>
    <w:rsid w:val="001D0C7F"/>
    <w:rsid w:val="001D113E"/>
    <w:rsid w:val="001D2B3A"/>
    <w:rsid w:val="001D50C8"/>
    <w:rsid w:val="001E2F22"/>
    <w:rsid w:val="001E3A1A"/>
    <w:rsid w:val="001F0343"/>
    <w:rsid w:val="001F04DC"/>
    <w:rsid w:val="001F06AE"/>
    <w:rsid w:val="001F1857"/>
    <w:rsid w:val="001F3E81"/>
    <w:rsid w:val="001F454B"/>
    <w:rsid w:val="001F7368"/>
    <w:rsid w:val="0020034A"/>
    <w:rsid w:val="00202131"/>
    <w:rsid w:val="00203173"/>
    <w:rsid w:val="002136D1"/>
    <w:rsid w:val="002155F4"/>
    <w:rsid w:val="00215D21"/>
    <w:rsid w:val="00217336"/>
    <w:rsid w:val="00217659"/>
    <w:rsid w:val="00232C14"/>
    <w:rsid w:val="002358FD"/>
    <w:rsid w:val="00236BD5"/>
    <w:rsid w:val="002414A0"/>
    <w:rsid w:val="00242B74"/>
    <w:rsid w:val="002451D0"/>
    <w:rsid w:val="00246811"/>
    <w:rsid w:val="002474BD"/>
    <w:rsid w:val="00251511"/>
    <w:rsid w:val="00254464"/>
    <w:rsid w:val="00256538"/>
    <w:rsid w:val="002601AA"/>
    <w:rsid w:val="00261967"/>
    <w:rsid w:val="00263D59"/>
    <w:rsid w:val="00265D74"/>
    <w:rsid w:val="00266B83"/>
    <w:rsid w:val="00270853"/>
    <w:rsid w:val="002711F0"/>
    <w:rsid w:val="00287D6E"/>
    <w:rsid w:val="002906E8"/>
    <w:rsid w:val="002917AD"/>
    <w:rsid w:val="00296BE3"/>
    <w:rsid w:val="002A3247"/>
    <w:rsid w:val="002A7A51"/>
    <w:rsid w:val="002B1446"/>
    <w:rsid w:val="002B29E1"/>
    <w:rsid w:val="002B4A2C"/>
    <w:rsid w:val="002B5217"/>
    <w:rsid w:val="002B6A53"/>
    <w:rsid w:val="002C0E42"/>
    <w:rsid w:val="002C1476"/>
    <w:rsid w:val="002C1A9C"/>
    <w:rsid w:val="002C2600"/>
    <w:rsid w:val="002C34C0"/>
    <w:rsid w:val="002C4B54"/>
    <w:rsid w:val="002C57B7"/>
    <w:rsid w:val="002C718D"/>
    <w:rsid w:val="002C787A"/>
    <w:rsid w:val="002D0A4C"/>
    <w:rsid w:val="002D4B0E"/>
    <w:rsid w:val="002D5097"/>
    <w:rsid w:val="002E0FC1"/>
    <w:rsid w:val="002E2748"/>
    <w:rsid w:val="002E5E1A"/>
    <w:rsid w:val="002E7676"/>
    <w:rsid w:val="002F1CF0"/>
    <w:rsid w:val="002F3A0A"/>
    <w:rsid w:val="002F5011"/>
    <w:rsid w:val="002F527D"/>
    <w:rsid w:val="002F5342"/>
    <w:rsid w:val="002F61B2"/>
    <w:rsid w:val="003056AF"/>
    <w:rsid w:val="0030622E"/>
    <w:rsid w:val="0030699F"/>
    <w:rsid w:val="003073CF"/>
    <w:rsid w:val="00307F45"/>
    <w:rsid w:val="00311F91"/>
    <w:rsid w:val="0031216D"/>
    <w:rsid w:val="00314FE8"/>
    <w:rsid w:val="00320A1E"/>
    <w:rsid w:val="0032263D"/>
    <w:rsid w:val="00322980"/>
    <w:rsid w:val="00322B40"/>
    <w:rsid w:val="00323412"/>
    <w:rsid w:val="0032377D"/>
    <w:rsid w:val="003252EE"/>
    <w:rsid w:val="00332F15"/>
    <w:rsid w:val="00340FD8"/>
    <w:rsid w:val="00343291"/>
    <w:rsid w:val="00351AB4"/>
    <w:rsid w:val="0035296B"/>
    <w:rsid w:val="00355D98"/>
    <w:rsid w:val="00356811"/>
    <w:rsid w:val="00356DE5"/>
    <w:rsid w:val="00360867"/>
    <w:rsid w:val="003614DE"/>
    <w:rsid w:val="0036234F"/>
    <w:rsid w:val="00363556"/>
    <w:rsid w:val="00364B56"/>
    <w:rsid w:val="00367B26"/>
    <w:rsid w:val="00370DC1"/>
    <w:rsid w:val="00371429"/>
    <w:rsid w:val="00371F19"/>
    <w:rsid w:val="0037309D"/>
    <w:rsid w:val="00374BB5"/>
    <w:rsid w:val="00374BC4"/>
    <w:rsid w:val="0037513A"/>
    <w:rsid w:val="0037537A"/>
    <w:rsid w:val="003760FE"/>
    <w:rsid w:val="00383AC7"/>
    <w:rsid w:val="003858A0"/>
    <w:rsid w:val="0039081E"/>
    <w:rsid w:val="00393D2C"/>
    <w:rsid w:val="00396374"/>
    <w:rsid w:val="00397B0E"/>
    <w:rsid w:val="00397B94"/>
    <w:rsid w:val="003A2D49"/>
    <w:rsid w:val="003A79F3"/>
    <w:rsid w:val="003B0873"/>
    <w:rsid w:val="003B41A3"/>
    <w:rsid w:val="003B42C9"/>
    <w:rsid w:val="003B461D"/>
    <w:rsid w:val="003B518A"/>
    <w:rsid w:val="003B5E77"/>
    <w:rsid w:val="003B706B"/>
    <w:rsid w:val="003B7A29"/>
    <w:rsid w:val="003C0D9B"/>
    <w:rsid w:val="003C14E0"/>
    <w:rsid w:val="003C3AE9"/>
    <w:rsid w:val="003C56DA"/>
    <w:rsid w:val="003D1CA2"/>
    <w:rsid w:val="003D1F77"/>
    <w:rsid w:val="003D2EAA"/>
    <w:rsid w:val="003D6D71"/>
    <w:rsid w:val="003E0BF8"/>
    <w:rsid w:val="003E33DD"/>
    <w:rsid w:val="003E6853"/>
    <w:rsid w:val="003F0166"/>
    <w:rsid w:val="003F03F2"/>
    <w:rsid w:val="003F32CD"/>
    <w:rsid w:val="003F5042"/>
    <w:rsid w:val="003F7CB3"/>
    <w:rsid w:val="004031E2"/>
    <w:rsid w:val="004050DD"/>
    <w:rsid w:val="00413C5C"/>
    <w:rsid w:val="0042153B"/>
    <w:rsid w:val="0042267F"/>
    <w:rsid w:val="00422E81"/>
    <w:rsid w:val="00425960"/>
    <w:rsid w:val="00425DF6"/>
    <w:rsid w:val="0042754A"/>
    <w:rsid w:val="004341AD"/>
    <w:rsid w:val="00436A2F"/>
    <w:rsid w:val="00444BB9"/>
    <w:rsid w:val="0044614A"/>
    <w:rsid w:val="004517BC"/>
    <w:rsid w:val="004523FB"/>
    <w:rsid w:val="00452A42"/>
    <w:rsid w:val="00454804"/>
    <w:rsid w:val="00466B66"/>
    <w:rsid w:val="00473AFE"/>
    <w:rsid w:val="004742DA"/>
    <w:rsid w:val="00474D65"/>
    <w:rsid w:val="00476092"/>
    <w:rsid w:val="00481E3B"/>
    <w:rsid w:val="0048665B"/>
    <w:rsid w:val="00494C72"/>
    <w:rsid w:val="004A0EF1"/>
    <w:rsid w:val="004A2584"/>
    <w:rsid w:val="004A52D2"/>
    <w:rsid w:val="004A5C8C"/>
    <w:rsid w:val="004A72BE"/>
    <w:rsid w:val="004A7D4B"/>
    <w:rsid w:val="004B2F03"/>
    <w:rsid w:val="004B3072"/>
    <w:rsid w:val="004B41D1"/>
    <w:rsid w:val="004B5FAA"/>
    <w:rsid w:val="004B6123"/>
    <w:rsid w:val="004C1BD0"/>
    <w:rsid w:val="004C54BA"/>
    <w:rsid w:val="004C610C"/>
    <w:rsid w:val="004C6B12"/>
    <w:rsid w:val="004D07A5"/>
    <w:rsid w:val="004D3DBA"/>
    <w:rsid w:val="004D40E8"/>
    <w:rsid w:val="004E0B9B"/>
    <w:rsid w:val="004E1148"/>
    <w:rsid w:val="004E139A"/>
    <w:rsid w:val="004E2BBC"/>
    <w:rsid w:val="004E2BEE"/>
    <w:rsid w:val="004E3116"/>
    <w:rsid w:val="004E3B69"/>
    <w:rsid w:val="004E41B4"/>
    <w:rsid w:val="004E5611"/>
    <w:rsid w:val="004E62F6"/>
    <w:rsid w:val="004F3AE9"/>
    <w:rsid w:val="004F43CA"/>
    <w:rsid w:val="004F684A"/>
    <w:rsid w:val="00500A41"/>
    <w:rsid w:val="00505E9D"/>
    <w:rsid w:val="00510A18"/>
    <w:rsid w:val="0051345B"/>
    <w:rsid w:val="005142F2"/>
    <w:rsid w:val="00514DC2"/>
    <w:rsid w:val="005153A9"/>
    <w:rsid w:val="00517AA6"/>
    <w:rsid w:val="00521F9B"/>
    <w:rsid w:val="0052421E"/>
    <w:rsid w:val="00526A04"/>
    <w:rsid w:val="00526E0A"/>
    <w:rsid w:val="00526E71"/>
    <w:rsid w:val="00530141"/>
    <w:rsid w:val="005304E6"/>
    <w:rsid w:val="005337D6"/>
    <w:rsid w:val="00533C56"/>
    <w:rsid w:val="00536063"/>
    <w:rsid w:val="00541C85"/>
    <w:rsid w:val="005448F8"/>
    <w:rsid w:val="00547541"/>
    <w:rsid w:val="00552749"/>
    <w:rsid w:val="00552D31"/>
    <w:rsid w:val="00553053"/>
    <w:rsid w:val="00556185"/>
    <w:rsid w:val="00557EDB"/>
    <w:rsid w:val="00560C51"/>
    <w:rsid w:val="00564BCF"/>
    <w:rsid w:val="00566095"/>
    <w:rsid w:val="00567C7A"/>
    <w:rsid w:val="00567ED4"/>
    <w:rsid w:val="00572E57"/>
    <w:rsid w:val="00573D59"/>
    <w:rsid w:val="005755AD"/>
    <w:rsid w:val="00575CEF"/>
    <w:rsid w:val="00581BD9"/>
    <w:rsid w:val="0058240C"/>
    <w:rsid w:val="00590D35"/>
    <w:rsid w:val="00590E06"/>
    <w:rsid w:val="005926D8"/>
    <w:rsid w:val="00594D33"/>
    <w:rsid w:val="00594F6D"/>
    <w:rsid w:val="00597B46"/>
    <w:rsid w:val="005A155F"/>
    <w:rsid w:val="005A24DD"/>
    <w:rsid w:val="005A2FD0"/>
    <w:rsid w:val="005B046E"/>
    <w:rsid w:val="005B2FC1"/>
    <w:rsid w:val="005B3794"/>
    <w:rsid w:val="005B50A8"/>
    <w:rsid w:val="005C01EF"/>
    <w:rsid w:val="005C44D9"/>
    <w:rsid w:val="005C5899"/>
    <w:rsid w:val="005C6171"/>
    <w:rsid w:val="005D2835"/>
    <w:rsid w:val="005D3C11"/>
    <w:rsid w:val="005D4D40"/>
    <w:rsid w:val="005D5DFE"/>
    <w:rsid w:val="005D63B8"/>
    <w:rsid w:val="005E0F86"/>
    <w:rsid w:val="005E2D80"/>
    <w:rsid w:val="005E3E4D"/>
    <w:rsid w:val="005E7D21"/>
    <w:rsid w:val="005F5684"/>
    <w:rsid w:val="00600A28"/>
    <w:rsid w:val="00600C30"/>
    <w:rsid w:val="0060211D"/>
    <w:rsid w:val="00602BB0"/>
    <w:rsid w:val="00603384"/>
    <w:rsid w:val="00604B6A"/>
    <w:rsid w:val="006151D6"/>
    <w:rsid w:val="00615AF1"/>
    <w:rsid w:val="00616A7D"/>
    <w:rsid w:val="0062345C"/>
    <w:rsid w:val="00630190"/>
    <w:rsid w:val="00630982"/>
    <w:rsid w:val="00636558"/>
    <w:rsid w:val="00637A19"/>
    <w:rsid w:val="00637C77"/>
    <w:rsid w:val="00646D81"/>
    <w:rsid w:val="006529DB"/>
    <w:rsid w:val="0065772F"/>
    <w:rsid w:val="00663868"/>
    <w:rsid w:val="00664CC5"/>
    <w:rsid w:val="00666E29"/>
    <w:rsid w:val="00671F60"/>
    <w:rsid w:val="00675BC5"/>
    <w:rsid w:val="00677661"/>
    <w:rsid w:val="00686727"/>
    <w:rsid w:val="00691953"/>
    <w:rsid w:val="006A03C8"/>
    <w:rsid w:val="006A1009"/>
    <w:rsid w:val="006A1062"/>
    <w:rsid w:val="006A1CE0"/>
    <w:rsid w:val="006A24F0"/>
    <w:rsid w:val="006A61D0"/>
    <w:rsid w:val="006B059F"/>
    <w:rsid w:val="006B2D7A"/>
    <w:rsid w:val="006C336A"/>
    <w:rsid w:val="006C45AE"/>
    <w:rsid w:val="006C4D01"/>
    <w:rsid w:val="006C69C0"/>
    <w:rsid w:val="006D4D12"/>
    <w:rsid w:val="006E5FEB"/>
    <w:rsid w:val="006E774A"/>
    <w:rsid w:val="006E7890"/>
    <w:rsid w:val="006F527F"/>
    <w:rsid w:val="006F5EEE"/>
    <w:rsid w:val="007001CD"/>
    <w:rsid w:val="007034D3"/>
    <w:rsid w:val="0070445B"/>
    <w:rsid w:val="00704857"/>
    <w:rsid w:val="00715103"/>
    <w:rsid w:val="00722F8C"/>
    <w:rsid w:val="00723D17"/>
    <w:rsid w:val="00727884"/>
    <w:rsid w:val="00730FD5"/>
    <w:rsid w:val="00732B00"/>
    <w:rsid w:val="00732D6D"/>
    <w:rsid w:val="007450A6"/>
    <w:rsid w:val="007455D8"/>
    <w:rsid w:val="00752864"/>
    <w:rsid w:val="00755771"/>
    <w:rsid w:val="007600B2"/>
    <w:rsid w:val="007614C8"/>
    <w:rsid w:val="0076209A"/>
    <w:rsid w:val="0076368C"/>
    <w:rsid w:val="00763D86"/>
    <w:rsid w:val="007650CB"/>
    <w:rsid w:val="00771B8D"/>
    <w:rsid w:val="00774479"/>
    <w:rsid w:val="0077504F"/>
    <w:rsid w:val="00775E59"/>
    <w:rsid w:val="00777303"/>
    <w:rsid w:val="007819C4"/>
    <w:rsid w:val="0078258B"/>
    <w:rsid w:val="007826EE"/>
    <w:rsid w:val="007844AC"/>
    <w:rsid w:val="007864B5"/>
    <w:rsid w:val="00787319"/>
    <w:rsid w:val="007909AD"/>
    <w:rsid w:val="007922A6"/>
    <w:rsid w:val="00797987"/>
    <w:rsid w:val="007A0A61"/>
    <w:rsid w:val="007A0E44"/>
    <w:rsid w:val="007B033C"/>
    <w:rsid w:val="007B267C"/>
    <w:rsid w:val="007B45E5"/>
    <w:rsid w:val="007C0A3E"/>
    <w:rsid w:val="007C6DB0"/>
    <w:rsid w:val="007C75E8"/>
    <w:rsid w:val="007D0950"/>
    <w:rsid w:val="007D3B65"/>
    <w:rsid w:val="007D533D"/>
    <w:rsid w:val="007D6482"/>
    <w:rsid w:val="007E544A"/>
    <w:rsid w:val="007E7192"/>
    <w:rsid w:val="007E7403"/>
    <w:rsid w:val="007E7B7C"/>
    <w:rsid w:val="007E7BC5"/>
    <w:rsid w:val="007F4AA8"/>
    <w:rsid w:val="007F55B8"/>
    <w:rsid w:val="007F5CB5"/>
    <w:rsid w:val="007F6E66"/>
    <w:rsid w:val="00801E5D"/>
    <w:rsid w:val="00802B2C"/>
    <w:rsid w:val="0080512A"/>
    <w:rsid w:val="00806CDB"/>
    <w:rsid w:val="008108AF"/>
    <w:rsid w:val="0081127A"/>
    <w:rsid w:val="00814D86"/>
    <w:rsid w:val="00820C02"/>
    <w:rsid w:val="00821E73"/>
    <w:rsid w:val="008231E1"/>
    <w:rsid w:val="00834FC6"/>
    <w:rsid w:val="00836B95"/>
    <w:rsid w:val="00837681"/>
    <w:rsid w:val="00846529"/>
    <w:rsid w:val="008509AD"/>
    <w:rsid w:val="00862CDA"/>
    <w:rsid w:val="00866592"/>
    <w:rsid w:val="00866DD9"/>
    <w:rsid w:val="0087099E"/>
    <w:rsid w:val="008729FD"/>
    <w:rsid w:val="00875DD5"/>
    <w:rsid w:val="00875E50"/>
    <w:rsid w:val="0087738F"/>
    <w:rsid w:val="0087793D"/>
    <w:rsid w:val="00880197"/>
    <w:rsid w:val="00881552"/>
    <w:rsid w:val="008831FD"/>
    <w:rsid w:val="00883923"/>
    <w:rsid w:val="00886A71"/>
    <w:rsid w:val="00890835"/>
    <w:rsid w:val="0089394E"/>
    <w:rsid w:val="008949F5"/>
    <w:rsid w:val="00896B50"/>
    <w:rsid w:val="00897875"/>
    <w:rsid w:val="008A43EB"/>
    <w:rsid w:val="008A68EC"/>
    <w:rsid w:val="008C0F11"/>
    <w:rsid w:val="008D1CCE"/>
    <w:rsid w:val="008D3EC5"/>
    <w:rsid w:val="008D41C6"/>
    <w:rsid w:val="008D55B9"/>
    <w:rsid w:val="008D5D9A"/>
    <w:rsid w:val="008D68E3"/>
    <w:rsid w:val="008D6C3C"/>
    <w:rsid w:val="008D7530"/>
    <w:rsid w:val="008D76AA"/>
    <w:rsid w:val="008E28A2"/>
    <w:rsid w:val="008E394B"/>
    <w:rsid w:val="008E6449"/>
    <w:rsid w:val="008F5CBA"/>
    <w:rsid w:val="009000EB"/>
    <w:rsid w:val="00900486"/>
    <w:rsid w:val="0090067A"/>
    <w:rsid w:val="009079D3"/>
    <w:rsid w:val="00910B47"/>
    <w:rsid w:val="00911CB4"/>
    <w:rsid w:val="00914FB5"/>
    <w:rsid w:val="009203FB"/>
    <w:rsid w:val="009222A7"/>
    <w:rsid w:val="009247B6"/>
    <w:rsid w:val="00925748"/>
    <w:rsid w:val="00926F36"/>
    <w:rsid w:val="0093138E"/>
    <w:rsid w:val="00931F13"/>
    <w:rsid w:val="009328E9"/>
    <w:rsid w:val="00932E2C"/>
    <w:rsid w:val="00933BAA"/>
    <w:rsid w:val="00936B00"/>
    <w:rsid w:val="0094230E"/>
    <w:rsid w:val="0094335C"/>
    <w:rsid w:val="00947598"/>
    <w:rsid w:val="00950150"/>
    <w:rsid w:val="0095055A"/>
    <w:rsid w:val="009579F7"/>
    <w:rsid w:val="00965F08"/>
    <w:rsid w:val="00966824"/>
    <w:rsid w:val="00967DD9"/>
    <w:rsid w:val="0097058A"/>
    <w:rsid w:val="00971FAF"/>
    <w:rsid w:val="009729FE"/>
    <w:rsid w:val="0097348F"/>
    <w:rsid w:val="00975B61"/>
    <w:rsid w:val="0097792E"/>
    <w:rsid w:val="00980190"/>
    <w:rsid w:val="0098087D"/>
    <w:rsid w:val="009816FD"/>
    <w:rsid w:val="00983E63"/>
    <w:rsid w:val="00985D1F"/>
    <w:rsid w:val="00991541"/>
    <w:rsid w:val="00994130"/>
    <w:rsid w:val="0099460F"/>
    <w:rsid w:val="00997225"/>
    <w:rsid w:val="00997495"/>
    <w:rsid w:val="009A1623"/>
    <w:rsid w:val="009A3B6C"/>
    <w:rsid w:val="009B0926"/>
    <w:rsid w:val="009C01CC"/>
    <w:rsid w:val="009C2E4C"/>
    <w:rsid w:val="009C3839"/>
    <w:rsid w:val="009C6D78"/>
    <w:rsid w:val="009D11B0"/>
    <w:rsid w:val="009D6843"/>
    <w:rsid w:val="009D6EF1"/>
    <w:rsid w:val="009E0D1D"/>
    <w:rsid w:val="009E5607"/>
    <w:rsid w:val="009E7669"/>
    <w:rsid w:val="009F253F"/>
    <w:rsid w:val="009F2C81"/>
    <w:rsid w:val="009F535A"/>
    <w:rsid w:val="009F5B77"/>
    <w:rsid w:val="00A06484"/>
    <w:rsid w:val="00A06C83"/>
    <w:rsid w:val="00A079BA"/>
    <w:rsid w:val="00A15D67"/>
    <w:rsid w:val="00A165E3"/>
    <w:rsid w:val="00A222F6"/>
    <w:rsid w:val="00A23B0B"/>
    <w:rsid w:val="00A30502"/>
    <w:rsid w:val="00A361A7"/>
    <w:rsid w:val="00A36D25"/>
    <w:rsid w:val="00A526AA"/>
    <w:rsid w:val="00A5390C"/>
    <w:rsid w:val="00A6190B"/>
    <w:rsid w:val="00A64ECB"/>
    <w:rsid w:val="00A66447"/>
    <w:rsid w:val="00A67A81"/>
    <w:rsid w:val="00A67C74"/>
    <w:rsid w:val="00A75880"/>
    <w:rsid w:val="00A75B26"/>
    <w:rsid w:val="00A8484C"/>
    <w:rsid w:val="00A849EE"/>
    <w:rsid w:val="00A8550E"/>
    <w:rsid w:val="00A86E31"/>
    <w:rsid w:val="00A91B97"/>
    <w:rsid w:val="00A92C91"/>
    <w:rsid w:val="00AA05FE"/>
    <w:rsid w:val="00AA088E"/>
    <w:rsid w:val="00AA1E70"/>
    <w:rsid w:val="00AA240A"/>
    <w:rsid w:val="00AA281B"/>
    <w:rsid w:val="00AA47E0"/>
    <w:rsid w:val="00AB1F58"/>
    <w:rsid w:val="00AB2E72"/>
    <w:rsid w:val="00AB35CD"/>
    <w:rsid w:val="00AB4DE7"/>
    <w:rsid w:val="00AB5986"/>
    <w:rsid w:val="00AC1282"/>
    <w:rsid w:val="00AC1E9F"/>
    <w:rsid w:val="00AC2422"/>
    <w:rsid w:val="00AC4A9B"/>
    <w:rsid w:val="00AC532F"/>
    <w:rsid w:val="00AD0CE5"/>
    <w:rsid w:val="00AD2A5B"/>
    <w:rsid w:val="00AD314B"/>
    <w:rsid w:val="00AD78C2"/>
    <w:rsid w:val="00AE060E"/>
    <w:rsid w:val="00AE0EE9"/>
    <w:rsid w:val="00AE10C3"/>
    <w:rsid w:val="00AE365F"/>
    <w:rsid w:val="00AE3B43"/>
    <w:rsid w:val="00AE4A20"/>
    <w:rsid w:val="00AE4CCD"/>
    <w:rsid w:val="00AE4FA2"/>
    <w:rsid w:val="00AE6DAF"/>
    <w:rsid w:val="00AE6F57"/>
    <w:rsid w:val="00AF320D"/>
    <w:rsid w:val="00AF3B05"/>
    <w:rsid w:val="00AF3C15"/>
    <w:rsid w:val="00AF3D0D"/>
    <w:rsid w:val="00AF433E"/>
    <w:rsid w:val="00AF4D79"/>
    <w:rsid w:val="00AF6F32"/>
    <w:rsid w:val="00AF7890"/>
    <w:rsid w:val="00B01B43"/>
    <w:rsid w:val="00B039A1"/>
    <w:rsid w:val="00B05257"/>
    <w:rsid w:val="00B059AF"/>
    <w:rsid w:val="00B06BAE"/>
    <w:rsid w:val="00B0775A"/>
    <w:rsid w:val="00B137C4"/>
    <w:rsid w:val="00B1720F"/>
    <w:rsid w:val="00B23607"/>
    <w:rsid w:val="00B24503"/>
    <w:rsid w:val="00B26EA3"/>
    <w:rsid w:val="00B3267E"/>
    <w:rsid w:val="00B32B9A"/>
    <w:rsid w:val="00B32C23"/>
    <w:rsid w:val="00B32D72"/>
    <w:rsid w:val="00B40FA1"/>
    <w:rsid w:val="00B47355"/>
    <w:rsid w:val="00B47A1E"/>
    <w:rsid w:val="00B50FDC"/>
    <w:rsid w:val="00B57441"/>
    <w:rsid w:val="00B600B9"/>
    <w:rsid w:val="00B650D9"/>
    <w:rsid w:val="00B66E97"/>
    <w:rsid w:val="00B66F86"/>
    <w:rsid w:val="00B75783"/>
    <w:rsid w:val="00B75BDD"/>
    <w:rsid w:val="00B763D1"/>
    <w:rsid w:val="00B86161"/>
    <w:rsid w:val="00B875D7"/>
    <w:rsid w:val="00B9195F"/>
    <w:rsid w:val="00B939B6"/>
    <w:rsid w:val="00B939DB"/>
    <w:rsid w:val="00B96933"/>
    <w:rsid w:val="00BA284F"/>
    <w:rsid w:val="00BA41E2"/>
    <w:rsid w:val="00BA6B2F"/>
    <w:rsid w:val="00BB47C6"/>
    <w:rsid w:val="00BB5B61"/>
    <w:rsid w:val="00BB7033"/>
    <w:rsid w:val="00BC0406"/>
    <w:rsid w:val="00BC0842"/>
    <w:rsid w:val="00BC22D0"/>
    <w:rsid w:val="00BC23F2"/>
    <w:rsid w:val="00BC454B"/>
    <w:rsid w:val="00BD2154"/>
    <w:rsid w:val="00BD47F4"/>
    <w:rsid w:val="00BD52D3"/>
    <w:rsid w:val="00BD5A41"/>
    <w:rsid w:val="00BD757C"/>
    <w:rsid w:val="00BE0723"/>
    <w:rsid w:val="00BE496C"/>
    <w:rsid w:val="00BE50DC"/>
    <w:rsid w:val="00BE513E"/>
    <w:rsid w:val="00BE59EE"/>
    <w:rsid w:val="00BE6116"/>
    <w:rsid w:val="00BF2BE1"/>
    <w:rsid w:val="00BF44C3"/>
    <w:rsid w:val="00BF4537"/>
    <w:rsid w:val="00BF6027"/>
    <w:rsid w:val="00BF6B28"/>
    <w:rsid w:val="00BF77B9"/>
    <w:rsid w:val="00C01A38"/>
    <w:rsid w:val="00C056CB"/>
    <w:rsid w:val="00C06A8B"/>
    <w:rsid w:val="00C07605"/>
    <w:rsid w:val="00C12181"/>
    <w:rsid w:val="00C12DCC"/>
    <w:rsid w:val="00C13C3D"/>
    <w:rsid w:val="00C160E1"/>
    <w:rsid w:val="00C20073"/>
    <w:rsid w:val="00C21053"/>
    <w:rsid w:val="00C225E4"/>
    <w:rsid w:val="00C23254"/>
    <w:rsid w:val="00C25D3C"/>
    <w:rsid w:val="00C261E5"/>
    <w:rsid w:val="00C32E7C"/>
    <w:rsid w:val="00C33165"/>
    <w:rsid w:val="00C33584"/>
    <w:rsid w:val="00C3694F"/>
    <w:rsid w:val="00C37F03"/>
    <w:rsid w:val="00C403BD"/>
    <w:rsid w:val="00C416E9"/>
    <w:rsid w:val="00C420ED"/>
    <w:rsid w:val="00C42330"/>
    <w:rsid w:val="00C456B6"/>
    <w:rsid w:val="00C51DBA"/>
    <w:rsid w:val="00C56E1B"/>
    <w:rsid w:val="00C5753E"/>
    <w:rsid w:val="00C6039A"/>
    <w:rsid w:val="00C6101E"/>
    <w:rsid w:val="00C638D2"/>
    <w:rsid w:val="00C65B78"/>
    <w:rsid w:val="00C708ED"/>
    <w:rsid w:val="00C70C7D"/>
    <w:rsid w:val="00C718D4"/>
    <w:rsid w:val="00C73B3B"/>
    <w:rsid w:val="00C73F62"/>
    <w:rsid w:val="00C74E95"/>
    <w:rsid w:val="00C7623C"/>
    <w:rsid w:val="00C76A9F"/>
    <w:rsid w:val="00C80DCD"/>
    <w:rsid w:val="00C81EB5"/>
    <w:rsid w:val="00C836E7"/>
    <w:rsid w:val="00C84C56"/>
    <w:rsid w:val="00C9535E"/>
    <w:rsid w:val="00C96323"/>
    <w:rsid w:val="00C96EA2"/>
    <w:rsid w:val="00CA0DCF"/>
    <w:rsid w:val="00CA3841"/>
    <w:rsid w:val="00CA5028"/>
    <w:rsid w:val="00CB056C"/>
    <w:rsid w:val="00CB1575"/>
    <w:rsid w:val="00CB334F"/>
    <w:rsid w:val="00CB4858"/>
    <w:rsid w:val="00CB6476"/>
    <w:rsid w:val="00CB75D1"/>
    <w:rsid w:val="00CC3E9C"/>
    <w:rsid w:val="00CC41A8"/>
    <w:rsid w:val="00CD0045"/>
    <w:rsid w:val="00CD0A23"/>
    <w:rsid w:val="00CD69E0"/>
    <w:rsid w:val="00CE0269"/>
    <w:rsid w:val="00CF3A38"/>
    <w:rsid w:val="00CF79F6"/>
    <w:rsid w:val="00D00594"/>
    <w:rsid w:val="00D01959"/>
    <w:rsid w:val="00D12C2D"/>
    <w:rsid w:val="00D1375D"/>
    <w:rsid w:val="00D20157"/>
    <w:rsid w:val="00D2173D"/>
    <w:rsid w:val="00D23FC3"/>
    <w:rsid w:val="00D2406B"/>
    <w:rsid w:val="00D26DC3"/>
    <w:rsid w:val="00D308A9"/>
    <w:rsid w:val="00D3252E"/>
    <w:rsid w:val="00D333B0"/>
    <w:rsid w:val="00D34EBC"/>
    <w:rsid w:val="00D35742"/>
    <w:rsid w:val="00D37464"/>
    <w:rsid w:val="00D41465"/>
    <w:rsid w:val="00D469C4"/>
    <w:rsid w:val="00D47171"/>
    <w:rsid w:val="00D518C0"/>
    <w:rsid w:val="00D5238F"/>
    <w:rsid w:val="00D53492"/>
    <w:rsid w:val="00D53FDF"/>
    <w:rsid w:val="00D55DCC"/>
    <w:rsid w:val="00D621EF"/>
    <w:rsid w:val="00D63798"/>
    <w:rsid w:val="00D64648"/>
    <w:rsid w:val="00D64CE1"/>
    <w:rsid w:val="00D64F80"/>
    <w:rsid w:val="00D71F45"/>
    <w:rsid w:val="00D72BCF"/>
    <w:rsid w:val="00D73C07"/>
    <w:rsid w:val="00D76C11"/>
    <w:rsid w:val="00D80436"/>
    <w:rsid w:val="00D81DF8"/>
    <w:rsid w:val="00D82592"/>
    <w:rsid w:val="00D8360D"/>
    <w:rsid w:val="00D83EA2"/>
    <w:rsid w:val="00D859A1"/>
    <w:rsid w:val="00D877D8"/>
    <w:rsid w:val="00D90790"/>
    <w:rsid w:val="00D947E4"/>
    <w:rsid w:val="00D95E58"/>
    <w:rsid w:val="00D96362"/>
    <w:rsid w:val="00D979AA"/>
    <w:rsid w:val="00DA09BD"/>
    <w:rsid w:val="00DA1D8B"/>
    <w:rsid w:val="00DA2648"/>
    <w:rsid w:val="00DA6393"/>
    <w:rsid w:val="00DB0E53"/>
    <w:rsid w:val="00DC3AAE"/>
    <w:rsid w:val="00DC44A3"/>
    <w:rsid w:val="00DC5DCB"/>
    <w:rsid w:val="00DD0A2D"/>
    <w:rsid w:val="00DD0DFA"/>
    <w:rsid w:val="00DD27DB"/>
    <w:rsid w:val="00DD4D5B"/>
    <w:rsid w:val="00DE00B7"/>
    <w:rsid w:val="00DE23CE"/>
    <w:rsid w:val="00DE27AF"/>
    <w:rsid w:val="00DE3F49"/>
    <w:rsid w:val="00DE587C"/>
    <w:rsid w:val="00DE603D"/>
    <w:rsid w:val="00DF0434"/>
    <w:rsid w:val="00DF13CC"/>
    <w:rsid w:val="00DF389F"/>
    <w:rsid w:val="00DF4ADC"/>
    <w:rsid w:val="00DF70B4"/>
    <w:rsid w:val="00E008D3"/>
    <w:rsid w:val="00E03165"/>
    <w:rsid w:val="00E036DD"/>
    <w:rsid w:val="00E051DB"/>
    <w:rsid w:val="00E058C0"/>
    <w:rsid w:val="00E101FF"/>
    <w:rsid w:val="00E10A01"/>
    <w:rsid w:val="00E10C75"/>
    <w:rsid w:val="00E12313"/>
    <w:rsid w:val="00E1233A"/>
    <w:rsid w:val="00E15757"/>
    <w:rsid w:val="00E220BB"/>
    <w:rsid w:val="00E22BEC"/>
    <w:rsid w:val="00E24A55"/>
    <w:rsid w:val="00E25391"/>
    <w:rsid w:val="00E25C02"/>
    <w:rsid w:val="00E26D70"/>
    <w:rsid w:val="00E31B57"/>
    <w:rsid w:val="00E43CA1"/>
    <w:rsid w:val="00E44675"/>
    <w:rsid w:val="00E44E13"/>
    <w:rsid w:val="00E505CE"/>
    <w:rsid w:val="00E5082E"/>
    <w:rsid w:val="00E51675"/>
    <w:rsid w:val="00E51D90"/>
    <w:rsid w:val="00E54336"/>
    <w:rsid w:val="00E56696"/>
    <w:rsid w:val="00E61B16"/>
    <w:rsid w:val="00E6230B"/>
    <w:rsid w:val="00E65EFE"/>
    <w:rsid w:val="00E66843"/>
    <w:rsid w:val="00E672F3"/>
    <w:rsid w:val="00E734FC"/>
    <w:rsid w:val="00E76237"/>
    <w:rsid w:val="00E77CB7"/>
    <w:rsid w:val="00E808D2"/>
    <w:rsid w:val="00E91E15"/>
    <w:rsid w:val="00E9554D"/>
    <w:rsid w:val="00EA1267"/>
    <w:rsid w:val="00EA292D"/>
    <w:rsid w:val="00EA2FC9"/>
    <w:rsid w:val="00EA5F99"/>
    <w:rsid w:val="00EA7541"/>
    <w:rsid w:val="00EB244D"/>
    <w:rsid w:val="00EB285E"/>
    <w:rsid w:val="00EB2E22"/>
    <w:rsid w:val="00EB459F"/>
    <w:rsid w:val="00EB54D8"/>
    <w:rsid w:val="00EB5881"/>
    <w:rsid w:val="00EC3312"/>
    <w:rsid w:val="00EC3D13"/>
    <w:rsid w:val="00EC63F2"/>
    <w:rsid w:val="00ED1CA0"/>
    <w:rsid w:val="00ED2958"/>
    <w:rsid w:val="00ED2967"/>
    <w:rsid w:val="00ED3AFA"/>
    <w:rsid w:val="00ED4EC1"/>
    <w:rsid w:val="00ED5DCA"/>
    <w:rsid w:val="00EE0BE0"/>
    <w:rsid w:val="00EE3ACF"/>
    <w:rsid w:val="00EE4D9A"/>
    <w:rsid w:val="00EE7B36"/>
    <w:rsid w:val="00EF0881"/>
    <w:rsid w:val="00EF525D"/>
    <w:rsid w:val="00EF7403"/>
    <w:rsid w:val="00F00924"/>
    <w:rsid w:val="00F0156A"/>
    <w:rsid w:val="00F01A92"/>
    <w:rsid w:val="00F14757"/>
    <w:rsid w:val="00F15DBB"/>
    <w:rsid w:val="00F16337"/>
    <w:rsid w:val="00F20007"/>
    <w:rsid w:val="00F24C69"/>
    <w:rsid w:val="00F25F73"/>
    <w:rsid w:val="00F262FC"/>
    <w:rsid w:val="00F27751"/>
    <w:rsid w:val="00F27D42"/>
    <w:rsid w:val="00F3074F"/>
    <w:rsid w:val="00F32A25"/>
    <w:rsid w:val="00F33903"/>
    <w:rsid w:val="00F403A5"/>
    <w:rsid w:val="00F40B4E"/>
    <w:rsid w:val="00F40E45"/>
    <w:rsid w:val="00F473F7"/>
    <w:rsid w:val="00F47A5B"/>
    <w:rsid w:val="00F50FE6"/>
    <w:rsid w:val="00F54AD3"/>
    <w:rsid w:val="00F55236"/>
    <w:rsid w:val="00F57C0D"/>
    <w:rsid w:val="00F6215D"/>
    <w:rsid w:val="00F6541B"/>
    <w:rsid w:val="00F679E7"/>
    <w:rsid w:val="00F71982"/>
    <w:rsid w:val="00F7311D"/>
    <w:rsid w:val="00F74222"/>
    <w:rsid w:val="00F75305"/>
    <w:rsid w:val="00F76648"/>
    <w:rsid w:val="00F80CF2"/>
    <w:rsid w:val="00F818B6"/>
    <w:rsid w:val="00F82096"/>
    <w:rsid w:val="00F9328A"/>
    <w:rsid w:val="00F93A8B"/>
    <w:rsid w:val="00F93AC2"/>
    <w:rsid w:val="00F94C49"/>
    <w:rsid w:val="00F97086"/>
    <w:rsid w:val="00FA2832"/>
    <w:rsid w:val="00FA30E0"/>
    <w:rsid w:val="00FA6303"/>
    <w:rsid w:val="00FB0288"/>
    <w:rsid w:val="00FC0482"/>
    <w:rsid w:val="00FC14A5"/>
    <w:rsid w:val="00FC14F6"/>
    <w:rsid w:val="00FC2325"/>
    <w:rsid w:val="00FC4BA2"/>
    <w:rsid w:val="00FC4DA0"/>
    <w:rsid w:val="00FC5289"/>
    <w:rsid w:val="00FC5F23"/>
    <w:rsid w:val="00FC639C"/>
    <w:rsid w:val="00FD39F9"/>
    <w:rsid w:val="00FD50D8"/>
    <w:rsid w:val="00FD61EC"/>
    <w:rsid w:val="00FE0552"/>
    <w:rsid w:val="00FE19BC"/>
    <w:rsid w:val="00FE1B2D"/>
    <w:rsid w:val="00FE568F"/>
    <w:rsid w:val="00FE6F3A"/>
    <w:rsid w:val="00FF022F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D056"/>
  <w15:docId w15:val="{F927A26F-4715-4FA3-958A-A6047AC9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0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600B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60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25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1">
    <w:name w:val="Tabela de Grade 21"/>
    <w:basedOn w:val="Tabelanormal"/>
    <w:uiPriority w:val="47"/>
    <w:rsid w:val="002565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1A04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04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042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04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042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0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0425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A04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adeLista21">
    <w:name w:val="Tabela de Lista 21"/>
    <w:basedOn w:val="Tabelanormal"/>
    <w:uiPriority w:val="47"/>
    <w:rsid w:val="00E036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3C3A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Simples21">
    <w:name w:val="Tabela Simples 21"/>
    <w:basedOn w:val="Tabelanormal"/>
    <w:uiPriority w:val="42"/>
    <w:rsid w:val="00FD61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nfase">
    <w:name w:val="Emphasis"/>
    <w:basedOn w:val="Fontepargpadro"/>
    <w:uiPriority w:val="20"/>
    <w:qFormat/>
    <w:rsid w:val="00797987"/>
    <w:rPr>
      <w:i/>
      <w:iCs/>
    </w:rPr>
  </w:style>
  <w:style w:type="character" w:styleId="Hyperlink">
    <w:name w:val="Hyperlink"/>
    <w:basedOn w:val="Fontepargpadro"/>
    <w:uiPriority w:val="99"/>
    <w:unhideWhenUsed/>
    <w:rsid w:val="00D34EBC"/>
    <w:rPr>
      <w:color w:val="0563C1" w:themeColor="hyperlink"/>
      <w:u w:val="single"/>
    </w:rPr>
  </w:style>
  <w:style w:type="character" w:customStyle="1" w:styleId="notranslate">
    <w:name w:val="notranslate"/>
    <w:basedOn w:val="Fontepargpadro"/>
    <w:rsid w:val="007450A6"/>
  </w:style>
  <w:style w:type="character" w:customStyle="1" w:styleId="hlfld-keywordtext">
    <w:name w:val="hlfld-keywordtext"/>
    <w:basedOn w:val="Fontepargpadro"/>
    <w:rsid w:val="00931F13"/>
  </w:style>
  <w:style w:type="character" w:customStyle="1" w:styleId="nlmx">
    <w:name w:val="nlm_x"/>
    <w:basedOn w:val="Fontepargpadro"/>
    <w:rsid w:val="000763FB"/>
  </w:style>
  <w:style w:type="character" w:customStyle="1" w:styleId="MenoPendente1">
    <w:name w:val="Menção Pendente1"/>
    <w:basedOn w:val="Fontepargpadro"/>
    <w:uiPriority w:val="99"/>
    <w:semiHidden/>
    <w:unhideWhenUsed/>
    <w:rsid w:val="001647F1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164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7F1"/>
  </w:style>
  <w:style w:type="paragraph" w:styleId="Rodap">
    <w:name w:val="footer"/>
    <w:basedOn w:val="Normal"/>
    <w:link w:val="RodapChar"/>
    <w:uiPriority w:val="99"/>
    <w:unhideWhenUsed/>
    <w:rsid w:val="001647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toc/reaj20/curren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ndfonline.com/toc/reaj20/curren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meraldinsight.com/keyword/Spa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meraldinsight.com/keyword/Environmental+Managemen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meraldinsight.com/keyword/Management+Accounting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5B23A-593B-4F4E-AC1E-F317A53B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8685</Words>
  <Characters>46900</Characters>
  <Application>Microsoft Office Word</Application>
  <DocSecurity>0</DocSecurity>
  <Lines>390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Caroline da Silva</dc:creator>
  <cp:lastModifiedBy>Luana Caroline da Silva</cp:lastModifiedBy>
  <cp:revision>40</cp:revision>
  <cp:lastPrinted>2018-03-16T19:03:00Z</cp:lastPrinted>
  <dcterms:created xsi:type="dcterms:W3CDTF">2018-04-17T10:01:00Z</dcterms:created>
  <dcterms:modified xsi:type="dcterms:W3CDTF">2018-04-23T17:28:00Z</dcterms:modified>
</cp:coreProperties>
</file>