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B7289" w14:textId="77777777" w:rsidR="0036377D" w:rsidRDefault="0036377D" w:rsidP="0036377D">
      <w:pPr>
        <w:jc w:val="center"/>
        <w:rPr>
          <w:b/>
          <w:sz w:val="24"/>
        </w:rPr>
      </w:pPr>
    </w:p>
    <w:p w14:paraId="5E55D7AC" w14:textId="7B9D33E7" w:rsidR="0036377D" w:rsidRDefault="00636682" w:rsidP="0036377D">
      <w:pPr>
        <w:jc w:val="center"/>
        <w:rPr>
          <w:b/>
          <w:sz w:val="24"/>
        </w:rPr>
      </w:pPr>
      <w:r>
        <w:rPr>
          <w:b/>
          <w:sz w:val="24"/>
        </w:rPr>
        <w:t>Fatores Determinantes da Taxa Efetiva de Impostos s</w:t>
      </w:r>
      <w:r w:rsidRPr="00636682">
        <w:rPr>
          <w:b/>
          <w:sz w:val="24"/>
        </w:rPr>
        <w:t>obre</w:t>
      </w:r>
      <w:r>
        <w:rPr>
          <w:b/>
          <w:sz w:val="24"/>
        </w:rPr>
        <w:t xml:space="preserve"> o Lucro das Empresas Listadas n</w:t>
      </w:r>
      <w:r w:rsidR="00120220">
        <w:rPr>
          <w:b/>
          <w:sz w:val="24"/>
        </w:rPr>
        <w:t xml:space="preserve">a B3 </w:t>
      </w:r>
      <w:bookmarkStart w:id="0" w:name="_GoBack"/>
      <w:bookmarkEnd w:id="0"/>
      <w:r w:rsidR="00120220">
        <w:rPr>
          <w:b/>
          <w:sz w:val="24"/>
        </w:rPr>
        <w:t>- Brasil, Bolsa e</w:t>
      </w:r>
      <w:r w:rsidRPr="00636682">
        <w:rPr>
          <w:b/>
          <w:sz w:val="24"/>
        </w:rPr>
        <w:t xml:space="preserve"> Balcão</w:t>
      </w:r>
    </w:p>
    <w:p w14:paraId="1E3FBC86" w14:textId="77777777" w:rsidR="004631FC" w:rsidRDefault="004631FC" w:rsidP="0036377D">
      <w:pPr>
        <w:jc w:val="center"/>
        <w:rPr>
          <w:color w:val="999999"/>
        </w:rPr>
      </w:pPr>
    </w:p>
    <w:p w14:paraId="0E302EC2" w14:textId="77777777" w:rsidR="0036377D" w:rsidRDefault="00CC3874" w:rsidP="0036377D">
      <w:pPr>
        <w:jc w:val="right"/>
        <w:rPr>
          <w:b/>
          <w:sz w:val="24"/>
          <w:szCs w:val="24"/>
        </w:rPr>
      </w:pPr>
      <w:r>
        <w:rPr>
          <w:b/>
          <w:sz w:val="24"/>
          <w:szCs w:val="24"/>
        </w:rPr>
        <w:t>Daniele Cristina Bernd</w:t>
      </w:r>
    </w:p>
    <w:p w14:paraId="697E864A" w14:textId="77777777" w:rsidR="0036377D" w:rsidRDefault="00CC3874" w:rsidP="0036377D">
      <w:pPr>
        <w:jc w:val="right"/>
        <w:rPr>
          <w:b/>
          <w:i/>
          <w:sz w:val="24"/>
          <w:szCs w:val="24"/>
        </w:rPr>
      </w:pPr>
      <w:r>
        <w:rPr>
          <w:b/>
          <w:sz w:val="24"/>
          <w:szCs w:val="24"/>
        </w:rPr>
        <w:t>Universidade Federal de Santa Catarina</w:t>
      </w:r>
      <w:r w:rsidR="0036377D">
        <w:rPr>
          <w:b/>
          <w:sz w:val="24"/>
          <w:szCs w:val="24"/>
        </w:rPr>
        <w:t xml:space="preserve"> (</w:t>
      </w:r>
      <w:r>
        <w:rPr>
          <w:b/>
          <w:sz w:val="24"/>
          <w:szCs w:val="24"/>
        </w:rPr>
        <w:t>UFSC</w:t>
      </w:r>
      <w:r w:rsidR="0036377D">
        <w:rPr>
          <w:b/>
          <w:sz w:val="24"/>
          <w:szCs w:val="24"/>
        </w:rPr>
        <w:t>)</w:t>
      </w:r>
    </w:p>
    <w:p w14:paraId="35F2BF77" w14:textId="77777777" w:rsidR="0036377D" w:rsidRDefault="00C04F45" w:rsidP="0036377D">
      <w:pPr>
        <w:jc w:val="right"/>
        <w:rPr>
          <w:b/>
          <w:sz w:val="24"/>
          <w:szCs w:val="24"/>
        </w:rPr>
      </w:pPr>
      <w:r>
        <w:rPr>
          <w:b/>
          <w:i/>
          <w:sz w:val="24"/>
          <w:szCs w:val="24"/>
        </w:rPr>
        <w:t>E</w:t>
      </w:r>
      <w:r w:rsidR="0036377D">
        <w:rPr>
          <w:b/>
          <w:i/>
          <w:sz w:val="24"/>
          <w:szCs w:val="24"/>
        </w:rPr>
        <w:t>-mail</w:t>
      </w:r>
      <w:r>
        <w:rPr>
          <w:b/>
          <w:i/>
          <w:sz w:val="24"/>
          <w:szCs w:val="24"/>
        </w:rPr>
        <w:t>:</w:t>
      </w:r>
      <w:r w:rsidR="004631FC">
        <w:rPr>
          <w:b/>
          <w:i/>
          <w:sz w:val="24"/>
          <w:szCs w:val="24"/>
        </w:rPr>
        <w:t xml:space="preserve"> </w:t>
      </w:r>
      <w:r w:rsidR="004631FC" w:rsidRPr="004631FC">
        <w:rPr>
          <w:b/>
          <w:sz w:val="24"/>
          <w:szCs w:val="24"/>
        </w:rPr>
        <w:t>dcbernd@hotmail.com</w:t>
      </w:r>
    </w:p>
    <w:p w14:paraId="3CA8185D" w14:textId="77777777" w:rsidR="0036377D" w:rsidRDefault="0036377D" w:rsidP="0036377D">
      <w:pPr>
        <w:jc w:val="right"/>
        <w:rPr>
          <w:b/>
          <w:sz w:val="24"/>
          <w:szCs w:val="24"/>
        </w:rPr>
      </w:pPr>
    </w:p>
    <w:p w14:paraId="17BB835A" w14:textId="77777777" w:rsidR="004631FC" w:rsidRPr="004631FC" w:rsidRDefault="004631FC" w:rsidP="004631FC">
      <w:pPr>
        <w:widowControl w:val="0"/>
        <w:jc w:val="right"/>
        <w:rPr>
          <w:b/>
          <w:sz w:val="24"/>
          <w:szCs w:val="24"/>
        </w:rPr>
      </w:pPr>
      <w:r>
        <w:rPr>
          <w:b/>
          <w:sz w:val="24"/>
          <w:szCs w:val="24"/>
        </w:rPr>
        <w:t>Mônica Campos da Silva</w:t>
      </w:r>
    </w:p>
    <w:p w14:paraId="0FAAC5D3" w14:textId="77777777" w:rsidR="0036377D" w:rsidRDefault="004631FC" w:rsidP="00067126">
      <w:pPr>
        <w:widowControl w:val="0"/>
        <w:jc w:val="right"/>
        <w:rPr>
          <w:b/>
          <w:i/>
          <w:sz w:val="24"/>
          <w:szCs w:val="24"/>
        </w:rPr>
      </w:pPr>
      <w:r w:rsidRPr="004631FC">
        <w:rPr>
          <w:b/>
          <w:sz w:val="24"/>
          <w:szCs w:val="24"/>
        </w:rPr>
        <w:t xml:space="preserve">Universidade Federal </w:t>
      </w:r>
      <w:r>
        <w:rPr>
          <w:b/>
          <w:sz w:val="24"/>
          <w:szCs w:val="24"/>
        </w:rPr>
        <w:t>d</w:t>
      </w:r>
      <w:r w:rsidRPr="004631FC">
        <w:rPr>
          <w:b/>
          <w:sz w:val="24"/>
          <w:szCs w:val="24"/>
        </w:rPr>
        <w:t xml:space="preserve">o Paraná </w:t>
      </w:r>
      <w:r w:rsidR="0036377D">
        <w:rPr>
          <w:b/>
          <w:sz w:val="24"/>
          <w:szCs w:val="24"/>
        </w:rPr>
        <w:t>(</w:t>
      </w:r>
      <w:r>
        <w:rPr>
          <w:b/>
          <w:sz w:val="24"/>
          <w:szCs w:val="24"/>
        </w:rPr>
        <w:t>UFPR</w:t>
      </w:r>
      <w:r w:rsidR="0036377D">
        <w:rPr>
          <w:b/>
          <w:sz w:val="24"/>
          <w:szCs w:val="24"/>
        </w:rPr>
        <w:t>)</w:t>
      </w:r>
    </w:p>
    <w:p w14:paraId="2573F6FC" w14:textId="77777777" w:rsidR="0036377D" w:rsidRDefault="00C04F45" w:rsidP="00067126">
      <w:pPr>
        <w:widowControl w:val="0"/>
        <w:jc w:val="right"/>
        <w:rPr>
          <w:b/>
          <w:sz w:val="24"/>
          <w:szCs w:val="24"/>
        </w:rPr>
      </w:pPr>
      <w:r>
        <w:rPr>
          <w:b/>
          <w:i/>
          <w:sz w:val="24"/>
          <w:szCs w:val="24"/>
        </w:rPr>
        <w:t>E</w:t>
      </w:r>
      <w:r w:rsidR="0036377D">
        <w:rPr>
          <w:b/>
          <w:i/>
          <w:sz w:val="24"/>
          <w:szCs w:val="24"/>
        </w:rPr>
        <w:t>-mail</w:t>
      </w:r>
      <w:r>
        <w:rPr>
          <w:b/>
          <w:i/>
          <w:sz w:val="24"/>
          <w:szCs w:val="24"/>
        </w:rPr>
        <w:t>:</w:t>
      </w:r>
      <w:r w:rsidR="004631FC">
        <w:rPr>
          <w:b/>
          <w:i/>
          <w:sz w:val="24"/>
          <w:szCs w:val="24"/>
        </w:rPr>
        <w:t xml:space="preserve"> </w:t>
      </w:r>
      <w:r w:rsidR="004631FC" w:rsidRPr="004631FC">
        <w:rPr>
          <w:b/>
          <w:sz w:val="24"/>
          <w:szCs w:val="24"/>
        </w:rPr>
        <w:t>monica.campos_cic@hotmail.com</w:t>
      </w:r>
    </w:p>
    <w:p w14:paraId="6CD6F863" w14:textId="77777777" w:rsidR="004631FC" w:rsidRDefault="004631FC" w:rsidP="00067126">
      <w:pPr>
        <w:widowControl w:val="0"/>
        <w:jc w:val="right"/>
        <w:rPr>
          <w:b/>
          <w:sz w:val="24"/>
          <w:szCs w:val="24"/>
        </w:rPr>
      </w:pPr>
    </w:p>
    <w:p w14:paraId="0E03DBD0" w14:textId="77777777" w:rsidR="004631FC" w:rsidRDefault="004631FC" w:rsidP="004631FC">
      <w:pPr>
        <w:widowControl w:val="0"/>
        <w:jc w:val="right"/>
        <w:rPr>
          <w:b/>
          <w:sz w:val="24"/>
          <w:szCs w:val="24"/>
        </w:rPr>
      </w:pPr>
      <w:r w:rsidRPr="004631FC">
        <w:t xml:space="preserve"> </w:t>
      </w:r>
      <w:r w:rsidRPr="004631FC">
        <w:rPr>
          <w:b/>
          <w:sz w:val="24"/>
          <w:szCs w:val="24"/>
        </w:rPr>
        <w:t>Leonardo Flach</w:t>
      </w:r>
    </w:p>
    <w:p w14:paraId="45147921" w14:textId="77777777" w:rsidR="004631FC" w:rsidRDefault="004631FC" w:rsidP="004631FC">
      <w:pPr>
        <w:jc w:val="right"/>
        <w:rPr>
          <w:b/>
          <w:i/>
          <w:sz w:val="24"/>
          <w:szCs w:val="24"/>
        </w:rPr>
      </w:pPr>
      <w:r>
        <w:rPr>
          <w:b/>
          <w:sz w:val="24"/>
          <w:szCs w:val="24"/>
        </w:rPr>
        <w:t>Universidade Federal de Santa Catarina (UFSC)</w:t>
      </w:r>
    </w:p>
    <w:p w14:paraId="3D77B42A" w14:textId="77777777" w:rsidR="004631FC" w:rsidRPr="004631FC" w:rsidRDefault="004631FC" w:rsidP="004631FC">
      <w:pPr>
        <w:widowControl w:val="0"/>
        <w:jc w:val="right"/>
        <w:rPr>
          <w:b/>
          <w:sz w:val="24"/>
          <w:szCs w:val="24"/>
        </w:rPr>
      </w:pPr>
      <w:r>
        <w:rPr>
          <w:b/>
          <w:i/>
          <w:sz w:val="24"/>
          <w:szCs w:val="24"/>
        </w:rPr>
        <w:t xml:space="preserve">E-mail: </w:t>
      </w:r>
      <w:r w:rsidRPr="004631FC">
        <w:rPr>
          <w:b/>
          <w:sz w:val="24"/>
          <w:szCs w:val="24"/>
        </w:rPr>
        <w:t>leonardo.flach@gmail.com</w:t>
      </w:r>
    </w:p>
    <w:p w14:paraId="34478C8B" w14:textId="77777777" w:rsidR="004631FC" w:rsidRPr="004631FC" w:rsidRDefault="004631FC" w:rsidP="004631FC">
      <w:pPr>
        <w:widowControl w:val="0"/>
        <w:jc w:val="right"/>
        <w:rPr>
          <w:b/>
          <w:sz w:val="24"/>
          <w:szCs w:val="24"/>
        </w:rPr>
      </w:pPr>
    </w:p>
    <w:p w14:paraId="37E78FCE" w14:textId="77777777" w:rsidR="0036377D" w:rsidRDefault="0036377D" w:rsidP="00067126">
      <w:pPr>
        <w:widowControl w:val="0"/>
        <w:jc w:val="center"/>
        <w:rPr>
          <w:b/>
          <w:color w:val="999999"/>
        </w:rPr>
      </w:pPr>
    </w:p>
    <w:p w14:paraId="4984AD79" w14:textId="77777777" w:rsidR="00C04F45" w:rsidRDefault="0036377D" w:rsidP="004B193F">
      <w:pPr>
        <w:pStyle w:val="Ttulo1"/>
        <w:spacing w:before="0" w:line="240" w:lineRule="auto"/>
        <w:rPr>
          <w:b/>
          <w:sz w:val="24"/>
          <w:szCs w:val="24"/>
        </w:rPr>
      </w:pPr>
      <w:r w:rsidRPr="004B193F">
        <w:rPr>
          <w:rFonts w:ascii="Times New Roman" w:hAnsi="Times New Roman" w:cs="Times New Roman"/>
          <w:b/>
          <w:color w:val="auto"/>
          <w:sz w:val="24"/>
          <w:szCs w:val="24"/>
        </w:rPr>
        <w:t>Resumo</w:t>
      </w:r>
      <w:r>
        <w:rPr>
          <w:b/>
          <w:sz w:val="24"/>
          <w:szCs w:val="24"/>
        </w:rPr>
        <w:t xml:space="preserve"> </w:t>
      </w:r>
    </w:p>
    <w:p w14:paraId="4F6AFE15" w14:textId="53FD9FE6" w:rsidR="00636682" w:rsidRPr="00A2410D" w:rsidRDefault="00636682" w:rsidP="004B193F">
      <w:pPr>
        <w:widowControl w:val="0"/>
        <w:jc w:val="both"/>
        <w:rPr>
          <w:sz w:val="24"/>
          <w:szCs w:val="24"/>
        </w:rPr>
      </w:pPr>
      <w:r w:rsidRPr="00A2410D">
        <w:rPr>
          <w:sz w:val="24"/>
          <w:szCs w:val="24"/>
        </w:rPr>
        <w:t xml:space="preserve">Este estudo </w:t>
      </w:r>
      <w:r>
        <w:rPr>
          <w:sz w:val="24"/>
          <w:szCs w:val="24"/>
        </w:rPr>
        <w:t>tem por</w:t>
      </w:r>
      <w:r w:rsidRPr="0042038B">
        <w:rPr>
          <w:sz w:val="24"/>
          <w:szCs w:val="24"/>
        </w:rPr>
        <w:t xml:space="preserve"> objetivo identificar os fatores determinantes da taxa de imposto efetiva (Tamanho, Alavancagem, Custo da dívida, Intensidade de Capital, Depreciação de Ativos não Circulantes, e Rentabilidade </w:t>
      </w:r>
      <w:r>
        <w:rPr>
          <w:sz w:val="24"/>
          <w:szCs w:val="24"/>
        </w:rPr>
        <w:t>s</w:t>
      </w:r>
      <w:r w:rsidRPr="0042038B">
        <w:rPr>
          <w:sz w:val="24"/>
          <w:szCs w:val="24"/>
        </w:rPr>
        <w:t xml:space="preserve">obre Ativos) que atuam em empresas Brasileiras listadas na </w:t>
      </w:r>
      <w:r w:rsidRPr="000319FF">
        <w:rPr>
          <w:sz w:val="24"/>
          <w:szCs w:val="24"/>
        </w:rPr>
        <w:t xml:space="preserve">B3, </w:t>
      </w:r>
      <w:r>
        <w:rPr>
          <w:sz w:val="24"/>
          <w:szCs w:val="24"/>
        </w:rPr>
        <w:t>n</w:t>
      </w:r>
      <w:r w:rsidRPr="0042038B">
        <w:rPr>
          <w:sz w:val="24"/>
          <w:szCs w:val="24"/>
        </w:rPr>
        <w:t xml:space="preserve">o período de 2010 a 2016. </w:t>
      </w:r>
      <w:r w:rsidR="009825E2">
        <w:rPr>
          <w:sz w:val="24"/>
          <w:szCs w:val="24"/>
        </w:rPr>
        <w:t>Adi</w:t>
      </w:r>
      <w:r w:rsidR="00D933D2">
        <w:rPr>
          <w:sz w:val="24"/>
          <w:szCs w:val="24"/>
        </w:rPr>
        <w:t>ci</w:t>
      </w:r>
      <w:r w:rsidR="009825E2">
        <w:rPr>
          <w:sz w:val="24"/>
          <w:szCs w:val="24"/>
        </w:rPr>
        <w:t>onalmente, investigando se estas empresas recorrem</w:t>
      </w:r>
      <w:r w:rsidR="009825E2" w:rsidRPr="009825E2">
        <w:rPr>
          <w:sz w:val="24"/>
          <w:szCs w:val="24"/>
        </w:rPr>
        <w:t xml:space="preserve"> a atividades de planejamento</w:t>
      </w:r>
      <w:r w:rsidR="009825E2">
        <w:rPr>
          <w:sz w:val="24"/>
          <w:szCs w:val="24"/>
        </w:rPr>
        <w:t xml:space="preserve"> tributário.</w:t>
      </w:r>
      <w:r w:rsidR="009825E2" w:rsidRPr="009825E2">
        <w:rPr>
          <w:sz w:val="24"/>
          <w:szCs w:val="24"/>
        </w:rPr>
        <w:t xml:space="preserve"> </w:t>
      </w:r>
      <w:r w:rsidRPr="0042038B">
        <w:rPr>
          <w:sz w:val="24"/>
          <w:szCs w:val="24"/>
        </w:rPr>
        <w:t>Para tanto, realizou-se um estudo quantitativo que contou com aux</w:t>
      </w:r>
      <w:r w:rsidRPr="000319FF">
        <w:rPr>
          <w:sz w:val="24"/>
          <w:szCs w:val="24"/>
        </w:rPr>
        <w:t xml:space="preserve">ílio do Economática para coleta de dados e do </w:t>
      </w:r>
      <w:r w:rsidRPr="00A2410D">
        <w:rPr>
          <w:sz w:val="24"/>
          <w:szCs w:val="24"/>
        </w:rPr>
        <w:t>método de regressão de dados em painel para</w:t>
      </w:r>
      <w:r>
        <w:rPr>
          <w:sz w:val="24"/>
          <w:szCs w:val="24"/>
        </w:rPr>
        <w:t xml:space="preserve"> as</w:t>
      </w:r>
      <w:r w:rsidRPr="0042038B">
        <w:rPr>
          <w:sz w:val="24"/>
          <w:szCs w:val="24"/>
        </w:rPr>
        <w:t xml:space="preserve"> inferências estatísticas. Foram aplicados um painel estático e um painel dinâmico, para analisar </w:t>
      </w:r>
      <w:r w:rsidRPr="000319FF">
        <w:rPr>
          <w:sz w:val="24"/>
          <w:szCs w:val="24"/>
        </w:rPr>
        <w:t>980 observações.</w:t>
      </w:r>
      <w:r w:rsidRPr="0042038B">
        <w:rPr>
          <w:sz w:val="24"/>
          <w:szCs w:val="24"/>
        </w:rPr>
        <w:t xml:space="preserve"> Verificou-se </w:t>
      </w:r>
      <w:r w:rsidR="005567E4">
        <w:rPr>
          <w:sz w:val="24"/>
          <w:szCs w:val="24"/>
        </w:rPr>
        <w:t xml:space="preserve">que pelo </w:t>
      </w:r>
      <w:r w:rsidR="00C4466C">
        <w:rPr>
          <w:sz w:val="24"/>
          <w:szCs w:val="24"/>
        </w:rPr>
        <w:t>modelo estático (</w:t>
      </w:r>
      <w:r w:rsidR="00C4466C" w:rsidRPr="004B193F">
        <w:rPr>
          <w:i/>
          <w:sz w:val="24"/>
          <w:szCs w:val="24"/>
        </w:rPr>
        <w:t>Robust</w:t>
      </w:r>
      <w:r w:rsidR="005567E4" w:rsidRPr="00A2410D">
        <w:rPr>
          <w:sz w:val="24"/>
          <w:szCs w:val="24"/>
        </w:rPr>
        <w:t xml:space="preserve">), que as variáveis depreciação do ativo não circulante e a rentabilidade do ativo (ROA) foram estatisticamente significantes para explicar a ETR. </w:t>
      </w:r>
      <w:r w:rsidRPr="0042038B">
        <w:rPr>
          <w:sz w:val="24"/>
          <w:szCs w:val="24"/>
        </w:rPr>
        <w:t xml:space="preserve"> </w:t>
      </w:r>
      <w:r w:rsidRPr="008C2085">
        <w:rPr>
          <w:sz w:val="24"/>
          <w:szCs w:val="24"/>
        </w:rPr>
        <w:t xml:space="preserve">Destacando o fato de </w:t>
      </w:r>
      <w:r>
        <w:rPr>
          <w:sz w:val="24"/>
          <w:szCs w:val="24"/>
        </w:rPr>
        <w:t xml:space="preserve">que </w:t>
      </w:r>
      <w:r w:rsidRPr="008C2085">
        <w:rPr>
          <w:sz w:val="24"/>
          <w:szCs w:val="24"/>
        </w:rPr>
        <w:t>empresas maiores e mais rentáveis suporta</w:t>
      </w:r>
      <w:r w:rsidRPr="000319FF">
        <w:rPr>
          <w:sz w:val="24"/>
          <w:szCs w:val="24"/>
        </w:rPr>
        <w:t xml:space="preserve">m menores ETRs. </w:t>
      </w:r>
      <w:r w:rsidR="009825E2">
        <w:rPr>
          <w:sz w:val="24"/>
          <w:szCs w:val="24"/>
        </w:rPr>
        <w:t>Os</w:t>
      </w:r>
      <w:r w:rsidR="009825E2" w:rsidRPr="000319FF">
        <w:rPr>
          <w:sz w:val="24"/>
          <w:szCs w:val="24"/>
        </w:rPr>
        <w:t xml:space="preserve"> resultados </w:t>
      </w:r>
      <w:r w:rsidR="009825E2">
        <w:rPr>
          <w:sz w:val="24"/>
          <w:szCs w:val="24"/>
        </w:rPr>
        <w:t xml:space="preserve">também </w:t>
      </w:r>
      <w:r w:rsidR="009825E2" w:rsidRPr="000319FF">
        <w:rPr>
          <w:sz w:val="24"/>
          <w:szCs w:val="24"/>
        </w:rPr>
        <w:t xml:space="preserve">indicam que os pagamentos de tributos para o período de </w:t>
      </w:r>
      <w:r w:rsidR="009825E2" w:rsidRPr="0042038B">
        <w:rPr>
          <w:sz w:val="24"/>
          <w:szCs w:val="24"/>
        </w:rPr>
        <w:t>análise foram menores que o valor de referência dos impostos incidentes sobre o lucro</w:t>
      </w:r>
      <w:r w:rsidR="009825E2">
        <w:rPr>
          <w:sz w:val="24"/>
          <w:szCs w:val="24"/>
        </w:rPr>
        <w:t xml:space="preserve">. </w:t>
      </w:r>
      <w:r w:rsidR="0056133E" w:rsidRPr="000319FF">
        <w:rPr>
          <w:sz w:val="24"/>
          <w:szCs w:val="24"/>
        </w:rPr>
        <w:t xml:space="preserve">Por posse destes resultados, </w:t>
      </w:r>
      <w:r w:rsidR="0056133E">
        <w:rPr>
          <w:sz w:val="24"/>
          <w:szCs w:val="24"/>
        </w:rPr>
        <w:t>conclui-se</w:t>
      </w:r>
      <w:r w:rsidR="0056133E" w:rsidRPr="000319FF">
        <w:rPr>
          <w:sz w:val="24"/>
          <w:szCs w:val="24"/>
        </w:rPr>
        <w:t xml:space="preserve"> que as empresas Brasileiras, em alguma medida, vêm realizando planejamento ou gerenciamento tributário em suas empresas</w:t>
      </w:r>
      <w:r w:rsidR="0056133E">
        <w:rPr>
          <w:sz w:val="24"/>
          <w:szCs w:val="24"/>
        </w:rPr>
        <w:t xml:space="preserve"> e a ETR é influenciada pela proporção dos ativos que ela tenha e sua rentabilidade.</w:t>
      </w:r>
      <w:r w:rsidR="0056133E" w:rsidDel="0056133E">
        <w:rPr>
          <w:rStyle w:val="Refdecomentrio"/>
          <w:rFonts w:asciiTheme="minorHAnsi" w:eastAsiaTheme="minorHAnsi" w:hAnsiTheme="minorHAnsi" w:cstheme="minorBidi"/>
          <w:lang w:eastAsia="en-US"/>
        </w:rPr>
        <w:t xml:space="preserve"> </w:t>
      </w:r>
    </w:p>
    <w:p w14:paraId="01F54A89" w14:textId="77777777" w:rsidR="006C6371" w:rsidRDefault="006C6371" w:rsidP="0056133E">
      <w:pPr>
        <w:widowControl w:val="0"/>
        <w:jc w:val="both"/>
        <w:rPr>
          <w:b/>
          <w:sz w:val="24"/>
          <w:szCs w:val="24"/>
        </w:rPr>
      </w:pPr>
    </w:p>
    <w:p w14:paraId="56A242D9" w14:textId="163588B6" w:rsidR="0036377D" w:rsidRDefault="0036377D" w:rsidP="0056133E">
      <w:pPr>
        <w:widowControl w:val="0"/>
        <w:jc w:val="both"/>
        <w:rPr>
          <w:sz w:val="24"/>
          <w:szCs w:val="24"/>
        </w:rPr>
      </w:pPr>
      <w:r>
        <w:rPr>
          <w:b/>
          <w:sz w:val="24"/>
          <w:szCs w:val="24"/>
        </w:rPr>
        <w:t xml:space="preserve">Palavras-chave: </w:t>
      </w:r>
      <w:r w:rsidR="00636682" w:rsidRPr="00A2410D">
        <w:rPr>
          <w:sz w:val="24"/>
          <w:szCs w:val="24"/>
        </w:rPr>
        <w:t xml:space="preserve">Taxa </w:t>
      </w:r>
      <w:r w:rsidR="00636682">
        <w:rPr>
          <w:sz w:val="24"/>
          <w:szCs w:val="24"/>
        </w:rPr>
        <w:t>E</w:t>
      </w:r>
      <w:r w:rsidR="00636682" w:rsidRPr="00A2410D">
        <w:rPr>
          <w:sz w:val="24"/>
          <w:szCs w:val="24"/>
        </w:rPr>
        <w:t xml:space="preserve">fetiva de </w:t>
      </w:r>
      <w:r w:rsidR="00636682">
        <w:rPr>
          <w:sz w:val="24"/>
          <w:szCs w:val="24"/>
        </w:rPr>
        <w:t>I</w:t>
      </w:r>
      <w:r w:rsidR="00636682" w:rsidRPr="00A2410D">
        <w:rPr>
          <w:sz w:val="24"/>
          <w:szCs w:val="24"/>
        </w:rPr>
        <w:t xml:space="preserve">mposto de </w:t>
      </w:r>
      <w:r w:rsidR="00636682">
        <w:rPr>
          <w:sz w:val="24"/>
          <w:szCs w:val="24"/>
        </w:rPr>
        <w:t>R</w:t>
      </w:r>
      <w:r w:rsidR="00636682" w:rsidRPr="00A2410D">
        <w:rPr>
          <w:sz w:val="24"/>
          <w:szCs w:val="24"/>
        </w:rPr>
        <w:t xml:space="preserve">enda; Dados em Painel; </w:t>
      </w:r>
      <w:r w:rsidR="00636682">
        <w:rPr>
          <w:sz w:val="24"/>
          <w:szCs w:val="24"/>
        </w:rPr>
        <w:t>P</w:t>
      </w:r>
      <w:r w:rsidR="00636682" w:rsidRPr="00A2410D">
        <w:rPr>
          <w:sz w:val="24"/>
          <w:szCs w:val="24"/>
        </w:rPr>
        <w:t xml:space="preserve">lanejamento </w:t>
      </w:r>
      <w:r w:rsidR="00636682">
        <w:rPr>
          <w:sz w:val="24"/>
          <w:szCs w:val="24"/>
        </w:rPr>
        <w:t>T</w:t>
      </w:r>
      <w:r w:rsidR="00636682" w:rsidRPr="00A2410D">
        <w:rPr>
          <w:sz w:val="24"/>
          <w:szCs w:val="24"/>
        </w:rPr>
        <w:t>ributário.</w:t>
      </w:r>
    </w:p>
    <w:p w14:paraId="29EB59CC" w14:textId="77777777" w:rsidR="0036377D" w:rsidRDefault="0036377D" w:rsidP="0056133E">
      <w:pPr>
        <w:widowControl w:val="0"/>
        <w:rPr>
          <w:sz w:val="24"/>
          <w:szCs w:val="24"/>
        </w:rPr>
      </w:pPr>
    </w:p>
    <w:p w14:paraId="44E0AE37" w14:textId="72B07DD3" w:rsidR="0036377D" w:rsidRPr="0036377D" w:rsidRDefault="0036377D" w:rsidP="0056133E">
      <w:pPr>
        <w:widowControl w:val="0"/>
        <w:rPr>
          <w:sz w:val="24"/>
          <w:szCs w:val="24"/>
        </w:rPr>
      </w:pPr>
      <w:r>
        <w:rPr>
          <w:b/>
          <w:sz w:val="24"/>
          <w:szCs w:val="24"/>
        </w:rPr>
        <w:t xml:space="preserve">Linha Temática: </w:t>
      </w:r>
      <w:r w:rsidR="00187E6C">
        <w:rPr>
          <w:b/>
          <w:sz w:val="24"/>
          <w:szCs w:val="24"/>
        </w:rPr>
        <w:t>Finanças e Mercado de Capitais</w:t>
      </w:r>
    </w:p>
    <w:p w14:paraId="7A885C47" w14:textId="77777777" w:rsidR="00CC3874" w:rsidRDefault="00CC3874" w:rsidP="0056133E">
      <w:pPr>
        <w:widowControl w:val="0"/>
      </w:pPr>
    </w:p>
    <w:p w14:paraId="5C490A00" w14:textId="77777777" w:rsidR="0036377D" w:rsidRDefault="0036377D" w:rsidP="0056133E">
      <w:pPr>
        <w:widowControl w:val="0"/>
      </w:pPr>
    </w:p>
    <w:p w14:paraId="791185BA" w14:textId="6B19DC0B" w:rsidR="00636682" w:rsidRPr="00A2410D" w:rsidRDefault="00636682" w:rsidP="0056133E">
      <w:pPr>
        <w:pStyle w:val="Ttulo1"/>
        <w:spacing w:before="0" w:line="240" w:lineRule="auto"/>
        <w:rPr>
          <w:rFonts w:ascii="Times New Roman" w:hAnsi="Times New Roman" w:cs="Times New Roman"/>
          <w:b/>
          <w:color w:val="auto"/>
          <w:sz w:val="24"/>
          <w:szCs w:val="24"/>
        </w:rPr>
      </w:pPr>
      <w:r w:rsidRPr="00A2410D">
        <w:rPr>
          <w:rFonts w:ascii="Times New Roman" w:hAnsi="Times New Roman" w:cs="Times New Roman"/>
          <w:b/>
          <w:color w:val="auto"/>
          <w:sz w:val="24"/>
          <w:szCs w:val="24"/>
        </w:rPr>
        <w:t xml:space="preserve">1 </w:t>
      </w:r>
      <w:r w:rsidR="00EA4940" w:rsidRPr="00A2410D">
        <w:rPr>
          <w:rFonts w:ascii="Times New Roman" w:hAnsi="Times New Roman" w:cs="Times New Roman"/>
          <w:b/>
          <w:color w:val="auto"/>
          <w:sz w:val="24"/>
          <w:szCs w:val="24"/>
        </w:rPr>
        <w:t>Introdução</w:t>
      </w:r>
    </w:p>
    <w:p w14:paraId="304427B5" w14:textId="77777777" w:rsidR="00636682" w:rsidRPr="00A2410D" w:rsidRDefault="00636682" w:rsidP="0056133E">
      <w:pPr>
        <w:ind w:firstLine="708"/>
        <w:jc w:val="both"/>
        <w:rPr>
          <w:sz w:val="24"/>
          <w:szCs w:val="24"/>
        </w:rPr>
      </w:pPr>
      <w:r w:rsidRPr="00A2410D">
        <w:rPr>
          <w:sz w:val="24"/>
          <w:szCs w:val="24"/>
        </w:rPr>
        <w:t xml:space="preserve">As questões fiscais, são debatidas continuamente em todo o mundo, devido aos reflexos sobre as atividades organizacionais, sociais, políticas e econômicas de um país. Torna-se preponderante coordenar fatores tributários que impactem no processo decisório, bem como o atendimento </w:t>
      </w:r>
      <w:r>
        <w:rPr>
          <w:sz w:val="24"/>
          <w:szCs w:val="24"/>
        </w:rPr>
        <w:t>das</w:t>
      </w:r>
      <w:r w:rsidRPr="000319FF">
        <w:rPr>
          <w:sz w:val="24"/>
          <w:szCs w:val="24"/>
        </w:rPr>
        <w:t xml:space="preserve"> normas contábeis e da legislação tributária. </w:t>
      </w:r>
      <w:r>
        <w:rPr>
          <w:sz w:val="24"/>
          <w:szCs w:val="24"/>
        </w:rPr>
        <w:t>O</w:t>
      </w:r>
      <w:r w:rsidRPr="000319FF">
        <w:rPr>
          <w:sz w:val="24"/>
          <w:szCs w:val="24"/>
        </w:rPr>
        <w:t xml:space="preserve"> planejamento e o gerenciamento tributário</w:t>
      </w:r>
      <w:r>
        <w:rPr>
          <w:sz w:val="24"/>
          <w:szCs w:val="24"/>
        </w:rPr>
        <w:t xml:space="preserve"> são</w:t>
      </w:r>
      <w:r w:rsidRPr="000319FF">
        <w:rPr>
          <w:sz w:val="24"/>
          <w:szCs w:val="24"/>
        </w:rPr>
        <w:t xml:space="preserve"> alternativas para reduzir a carga tributária, por meio de ações legais, </w:t>
      </w:r>
      <w:r>
        <w:rPr>
          <w:sz w:val="24"/>
          <w:szCs w:val="24"/>
        </w:rPr>
        <w:t xml:space="preserve">e permitem </w:t>
      </w:r>
      <w:r w:rsidRPr="000319FF">
        <w:rPr>
          <w:sz w:val="24"/>
          <w:szCs w:val="24"/>
        </w:rPr>
        <w:t>identifica</w:t>
      </w:r>
      <w:r>
        <w:rPr>
          <w:sz w:val="24"/>
          <w:szCs w:val="24"/>
        </w:rPr>
        <w:t>r</w:t>
      </w:r>
      <w:r w:rsidRPr="000319FF">
        <w:rPr>
          <w:sz w:val="24"/>
          <w:szCs w:val="24"/>
        </w:rPr>
        <w:t xml:space="preserve"> oportunidades nas legislações tributárias </w:t>
      </w:r>
      <w:r w:rsidRPr="00993FE6">
        <w:rPr>
          <w:sz w:val="24"/>
          <w:szCs w:val="24"/>
        </w:rPr>
        <w:t>(Tang, 2005; Minnick &amp; Noga, 2010).</w:t>
      </w:r>
    </w:p>
    <w:p w14:paraId="41B41D66" w14:textId="77777777" w:rsidR="00636682" w:rsidRPr="00993FE6" w:rsidRDefault="00636682" w:rsidP="00636682">
      <w:pPr>
        <w:ind w:firstLine="708"/>
        <w:jc w:val="both"/>
        <w:rPr>
          <w:sz w:val="24"/>
          <w:szCs w:val="24"/>
        </w:rPr>
      </w:pPr>
      <w:r w:rsidRPr="0042038B">
        <w:rPr>
          <w:sz w:val="24"/>
          <w:szCs w:val="24"/>
        </w:rPr>
        <w:lastRenderedPageBreak/>
        <w:t xml:space="preserve">Uma alternativa de mensurar o gerenciamento tributário se refere às </w:t>
      </w:r>
      <w:r w:rsidRPr="00A2410D">
        <w:rPr>
          <w:sz w:val="24"/>
          <w:szCs w:val="24"/>
        </w:rPr>
        <w:t>taxas efetivas de impostos (</w:t>
      </w:r>
      <w:r w:rsidRPr="00A2410D">
        <w:rPr>
          <w:i/>
          <w:sz w:val="24"/>
          <w:szCs w:val="24"/>
        </w:rPr>
        <w:t>Effective Tax Rate</w:t>
      </w:r>
      <w:r w:rsidRPr="00A2410D">
        <w:rPr>
          <w:sz w:val="24"/>
          <w:szCs w:val="24"/>
        </w:rPr>
        <w:t>, ETR</w:t>
      </w:r>
      <w:r w:rsidRPr="0042038B">
        <w:rPr>
          <w:sz w:val="24"/>
          <w:szCs w:val="24"/>
        </w:rPr>
        <w:t>).</w:t>
      </w:r>
      <w:r w:rsidRPr="0042038B">
        <w:rPr>
          <w:rFonts w:ascii="Times-Roman" w:hAnsi="Times-Roman" w:cs="Times-Roman"/>
          <w:sz w:val="24"/>
          <w:szCs w:val="24"/>
        </w:rPr>
        <w:t xml:space="preserve"> Segundo Giannini &amp; Maggiulli (2002), as ETRs possuem </w:t>
      </w:r>
      <w:r w:rsidRPr="0042038B">
        <w:rPr>
          <w:sz w:val="24"/>
          <w:szCs w:val="24"/>
        </w:rPr>
        <w:t>um potencial de me</w:t>
      </w:r>
      <w:r w:rsidRPr="000319FF">
        <w:rPr>
          <w:sz w:val="24"/>
          <w:szCs w:val="24"/>
        </w:rPr>
        <w:t xml:space="preserve">nsurar e avaliar a carga tributária e o seu respectivo impacto sobre </w:t>
      </w:r>
      <w:r>
        <w:rPr>
          <w:sz w:val="24"/>
          <w:szCs w:val="24"/>
        </w:rPr>
        <w:t xml:space="preserve">as </w:t>
      </w:r>
      <w:r w:rsidRPr="000319FF">
        <w:rPr>
          <w:sz w:val="24"/>
          <w:szCs w:val="24"/>
        </w:rPr>
        <w:t xml:space="preserve">atividades econômicas. Ademais, </w:t>
      </w:r>
      <w:r>
        <w:rPr>
          <w:sz w:val="24"/>
          <w:szCs w:val="24"/>
        </w:rPr>
        <w:t xml:space="preserve">elas </w:t>
      </w:r>
      <w:r w:rsidRPr="000319FF">
        <w:rPr>
          <w:sz w:val="24"/>
          <w:szCs w:val="24"/>
        </w:rPr>
        <w:t xml:space="preserve">auxiliam os gestores a estabelecer estratégias fiscais para a questão e planejamento de ações tributárias futuras </w:t>
      </w:r>
      <w:r w:rsidRPr="00993FE6">
        <w:rPr>
          <w:sz w:val="24"/>
          <w:szCs w:val="24"/>
        </w:rPr>
        <w:t>(Minnick &amp; Noga, 2010).</w:t>
      </w:r>
    </w:p>
    <w:p w14:paraId="35D8B94F" w14:textId="77777777" w:rsidR="00636682" w:rsidRPr="00A2410D" w:rsidRDefault="00636682" w:rsidP="00636682">
      <w:pPr>
        <w:ind w:firstLine="708"/>
        <w:jc w:val="both"/>
        <w:rPr>
          <w:sz w:val="24"/>
          <w:szCs w:val="24"/>
        </w:rPr>
      </w:pPr>
      <w:r w:rsidRPr="00993FE6">
        <w:rPr>
          <w:sz w:val="24"/>
          <w:szCs w:val="24"/>
        </w:rPr>
        <w:t>Gupta &amp; Newberry (1997</w:t>
      </w:r>
      <w:r w:rsidRPr="00A2410D">
        <w:rPr>
          <w:sz w:val="24"/>
          <w:szCs w:val="24"/>
        </w:rPr>
        <w:t>) destaca</w:t>
      </w:r>
      <w:r>
        <w:rPr>
          <w:sz w:val="24"/>
          <w:szCs w:val="24"/>
        </w:rPr>
        <w:t>m</w:t>
      </w:r>
      <w:r w:rsidRPr="00A2410D">
        <w:rPr>
          <w:sz w:val="24"/>
          <w:szCs w:val="24"/>
        </w:rPr>
        <w:t xml:space="preserve"> que as ETRs têm sido utilizadas por decisores políticos e grupos de interesse em debates de reforma tributária, principalmente </w:t>
      </w:r>
      <w:r>
        <w:rPr>
          <w:sz w:val="24"/>
          <w:szCs w:val="24"/>
        </w:rPr>
        <w:t>sobre</w:t>
      </w:r>
      <w:r w:rsidRPr="00A2410D">
        <w:rPr>
          <w:sz w:val="24"/>
          <w:szCs w:val="24"/>
        </w:rPr>
        <w:t xml:space="preserve"> as provisões para impostos corporativos. </w:t>
      </w:r>
      <w:r>
        <w:rPr>
          <w:sz w:val="24"/>
          <w:szCs w:val="24"/>
        </w:rPr>
        <w:t>Elas são</w:t>
      </w:r>
      <w:r w:rsidRPr="00A2410D">
        <w:rPr>
          <w:sz w:val="24"/>
          <w:szCs w:val="24"/>
        </w:rPr>
        <w:t xml:space="preserve"> atraentes</w:t>
      </w:r>
      <w:r>
        <w:rPr>
          <w:sz w:val="24"/>
          <w:szCs w:val="24"/>
        </w:rPr>
        <w:t>,</w:t>
      </w:r>
      <w:r w:rsidRPr="00A2410D">
        <w:rPr>
          <w:sz w:val="24"/>
          <w:szCs w:val="24"/>
        </w:rPr>
        <w:t xml:space="preserve"> por</w:t>
      </w:r>
      <w:r>
        <w:rPr>
          <w:sz w:val="24"/>
          <w:szCs w:val="24"/>
        </w:rPr>
        <w:t>que</w:t>
      </w:r>
      <w:r w:rsidRPr="00A2410D">
        <w:rPr>
          <w:sz w:val="24"/>
          <w:szCs w:val="24"/>
        </w:rPr>
        <w:t xml:space="preserve"> resum</w:t>
      </w:r>
      <w:r>
        <w:rPr>
          <w:sz w:val="24"/>
          <w:szCs w:val="24"/>
        </w:rPr>
        <w:t>em</w:t>
      </w:r>
      <w:r w:rsidRPr="00A2410D">
        <w:rPr>
          <w:sz w:val="24"/>
          <w:szCs w:val="24"/>
        </w:rPr>
        <w:t xml:space="preserve"> convenientemente</w:t>
      </w:r>
      <w:r>
        <w:rPr>
          <w:sz w:val="24"/>
          <w:szCs w:val="24"/>
        </w:rPr>
        <w:t>,</w:t>
      </w:r>
      <w:r w:rsidRPr="00A2410D">
        <w:rPr>
          <w:sz w:val="24"/>
          <w:szCs w:val="24"/>
        </w:rPr>
        <w:t xml:space="preserve"> em uma estatística</w:t>
      </w:r>
      <w:r>
        <w:rPr>
          <w:sz w:val="24"/>
          <w:szCs w:val="24"/>
        </w:rPr>
        <w:t>,</w:t>
      </w:r>
      <w:r w:rsidRPr="00A2410D">
        <w:rPr>
          <w:sz w:val="24"/>
          <w:szCs w:val="24"/>
        </w:rPr>
        <w:t xml:space="preserve"> o efeito cumulativo de vários incentivos fiscais.</w:t>
      </w:r>
    </w:p>
    <w:p w14:paraId="5649CAB6" w14:textId="77777777" w:rsidR="00636682" w:rsidRPr="000319FF" w:rsidRDefault="00636682" w:rsidP="00636682">
      <w:pPr>
        <w:ind w:firstLine="708"/>
        <w:jc w:val="both"/>
        <w:rPr>
          <w:sz w:val="24"/>
          <w:szCs w:val="24"/>
        </w:rPr>
      </w:pPr>
      <w:r w:rsidRPr="00993FE6">
        <w:rPr>
          <w:sz w:val="24"/>
          <w:szCs w:val="24"/>
        </w:rPr>
        <w:t>Wang, Campbell &amp; Johnson (2014</w:t>
      </w:r>
      <w:r w:rsidRPr="00A2410D">
        <w:rPr>
          <w:sz w:val="24"/>
          <w:szCs w:val="24"/>
        </w:rPr>
        <w:t>) destacam que a ETR tem sido alvo de discussão em todos os países</w:t>
      </w:r>
      <w:r>
        <w:rPr>
          <w:sz w:val="24"/>
          <w:szCs w:val="24"/>
        </w:rPr>
        <w:t xml:space="preserve">. Há uma competição para </w:t>
      </w:r>
      <w:r w:rsidRPr="00A2410D">
        <w:rPr>
          <w:sz w:val="24"/>
          <w:szCs w:val="24"/>
        </w:rPr>
        <w:t xml:space="preserve">reduzirem suas ETRs, </w:t>
      </w:r>
      <w:r>
        <w:rPr>
          <w:sz w:val="24"/>
          <w:szCs w:val="24"/>
        </w:rPr>
        <w:t>no intuito</w:t>
      </w:r>
      <w:r w:rsidRPr="00A2410D">
        <w:rPr>
          <w:sz w:val="24"/>
          <w:szCs w:val="24"/>
        </w:rPr>
        <w:t xml:space="preserve"> de atraír</w:t>
      </w:r>
      <w:r>
        <w:rPr>
          <w:sz w:val="24"/>
          <w:szCs w:val="24"/>
        </w:rPr>
        <w:t>em</w:t>
      </w:r>
      <w:r w:rsidRPr="00A2410D">
        <w:rPr>
          <w:sz w:val="24"/>
          <w:szCs w:val="24"/>
        </w:rPr>
        <w:t xml:space="preserve"> mais negócios e, consequentemente</w:t>
      </w:r>
      <w:r>
        <w:rPr>
          <w:sz w:val="24"/>
          <w:szCs w:val="24"/>
        </w:rPr>
        <w:t>,</w:t>
      </w:r>
      <w:r w:rsidRPr="00A2410D">
        <w:rPr>
          <w:sz w:val="24"/>
          <w:szCs w:val="24"/>
        </w:rPr>
        <w:t xml:space="preserve"> melhorar suas economias. </w:t>
      </w:r>
      <w:bookmarkStart w:id="1" w:name="_Hlk501441700"/>
      <w:r>
        <w:rPr>
          <w:sz w:val="24"/>
          <w:szCs w:val="24"/>
        </w:rPr>
        <w:t>Diversos estudos científicos sobre o tema já foram realizados em p</w:t>
      </w:r>
      <w:r w:rsidRPr="00A2410D">
        <w:rPr>
          <w:sz w:val="24"/>
          <w:szCs w:val="24"/>
        </w:rPr>
        <w:t>aíses como: Espanha (</w:t>
      </w:r>
      <w:r w:rsidRPr="00993FE6">
        <w:rPr>
          <w:sz w:val="24"/>
          <w:szCs w:val="24"/>
        </w:rPr>
        <w:t>Gupta &amp; Newberry, 1997; Fernandez-Rodriguez, 2004;</w:t>
      </w:r>
      <w:r w:rsidRPr="00A2410D">
        <w:rPr>
          <w:sz w:val="24"/>
          <w:szCs w:val="24"/>
        </w:rPr>
        <w:t xml:space="preserve"> </w:t>
      </w:r>
      <w:r w:rsidRPr="00993FE6">
        <w:rPr>
          <w:sz w:val="24"/>
          <w:szCs w:val="24"/>
        </w:rPr>
        <w:t>Calvé, Labatut &amp; Molina, 2005), Holanda (Janssen, 2005), Alemanha (Kraft, 2014</w:t>
      </w:r>
      <w:r w:rsidRPr="00A2410D">
        <w:rPr>
          <w:sz w:val="24"/>
          <w:szCs w:val="24"/>
        </w:rPr>
        <w:t xml:space="preserve">), Suécia (Heshmati, Johansson e Berggren, 2010), Reino Unido (Holland, 1998); Hong Kong, Coréia, Malásia, Taiwan e Tailândia (Kim &amp; Limpaphayom, 1998), Malásia (Derashid &amp; Zhang, 2003; Rohaya, Nor`Azam, &amp; Barjoyai, 2008; Noor, Mastuki &amp; Bardai, 2008; Rohaya, Nur &amp; Nor`Azam, 2010), Japão e EUA(Molloy, 1998); China (Liu &amp; Cao, 2007; Hsieh, 2012; Wu </w:t>
      </w:r>
      <w:r w:rsidRPr="0042038B">
        <w:rPr>
          <w:i/>
          <w:sz w:val="24"/>
          <w:szCs w:val="24"/>
        </w:rPr>
        <w:t>et al</w:t>
      </w:r>
      <w:r w:rsidRPr="00A2410D">
        <w:rPr>
          <w:sz w:val="24"/>
          <w:szCs w:val="24"/>
        </w:rPr>
        <w:t>.</w:t>
      </w:r>
      <w:r>
        <w:rPr>
          <w:sz w:val="24"/>
          <w:szCs w:val="24"/>
        </w:rPr>
        <w:t xml:space="preserve">, </w:t>
      </w:r>
      <w:r w:rsidRPr="00A2410D">
        <w:rPr>
          <w:sz w:val="24"/>
          <w:szCs w:val="24"/>
        </w:rPr>
        <w:t xml:space="preserve">2012; Huang </w:t>
      </w:r>
      <w:r w:rsidRPr="0042038B">
        <w:rPr>
          <w:i/>
          <w:sz w:val="24"/>
          <w:szCs w:val="24"/>
        </w:rPr>
        <w:t>et al</w:t>
      </w:r>
      <w:r w:rsidRPr="00A2410D">
        <w:rPr>
          <w:sz w:val="24"/>
          <w:szCs w:val="24"/>
        </w:rPr>
        <w:t xml:space="preserve">., 2013; Chiou, Hsieh &amp; Lin 2014); Taiwan (Hsieh, 2012; Wang, Campbell &amp; Jhonson, 2014), </w:t>
      </w:r>
      <w:r w:rsidRPr="0042038B">
        <w:rPr>
          <w:sz w:val="24"/>
          <w:szCs w:val="24"/>
        </w:rPr>
        <w:t>Austrália (Feeny, Gillman &amp; Harris, 2006; Richardson &amp; Lanis, 2007),  Estados Unidos (Stickney &amp; McGee, 1982;</w:t>
      </w:r>
      <w:r w:rsidRPr="0042038B">
        <w:t xml:space="preserve"> </w:t>
      </w:r>
      <w:r w:rsidRPr="0042038B">
        <w:rPr>
          <w:sz w:val="24"/>
          <w:szCs w:val="24"/>
        </w:rPr>
        <w:t>Wang, 1991; Olhoft, 1999; Omer, Molloy &amp; Ziebart</w:t>
      </w:r>
      <w:r w:rsidRPr="008C2085">
        <w:rPr>
          <w:sz w:val="24"/>
          <w:szCs w:val="24"/>
        </w:rPr>
        <w:t xml:space="preserve">, </w:t>
      </w:r>
      <w:r w:rsidRPr="000319FF">
        <w:rPr>
          <w:sz w:val="24"/>
          <w:szCs w:val="24"/>
        </w:rPr>
        <w:t xml:space="preserve">1993; Wilkie &amp; Limberg, 1993; Plesko, 2003; Chen </w:t>
      </w:r>
      <w:r w:rsidRPr="0042038B">
        <w:rPr>
          <w:i/>
          <w:sz w:val="24"/>
          <w:szCs w:val="24"/>
        </w:rPr>
        <w:t>et al</w:t>
      </w:r>
      <w:r w:rsidRPr="0042038B">
        <w:rPr>
          <w:sz w:val="24"/>
          <w:szCs w:val="24"/>
        </w:rPr>
        <w:t xml:space="preserve">., 2010; Dyreng, Hanlon &amp; Maydew, 2010; Delgado </w:t>
      </w:r>
      <w:r w:rsidRPr="0042038B">
        <w:rPr>
          <w:i/>
          <w:sz w:val="24"/>
          <w:szCs w:val="24"/>
        </w:rPr>
        <w:t>et al</w:t>
      </w:r>
      <w:r w:rsidRPr="0042038B">
        <w:rPr>
          <w:sz w:val="24"/>
          <w:szCs w:val="24"/>
        </w:rPr>
        <w:t xml:space="preserve">., 2012 Armstrong, Blouin &amp; Larcker (2012); Dyreng </w:t>
      </w:r>
      <w:r w:rsidRPr="0042038B">
        <w:rPr>
          <w:i/>
          <w:sz w:val="24"/>
          <w:szCs w:val="24"/>
        </w:rPr>
        <w:t>et al</w:t>
      </w:r>
      <w:r>
        <w:rPr>
          <w:i/>
          <w:sz w:val="24"/>
          <w:szCs w:val="24"/>
        </w:rPr>
        <w:t>.</w:t>
      </w:r>
      <w:r w:rsidRPr="0042038B">
        <w:rPr>
          <w:sz w:val="24"/>
          <w:szCs w:val="24"/>
        </w:rPr>
        <w:t>, 2017), União Europ</w:t>
      </w:r>
      <w:r>
        <w:rPr>
          <w:sz w:val="24"/>
          <w:szCs w:val="24"/>
        </w:rPr>
        <w:t>e</w:t>
      </w:r>
      <w:r w:rsidRPr="00A2410D">
        <w:rPr>
          <w:sz w:val="24"/>
          <w:szCs w:val="24"/>
        </w:rPr>
        <w:t xml:space="preserve">ia (Delgado </w:t>
      </w:r>
      <w:r w:rsidRPr="0042038B">
        <w:rPr>
          <w:i/>
          <w:sz w:val="24"/>
          <w:szCs w:val="24"/>
        </w:rPr>
        <w:t>et al</w:t>
      </w:r>
      <w:r w:rsidRPr="00A2410D">
        <w:rPr>
          <w:sz w:val="24"/>
          <w:szCs w:val="24"/>
        </w:rPr>
        <w:t>., 2014); Estados Unidos e da União Europeia (Fernández-Rodríguez &amp; Martinez-Arias, 2011), BRIC- Brasil, Rússia, Índia e China (</w:t>
      </w:r>
      <w:r w:rsidRPr="0042038B">
        <w:rPr>
          <w:sz w:val="24"/>
          <w:szCs w:val="24"/>
        </w:rPr>
        <w:t>Fernández-Rodríguez &amp; Martínez-Arias, 2014),</w:t>
      </w:r>
      <w:r w:rsidRPr="0042038B">
        <w:t xml:space="preserve"> </w:t>
      </w:r>
      <w:r w:rsidRPr="0042038B">
        <w:rPr>
          <w:sz w:val="24"/>
          <w:szCs w:val="24"/>
        </w:rPr>
        <w:t xml:space="preserve">Países asiáticos (Suzuki, 2014), américa latina </w:t>
      </w:r>
      <w:bookmarkStart w:id="2" w:name="_Hlk503192918"/>
      <w:r w:rsidRPr="0042038B">
        <w:rPr>
          <w:sz w:val="24"/>
          <w:szCs w:val="24"/>
        </w:rPr>
        <w:t xml:space="preserve">(Sant’Ana &amp; Zonatto, </w:t>
      </w:r>
      <w:r w:rsidRPr="000319FF">
        <w:rPr>
          <w:sz w:val="24"/>
          <w:szCs w:val="24"/>
        </w:rPr>
        <w:t>2015</w:t>
      </w:r>
      <w:bookmarkEnd w:id="2"/>
      <w:r w:rsidRPr="000319FF">
        <w:rPr>
          <w:sz w:val="24"/>
          <w:szCs w:val="24"/>
        </w:rPr>
        <w:t xml:space="preserve">), México (Fernández-Rodríguez, &amp; Martínez-Arias, 2016). </w:t>
      </w:r>
      <w:bookmarkEnd w:id="1"/>
    </w:p>
    <w:p w14:paraId="67F29F1A" w14:textId="521980E6" w:rsidR="00636682" w:rsidRPr="00A2410D" w:rsidRDefault="00636682" w:rsidP="00636682">
      <w:pPr>
        <w:ind w:firstLine="708"/>
        <w:jc w:val="both"/>
        <w:rPr>
          <w:sz w:val="24"/>
          <w:szCs w:val="24"/>
        </w:rPr>
      </w:pPr>
      <w:r w:rsidRPr="000319FF">
        <w:rPr>
          <w:sz w:val="24"/>
          <w:szCs w:val="24"/>
        </w:rPr>
        <w:t>Embora tenha sido explorada e</w:t>
      </w:r>
      <w:r>
        <w:rPr>
          <w:sz w:val="24"/>
          <w:szCs w:val="24"/>
        </w:rPr>
        <w:t>m</w:t>
      </w:r>
      <w:r w:rsidRPr="000319FF">
        <w:rPr>
          <w:sz w:val="24"/>
          <w:szCs w:val="24"/>
        </w:rPr>
        <w:t xml:space="preserve"> vários contextos, a taxa efetiva de impostos não tem sido utilizada de forma un</w:t>
      </w:r>
      <w:r w:rsidRPr="008F43C7">
        <w:rPr>
          <w:sz w:val="24"/>
          <w:szCs w:val="24"/>
        </w:rPr>
        <w:t xml:space="preserve">iforme na literatura (Ramalhosa, 2015). </w:t>
      </w:r>
      <w:bookmarkStart w:id="3" w:name="_Hlk500160671"/>
      <w:r w:rsidRPr="008F43C7">
        <w:rPr>
          <w:sz w:val="24"/>
          <w:szCs w:val="24"/>
        </w:rPr>
        <w:t>Segundo Fernández-Rodríguez &amp; Martínez-Arias (2014)</w:t>
      </w:r>
      <w:r>
        <w:rPr>
          <w:sz w:val="24"/>
          <w:szCs w:val="24"/>
        </w:rPr>
        <w:t>,</w:t>
      </w:r>
      <w:r w:rsidRPr="000319FF">
        <w:rPr>
          <w:sz w:val="24"/>
          <w:szCs w:val="24"/>
        </w:rPr>
        <w:t xml:space="preserve"> não se observa um consenso sobre as principais variáveis que explicam a ETR</w:t>
      </w:r>
      <w:bookmarkEnd w:id="3"/>
      <w:r>
        <w:rPr>
          <w:sz w:val="24"/>
          <w:szCs w:val="24"/>
        </w:rPr>
        <w:t xml:space="preserve">. Há </w:t>
      </w:r>
      <w:r w:rsidRPr="000319FF">
        <w:rPr>
          <w:sz w:val="24"/>
          <w:szCs w:val="24"/>
        </w:rPr>
        <w:t>alguns resultados inconclusivos, ou até mesmo inconsistentes</w:t>
      </w:r>
      <w:r>
        <w:rPr>
          <w:sz w:val="24"/>
          <w:szCs w:val="24"/>
        </w:rPr>
        <w:t xml:space="preserve"> (</w:t>
      </w:r>
      <w:r w:rsidRPr="000319FF">
        <w:rPr>
          <w:sz w:val="24"/>
          <w:szCs w:val="24"/>
        </w:rPr>
        <w:t>Kraft</w:t>
      </w:r>
      <w:r>
        <w:rPr>
          <w:sz w:val="24"/>
          <w:szCs w:val="24"/>
        </w:rPr>
        <w:t xml:space="preserve">, </w:t>
      </w:r>
      <w:r w:rsidRPr="000319FF">
        <w:rPr>
          <w:sz w:val="24"/>
          <w:szCs w:val="24"/>
        </w:rPr>
        <w:t xml:space="preserve">2014). </w:t>
      </w:r>
      <w:r>
        <w:rPr>
          <w:sz w:val="24"/>
          <w:szCs w:val="24"/>
        </w:rPr>
        <w:t>E</w:t>
      </w:r>
      <w:r w:rsidRPr="000319FF">
        <w:rPr>
          <w:sz w:val="24"/>
          <w:szCs w:val="24"/>
        </w:rPr>
        <w:t xml:space="preserve">mbora </w:t>
      </w:r>
      <w:r>
        <w:rPr>
          <w:sz w:val="24"/>
          <w:szCs w:val="24"/>
        </w:rPr>
        <w:t>existam</w:t>
      </w:r>
      <w:r w:rsidRPr="000319FF">
        <w:rPr>
          <w:sz w:val="24"/>
          <w:szCs w:val="24"/>
        </w:rPr>
        <w:t xml:space="preserve"> evidências em vários países, cada </w:t>
      </w:r>
      <w:r>
        <w:rPr>
          <w:sz w:val="24"/>
          <w:szCs w:val="24"/>
        </w:rPr>
        <w:t>país</w:t>
      </w:r>
      <w:r w:rsidRPr="000319FF">
        <w:rPr>
          <w:sz w:val="24"/>
          <w:szCs w:val="24"/>
        </w:rPr>
        <w:t xml:space="preserve"> apresenta particularidades e contextos distintos. Torna-se relevante estud</w:t>
      </w:r>
      <w:r>
        <w:rPr>
          <w:sz w:val="24"/>
          <w:szCs w:val="24"/>
        </w:rPr>
        <w:t>ar e</w:t>
      </w:r>
      <w:r w:rsidRPr="00A2410D">
        <w:rPr>
          <w:sz w:val="24"/>
          <w:szCs w:val="24"/>
        </w:rPr>
        <w:t xml:space="preserve"> explor</w:t>
      </w:r>
      <w:r>
        <w:rPr>
          <w:sz w:val="24"/>
          <w:szCs w:val="24"/>
        </w:rPr>
        <w:t>ar</w:t>
      </w:r>
      <w:r w:rsidRPr="00A2410D">
        <w:rPr>
          <w:sz w:val="24"/>
          <w:szCs w:val="24"/>
        </w:rPr>
        <w:t xml:space="preserve"> a temática</w:t>
      </w:r>
      <w:r>
        <w:rPr>
          <w:sz w:val="24"/>
          <w:szCs w:val="24"/>
        </w:rPr>
        <w:t>, p</w:t>
      </w:r>
      <w:r w:rsidRPr="00A2410D">
        <w:rPr>
          <w:sz w:val="24"/>
          <w:szCs w:val="24"/>
        </w:rPr>
        <w:t>rincipalmente sobre ETRs e questões tributária</w:t>
      </w:r>
      <w:r>
        <w:rPr>
          <w:sz w:val="24"/>
          <w:szCs w:val="24"/>
        </w:rPr>
        <w:t>s</w:t>
      </w:r>
      <w:r w:rsidRPr="00A2410D">
        <w:rPr>
          <w:sz w:val="24"/>
          <w:szCs w:val="24"/>
        </w:rPr>
        <w:t xml:space="preserve">, especialmente </w:t>
      </w:r>
      <w:r w:rsidR="001B31C1">
        <w:rPr>
          <w:sz w:val="24"/>
          <w:szCs w:val="24"/>
        </w:rPr>
        <w:t>fora</w:t>
      </w:r>
      <w:r w:rsidRPr="00A2410D">
        <w:rPr>
          <w:sz w:val="24"/>
          <w:szCs w:val="24"/>
        </w:rPr>
        <w:t xml:space="preserve"> dos EUA (Richardson &amp; Lanis, 2007). </w:t>
      </w:r>
    </w:p>
    <w:p w14:paraId="61CE935E" w14:textId="3772D464" w:rsidR="00636682" w:rsidRPr="000319FF" w:rsidRDefault="00636682" w:rsidP="00636682">
      <w:pPr>
        <w:ind w:firstLine="708"/>
        <w:jc w:val="both"/>
        <w:rPr>
          <w:sz w:val="24"/>
          <w:szCs w:val="24"/>
        </w:rPr>
      </w:pPr>
      <w:r w:rsidRPr="0042038B">
        <w:rPr>
          <w:sz w:val="24"/>
          <w:szCs w:val="24"/>
        </w:rPr>
        <w:t xml:space="preserve">Neste contexto este estudo propõe responder a seguinte questão: </w:t>
      </w:r>
      <w:r w:rsidRPr="00993FE6">
        <w:rPr>
          <w:sz w:val="24"/>
          <w:szCs w:val="24"/>
        </w:rPr>
        <w:t>Quais são os fatores determinantes da taxa de imposto efetiva das empresas listadas na B3?</w:t>
      </w:r>
      <w:r w:rsidRPr="0042038B">
        <w:rPr>
          <w:sz w:val="24"/>
          <w:szCs w:val="24"/>
        </w:rPr>
        <w:t xml:space="preserve"> </w:t>
      </w:r>
      <w:r>
        <w:rPr>
          <w:sz w:val="24"/>
          <w:szCs w:val="24"/>
        </w:rPr>
        <w:t xml:space="preserve">Deste modo, esta pesquisa tem por objetivo </w:t>
      </w:r>
      <w:r w:rsidRPr="008C2085">
        <w:rPr>
          <w:sz w:val="24"/>
          <w:szCs w:val="24"/>
        </w:rPr>
        <w:t xml:space="preserve">analisar </w:t>
      </w:r>
      <w:r w:rsidRPr="000319FF">
        <w:rPr>
          <w:sz w:val="24"/>
          <w:szCs w:val="24"/>
        </w:rPr>
        <w:t>os fatores determinantes da taxa de imposto efetiva das empresas listadas na B3</w:t>
      </w:r>
      <w:r>
        <w:rPr>
          <w:sz w:val="24"/>
          <w:szCs w:val="24"/>
        </w:rPr>
        <w:t>,</w:t>
      </w:r>
      <w:r w:rsidRPr="000319FF">
        <w:rPr>
          <w:sz w:val="24"/>
          <w:szCs w:val="24"/>
        </w:rPr>
        <w:t xml:space="preserve"> no período 2010 a 2016</w:t>
      </w:r>
      <w:r>
        <w:rPr>
          <w:sz w:val="24"/>
          <w:szCs w:val="24"/>
        </w:rPr>
        <w:t>. Testando em especifico as seguintes variáveis:</w:t>
      </w:r>
      <w:r w:rsidRPr="00BE091C">
        <w:rPr>
          <w:sz w:val="24"/>
          <w:szCs w:val="24"/>
        </w:rPr>
        <w:t xml:space="preserve"> </w:t>
      </w:r>
      <w:r w:rsidRPr="0042038B">
        <w:rPr>
          <w:sz w:val="24"/>
          <w:szCs w:val="24"/>
        </w:rPr>
        <w:t xml:space="preserve">Tamanho, Alavancagem, Custo da dívida, Intensidade de Capital, Depreciação de Ativos não Circulantes, e Rentabilidade </w:t>
      </w:r>
      <w:r>
        <w:rPr>
          <w:sz w:val="24"/>
          <w:szCs w:val="24"/>
        </w:rPr>
        <w:t>s</w:t>
      </w:r>
      <w:r w:rsidRPr="0042038B">
        <w:rPr>
          <w:sz w:val="24"/>
          <w:szCs w:val="24"/>
        </w:rPr>
        <w:t>obre Ativos</w:t>
      </w:r>
      <w:r w:rsidR="001B31C1">
        <w:rPr>
          <w:sz w:val="24"/>
          <w:szCs w:val="24"/>
        </w:rPr>
        <w:t>; e analisando a existência de</w:t>
      </w:r>
      <w:r w:rsidR="001B31C1" w:rsidRPr="000319FF">
        <w:rPr>
          <w:sz w:val="24"/>
          <w:szCs w:val="24"/>
        </w:rPr>
        <w:t xml:space="preserve"> planejamento e tributário</w:t>
      </w:r>
      <w:r w:rsidR="001B31C1">
        <w:rPr>
          <w:sz w:val="24"/>
          <w:szCs w:val="24"/>
        </w:rPr>
        <w:t xml:space="preserve"> como alternativa</w:t>
      </w:r>
      <w:r w:rsidR="001B31C1" w:rsidRPr="000319FF">
        <w:rPr>
          <w:sz w:val="24"/>
          <w:szCs w:val="24"/>
        </w:rPr>
        <w:t xml:space="preserve"> </w:t>
      </w:r>
      <w:r w:rsidR="001B31C1">
        <w:rPr>
          <w:sz w:val="24"/>
          <w:szCs w:val="24"/>
        </w:rPr>
        <w:t>de</w:t>
      </w:r>
      <w:r w:rsidR="001B31C1" w:rsidRPr="000319FF">
        <w:rPr>
          <w:sz w:val="24"/>
          <w:szCs w:val="24"/>
        </w:rPr>
        <w:t xml:space="preserve"> re</w:t>
      </w:r>
      <w:r w:rsidR="001B31C1">
        <w:rPr>
          <w:sz w:val="24"/>
          <w:szCs w:val="24"/>
        </w:rPr>
        <w:t>dução de</w:t>
      </w:r>
      <w:r w:rsidR="001B31C1" w:rsidRPr="000319FF">
        <w:rPr>
          <w:sz w:val="24"/>
          <w:szCs w:val="24"/>
        </w:rPr>
        <w:t xml:space="preserve"> carga tributária</w:t>
      </w:r>
      <w:r w:rsidR="001B31C1">
        <w:rPr>
          <w:sz w:val="24"/>
          <w:szCs w:val="24"/>
        </w:rPr>
        <w:t>.</w:t>
      </w:r>
    </w:p>
    <w:p w14:paraId="4CF85EB4" w14:textId="77777777" w:rsidR="00636682" w:rsidRPr="000319FF" w:rsidRDefault="00636682" w:rsidP="00636682">
      <w:pPr>
        <w:ind w:firstLine="708"/>
        <w:jc w:val="both"/>
        <w:rPr>
          <w:sz w:val="24"/>
          <w:szCs w:val="24"/>
        </w:rPr>
      </w:pPr>
      <w:r w:rsidRPr="008F43C7">
        <w:rPr>
          <w:sz w:val="24"/>
          <w:szCs w:val="24"/>
        </w:rPr>
        <w:t xml:space="preserve">Os determinantes usados para estimar o modelo e testar a validade empírica das variáveis é uma adaptação de </w:t>
      </w:r>
      <w:r w:rsidRPr="00046316">
        <w:rPr>
          <w:sz w:val="24"/>
          <w:szCs w:val="24"/>
        </w:rPr>
        <w:t>Fernández-Rodríguez, Martínez-Arias (2016</w:t>
      </w:r>
      <w:r w:rsidRPr="00A2410D">
        <w:rPr>
          <w:sz w:val="24"/>
          <w:szCs w:val="24"/>
        </w:rPr>
        <w:t>)</w:t>
      </w:r>
      <w:r>
        <w:rPr>
          <w:sz w:val="24"/>
          <w:szCs w:val="24"/>
        </w:rPr>
        <w:t>. Os autores</w:t>
      </w:r>
      <w:r w:rsidRPr="000319FF">
        <w:rPr>
          <w:sz w:val="24"/>
          <w:szCs w:val="24"/>
        </w:rPr>
        <w:t xml:space="preserve"> analis</w:t>
      </w:r>
      <w:r>
        <w:rPr>
          <w:sz w:val="24"/>
          <w:szCs w:val="24"/>
        </w:rPr>
        <w:t>aram</w:t>
      </w:r>
      <w:r w:rsidRPr="000319FF">
        <w:rPr>
          <w:sz w:val="24"/>
          <w:szCs w:val="24"/>
        </w:rPr>
        <w:t xml:space="preserve"> os fatores explicativos da taxa efetiva de imposto no mercado de capitais mexicano no período de 1992 a 2009</w:t>
      </w:r>
      <w:r>
        <w:rPr>
          <w:sz w:val="24"/>
          <w:szCs w:val="24"/>
        </w:rPr>
        <w:t>, em</w:t>
      </w:r>
      <w:r w:rsidRPr="000319FF">
        <w:rPr>
          <w:sz w:val="24"/>
          <w:szCs w:val="24"/>
        </w:rPr>
        <w:t xml:space="preserve"> 79 empresas não financeiras, com dados</w:t>
      </w:r>
      <w:r>
        <w:rPr>
          <w:sz w:val="24"/>
          <w:szCs w:val="24"/>
        </w:rPr>
        <w:t xml:space="preserve"> obtidos na base </w:t>
      </w:r>
      <w:r w:rsidRPr="000319FF">
        <w:rPr>
          <w:sz w:val="24"/>
          <w:szCs w:val="24"/>
        </w:rPr>
        <w:t>Compustat.</w:t>
      </w:r>
    </w:p>
    <w:p w14:paraId="6F560C42" w14:textId="4B4ADC31" w:rsidR="00636682" w:rsidRPr="00A2410D" w:rsidRDefault="00636682" w:rsidP="00636682">
      <w:pPr>
        <w:jc w:val="both"/>
        <w:rPr>
          <w:sz w:val="24"/>
          <w:szCs w:val="24"/>
        </w:rPr>
      </w:pPr>
      <w:r w:rsidRPr="00DE29E8">
        <w:rPr>
          <w:sz w:val="24"/>
          <w:szCs w:val="24"/>
        </w:rPr>
        <w:lastRenderedPageBreak/>
        <w:tab/>
      </w:r>
      <w:r>
        <w:rPr>
          <w:sz w:val="24"/>
          <w:szCs w:val="24"/>
        </w:rPr>
        <w:t xml:space="preserve">Existem </w:t>
      </w:r>
      <w:r w:rsidRPr="00DE29E8">
        <w:rPr>
          <w:sz w:val="24"/>
          <w:szCs w:val="24"/>
        </w:rPr>
        <w:t xml:space="preserve">estudos desenvolvidos na américa latina, incluindo o Brasil, tal como a pesquisa de </w:t>
      </w:r>
      <w:r w:rsidRPr="008F43C7">
        <w:rPr>
          <w:sz w:val="24"/>
          <w:szCs w:val="24"/>
        </w:rPr>
        <w:t>Utzig, Dal Magro, Zanella, Freitas &amp;</w:t>
      </w:r>
      <w:r>
        <w:rPr>
          <w:sz w:val="24"/>
          <w:szCs w:val="24"/>
        </w:rPr>
        <w:t xml:space="preserve"> </w:t>
      </w:r>
      <w:r w:rsidRPr="00A2410D">
        <w:rPr>
          <w:sz w:val="24"/>
          <w:szCs w:val="24"/>
        </w:rPr>
        <w:t>Dittadi (2014)</w:t>
      </w:r>
      <w:r>
        <w:rPr>
          <w:sz w:val="24"/>
          <w:szCs w:val="24"/>
        </w:rPr>
        <w:t>,</w:t>
      </w:r>
      <w:r w:rsidRPr="00A2410D">
        <w:rPr>
          <w:sz w:val="24"/>
          <w:szCs w:val="24"/>
        </w:rPr>
        <w:t xml:space="preserve"> e </w:t>
      </w:r>
      <w:bookmarkStart w:id="4" w:name="_Hlk499716580"/>
      <w:r w:rsidRPr="00A2410D">
        <w:rPr>
          <w:sz w:val="24"/>
          <w:szCs w:val="24"/>
        </w:rPr>
        <w:t>Sant’Ana &amp; Zonatto (2015</w:t>
      </w:r>
      <w:bookmarkEnd w:id="4"/>
      <w:r w:rsidRPr="00A2410D">
        <w:rPr>
          <w:sz w:val="24"/>
          <w:szCs w:val="24"/>
        </w:rPr>
        <w:t>)</w:t>
      </w:r>
      <w:r>
        <w:rPr>
          <w:sz w:val="24"/>
          <w:szCs w:val="24"/>
        </w:rPr>
        <w:t>. Todavia, há</w:t>
      </w:r>
      <w:r w:rsidRPr="00A2410D">
        <w:rPr>
          <w:sz w:val="24"/>
          <w:szCs w:val="24"/>
        </w:rPr>
        <w:t xml:space="preserve"> poucos estudos nacionais</w:t>
      </w:r>
      <w:r>
        <w:rPr>
          <w:sz w:val="24"/>
          <w:szCs w:val="24"/>
        </w:rPr>
        <w:t xml:space="preserve"> que </w:t>
      </w:r>
      <w:r w:rsidRPr="00A2410D">
        <w:rPr>
          <w:sz w:val="24"/>
          <w:szCs w:val="24"/>
        </w:rPr>
        <w:t>se preocuparam exclusivamente com a situação Brasileira, em seus distintos setores econômicos. Sant’Ana &amp; Zonatto (2015) tiveram como objetivo identificar os fatores determinantes da ETR de empresas da América Latina no período de 2009 a 2013. Ut</w:t>
      </w:r>
      <w:r>
        <w:rPr>
          <w:sz w:val="24"/>
          <w:szCs w:val="24"/>
        </w:rPr>
        <w:t>z</w:t>
      </w:r>
      <w:r w:rsidRPr="00A2410D">
        <w:rPr>
          <w:sz w:val="24"/>
          <w:szCs w:val="24"/>
        </w:rPr>
        <w:t xml:space="preserve">ig </w:t>
      </w:r>
      <w:r>
        <w:rPr>
          <w:i/>
          <w:sz w:val="24"/>
          <w:szCs w:val="24"/>
        </w:rPr>
        <w:t>et al.</w:t>
      </w:r>
      <w:r w:rsidRPr="00A2410D">
        <w:rPr>
          <w:sz w:val="24"/>
          <w:szCs w:val="24"/>
        </w:rPr>
        <w:t xml:space="preserve"> (2014) buscaram identificar a ETR sobre a renda e o gerenciamento tributário nas empresas do setor de construção civil do Mercosul. No entanto, o foco </w:t>
      </w:r>
      <w:r>
        <w:rPr>
          <w:sz w:val="24"/>
          <w:szCs w:val="24"/>
        </w:rPr>
        <w:t>do estudo dos autores</w:t>
      </w:r>
      <w:r w:rsidRPr="00A2410D">
        <w:rPr>
          <w:sz w:val="24"/>
          <w:szCs w:val="24"/>
        </w:rPr>
        <w:t xml:space="preserve"> não </w:t>
      </w:r>
      <w:r w:rsidR="001B31C1">
        <w:rPr>
          <w:sz w:val="24"/>
          <w:szCs w:val="24"/>
        </w:rPr>
        <w:t>se referem</w:t>
      </w:r>
      <w:r>
        <w:rPr>
          <w:sz w:val="24"/>
          <w:szCs w:val="24"/>
        </w:rPr>
        <w:t xml:space="preserve"> sobre os</w:t>
      </w:r>
      <w:r w:rsidRPr="00A2410D">
        <w:rPr>
          <w:sz w:val="24"/>
          <w:szCs w:val="24"/>
        </w:rPr>
        <w:t xml:space="preserve"> fatores determinantes da ETR.</w:t>
      </w:r>
    </w:p>
    <w:p w14:paraId="53213D41" w14:textId="77777777" w:rsidR="00636682" w:rsidRPr="00A2410D" w:rsidRDefault="00636682" w:rsidP="00636682">
      <w:pPr>
        <w:ind w:firstLine="708"/>
        <w:jc w:val="both"/>
        <w:rPr>
          <w:sz w:val="24"/>
          <w:szCs w:val="24"/>
        </w:rPr>
      </w:pPr>
      <w:r w:rsidRPr="0042038B">
        <w:rPr>
          <w:sz w:val="24"/>
          <w:szCs w:val="24"/>
        </w:rPr>
        <w:t>Formigoni, Antunes &amp; Paulo (2009), por exemplo, estudaram as diferenças entre o lucro contábil e o lucro tributável (</w:t>
      </w:r>
      <w:r w:rsidRPr="00993FE6">
        <w:rPr>
          <w:i/>
          <w:sz w:val="24"/>
          <w:szCs w:val="24"/>
        </w:rPr>
        <w:t>Book-Tax Differences</w:t>
      </w:r>
      <w:r>
        <w:rPr>
          <w:sz w:val="24"/>
          <w:szCs w:val="24"/>
        </w:rPr>
        <w:t>,</w:t>
      </w:r>
      <w:r w:rsidRPr="00A2410D">
        <w:rPr>
          <w:sz w:val="24"/>
          <w:szCs w:val="24"/>
        </w:rPr>
        <w:t xml:space="preserve"> BTD) nas C</w:t>
      </w:r>
      <w:r>
        <w:rPr>
          <w:sz w:val="24"/>
          <w:szCs w:val="24"/>
        </w:rPr>
        <w:t>ompanhias</w:t>
      </w:r>
      <w:r w:rsidRPr="00A2410D">
        <w:rPr>
          <w:sz w:val="24"/>
          <w:szCs w:val="24"/>
        </w:rPr>
        <w:t xml:space="preserve"> Abertas Brasileiras</w:t>
      </w:r>
      <w:r>
        <w:rPr>
          <w:sz w:val="24"/>
          <w:szCs w:val="24"/>
        </w:rPr>
        <w:t>. E</w:t>
      </w:r>
      <w:r w:rsidRPr="00A2410D">
        <w:rPr>
          <w:sz w:val="24"/>
          <w:szCs w:val="24"/>
        </w:rPr>
        <w:t xml:space="preserve">mbora </w:t>
      </w:r>
      <w:r>
        <w:rPr>
          <w:sz w:val="24"/>
          <w:szCs w:val="24"/>
        </w:rPr>
        <w:t xml:space="preserve">os autores </w:t>
      </w:r>
      <w:r w:rsidRPr="00A2410D">
        <w:rPr>
          <w:sz w:val="24"/>
          <w:szCs w:val="24"/>
        </w:rPr>
        <w:t>tenha</w:t>
      </w:r>
      <w:r>
        <w:rPr>
          <w:sz w:val="24"/>
          <w:szCs w:val="24"/>
        </w:rPr>
        <w:t xml:space="preserve">m </w:t>
      </w:r>
      <w:r w:rsidRPr="00A2410D">
        <w:rPr>
          <w:sz w:val="24"/>
          <w:szCs w:val="24"/>
        </w:rPr>
        <w:t xml:space="preserve">explorado a ETR como uma das proxies, </w:t>
      </w:r>
      <w:r>
        <w:rPr>
          <w:sz w:val="24"/>
          <w:szCs w:val="24"/>
        </w:rPr>
        <w:t xml:space="preserve">eles </w:t>
      </w:r>
      <w:r w:rsidRPr="00A2410D">
        <w:rPr>
          <w:sz w:val="24"/>
          <w:szCs w:val="24"/>
        </w:rPr>
        <w:t>não busc</w:t>
      </w:r>
      <w:r>
        <w:rPr>
          <w:sz w:val="24"/>
          <w:szCs w:val="24"/>
        </w:rPr>
        <w:t>aram</w:t>
      </w:r>
      <w:r w:rsidRPr="00A2410D">
        <w:rPr>
          <w:sz w:val="24"/>
          <w:szCs w:val="24"/>
        </w:rPr>
        <w:t xml:space="preserve"> identificar </w:t>
      </w:r>
      <w:r>
        <w:rPr>
          <w:sz w:val="24"/>
          <w:szCs w:val="24"/>
        </w:rPr>
        <w:t xml:space="preserve">as </w:t>
      </w:r>
      <w:r w:rsidRPr="00A2410D">
        <w:rPr>
          <w:sz w:val="24"/>
          <w:szCs w:val="24"/>
        </w:rPr>
        <w:t>suas relações. Já o estudo de Guimarães, Macedo e Cruz (2016) teve como objetivo analisar a alíquota efetiva de tributos sobre o lucro de empresas de capital aberto atuantes no Brasil</w:t>
      </w:r>
      <w:r>
        <w:rPr>
          <w:sz w:val="24"/>
          <w:szCs w:val="24"/>
        </w:rPr>
        <w:t>,</w:t>
      </w:r>
      <w:r w:rsidRPr="00A2410D">
        <w:rPr>
          <w:sz w:val="24"/>
          <w:szCs w:val="24"/>
        </w:rPr>
        <w:t xml:space="preserve"> no período de 2003 e 2013, tanto em relação à alíquota efetiva total (ETRt) quanto à alíquota efetiva corrente (ETRc)</w:t>
      </w:r>
      <w:r>
        <w:rPr>
          <w:sz w:val="24"/>
          <w:szCs w:val="24"/>
        </w:rPr>
        <w:t xml:space="preserve">. Eles </w:t>
      </w:r>
      <w:r w:rsidRPr="00A2410D">
        <w:rPr>
          <w:sz w:val="24"/>
          <w:szCs w:val="24"/>
        </w:rPr>
        <w:t>busca</w:t>
      </w:r>
      <w:r>
        <w:rPr>
          <w:sz w:val="24"/>
          <w:szCs w:val="24"/>
        </w:rPr>
        <w:t>ram</w:t>
      </w:r>
      <w:r w:rsidRPr="00A2410D">
        <w:rPr>
          <w:sz w:val="24"/>
          <w:szCs w:val="24"/>
        </w:rPr>
        <w:t xml:space="preserve"> verificar indícios da presença de gerenciamento tributário. </w:t>
      </w:r>
      <w:r>
        <w:rPr>
          <w:sz w:val="24"/>
          <w:szCs w:val="24"/>
        </w:rPr>
        <w:t>Para isso, f</w:t>
      </w:r>
      <w:r w:rsidRPr="00A2410D">
        <w:rPr>
          <w:sz w:val="24"/>
          <w:szCs w:val="24"/>
        </w:rPr>
        <w:t>oca</w:t>
      </w:r>
      <w:r>
        <w:rPr>
          <w:sz w:val="24"/>
          <w:szCs w:val="24"/>
        </w:rPr>
        <w:t>ram</w:t>
      </w:r>
      <w:r w:rsidRPr="00A2410D">
        <w:rPr>
          <w:sz w:val="24"/>
          <w:szCs w:val="24"/>
        </w:rPr>
        <w:t xml:space="preserve"> em elementos como</w:t>
      </w:r>
      <w:r>
        <w:rPr>
          <w:sz w:val="24"/>
          <w:szCs w:val="24"/>
        </w:rPr>
        <w:t xml:space="preserve"> a</w:t>
      </w:r>
      <w:r w:rsidRPr="00A2410D">
        <w:rPr>
          <w:sz w:val="24"/>
          <w:szCs w:val="24"/>
        </w:rPr>
        <w:t xml:space="preserve"> avaliação média da carga tributária, influência dos ajustes RTT e identificação de proxies relacionadas </w:t>
      </w:r>
      <w:r>
        <w:rPr>
          <w:sz w:val="24"/>
          <w:szCs w:val="24"/>
        </w:rPr>
        <w:t xml:space="preserve">com </w:t>
      </w:r>
      <w:r w:rsidRPr="00A2410D">
        <w:rPr>
          <w:sz w:val="24"/>
          <w:szCs w:val="24"/>
        </w:rPr>
        <w:t>a ETR.</w:t>
      </w:r>
    </w:p>
    <w:p w14:paraId="3D37DB6D" w14:textId="77777777" w:rsidR="00636682" w:rsidRPr="008F43C7" w:rsidRDefault="00636682" w:rsidP="00636682">
      <w:pPr>
        <w:ind w:firstLine="708"/>
        <w:jc w:val="both"/>
        <w:rPr>
          <w:rFonts w:ascii="TimesNewRoman" w:hAnsi="TimesNewRoman" w:cs="TimesNewRoman"/>
          <w:sz w:val="24"/>
          <w:szCs w:val="24"/>
        </w:rPr>
      </w:pPr>
      <w:r w:rsidRPr="0042038B">
        <w:rPr>
          <w:rFonts w:ascii="TimesNewRoman" w:hAnsi="TimesNewRoman" w:cs="TimesNewRoman"/>
          <w:sz w:val="24"/>
          <w:szCs w:val="24"/>
        </w:rPr>
        <w:t>Diante disso, observa-se que o Brasil carece de mais estudos sobre o lucro. Em 2015, de acordo com a Receita Federal (2016</w:t>
      </w:r>
      <w:r w:rsidRPr="000319FF">
        <w:rPr>
          <w:rFonts w:ascii="TimesNewRoman" w:hAnsi="TimesNewRoman" w:cs="TimesNewRoman"/>
          <w:sz w:val="24"/>
          <w:szCs w:val="24"/>
        </w:rPr>
        <w:t>), a Carga Tributária Bruta (CTB)</w:t>
      </w:r>
      <w:r w:rsidRPr="008F43C7">
        <w:rPr>
          <w:rFonts w:ascii="TimesNewRoman" w:hAnsi="TimesNewRoman" w:cs="TimesNewRoman"/>
          <w:sz w:val="24"/>
          <w:szCs w:val="24"/>
        </w:rPr>
        <w:t xml:space="preserve">, definida como a razão entre o total de arrecadação de tributos sobre o PIB a valor de mercado, </w:t>
      </w:r>
      <w:r w:rsidRPr="00046316">
        <w:rPr>
          <w:rFonts w:ascii="TimesNewRoman" w:hAnsi="TimesNewRoman" w:cs="TimesNewRoman"/>
          <w:sz w:val="24"/>
          <w:szCs w:val="24"/>
        </w:rPr>
        <w:t>foi de 32,66%</w:t>
      </w:r>
      <w:r>
        <w:rPr>
          <w:rFonts w:ascii="TimesNewRoman" w:hAnsi="TimesNewRoman" w:cs="TimesNewRoman"/>
          <w:sz w:val="24"/>
          <w:szCs w:val="24"/>
        </w:rPr>
        <w:t>.</w:t>
      </w:r>
      <w:r w:rsidRPr="0042038B">
        <w:rPr>
          <w:rFonts w:ascii="TimesNewRoman" w:hAnsi="TimesNewRoman" w:cs="TimesNewRoman"/>
          <w:sz w:val="24"/>
          <w:szCs w:val="24"/>
        </w:rPr>
        <w:t xml:space="preserve"> Já o total </w:t>
      </w:r>
      <w:r w:rsidRPr="008C2085">
        <w:rPr>
          <w:rFonts w:ascii="TimesNewRoman" w:hAnsi="TimesNewRoman" w:cs="TimesNewRoman"/>
          <w:sz w:val="24"/>
          <w:szCs w:val="24"/>
        </w:rPr>
        <w:t>percentual de imp</w:t>
      </w:r>
      <w:r w:rsidRPr="000319FF">
        <w:rPr>
          <w:rFonts w:ascii="TimesNewRoman" w:hAnsi="TimesNewRoman" w:cs="TimesNewRoman"/>
          <w:sz w:val="24"/>
          <w:szCs w:val="24"/>
        </w:rPr>
        <w:t xml:space="preserve">ostos incidentes sobre o lucro (IRPJ e CSLL) de </w:t>
      </w:r>
      <w:r w:rsidRPr="000319FF">
        <w:rPr>
          <w:sz w:val="24"/>
          <w:szCs w:val="24"/>
        </w:rPr>
        <w:t>empresas não financeiras pode chegar a ter um encargo tributário de até 34%.</w:t>
      </w:r>
      <w:r w:rsidRPr="00DE29E8">
        <w:rPr>
          <w:sz w:val="24"/>
          <w:szCs w:val="24"/>
        </w:rPr>
        <w:t xml:space="preserve"> </w:t>
      </w:r>
      <w:r w:rsidRPr="00DE29E8">
        <w:rPr>
          <w:rFonts w:ascii="TimesNewRoman" w:hAnsi="TimesNewRoman" w:cs="TimesNewRoman"/>
          <w:sz w:val="24"/>
          <w:szCs w:val="24"/>
        </w:rPr>
        <w:t xml:space="preserve"> Conforme Tang (2005), </w:t>
      </w:r>
      <w:r w:rsidRPr="008F43C7">
        <w:rPr>
          <w:rFonts w:ascii="TimesNewRoman" w:hAnsi="TimesNewRoman" w:cs="TimesNewRoman"/>
          <w:sz w:val="24"/>
          <w:szCs w:val="24"/>
        </w:rPr>
        <w:t xml:space="preserve">países que apresentam elevados graus de tributação sobre o lucro apresentam maiores incentivos em realizar um </w:t>
      </w:r>
      <w:r w:rsidRPr="00046316">
        <w:rPr>
          <w:rFonts w:ascii="TimesNewRoman" w:hAnsi="TimesNewRoman" w:cs="TimesNewRoman"/>
          <w:sz w:val="24"/>
          <w:szCs w:val="24"/>
        </w:rPr>
        <w:t>gerenciamento de resultado</w:t>
      </w:r>
      <w:r>
        <w:rPr>
          <w:rFonts w:ascii="TimesNewRoman" w:hAnsi="TimesNewRoman" w:cs="TimesNewRoman"/>
          <w:sz w:val="24"/>
          <w:szCs w:val="24"/>
        </w:rPr>
        <w:t>s,</w:t>
      </w:r>
      <w:r w:rsidRPr="00DE29E8">
        <w:rPr>
          <w:rFonts w:ascii="TimesNewRoman" w:hAnsi="TimesNewRoman" w:cs="TimesNewRoman"/>
          <w:sz w:val="24"/>
          <w:szCs w:val="24"/>
        </w:rPr>
        <w:t xml:space="preserve"> com a finalidade de reduzir os efeitos dessa tributação em suas atividades</w:t>
      </w:r>
      <w:r w:rsidRPr="008F43C7">
        <w:rPr>
          <w:rFonts w:ascii="TimesNewRoman" w:hAnsi="TimesNewRoman" w:cs="TimesNewRoman"/>
          <w:sz w:val="24"/>
          <w:szCs w:val="24"/>
        </w:rPr>
        <w:t>.</w:t>
      </w:r>
    </w:p>
    <w:p w14:paraId="22E9C542" w14:textId="77777777" w:rsidR="00636682" w:rsidRPr="00A2410D" w:rsidRDefault="00636682" w:rsidP="00636682">
      <w:pPr>
        <w:ind w:firstLine="708"/>
        <w:jc w:val="both"/>
        <w:rPr>
          <w:rFonts w:ascii="TimesNewRoman" w:hAnsi="TimesNewRoman" w:cs="TimesNewRoman"/>
          <w:sz w:val="24"/>
          <w:szCs w:val="24"/>
        </w:rPr>
      </w:pPr>
      <w:r w:rsidRPr="00046316">
        <w:rPr>
          <w:rFonts w:ascii="TimesNewRoman" w:hAnsi="TimesNewRoman" w:cs="TimesNewRoman"/>
          <w:sz w:val="24"/>
          <w:szCs w:val="24"/>
        </w:rPr>
        <w:t xml:space="preserve">Como </w:t>
      </w:r>
      <w:r>
        <w:rPr>
          <w:rFonts w:ascii="TimesNewRoman" w:hAnsi="TimesNewRoman" w:cs="TimesNewRoman"/>
          <w:sz w:val="24"/>
          <w:szCs w:val="24"/>
        </w:rPr>
        <w:t xml:space="preserve">objetivo de </w:t>
      </w:r>
      <w:r w:rsidRPr="00046316">
        <w:rPr>
          <w:rFonts w:ascii="TimesNewRoman" w:hAnsi="TimesNewRoman" w:cs="TimesNewRoman"/>
          <w:sz w:val="24"/>
          <w:szCs w:val="24"/>
        </w:rPr>
        <w:t>verificar em que medida as variáveis determinantes das empresas podem explica</w:t>
      </w:r>
      <w:r>
        <w:rPr>
          <w:rFonts w:ascii="TimesNewRoman" w:hAnsi="TimesNewRoman" w:cs="TimesNewRoman"/>
          <w:sz w:val="24"/>
          <w:szCs w:val="24"/>
        </w:rPr>
        <w:t>r</w:t>
      </w:r>
      <w:r w:rsidRPr="00DE29E8">
        <w:rPr>
          <w:rFonts w:ascii="TimesNewRoman" w:hAnsi="TimesNewRoman" w:cs="TimesNewRoman"/>
          <w:sz w:val="24"/>
          <w:szCs w:val="24"/>
        </w:rPr>
        <w:t xml:space="preserve"> as ETRs</w:t>
      </w:r>
      <w:r>
        <w:rPr>
          <w:rFonts w:ascii="TimesNewRoman" w:hAnsi="TimesNewRoman" w:cs="TimesNewRoman"/>
          <w:sz w:val="24"/>
          <w:szCs w:val="24"/>
        </w:rPr>
        <w:t>, e</w:t>
      </w:r>
      <w:r w:rsidRPr="00DE29E8">
        <w:rPr>
          <w:rFonts w:ascii="TimesNewRoman" w:hAnsi="TimesNewRoman" w:cs="TimesNewRoman"/>
          <w:sz w:val="24"/>
          <w:szCs w:val="24"/>
        </w:rPr>
        <w:t xml:space="preserve">ste estudo pode estimular </w:t>
      </w:r>
      <w:r>
        <w:rPr>
          <w:rFonts w:ascii="TimesNewRoman" w:hAnsi="TimesNewRoman" w:cs="TimesNewRoman"/>
          <w:sz w:val="24"/>
          <w:szCs w:val="24"/>
        </w:rPr>
        <w:t>as empresas</w:t>
      </w:r>
      <w:r w:rsidRPr="00DE29E8">
        <w:rPr>
          <w:rFonts w:ascii="TimesNewRoman" w:hAnsi="TimesNewRoman" w:cs="TimesNewRoman"/>
          <w:sz w:val="24"/>
          <w:szCs w:val="24"/>
        </w:rPr>
        <w:t xml:space="preserve"> a realizarem um m</w:t>
      </w:r>
      <w:r>
        <w:rPr>
          <w:rFonts w:ascii="TimesNewRoman" w:hAnsi="TimesNewRoman" w:cs="TimesNewRoman"/>
          <w:sz w:val="24"/>
          <w:szCs w:val="24"/>
        </w:rPr>
        <w:t>elhor</w:t>
      </w:r>
      <w:r w:rsidRPr="00DE29E8">
        <w:rPr>
          <w:rFonts w:ascii="TimesNewRoman" w:hAnsi="TimesNewRoman" w:cs="TimesNewRoman"/>
          <w:sz w:val="24"/>
          <w:szCs w:val="24"/>
        </w:rPr>
        <w:t xml:space="preserve"> planejamento tributário. </w:t>
      </w:r>
      <w:r w:rsidRPr="00DE29E8">
        <w:rPr>
          <w:sz w:val="24"/>
          <w:szCs w:val="24"/>
        </w:rPr>
        <w:t xml:space="preserve">Shackelford e Shevlin (2001) </w:t>
      </w:r>
      <w:r>
        <w:rPr>
          <w:sz w:val="24"/>
          <w:szCs w:val="24"/>
        </w:rPr>
        <w:t>explicam</w:t>
      </w:r>
      <w:r w:rsidRPr="00DE29E8">
        <w:rPr>
          <w:sz w:val="24"/>
          <w:szCs w:val="24"/>
        </w:rPr>
        <w:t xml:space="preserve"> </w:t>
      </w:r>
      <w:r>
        <w:rPr>
          <w:sz w:val="24"/>
          <w:szCs w:val="24"/>
        </w:rPr>
        <w:t xml:space="preserve">que </w:t>
      </w:r>
      <w:r w:rsidRPr="00DE29E8">
        <w:rPr>
          <w:sz w:val="24"/>
          <w:szCs w:val="24"/>
        </w:rPr>
        <w:t>o planejamento tributário geralmente resulta em uma menor renda contábil, mesmo que a contabilidade tributária e a contabilidade financeira difiram no reconhecimento de receita e despesas. Além disso, os autores destacam que o planejamento tributário pode afetar as escolhas contábeis</w:t>
      </w:r>
      <w:r>
        <w:rPr>
          <w:sz w:val="24"/>
          <w:szCs w:val="24"/>
        </w:rPr>
        <w:t>. E</w:t>
      </w:r>
      <w:r w:rsidRPr="00DE29E8">
        <w:rPr>
          <w:sz w:val="24"/>
          <w:szCs w:val="24"/>
        </w:rPr>
        <w:t>, consequentemente</w:t>
      </w:r>
      <w:r>
        <w:rPr>
          <w:sz w:val="24"/>
          <w:szCs w:val="24"/>
        </w:rPr>
        <w:t>,</w:t>
      </w:r>
      <w:r w:rsidRPr="00DE29E8">
        <w:rPr>
          <w:sz w:val="24"/>
          <w:szCs w:val="24"/>
        </w:rPr>
        <w:t xml:space="preserve"> estas escolhas contábeis afetarão os planos fiscais. Por estes fatores, a</w:t>
      </w:r>
      <w:r w:rsidRPr="00DE29E8">
        <w:rPr>
          <w:rFonts w:ascii="TimesNewRoman" w:hAnsi="TimesNewRoman" w:cs="TimesNewRoman"/>
          <w:sz w:val="24"/>
          <w:szCs w:val="24"/>
        </w:rPr>
        <w:t xml:space="preserve"> literatura sugere que o gerenciamento contábil e tributário não é independente</w:t>
      </w:r>
      <w:r>
        <w:rPr>
          <w:rFonts w:ascii="TimesNewRoman" w:hAnsi="TimesNewRoman" w:cs="TimesNewRoman"/>
          <w:sz w:val="24"/>
          <w:szCs w:val="24"/>
        </w:rPr>
        <w:t>. As</w:t>
      </w:r>
      <w:r w:rsidRPr="00DE29E8">
        <w:rPr>
          <w:rFonts w:ascii="TimesNewRoman" w:hAnsi="TimesNewRoman" w:cs="TimesNewRoman"/>
          <w:sz w:val="24"/>
          <w:szCs w:val="24"/>
        </w:rPr>
        <w:t xml:space="preserve"> considerações contábeis podem ser importantes variáve</w:t>
      </w:r>
      <w:r>
        <w:rPr>
          <w:rFonts w:ascii="TimesNewRoman" w:hAnsi="TimesNewRoman" w:cs="TimesNewRoman"/>
          <w:sz w:val="24"/>
          <w:szCs w:val="24"/>
        </w:rPr>
        <w:t>is</w:t>
      </w:r>
      <w:r w:rsidRPr="00A2410D">
        <w:rPr>
          <w:rFonts w:ascii="TimesNewRoman" w:hAnsi="TimesNewRoman" w:cs="TimesNewRoman"/>
          <w:sz w:val="24"/>
          <w:szCs w:val="24"/>
        </w:rPr>
        <w:t xml:space="preserve"> correlata</w:t>
      </w:r>
      <w:r>
        <w:rPr>
          <w:rFonts w:ascii="TimesNewRoman" w:hAnsi="TimesNewRoman" w:cs="TimesNewRoman"/>
          <w:sz w:val="24"/>
          <w:szCs w:val="24"/>
        </w:rPr>
        <w:t>s</w:t>
      </w:r>
      <w:r w:rsidRPr="00A2410D">
        <w:rPr>
          <w:rFonts w:ascii="TimesNewRoman" w:hAnsi="TimesNewRoman" w:cs="TimesNewRoman"/>
          <w:sz w:val="24"/>
          <w:szCs w:val="24"/>
        </w:rPr>
        <w:t xml:space="preserve"> omitida</w:t>
      </w:r>
      <w:r>
        <w:rPr>
          <w:rFonts w:ascii="TimesNewRoman" w:hAnsi="TimesNewRoman" w:cs="TimesNewRoman"/>
          <w:sz w:val="24"/>
          <w:szCs w:val="24"/>
        </w:rPr>
        <w:t>s</w:t>
      </w:r>
      <w:r w:rsidRPr="00A2410D">
        <w:rPr>
          <w:rFonts w:ascii="TimesNewRoman" w:hAnsi="TimesNewRoman" w:cs="TimesNewRoman"/>
          <w:sz w:val="24"/>
          <w:szCs w:val="24"/>
        </w:rPr>
        <w:t xml:space="preserve"> nos estudos fiscais</w:t>
      </w:r>
      <w:r>
        <w:rPr>
          <w:rFonts w:ascii="TimesNewRoman" w:hAnsi="TimesNewRoman" w:cs="TimesNewRoman"/>
          <w:sz w:val="24"/>
          <w:szCs w:val="24"/>
        </w:rPr>
        <w:t xml:space="preserve">. E as </w:t>
      </w:r>
      <w:r w:rsidRPr="00A2410D">
        <w:rPr>
          <w:rFonts w:ascii="TimesNewRoman" w:hAnsi="TimesNewRoman" w:cs="TimesNewRoman"/>
          <w:sz w:val="24"/>
          <w:szCs w:val="24"/>
        </w:rPr>
        <w:t>considerações fiscais podem ser importantes variáve</w:t>
      </w:r>
      <w:r>
        <w:rPr>
          <w:rFonts w:ascii="TimesNewRoman" w:hAnsi="TimesNewRoman" w:cs="TimesNewRoman"/>
          <w:sz w:val="24"/>
          <w:szCs w:val="24"/>
        </w:rPr>
        <w:t>is</w:t>
      </w:r>
      <w:r w:rsidRPr="00A2410D">
        <w:rPr>
          <w:rFonts w:ascii="TimesNewRoman" w:hAnsi="TimesNewRoman" w:cs="TimesNewRoman"/>
          <w:sz w:val="24"/>
          <w:szCs w:val="24"/>
        </w:rPr>
        <w:t xml:space="preserve"> correlata</w:t>
      </w:r>
      <w:r>
        <w:rPr>
          <w:rFonts w:ascii="TimesNewRoman" w:hAnsi="TimesNewRoman" w:cs="TimesNewRoman"/>
          <w:sz w:val="24"/>
          <w:szCs w:val="24"/>
        </w:rPr>
        <w:t>s</w:t>
      </w:r>
      <w:r w:rsidRPr="00A2410D">
        <w:rPr>
          <w:rFonts w:ascii="TimesNewRoman" w:hAnsi="TimesNewRoman" w:cs="TimesNewRoman"/>
          <w:sz w:val="24"/>
          <w:szCs w:val="24"/>
        </w:rPr>
        <w:t xml:space="preserve"> omitida</w:t>
      </w:r>
      <w:r>
        <w:rPr>
          <w:rFonts w:ascii="TimesNewRoman" w:hAnsi="TimesNewRoman" w:cs="TimesNewRoman"/>
          <w:sz w:val="24"/>
          <w:szCs w:val="24"/>
        </w:rPr>
        <w:t>s</w:t>
      </w:r>
      <w:r w:rsidRPr="00A2410D">
        <w:rPr>
          <w:rFonts w:ascii="TimesNewRoman" w:hAnsi="TimesNewRoman" w:cs="TimesNewRoman"/>
          <w:sz w:val="24"/>
          <w:szCs w:val="24"/>
        </w:rPr>
        <w:t xml:space="preserve"> nos estudos de contabilidade financeira.</w:t>
      </w:r>
    </w:p>
    <w:p w14:paraId="7D413496" w14:textId="77777777" w:rsidR="00636682" w:rsidRPr="00DE29E8" w:rsidRDefault="00636682" w:rsidP="00636682">
      <w:pPr>
        <w:ind w:firstLine="708"/>
        <w:jc w:val="both"/>
        <w:rPr>
          <w:sz w:val="24"/>
          <w:szCs w:val="24"/>
        </w:rPr>
      </w:pPr>
      <w:r w:rsidRPr="0042038B">
        <w:rPr>
          <w:sz w:val="24"/>
          <w:szCs w:val="24"/>
        </w:rPr>
        <w:t xml:space="preserve"> Kraft (2014) </w:t>
      </w:r>
      <w:r>
        <w:rPr>
          <w:sz w:val="24"/>
          <w:szCs w:val="24"/>
        </w:rPr>
        <w:t>argumenta</w:t>
      </w:r>
      <w:r w:rsidRPr="0042038B">
        <w:rPr>
          <w:sz w:val="24"/>
          <w:szCs w:val="24"/>
        </w:rPr>
        <w:t xml:space="preserve"> que estudos desta natureza são relevantes, tanto para os reguladores, </w:t>
      </w:r>
      <w:r>
        <w:rPr>
          <w:sz w:val="24"/>
          <w:szCs w:val="24"/>
        </w:rPr>
        <w:t xml:space="preserve">como para os </w:t>
      </w:r>
      <w:r w:rsidRPr="0042038B">
        <w:rPr>
          <w:sz w:val="24"/>
          <w:szCs w:val="24"/>
        </w:rPr>
        <w:t>pesquisadores que lidam com questões fiscais e</w:t>
      </w:r>
      <w:r>
        <w:rPr>
          <w:sz w:val="24"/>
          <w:szCs w:val="24"/>
        </w:rPr>
        <w:t xml:space="preserve"> para </w:t>
      </w:r>
      <w:r w:rsidRPr="0042038B">
        <w:rPr>
          <w:sz w:val="24"/>
          <w:szCs w:val="24"/>
        </w:rPr>
        <w:t xml:space="preserve">investidores que usam informações relacionadas </w:t>
      </w:r>
      <w:r>
        <w:rPr>
          <w:sz w:val="24"/>
          <w:szCs w:val="24"/>
        </w:rPr>
        <w:t>com</w:t>
      </w:r>
      <w:r w:rsidRPr="0042038B">
        <w:rPr>
          <w:sz w:val="24"/>
          <w:szCs w:val="24"/>
        </w:rPr>
        <w:t xml:space="preserve"> impostos </w:t>
      </w:r>
      <w:r>
        <w:rPr>
          <w:sz w:val="24"/>
          <w:szCs w:val="24"/>
        </w:rPr>
        <w:t xml:space="preserve">nas </w:t>
      </w:r>
      <w:r w:rsidRPr="0042038B">
        <w:rPr>
          <w:sz w:val="24"/>
          <w:szCs w:val="24"/>
        </w:rPr>
        <w:t>suas decisões.</w:t>
      </w:r>
      <w:r w:rsidRPr="00DE29E8">
        <w:rPr>
          <w:sz w:val="24"/>
          <w:szCs w:val="24"/>
        </w:rPr>
        <w:t xml:space="preserve"> </w:t>
      </w:r>
      <w:r>
        <w:rPr>
          <w:sz w:val="24"/>
          <w:szCs w:val="24"/>
        </w:rPr>
        <w:t xml:space="preserve">Esta pesquisa agrega, portanto, com </w:t>
      </w:r>
      <w:r w:rsidRPr="00DE29E8">
        <w:rPr>
          <w:sz w:val="24"/>
          <w:szCs w:val="24"/>
        </w:rPr>
        <w:t>contribuições acadêmicas</w:t>
      </w:r>
      <w:r>
        <w:rPr>
          <w:sz w:val="24"/>
          <w:szCs w:val="24"/>
        </w:rPr>
        <w:t xml:space="preserve"> e</w:t>
      </w:r>
      <w:r w:rsidRPr="00DE29E8">
        <w:rPr>
          <w:sz w:val="24"/>
          <w:szCs w:val="24"/>
        </w:rPr>
        <w:t xml:space="preserve"> para a prática contábil e tributária do </w:t>
      </w:r>
      <w:r>
        <w:rPr>
          <w:sz w:val="24"/>
          <w:szCs w:val="24"/>
        </w:rPr>
        <w:t>Brasil</w:t>
      </w:r>
      <w:r w:rsidRPr="00DE29E8">
        <w:rPr>
          <w:sz w:val="24"/>
          <w:szCs w:val="24"/>
        </w:rPr>
        <w:t>.</w:t>
      </w:r>
    </w:p>
    <w:p w14:paraId="498B66DD" w14:textId="77777777" w:rsidR="00636682" w:rsidRPr="008F43C7" w:rsidRDefault="00636682" w:rsidP="00636682">
      <w:pPr>
        <w:jc w:val="both"/>
        <w:rPr>
          <w:sz w:val="24"/>
          <w:szCs w:val="24"/>
        </w:rPr>
      </w:pPr>
    </w:p>
    <w:p w14:paraId="03F5F63E" w14:textId="0594D372" w:rsidR="00636682" w:rsidRPr="00046316" w:rsidRDefault="00636682" w:rsidP="00636682">
      <w:pPr>
        <w:pStyle w:val="Ttulo1"/>
        <w:spacing w:before="0" w:line="240" w:lineRule="auto"/>
        <w:rPr>
          <w:rFonts w:ascii="Times New Roman" w:hAnsi="Times New Roman" w:cs="Times New Roman"/>
          <w:b/>
          <w:color w:val="auto"/>
          <w:sz w:val="24"/>
          <w:szCs w:val="24"/>
        </w:rPr>
      </w:pPr>
      <w:r w:rsidRPr="00046316">
        <w:rPr>
          <w:rFonts w:ascii="Times New Roman" w:hAnsi="Times New Roman" w:cs="Times New Roman"/>
          <w:b/>
          <w:color w:val="auto"/>
          <w:sz w:val="24"/>
          <w:szCs w:val="24"/>
        </w:rPr>
        <w:t xml:space="preserve">2 </w:t>
      </w:r>
      <w:r w:rsidR="00EA4940" w:rsidRPr="00046316">
        <w:rPr>
          <w:rFonts w:ascii="Times New Roman" w:hAnsi="Times New Roman" w:cs="Times New Roman"/>
          <w:b/>
          <w:color w:val="auto"/>
          <w:sz w:val="24"/>
          <w:szCs w:val="24"/>
        </w:rPr>
        <w:t>Fundamentação Teórica</w:t>
      </w:r>
    </w:p>
    <w:p w14:paraId="0DF466B8" w14:textId="77777777" w:rsidR="00636682" w:rsidRPr="00A2410D" w:rsidRDefault="00636682" w:rsidP="00636682">
      <w:pPr>
        <w:pStyle w:val="Ttulo1"/>
        <w:spacing w:before="0" w:line="240" w:lineRule="auto"/>
        <w:rPr>
          <w:rFonts w:ascii="Times New Roman" w:hAnsi="Times New Roman" w:cs="Times New Roman"/>
          <w:b/>
          <w:color w:val="auto"/>
          <w:sz w:val="24"/>
          <w:szCs w:val="24"/>
        </w:rPr>
      </w:pPr>
      <w:r w:rsidRPr="00A2410D">
        <w:rPr>
          <w:rFonts w:ascii="Times New Roman" w:hAnsi="Times New Roman" w:cs="Times New Roman"/>
          <w:b/>
          <w:color w:val="auto"/>
          <w:sz w:val="24"/>
          <w:szCs w:val="24"/>
        </w:rPr>
        <w:t>2.1 Taxa Efetiva de Impostos (</w:t>
      </w:r>
      <w:r w:rsidRPr="00A2410D">
        <w:rPr>
          <w:rFonts w:ascii="Times New Roman" w:hAnsi="Times New Roman" w:cs="Times New Roman"/>
          <w:b/>
          <w:i/>
          <w:color w:val="auto"/>
          <w:sz w:val="24"/>
          <w:szCs w:val="24"/>
        </w:rPr>
        <w:t>Effective Tax Rate</w:t>
      </w:r>
      <w:r w:rsidRPr="00A2410D">
        <w:rPr>
          <w:rFonts w:ascii="Times New Roman" w:hAnsi="Times New Roman" w:cs="Times New Roman"/>
          <w:b/>
          <w:color w:val="auto"/>
          <w:sz w:val="24"/>
          <w:szCs w:val="24"/>
        </w:rPr>
        <w:t xml:space="preserve">- ETR) </w:t>
      </w:r>
    </w:p>
    <w:p w14:paraId="74154B2D" w14:textId="77777777" w:rsidR="00636682" w:rsidRPr="00DE29E8" w:rsidRDefault="00636682" w:rsidP="00636682">
      <w:pPr>
        <w:ind w:firstLine="709"/>
        <w:jc w:val="both"/>
        <w:rPr>
          <w:sz w:val="24"/>
          <w:szCs w:val="24"/>
        </w:rPr>
      </w:pPr>
      <w:r w:rsidRPr="00A2410D">
        <w:rPr>
          <w:sz w:val="24"/>
          <w:szCs w:val="24"/>
        </w:rPr>
        <w:t>As taxas efetivas de impostos têm sido exploradas de várias formas na literatura</w:t>
      </w:r>
      <w:r>
        <w:rPr>
          <w:sz w:val="24"/>
          <w:szCs w:val="24"/>
        </w:rPr>
        <w:t xml:space="preserve"> científica</w:t>
      </w:r>
      <w:r w:rsidRPr="00DE29E8">
        <w:rPr>
          <w:sz w:val="24"/>
          <w:szCs w:val="24"/>
        </w:rPr>
        <w:t xml:space="preserve">. De acordo com Rohaya </w:t>
      </w:r>
      <w:r w:rsidRPr="0042038B">
        <w:rPr>
          <w:i/>
          <w:sz w:val="24"/>
          <w:szCs w:val="24"/>
        </w:rPr>
        <w:t>et al</w:t>
      </w:r>
      <w:r w:rsidRPr="0042038B">
        <w:rPr>
          <w:sz w:val="24"/>
          <w:szCs w:val="24"/>
        </w:rPr>
        <w:t xml:space="preserve">. (2010), </w:t>
      </w:r>
      <w:r>
        <w:rPr>
          <w:sz w:val="24"/>
          <w:szCs w:val="24"/>
        </w:rPr>
        <w:t>é possível</w:t>
      </w:r>
      <w:r w:rsidRPr="0042038B">
        <w:rPr>
          <w:sz w:val="24"/>
          <w:szCs w:val="24"/>
        </w:rPr>
        <w:t xml:space="preserve"> destacar três principais linhas de pesquisas: </w:t>
      </w:r>
      <w:r>
        <w:rPr>
          <w:sz w:val="24"/>
          <w:szCs w:val="24"/>
        </w:rPr>
        <w:t>a)</w:t>
      </w:r>
      <w:r w:rsidRPr="0042038B">
        <w:rPr>
          <w:sz w:val="24"/>
          <w:szCs w:val="24"/>
        </w:rPr>
        <w:t xml:space="preserve"> A primeira </w:t>
      </w:r>
      <w:r>
        <w:rPr>
          <w:sz w:val="24"/>
          <w:szCs w:val="24"/>
        </w:rPr>
        <w:t xml:space="preserve">é </w:t>
      </w:r>
      <w:r w:rsidRPr="0042038B">
        <w:rPr>
          <w:sz w:val="24"/>
          <w:szCs w:val="24"/>
        </w:rPr>
        <w:t xml:space="preserve">focada em definir </w:t>
      </w:r>
      <w:r w:rsidRPr="0042038B">
        <w:rPr>
          <w:i/>
          <w:sz w:val="24"/>
          <w:szCs w:val="24"/>
        </w:rPr>
        <w:t>proxies</w:t>
      </w:r>
      <w:r w:rsidRPr="0042038B">
        <w:rPr>
          <w:sz w:val="24"/>
          <w:szCs w:val="24"/>
        </w:rPr>
        <w:t xml:space="preserve"> para  ETRs</w:t>
      </w:r>
      <w:r>
        <w:rPr>
          <w:sz w:val="24"/>
          <w:szCs w:val="24"/>
        </w:rPr>
        <w:t>;</w:t>
      </w:r>
      <w:r w:rsidRPr="0042038B">
        <w:rPr>
          <w:sz w:val="24"/>
          <w:szCs w:val="24"/>
        </w:rPr>
        <w:t xml:space="preserve"> vale destacar que embora ela te</w:t>
      </w:r>
      <w:r>
        <w:rPr>
          <w:sz w:val="24"/>
          <w:szCs w:val="24"/>
        </w:rPr>
        <w:t>nha</w:t>
      </w:r>
      <w:r w:rsidRPr="0042038B">
        <w:rPr>
          <w:sz w:val="24"/>
          <w:szCs w:val="24"/>
        </w:rPr>
        <w:t xml:space="preserve"> sido definida como uma medida de despesa com imposto, incluindo ou não o imposto </w:t>
      </w:r>
      <w:r w:rsidRPr="0042038B">
        <w:rPr>
          <w:sz w:val="24"/>
          <w:szCs w:val="24"/>
        </w:rPr>
        <w:lastRenderedPageBreak/>
        <w:t>diferido, não se observa r</w:t>
      </w:r>
      <w:r w:rsidRPr="00DE29E8">
        <w:rPr>
          <w:sz w:val="24"/>
          <w:szCs w:val="24"/>
        </w:rPr>
        <w:t>esposta conclusiva de como</w:t>
      </w:r>
      <w:r>
        <w:rPr>
          <w:sz w:val="24"/>
          <w:szCs w:val="24"/>
        </w:rPr>
        <w:t xml:space="preserve"> ela</w:t>
      </w:r>
      <w:r w:rsidRPr="00DE29E8">
        <w:rPr>
          <w:sz w:val="24"/>
          <w:szCs w:val="24"/>
        </w:rPr>
        <w:t xml:space="preserve"> deve ser medida; </w:t>
      </w:r>
      <w:r>
        <w:rPr>
          <w:sz w:val="24"/>
          <w:szCs w:val="24"/>
        </w:rPr>
        <w:t xml:space="preserve">b) </w:t>
      </w:r>
      <w:r w:rsidRPr="00DE29E8">
        <w:rPr>
          <w:sz w:val="24"/>
          <w:szCs w:val="24"/>
        </w:rPr>
        <w:t>a segunda linha</w:t>
      </w:r>
      <w:r>
        <w:rPr>
          <w:sz w:val="24"/>
          <w:szCs w:val="24"/>
        </w:rPr>
        <w:t xml:space="preserve"> de pesquisa</w:t>
      </w:r>
      <w:r w:rsidRPr="00DE29E8">
        <w:rPr>
          <w:sz w:val="24"/>
          <w:szCs w:val="24"/>
        </w:rPr>
        <w:t xml:space="preserve"> busca investigar o efeito cumulativo das prefer</w:t>
      </w:r>
      <w:r>
        <w:rPr>
          <w:sz w:val="24"/>
          <w:szCs w:val="24"/>
        </w:rPr>
        <w:t>ê</w:t>
      </w:r>
      <w:r w:rsidRPr="00DE29E8">
        <w:rPr>
          <w:sz w:val="24"/>
          <w:szCs w:val="24"/>
        </w:rPr>
        <w:t>ncias fiscais sobre o valor dos impostos pago pelas empresas, por meio de comparações entre o ETR e as taxas de impostos legais</w:t>
      </w:r>
      <w:r>
        <w:rPr>
          <w:sz w:val="24"/>
          <w:szCs w:val="24"/>
        </w:rPr>
        <w:t xml:space="preserve">; afinal, </w:t>
      </w:r>
      <w:r w:rsidRPr="00DE29E8">
        <w:rPr>
          <w:sz w:val="24"/>
          <w:szCs w:val="24"/>
        </w:rPr>
        <w:t>pode haver grandes diferenças entre as taxas de imposto</w:t>
      </w:r>
      <w:r>
        <w:rPr>
          <w:sz w:val="24"/>
          <w:szCs w:val="24"/>
        </w:rPr>
        <w:t>s</w:t>
      </w:r>
      <w:r w:rsidRPr="00DE29E8">
        <w:rPr>
          <w:sz w:val="24"/>
          <w:szCs w:val="24"/>
        </w:rPr>
        <w:t xml:space="preserve"> estatutárias e as taxas de imposto efetivas; </w:t>
      </w:r>
      <w:r>
        <w:rPr>
          <w:sz w:val="24"/>
          <w:szCs w:val="24"/>
        </w:rPr>
        <w:t>c)</w:t>
      </w:r>
      <w:r w:rsidRPr="00DE29E8">
        <w:rPr>
          <w:sz w:val="24"/>
          <w:szCs w:val="24"/>
        </w:rPr>
        <w:t xml:space="preserve"> a terceira linha, na qual</w:t>
      </w:r>
      <w:r>
        <w:rPr>
          <w:sz w:val="24"/>
          <w:szCs w:val="24"/>
        </w:rPr>
        <w:t xml:space="preserve"> esta pesquisa se insere</w:t>
      </w:r>
      <w:r w:rsidRPr="00DE29E8">
        <w:rPr>
          <w:sz w:val="24"/>
          <w:szCs w:val="24"/>
        </w:rPr>
        <w:t>,</w:t>
      </w:r>
      <w:r w:rsidRPr="00DE29E8" w:rsidDel="004314A6">
        <w:rPr>
          <w:sz w:val="24"/>
          <w:szCs w:val="24"/>
        </w:rPr>
        <w:t xml:space="preserve"> </w:t>
      </w:r>
      <w:r w:rsidRPr="00DE29E8">
        <w:rPr>
          <w:sz w:val="24"/>
          <w:szCs w:val="24"/>
        </w:rPr>
        <w:t xml:space="preserve">busca investigar a influência de fatores característicos das empresas na ETR. </w:t>
      </w:r>
    </w:p>
    <w:p w14:paraId="6FF1EF3C" w14:textId="752DC2AE" w:rsidR="00636682" w:rsidRPr="008F43C7" w:rsidRDefault="00636682" w:rsidP="00636682">
      <w:pPr>
        <w:ind w:firstLine="709"/>
        <w:jc w:val="both"/>
        <w:rPr>
          <w:sz w:val="24"/>
          <w:szCs w:val="24"/>
        </w:rPr>
      </w:pPr>
      <w:r w:rsidRPr="008F43C7">
        <w:rPr>
          <w:sz w:val="24"/>
          <w:szCs w:val="24"/>
        </w:rPr>
        <w:t>Parte-se do entendimento de que as ETRs</w:t>
      </w:r>
      <w:r w:rsidR="001B31C1">
        <w:rPr>
          <w:sz w:val="24"/>
          <w:szCs w:val="24"/>
        </w:rPr>
        <w:t xml:space="preserve"> </w:t>
      </w:r>
      <w:r w:rsidRPr="008F43C7">
        <w:rPr>
          <w:sz w:val="24"/>
          <w:szCs w:val="24"/>
        </w:rPr>
        <w:t xml:space="preserve">representam a verdadeira alíquota do tributo recolhido pelas empresas (Shevlin, 1999; Shackelford &amp; Shevlin, 2001; Minnick &amp; Noga, 2010).  </w:t>
      </w:r>
      <w:r>
        <w:rPr>
          <w:sz w:val="24"/>
          <w:szCs w:val="24"/>
        </w:rPr>
        <w:t xml:space="preserve">Ela pode </w:t>
      </w:r>
      <w:r w:rsidRPr="008F43C7">
        <w:rPr>
          <w:sz w:val="24"/>
          <w:szCs w:val="24"/>
        </w:rPr>
        <w:t xml:space="preserve">ser compreendida como a relação entre os impostos tributáveis sobre os lucros e o resultado contábil. </w:t>
      </w:r>
      <w:r>
        <w:rPr>
          <w:sz w:val="24"/>
          <w:szCs w:val="24"/>
        </w:rPr>
        <w:t>A ETR é c</w:t>
      </w:r>
      <w:r w:rsidRPr="008F43C7">
        <w:rPr>
          <w:sz w:val="24"/>
          <w:szCs w:val="24"/>
        </w:rPr>
        <w:t>alculada pela divisão da Provisão com imposto de renda e contribuição social sobre o lucro líquido pelo lucro contábil antes dos devidos imposto</w:t>
      </w:r>
      <w:r>
        <w:rPr>
          <w:sz w:val="24"/>
          <w:szCs w:val="24"/>
        </w:rPr>
        <w:t>s</w:t>
      </w:r>
      <w:r w:rsidRPr="008F43C7">
        <w:rPr>
          <w:sz w:val="24"/>
          <w:szCs w:val="24"/>
        </w:rPr>
        <w:t xml:space="preserve"> (Shackelford &amp; Shevlin, 2001; Tang, 2005; Comprix, Mills &amp; Schmidt, 2010; Minnick &amp; Noga, 2010)</w:t>
      </w:r>
      <w:r>
        <w:rPr>
          <w:sz w:val="24"/>
          <w:szCs w:val="24"/>
        </w:rPr>
        <w:t>. Esta</w:t>
      </w:r>
      <w:r w:rsidRPr="008F43C7">
        <w:rPr>
          <w:sz w:val="24"/>
          <w:szCs w:val="24"/>
        </w:rPr>
        <w:t xml:space="preserve"> representa, portanto, a alíquota final de imposto</w:t>
      </w:r>
      <w:r>
        <w:rPr>
          <w:sz w:val="24"/>
          <w:szCs w:val="24"/>
        </w:rPr>
        <w:t xml:space="preserve"> que é</w:t>
      </w:r>
      <w:r w:rsidRPr="008F43C7">
        <w:rPr>
          <w:sz w:val="24"/>
          <w:szCs w:val="24"/>
        </w:rPr>
        <w:t xml:space="preserve"> cobrada de um período sobre determinado resultado, depois dos ajustes do imposto a pagar e possíveis abatimentos permitidos por lei. </w:t>
      </w:r>
    </w:p>
    <w:p w14:paraId="2F73D499" w14:textId="77777777" w:rsidR="00636682" w:rsidRPr="00046316" w:rsidRDefault="00636682" w:rsidP="00636682">
      <w:pPr>
        <w:ind w:firstLine="708"/>
        <w:jc w:val="both"/>
        <w:rPr>
          <w:sz w:val="24"/>
          <w:szCs w:val="24"/>
        </w:rPr>
      </w:pPr>
      <w:r w:rsidRPr="00046316">
        <w:rPr>
          <w:sz w:val="24"/>
          <w:szCs w:val="24"/>
        </w:rPr>
        <w:t xml:space="preserve">Quando relacionadas </w:t>
      </w:r>
      <w:r>
        <w:rPr>
          <w:sz w:val="24"/>
          <w:szCs w:val="24"/>
        </w:rPr>
        <w:t>com</w:t>
      </w:r>
      <w:r w:rsidRPr="00046316">
        <w:rPr>
          <w:sz w:val="24"/>
          <w:szCs w:val="24"/>
        </w:rPr>
        <w:t xml:space="preserve"> o lucro, </w:t>
      </w:r>
      <w:r>
        <w:rPr>
          <w:sz w:val="24"/>
          <w:szCs w:val="24"/>
        </w:rPr>
        <w:t xml:space="preserve">as ETRs </w:t>
      </w:r>
      <w:r w:rsidRPr="00046316">
        <w:rPr>
          <w:sz w:val="24"/>
          <w:szCs w:val="24"/>
        </w:rPr>
        <w:t xml:space="preserve">buscam evidenciar o impacto tributário sobre o comportamento dos investimentos, identificando a alíquota real incidente sobre o lucro. </w:t>
      </w:r>
      <w:r>
        <w:rPr>
          <w:sz w:val="24"/>
          <w:szCs w:val="24"/>
        </w:rPr>
        <w:t>Elas a</w:t>
      </w:r>
      <w:r w:rsidRPr="00046316">
        <w:rPr>
          <w:sz w:val="24"/>
          <w:szCs w:val="24"/>
        </w:rPr>
        <w:t>uxilia</w:t>
      </w:r>
      <w:r>
        <w:rPr>
          <w:sz w:val="24"/>
          <w:szCs w:val="24"/>
        </w:rPr>
        <w:t>m,</w:t>
      </w:r>
      <w:r w:rsidRPr="00046316">
        <w:rPr>
          <w:sz w:val="24"/>
          <w:szCs w:val="24"/>
        </w:rPr>
        <w:t xml:space="preserve"> desta maneira, na tomada de decisões, por</w:t>
      </w:r>
      <w:r>
        <w:rPr>
          <w:sz w:val="24"/>
          <w:szCs w:val="24"/>
        </w:rPr>
        <w:t>que</w:t>
      </w:r>
      <w:r w:rsidRPr="00046316">
        <w:rPr>
          <w:sz w:val="24"/>
          <w:szCs w:val="24"/>
        </w:rPr>
        <w:t xml:space="preserve"> aponta</w:t>
      </w:r>
      <w:r>
        <w:rPr>
          <w:sz w:val="24"/>
          <w:szCs w:val="24"/>
        </w:rPr>
        <w:t>m</w:t>
      </w:r>
      <w:r w:rsidRPr="00046316">
        <w:rPr>
          <w:sz w:val="24"/>
          <w:szCs w:val="24"/>
        </w:rPr>
        <w:t xml:space="preserve"> distorções de alíquotas nominais com a verdadeira alíquota aplicada</w:t>
      </w:r>
      <w:r>
        <w:rPr>
          <w:sz w:val="24"/>
          <w:szCs w:val="24"/>
        </w:rPr>
        <w:t>,</w:t>
      </w:r>
      <w:r w:rsidRPr="00046316">
        <w:rPr>
          <w:sz w:val="24"/>
          <w:szCs w:val="24"/>
        </w:rPr>
        <w:t xml:space="preserve"> e auxilia</w:t>
      </w:r>
      <w:r>
        <w:rPr>
          <w:sz w:val="24"/>
          <w:szCs w:val="24"/>
        </w:rPr>
        <w:t>m para</w:t>
      </w:r>
      <w:r w:rsidRPr="00046316">
        <w:rPr>
          <w:sz w:val="24"/>
          <w:szCs w:val="24"/>
        </w:rPr>
        <w:t xml:space="preserve"> investimentos posteriores (Shackelford &amp; Shevlin, 2001). Além disso, Gupta e Newberry (1997) destacam a relevância de se investigar sobre a variabilidade da ETR corporativa, pois pode auxiliar na compreensão dos impactos de políticas fiscais sobre os encargos fiscais das empresas.</w:t>
      </w:r>
      <w:r w:rsidRPr="00046316">
        <w:rPr>
          <w:sz w:val="24"/>
          <w:szCs w:val="24"/>
        </w:rPr>
        <w:tab/>
      </w:r>
    </w:p>
    <w:p w14:paraId="586DA19C" w14:textId="674FC3B3" w:rsidR="00636682" w:rsidRPr="007100F8" w:rsidRDefault="00636682">
      <w:pPr>
        <w:ind w:firstLine="708"/>
        <w:jc w:val="both"/>
        <w:rPr>
          <w:sz w:val="24"/>
          <w:szCs w:val="24"/>
        </w:rPr>
      </w:pPr>
      <w:r w:rsidRPr="00046316">
        <w:rPr>
          <w:sz w:val="24"/>
          <w:szCs w:val="24"/>
        </w:rPr>
        <w:tab/>
      </w:r>
      <w:r>
        <w:rPr>
          <w:sz w:val="24"/>
          <w:szCs w:val="24"/>
        </w:rPr>
        <w:t>Os</w:t>
      </w:r>
      <w:r w:rsidRPr="00046316">
        <w:rPr>
          <w:sz w:val="24"/>
          <w:szCs w:val="24"/>
        </w:rPr>
        <w:t xml:space="preserve"> valores relacionados aos tributos incidente</w:t>
      </w:r>
      <w:r>
        <w:rPr>
          <w:sz w:val="24"/>
          <w:szCs w:val="24"/>
        </w:rPr>
        <w:t>s</w:t>
      </w:r>
      <w:r w:rsidRPr="00046316">
        <w:rPr>
          <w:sz w:val="24"/>
          <w:szCs w:val="24"/>
        </w:rPr>
        <w:t xml:space="preserve"> sobre </w:t>
      </w:r>
      <w:r>
        <w:rPr>
          <w:sz w:val="24"/>
          <w:szCs w:val="24"/>
        </w:rPr>
        <w:t xml:space="preserve">os </w:t>
      </w:r>
      <w:r w:rsidRPr="00046316">
        <w:rPr>
          <w:sz w:val="24"/>
          <w:szCs w:val="24"/>
        </w:rPr>
        <w:t xml:space="preserve">rendimentos </w:t>
      </w:r>
      <w:r>
        <w:rPr>
          <w:sz w:val="24"/>
          <w:szCs w:val="24"/>
        </w:rPr>
        <w:t xml:space="preserve">de </w:t>
      </w:r>
      <w:r w:rsidRPr="00046316">
        <w:rPr>
          <w:sz w:val="24"/>
          <w:szCs w:val="24"/>
        </w:rPr>
        <w:t>pessoa</w:t>
      </w:r>
      <w:r>
        <w:rPr>
          <w:sz w:val="24"/>
          <w:szCs w:val="24"/>
        </w:rPr>
        <w:t>s</w:t>
      </w:r>
      <w:r w:rsidRPr="00046316">
        <w:rPr>
          <w:sz w:val="24"/>
          <w:szCs w:val="24"/>
        </w:rPr>
        <w:t xml:space="preserve"> jurídica</w:t>
      </w:r>
      <w:r>
        <w:rPr>
          <w:sz w:val="24"/>
          <w:szCs w:val="24"/>
        </w:rPr>
        <w:t>s</w:t>
      </w:r>
      <w:r w:rsidRPr="00046316">
        <w:rPr>
          <w:sz w:val="24"/>
          <w:szCs w:val="24"/>
        </w:rPr>
        <w:t xml:space="preserve"> </w:t>
      </w:r>
      <w:r>
        <w:rPr>
          <w:sz w:val="24"/>
          <w:szCs w:val="24"/>
        </w:rPr>
        <w:t>do Brasil,</w:t>
      </w:r>
      <w:r w:rsidRPr="00046316">
        <w:rPr>
          <w:sz w:val="24"/>
          <w:szCs w:val="24"/>
        </w:rPr>
        <w:t xml:space="preserve"> consistem nos Impostos de Renda Pessoa Jurídica (IRPJ) e Contribuição Social sobre o Lucro Líquido (CSLL)</w:t>
      </w:r>
      <w:r>
        <w:rPr>
          <w:sz w:val="24"/>
          <w:szCs w:val="24"/>
        </w:rPr>
        <w:t xml:space="preserve">. Eles são </w:t>
      </w:r>
      <w:r w:rsidRPr="00046316">
        <w:rPr>
          <w:sz w:val="24"/>
          <w:szCs w:val="24"/>
        </w:rPr>
        <w:t>regidos pela Lei nº 9.249, de 1995. Isoladamente</w:t>
      </w:r>
      <w:r>
        <w:rPr>
          <w:sz w:val="24"/>
          <w:szCs w:val="24"/>
        </w:rPr>
        <w:t>,</w:t>
      </w:r>
      <w:r w:rsidRPr="00046316">
        <w:rPr>
          <w:sz w:val="24"/>
          <w:szCs w:val="24"/>
        </w:rPr>
        <w:t xml:space="preserve"> o IRPJ corresponde ao segundo maior tributo brasileiro, </w:t>
      </w:r>
      <w:r>
        <w:rPr>
          <w:sz w:val="24"/>
          <w:szCs w:val="24"/>
        </w:rPr>
        <w:t xml:space="preserve">e </w:t>
      </w:r>
      <w:r w:rsidRPr="00046316">
        <w:rPr>
          <w:sz w:val="24"/>
          <w:szCs w:val="24"/>
        </w:rPr>
        <w:t>perde apenas para o ICMS.</w:t>
      </w:r>
      <w:r w:rsidR="001B31C1">
        <w:rPr>
          <w:sz w:val="24"/>
          <w:szCs w:val="24"/>
        </w:rPr>
        <w:t xml:space="preserve"> No Brasil, </w:t>
      </w:r>
      <w:r w:rsidRPr="007100F8">
        <w:rPr>
          <w:sz w:val="24"/>
          <w:szCs w:val="24"/>
        </w:rPr>
        <w:t xml:space="preserve">com IR e CSLL, </w:t>
      </w:r>
      <w:r>
        <w:rPr>
          <w:sz w:val="24"/>
          <w:szCs w:val="24"/>
        </w:rPr>
        <w:t xml:space="preserve">as </w:t>
      </w:r>
      <w:r w:rsidRPr="007100F8">
        <w:rPr>
          <w:sz w:val="24"/>
          <w:szCs w:val="24"/>
        </w:rPr>
        <w:t xml:space="preserve">empresas não financeiras podem chegar a ter um encargo tributário de até 34% em um único período. </w:t>
      </w:r>
      <w:r>
        <w:rPr>
          <w:sz w:val="24"/>
          <w:szCs w:val="24"/>
        </w:rPr>
        <w:t>E</w:t>
      </w:r>
      <w:r w:rsidRPr="007100F8">
        <w:rPr>
          <w:sz w:val="24"/>
          <w:szCs w:val="24"/>
        </w:rPr>
        <w:t>ste</w:t>
      </w:r>
      <w:r>
        <w:rPr>
          <w:sz w:val="24"/>
          <w:szCs w:val="24"/>
        </w:rPr>
        <w:t xml:space="preserve"> fator</w:t>
      </w:r>
      <w:r w:rsidRPr="007100F8">
        <w:rPr>
          <w:sz w:val="24"/>
          <w:szCs w:val="24"/>
        </w:rPr>
        <w:t xml:space="preserve"> destaca a relevância de estudos na área tributária. Wang (1991) indic</w:t>
      </w:r>
      <w:r w:rsidR="001B31C1">
        <w:rPr>
          <w:sz w:val="24"/>
          <w:szCs w:val="24"/>
        </w:rPr>
        <w:t>a</w:t>
      </w:r>
      <w:r w:rsidRPr="007100F8">
        <w:rPr>
          <w:sz w:val="24"/>
          <w:szCs w:val="24"/>
        </w:rPr>
        <w:t>, em geral, a ETR tende a estar abaixo da taxa de imposto legal.</w:t>
      </w:r>
    </w:p>
    <w:p w14:paraId="00DDD4E3" w14:textId="77777777" w:rsidR="00636682" w:rsidRPr="00046316" w:rsidRDefault="00636682" w:rsidP="00636682">
      <w:pPr>
        <w:ind w:firstLine="708"/>
        <w:jc w:val="both"/>
        <w:rPr>
          <w:sz w:val="24"/>
          <w:szCs w:val="24"/>
        </w:rPr>
      </w:pPr>
      <w:r w:rsidRPr="007100F8">
        <w:t xml:space="preserve"> </w:t>
      </w:r>
      <w:r w:rsidRPr="007100F8">
        <w:rPr>
          <w:sz w:val="24"/>
          <w:szCs w:val="24"/>
        </w:rPr>
        <w:t xml:space="preserve">Os resultados do estudo de Dyreng </w:t>
      </w:r>
      <w:r w:rsidRPr="0042038B">
        <w:rPr>
          <w:i/>
          <w:sz w:val="24"/>
          <w:szCs w:val="24"/>
        </w:rPr>
        <w:t>et al</w:t>
      </w:r>
      <w:r>
        <w:rPr>
          <w:sz w:val="24"/>
          <w:szCs w:val="24"/>
        </w:rPr>
        <w:t>.</w:t>
      </w:r>
      <w:r w:rsidRPr="0042038B">
        <w:rPr>
          <w:sz w:val="24"/>
          <w:szCs w:val="24"/>
        </w:rPr>
        <w:t xml:space="preserve"> (2017) revelam que tanto as empresas nacionais </w:t>
      </w:r>
      <w:r>
        <w:rPr>
          <w:sz w:val="24"/>
          <w:szCs w:val="24"/>
        </w:rPr>
        <w:t>como</w:t>
      </w:r>
      <w:r w:rsidRPr="0042038B">
        <w:rPr>
          <w:sz w:val="24"/>
          <w:szCs w:val="24"/>
        </w:rPr>
        <w:t xml:space="preserve"> as multinacionais também têm apresentado taxas de imposto efetivas em declínio ao longo do tempo, comparativamente </w:t>
      </w:r>
      <w:r>
        <w:rPr>
          <w:sz w:val="24"/>
          <w:szCs w:val="24"/>
        </w:rPr>
        <w:t>à</w:t>
      </w:r>
      <w:r w:rsidRPr="0042038B">
        <w:rPr>
          <w:sz w:val="24"/>
          <w:szCs w:val="24"/>
        </w:rPr>
        <w:t xml:space="preserve">s taxas de imposto legais. Isso sugere que </w:t>
      </w:r>
      <w:r>
        <w:rPr>
          <w:sz w:val="24"/>
          <w:szCs w:val="24"/>
        </w:rPr>
        <w:t>há</w:t>
      </w:r>
      <w:r w:rsidRPr="0042038B">
        <w:rPr>
          <w:sz w:val="24"/>
          <w:szCs w:val="24"/>
        </w:rPr>
        <w:t xml:space="preserve"> oportunidades significativas e crescentes para red</w:t>
      </w:r>
      <w:r w:rsidRPr="008F43C7">
        <w:rPr>
          <w:sz w:val="24"/>
          <w:szCs w:val="24"/>
        </w:rPr>
        <w:t>uzir taxas de imposto efetivas sobre a renda destas empresas, por meio do planejamento ou de provisões tributárias.</w:t>
      </w:r>
      <w:r w:rsidRPr="00046316">
        <w:rPr>
          <w:sz w:val="24"/>
          <w:szCs w:val="24"/>
        </w:rPr>
        <w:t xml:space="preserve"> </w:t>
      </w:r>
    </w:p>
    <w:p w14:paraId="593CBB91" w14:textId="77777777" w:rsidR="00636682" w:rsidRPr="007100F8" w:rsidRDefault="00636682" w:rsidP="00636682">
      <w:pPr>
        <w:ind w:firstLine="708"/>
        <w:jc w:val="both"/>
        <w:rPr>
          <w:sz w:val="24"/>
          <w:szCs w:val="24"/>
        </w:rPr>
      </w:pPr>
      <w:r w:rsidRPr="00A2410D">
        <w:rPr>
          <w:sz w:val="24"/>
          <w:szCs w:val="24"/>
        </w:rPr>
        <w:t xml:space="preserve">O estudo sobre a tributação e planejamento sobre o lucro, conforme Graham, Raedy e Shackelford (2012), é relevante por quatro principais fatores: </w:t>
      </w:r>
      <w:r>
        <w:rPr>
          <w:sz w:val="24"/>
          <w:szCs w:val="24"/>
        </w:rPr>
        <w:t xml:space="preserve">a) </w:t>
      </w:r>
      <w:r w:rsidRPr="007100F8">
        <w:rPr>
          <w:sz w:val="24"/>
          <w:szCs w:val="24"/>
        </w:rPr>
        <w:t xml:space="preserve">representa um custo comum e substancial para todas as empresas; </w:t>
      </w:r>
      <w:r>
        <w:rPr>
          <w:sz w:val="24"/>
          <w:szCs w:val="24"/>
        </w:rPr>
        <w:t>b)</w:t>
      </w:r>
      <w:r w:rsidRPr="007100F8">
        <w:rPr>
          <w:sz w:val="24"/>
          <w:szCs w:val="24"/>
        </w:rPr>
        <w:t xml:space="preserve"> as informações contábeis fornecem dados para os usuários externos, tais como investidores, credores e autoridades tributárias; </w:t>
      </w:r>
      <w:r>
        <w:rPr>
          <w:sz w:val="24"/>
          <w:szCs w:val="24"/>
        </w:rPr>
        <w:t>c)</w:t>
      </w:r>
      <w:r w:rsidRPr="007100F8">
        <w:rPr>
          <w:sz w:val="24"/>
          <w:szCs w:val="24"/>
        </w:rPr>
        <w:t xml:space="preserve"> fornece uma medida alternativa dos ganhos efetivos, considerando as diferenças entre lucro contábil e lucro fiscal; </w:t>
      </w:r>
      <w:r>
        <w:rPr>
          <w:sz w:val="24"/>
          <w:szCs w:val="24"/>
        </w:rPr>
        <w:t>d)</w:t>
      </w:r>
      <w:r w:rsidRPr="007100F8">
        <w:rPr>
          <w:sz w:val="24"/>
          <w:szCs w:val="24"/>
        </w:rPr>
        <w:t xml:space="preserve"> é um componente destacado da demonstração do resultado.</w:t>
      </w:r>
    </w:p>
    <w:p w14:paraId="09F47EE0" w14:textId="77777777" w:rsidR="00636682" w:rsidRPr="007100F8" w:rsidRDefault="00636682" w:rsidP="00636682">
      <w:pPr>
        <w:ind w:firstLine="708"/>
        <w:jc w:val="both"/>
        <w:rPr>
          <w:sz w:val="24"/>
          <w:szCs w:val="24"/>
        </w:rPr>
      </w:pPr>
      <w:r w:rsidRPr="00A2410D">
        <w:rPr>
          <w:sz w:val="24"/>
          <w:szCs w:val="24"/>
        </w:rPr>
        <w:t>Tang (2005) destaca que altas cargas tributárias refletem em baixo desempenho, além de menor vantagem competitiva, devido ao fato dos encargos afetarem negativamente o retorno do investimento e reduz</w:t>
      </w:r>
      <w:r>
        <w:rPr>
          <w:sz w:val="24"/>
          <w:szCs w:val="24"/>
        </w:rPr>
        <w:t>ir</w:t>
      </w:r>
      <w:r w:rsidRPr="007100F8">
        <w:rPr>
          <w:sz w:val="24"/>
          <w:szCs w:val="24"/>
        </w:rPr>
        <w:t>em o fluxo de caixa das empresas. Torna-se imprescindível</w:t>
      </w:r>
      <w:r>
        <w:rPr>
          <w:sz w:val="24"/>
          <w:szCs w:val="24"/>
        </w:rPr>
        <w:t>,</w:t>
      </w:r>
      <w:r w:rsidRPr="007100F8">
        <w:rPr>
          <w:sz w:val="24"/>
          <w:szCs w:val="24"/>
        </w:rPr>
        <w:t xml:space="preserve"> desta forma, que a gestão busque alternativas legais</w:t>
      </w:r>
      <w:r>
        <w:rPr>
          <w:sz w:val="24"/>
          <w:szCs w:val="24"/>
        </w:rPr>
        <w:t>. É</w:t>
      </w:r>
      <w:r w:rsidRPr="007100F8">
        <w:rPr>
          <w:sz w:val="24"/>
          <w:szCs w:val="24"/>
        </w:rPr>
        <w:t xml:space="preserve"> o caso </w:t>
      </w:r>
      <w:r>
        <w:rPr>
          <w:sz w:val="24"/>
          <w:szCs w:val="24"/>
        </w:rPr>
        <w:t xml:space="preserve">da busca pelo </w:t>
      </w:r>
      <w:r w:rsidRPr="007100F8">
        <w:rPr>
          <w:sz w:val="24"/>
          <w:szCs w:val="24"/>
        </w:rPr>
        <w:t xml:space="preserve">planejamento tributário, que </w:t>
      </w:r>
      <w:r>
        <w:rPr>
          <w:sz w:val="24"/>
          <w:szCs w:val="24"/>
        </w:rPr>
        <w:t>ajuda a</w:t>
      </w:r>
      <w:r w:rsidRPr="007100F8">
        <w:rPr>
          <w:sz w:val="24"/>
          <w:szCs w:val="24"/>
        </w:rPr>
        <w:t xml:space="preserve"> reduzir a carga fiscal, já que pode reduzir </w:t>
      </w:r>
      <w:r>
        <w:rPr>
          <w:sz w:val="24"/>
          <w:szCs w:val="24"/>
        </w:rPr>
        <w:t xml:space="preserve">os </w:t>
      </w:r>
      <w:r w:rsidRPr="007100F8">
        <w:rPr>
          <w:sz w:val="24"/>
          <w:szCs w:val="24"/>
        </w:rPr>
        <w:t xml:space="preserve">efeitos nocivos da incidência tributária sobre </w:t>
      </w:r>
      <w:r>
        <w:rPr>
          <w:sz w:val="24"/>
          <w:szCs w:val="24"/>
        </w:rPr>
        <w:t>as</w:t>
      </w:r>
      <w:r w:rsidRPr="007100F8">
        <w:rPr>
          <w:sz w:val="24"/>
          <w:szCs w:val="24"/>
        </w:rPr>
        <w:t xml:space="preserve"> atividades. </w:t>
      </w:r>
    </w:p>
    <w:p w14:paraId="03B4041C" w14:textId="77777777" w:rsidR="00636682" w:rsidRPr="007100F8" w:rsidRDefault="00636682" w:rsidP="00636682">
      <w:pPr>
        <w:ind w:firstLine="708"/>
        <w:jc w:val="both"/>
        <w:rPr>
          <w:sz w:val="24"/>
          <w:szCs w:val="24"/>
        </w:rPr>
      </w:pPr>
      <w:r w:rsidRPr="00A2410D">
        <w:rPr>
          <w:sz w:val="24"/>
          <w:szCs w:val="24"/>
        </w:rPr>
        <w:lastRenderedPageBreak/>
        <w:t xml:space="preserve">Os impostos e contribuições tributárias atribuem valor institucional, mas também impactam em seus resultados e consequentemente em sua rentabilidade (Hanlon &amp; Heitzman, 2010). </w:t>
      </w:r>
      <w:r>
        <w:rPr>
          <w:sz w:val="24"/>
          <w:szCs w:val="24"/>
        </w:rPr>
        <w:t>É</w:t>
      </w:r>
      <w:r w:rsidRPr="007100F8">
        <w:rPr>
          <w:sz w:val="24"/>
          <w:szCs w:val="24"/>
        </w:rPr>
        <w:t xml:space="preserve"> necessário</w:t>
      </w:r>
      <w:r>
        <w:rPr>
          <w:sz w:val="24"/>
          <w:szCs w:val="24"/>
        </w:rPr>
        <w:t>,</w:t>
      </w:r>
      <w:r w:rsidRPr="007100F8">
        <w:rPr>
          <w:sz w:val="24"/>
          <w:szCs w:val="24"/>
        </w:rPr>
        <w:t xml:space="preserve"> para manter um diferencial competitivo entre as organizações</w:t>
      </w:r>
      <w:r>
        <w:rPr>
          <w:sz w:val="24"/>
          <w:szCs w:val="24"/>
        </w:rPr>
        <w:t>,</w:t>
      </w:r>
      <w:r w:rsidRPr="007100F8">
        <w:rPr>
          <w:sz w:val="24"/>
          <w:szCs w:val="24"/>
        </w:rPr>
        <w:t xml:space="preserve"> </w:t>
      </w:r>
      <w:r>
        <w:rPr>
          <w:sz w:val="24"/>
          <w:szCs w:val="24"/>
        </w:rPr>
        <w:t>o uso</w:t>
      </w:r>
      <w:r w:rsidRPr="007100F8">
        <w:rPr>
          <w:sz w:val="24"/>
          <w:szCs w:val="24"/>
        </w:rPr>
        <w:t xml:space="preserve"> de práticas de planejamento tributário, </w:t>
      </w:r>
      <w:r>
        <w:rPr>
          <w:sz w:val="24"/>
          <w:szCs w:val="24"/>
        </w:rPr>
        <w:t xml:space="preserve">que são </w:t>
      </w:r>
      <w:r w:rsidRPr="007100F8">
        <w:rPr>
          <w:sz w:val="24"/>
          <w:szCs w:val="24"/>
        </w:rPr>
        <w:t xml:space="preserve">conhecidas por contemplar estratégias lícitas de redução de carga tributária. </w:t>
      </w:r>
    </w:p>
    <w:p w14:paraId="2C0E6A82" w14:textId="77777777" w:rsidR="00636682" w:rsidRPr="0042038B" w:rsidRDefault="00636682" w:rsidP="00636682">
      <w:pPr>
        <w:ind w:firstLine="708"/>
        <w:jc w:val="both"/>
        <w:rPr>
          <w:sz w:val="24"/>
          <w:szCs w:val="24"/>
        </w:rPr>
      </w:pPr>
      <w:r w:rsidRPr="00A2410D">
        <w:rPr>
          <w:sz w:val="24"/>
          <w:szCs w:val="24"/>
        </w:rPr>
        <w:t xml:space="preserve">Entre estas práticas, a literatura destaca a elisão fiscal como uma medida legítima na economia de tributos. A elisão busca reduzir, retardar ou evitar pagamentos tributários de uma maneira menos onerosa (Glaser, 2010), com a redução nos passivos fiscais corporativos explícitos (Hanlon &amp; Heitzman (2010). Já para Chen </w:t>
      </w:r>
      <w:r w:rsidRPr="0042038B">
        <w:rPr>
          <w:i/>
          <w:sz w:val="24"/>
          <w:szCs w:val="24"/>
        </w:rPr>
        <w:t>et al</w:t>
      </w:r>
      <w:r w:rsidRPr="0042038B">
        <w:rPr>
          <w:sz w:val="24"/>
          <w:szCs w:val="24"/>
        </w:rPr>
        <w:t>. (2010), a elisão fiscal engloba atividades de planejamento tributário legais, ou atividades que podem cair em uma área cinzenta, como atividades ilegais.</w:t>
      </w:r>
    </w:p>
    <w:p w14:paraId="4018C9E1" w14:textId="77777777" w:rsidR="00636682" w:rsidRPr="007100F8" w:rsidRDefault="00636682" w:rsidP="00636682">
      <w:pPr>
        <w:ind w:firstLine="708"/>
        <w:jc w:val="both"/>
        <w:rPr>
          <w:sz w:val="24"/>
          <w:szCs w:val="24"/>
        </w:rPr>
      </w:pPr>
      <w:r w:rsidRPr="008F43C7">
        <w:rPr>
          <w:sz w:val="24"/>
          <w:szCs w:val="24"/>
        </w:rPr>
        <w:t xml:space="preserve">Uma medida amplamente utilizada para verificar a elisão é a ETR. A ETR é utilizada, segundo Phillips (2003), porque ajuda a estimar a eficácia nas atividades de planejamento tributário das empresas. Embora </w:t>
      </w:r>
      <w:r>
        <w:rPr>
          <w:sz w:val="24"/>
          <w:szCs w:val="24"/>
        </w:rPr>
        <w:t>ela</w:t>
      </w:r>
      <w:r w:rsidRPr="008F43C7">
        <w:rPr>
          <w:sz w:val="24"/>
          <w:szCs w:val="24"/>
        </w:rPr>
        <w:t xml:space="preserve"> seja medida como a proporção do passivo tributário para a renda contáb</w:t>
      </w:r>
      <w:r w:rsidRPr="007100F8">
        <w:rPr>
          <w:sz w:val="24"/>
          <w:szCs w:val="24"/>
        </w:rPr>
        <w:t xml:space="preserve">il, </w:t>
      </w:r>
      <w:r>
        <w:rPr>
          <w:sz w:val="24"/>
          <w:szCs w:val="24"/>
        </w:rPr>
        <w:t>há</w:t>
      </w:r>
      <w:r w:rsidRPr="007100F8">
        <w:rPr>
          <w:sz w:val="24"/>
          <w:szCs w:val="24"/>
        </w:rPr>
        <w:t xml:space="preserve"> </w:t>
      </w:r>
      <w:r>
        <w:rPr>
          <w:sz w:val="24"/>
          <w:szCs w:val="24"/>
        </w:rPr>
        <w:t>diversas</w:t>
      </w:r>
      <w:r w:rsidRPr="007100F8">
        <w:rPr>
          <w:sz w:val="24"/>
          <w:szCs w:val="24"/>
        </w:rPr>
        <w:t xml:space="preserve"> variantes documentadas na literatura </w:t>
      </w:r>
      <w:r>
        <w:rPr>
          <w:sz w:val="24"/>
          <w:szCs w:val="24"/>
        </w:rPr>
        <w:t>(</w:t>
      </w:r>
      <w:r w:rsidRPr="007100F8">
        <w:rPr>
          <w:sz w:val="24"/>
          <w:szCs w:val="24"/>
        </w:rPr>
        <w:t>Hanlon &amp; Heitzman, 2010).</w:t>
      </w:r>
    </w:p>
    <w:p w14:paraId="12058F9D" w14:textId="765720C3" w:rsidR="00636682" w:rsidRPr="0042038B" w:rsidRDefault="00636682" w:rsidP="00636682">
      <w:pPr>
        <w:ind w:firstLine="708"/>
        <w:jc w:val="both"/>
        <w:rPr>
          <w:sz w:val="24"/>
          <w:szCs w:val="24"/>
        </w:rPr>
      </w:pPr>
      <w:r>
        <w:rPr>
          <w:sz w:val="24"/>
          <w:szCs w:val="24"/>
        </w:rPr>
        <w:t>As</w:t>
      </w:r>
      <w:r w:rsidRPr="007100F8">
        <w:rPr>
          <w:sz w:val="24"/>
          <w:szCs w:val="24"/>
        </w:rPr>
        <w:t xml:space="preserve"> principais variantes da ETR que buscam auferir níveis de ETR referem-se a: </w:t>
      </w:r>
      <w:r w:rsidRPr="00993FE6">
        <w:rPr>
          <w:i/>
          <w:sz w:val="24"/>
          <w:szCs w:val="24"/>
        </w:rPr>
        <w:t>GAAP ETR</w:t>
      </w:r>
      <w:r w:rsidR="001D6E2A">
        <w:rPr>
          <w:i/>
          <w:sz w:val="24"/>
          <w:szCs w:val="24"/>
        </w:rPr>
        <w:t xml:space="preserve">, </w:t>
      </w:r>
      <w:r w:rsidRPr="00993FE6">
        <w:rPr>
          <w:i/>
          <w:sz w:val="24"/>
          <w:szCs w:val="24"/>
        </w:rPr>
        <w:t>Current ETR, Long-run Cash ETR, ETR- Tax Expense to Operating Cash Flow e Cash Tax Paid to Operating Cash Flow</w:t>
      </w:r>
      <w:r w:rsidRPr="007100F8">
        <w:rPr>
          <w:sz w:val="24"/>
          <w:szCs w:val="24"/>
        </w:rPr>
        <w:t xml:space="preserve"> </w:t>
      </w:r>
      <w:r>
        <w:rPr>
          <w:sz w:val="24"/>
          <w:szCs w:val="24"/>
        </w:rPr>
        <w:t>(</w:t>
      </w:r>
      <w:r w:rsidR="001D6E2A">
        <w:rPr>
          <w:sz w:val="24"/>
          <w:szCs w:val="24"/>
        </w:rPr>
        <w:t xml:space="preserve">Exemplos: </w:t>
      </w:r>
      <w:r w:rsidR="001D6E2A" w:rsidRPr="007100F8">
        <w:rPr>
          <w:sz w:val="24"/>
          <w:szCs w:val="24"/>
        </w:rPr>
        <w:t xml:space="preserve">Chen </w:t>
      </w:r>
      <w:r w:rsidR="001D6E2A" w:rsidRPr="0042038B">
        <w:rPr>
          <w:i/>
          <w:sz w:val="24"/>
          <w:szCs w:val="24"/>
        </w:rPr>
        <w:t>et al</w:t>
      </w:r>
      <w:r w:rsidR="001D6E2A">
        <w:rPr>
          <w:sz w:val="24"/>
          <w:szCs w:val="24"/>
        </w:rPr>
        <w:t>., 2010;</w:t>
      </w:r>
      <w:r w:rsidR="001D6E2A" w:rsidRPr="0042038B">
        <w:rPr>
          <w:sz w:val="24"/>
          <w:szCs w:val="24"/>
        </w:rPr>
        <w:t xml:space="preserve"> Dyreng </w:t>
      </w:r>
      <w:r w:rsidR="001D6E2A" w:rsidRPr="0042038B">
        <w:rPr>
          <w:i/>
          <w:sz w:val="24"/>
          <w:szCs w:val="24"/>
        </w:rPr>
        <w:t>et al</w:t>
      </w:r>
      <w:r w:rsidR="001D6E2A">
        <w:rPr>
          <w:sz w:val="24"/>
          <w:szCs w:val="24"/>
        </w:rPr>
        <w:t xml:space="preserve">. 2010; Minnick &amp; Noga, 2010; Kim, Li &amp; Zhang, </w:t>
      </w:r>
      <w:r w:rsidR="001D6E2A" w:rsidRPr="0042038B">
        <w:rPr>
          <w:sz w:val="24"/>
          <w:szCs w:val="24"/>
        </w:rPr>
        <w:t>20</w:t>
      </w:r>
      <w:r w:rsidR="001D6E2A">
        <w:rPr>
          <w:sz w:val="24"/>
          <w:szCs w:val="24"/>
        </w:rPr>
        <w:t>11;</w:t>
      </w:r>
      <w:r w:rsidR="001D6E2A" w:rsidRPr="0042038B">
        <w:rPr>
          <w:sz w:val="24"/>
          <w:szCs w:val="24"/>
        </w:rPr>
        <w:t xml:space="preserve"> Armstrong </w:t>
      </w:r>
      <w:r w:rsidR="001D6E2A" w:rsidRPr="0042038B">
        <w:rPr>
          <w:i/>
          <w:sz w:val="24"/>
          <w:szCs w:val="24"/>
        </w:rPr>
        <w:t>et al</w:t>
      </w:r>
      <w:r w:rsidR="001D6E2A">
        <w:rPr>
          <w:sz w:val="24"/>
          <w:szCs w:val="24"/>
        </w:rPr>
        <w:t xml:space="preserve">., 2012; </w:t>
      </w:r>
      <w:r w:rsidRPr="00016818">
        <w:rPr>
          <w:sz w:val="24"/>
          <w:szCs w:val="24"/>
        </w:rPr>
        <w:t>Salihu, Obid e Annuar</w:t>
      </w:r>
      <w:r>
        <w:rPr>
          <w:sz w:val="24"/>
          <w:szCs w:val="24"/>
        </w:rPr>
        <w:t xml:space="preserve">, </w:t>
      </w:r>
      <w:r w:rsidRPr="00016818">
        <w:rPr>
          <w:sz w:val="24"/>
          <w:szCs w:val="24"/>
        </w:rPr>
        <w:t>2013</w:t>
      </w:r>
      <w:r w:rsidR="001D6E2A">
        <w:rPr>
          <w:sz w:val="24"/>
          <w:szCs w:val="24"/>
        </w:rPr>
        <w:t>).</w:t>
      </w:r>
    </w:p>
    <w:p w14:paraId="672FA9A2" w14:textId="77777777" w:rsidR="00636682" w:rsidRPr="00B66825" w:rsidRDefault="00636682" w:rsidP="00636682">
      <w:pPr>
        <w:jc w:val="both"/>
        <w:rPr>
          <w:sz w:val="24"/>
          <w:szCs w:val="24"/>
        </w:rPr>
      </w:pPr>
      <w:r w:rsidRPr="008F43C7">
        <w:rPr>
          <w:sz w:val="24"/>
          <w:szCs w:val="24"/>
        </w:rPr>
        <w:tab/>
        <w:t>Para Shackelford e Shevlin (2001)</w:t>
      </w:r>
      <w:r>
        <w:rPr>
          <w:sz w:val="24"/>
          <w:szCs w:val="24"/>
        </w:rPr>
        <w:t>,</w:t>
      </w:r>
      <w:r w:rsidRPr="008F43C7">
        <w:rPr>
          <w:sz w:val="24"/>
          <w:szCs w:val="24"/>
        </w:rPr>
        <w:t xml:space="preserve"> a ETR por ser um indicador útil na identificação do real valor desembolsado pelas organizações, em termos de volume de tributos recolhidos sobre</w:t>
      </w:r>
      <w:r w:rsidRPr="00A2410D">
        <w:rPr>
          <w:sz w:val="24"/>
          <w:szCs w:val="24"/>
        </w:rPr>
        <w:t xml:space="preserve"> o lucro</w:t>
      </w:r>
      <w:r>
        <w:rPr>
          <w:sz w:val="24"/>
          <w:szCs w:val="24"/>
        </w:rPr>
        <w:t>. Ela</w:t>
      </w:r>
      <w:r w:rsidRPr="00B66825">
        <w:rPr>
          <w:sz w:val="24"/>
          <w:szCs w:val="24"/>
        </w:rPr>
        <w:t xml:space="preserve"> p</w:t>
      </w:r>
      <w:r>
        <w:rPr>
          <w:sz w:val="24"/>
          <w:szCs w:val="24"/>
        </w:rPr>
        <w:t xml:space="preserve">ermite </w:t>
      </w:r>
      <w:r w:rsidRPr="00B66825">
        <w:rPr>
          <w:sz w:val="24"/>
          <w:szCs w:val="24"/>
        </w:rPr>
        <w:t>confrontar a carga estabelecida pela legislação tributária com a carga real efetiva praticada pela empresa</w:t>
      </w:r>
      <w:r>
        <w:rPr>
          <w:sz w:val="24"/>
          <w:szCs w:val="24"/>
        </w:rPr>
        <w:t>. E ela</w:t>
      </w:r>
      <w:r w:rsidRPr="00B66825">
        <w:rPr>
          <w:sz w:val="24"/>
          <w:szCs w:val="24"/>
        </w:rPr>
        <w:t xml:space="preserve"> se destaca como uma medida eficaz para o planejamento tributário. Por consequente, as ETRs podem identificar distorções de alíquotas de impostos para as tomadas de decisões tanto relativamente ao seu efetivo dispêndio, como no que se refere a</w:t>
      </w:r>
      <w:r>
        <w:rPr>
          <w:sz w:val="24"/>
          <w:szCs w:val="24"/>
        </w:rPr>
        <w:t>os</w:t>
      </w:r>
      <w:r w:rsidRPr="00B66825">
        <w:rPr>
          <w:sz w:val="24"/>
          <w:szCs w:val="24"/>
        </w:rPr>
        <w:t xml:space="preserve"> futuros investimentos (Shevlin, 1999).</w:t>
      </w:r>
    </w:p>
    <w:p w14:paraId="2A8B8C36" w14:textId="77777777" w:rsidR="00636682" w:rsidRPr="000A1C7A" w:rsidRDefault="00636682" w:rsidP="00636682">
      <w:pPr>
        <w:ind w:firstLine="708"/>
        <w:jc w:val="both"/>
        <w:rPr>
          <w:sz w:val="24"/>
          <w:szCs w:val="24"/>
        </w:rPr>
      </w:pPr>
      <w:r w:rsidRPr="00B66825">
        <w:rPr>
          <w:sz w:val="24"/>
          <w:szCs w:val="24"/>
        </w:rPr>
        <w:t>Torna-se</w:t>
      </w:r>
      <w:r>
        <w:rPr>
          <w:sz w:val="24"/>
          <w:szCs w:val="24"/>
        </w:rPr>
        <w:t>,</w:t>
      </w:r>
      <w:r w:rsidRPr="00B66825">
        <w:rPr>
          <w:sz w:val="24"/>
          <w:szCs w:val="24"/>
        </w:rPr>
        <w:t xml:space="preserve"> desta maneira, relevante </w:t>
      </w:r>
      <w:r>
        <w:rPr>
          <w:sz w:val="24"/>
          <w:szCs w:val="24"/>
        </w:rPr>
        <w:t>analisar a</w:t>
      </w:r>
      <w:r w:rsidRPr="00B66825">
        <w:rPr>
          <w:sz w:val="24"/>
          <w:szCs w:val="24"/>
        </w:rPr>
        <w:t xml:space="preserve"> ETR de cada país, bem como </w:t>
      </w:r>
      <w:r>
        <w:rPr>
          <w:sz w:val="24"/>
          <w:szCs w:val="24"/>
        </w:rPr>
        <w:t xml:space="preserve">os </w:t>
      </w:r>
      <w:r w:rsidRPr="00B66825">
        <w:rPr>
          <w:sz w:val="24"/>
          <w:szCs w:val="24"/>
        </w:rPr>
        <w:t>seus principais determinantes</w:t>
      </w:r>
      <w:r>
        <w:rPr>
          <w:sz w:val="24"/>
          <w:szCs w:val="24"/>
        </w:rPr>
        <w:t xml:space="preserve">. Os resultados destas pesquisas podem </w:t>
      </w:r>
      <w:r w:rsidRPr="00B66825">
        <w:rPr>
          <w:sz w:val="24"/>
          <w:szCs w:val="24"/>
        </w:rPr>
        <w:t>trazer implicações tributárias para as empresas. Na sequ</w:t>
      </w:r>
      <w:r>
        <w:rPr>
          <w:sz w:val="24"/>
          <w:szCs w:val="24"/>
        </w:rPr>
        <w:t>ê</w:t>
      </w:r>
      <w:r w:rsidRPr="00A2410D">
        <w:rPr>
          <w:sz w:val="24"/>
          <w:szCs w:val="24"/>
        </w:rPr>
        <w:t>ncia, são expostos os determinantes investigados nesta pesquisa.</w:t>
      </w:r>
    </w:p>
    <w:p w14:paraId="468EBDB9" w14:textId="77777777" w:rsidR="00636682" w:rsidRPr="0042038B" w:rsidRDefault="00636682" w:rsidP="00636682">
      <w:pPr>
        <w:ind w:firstLine="708"/>
        <w:jc w:val="both"/>
        <w:rPr>
          <w:sz w:val="24"/>
          <w:szCs w:val="24"/>
        </w:rPr>
      </w:pPr>
    </w:p>
    <w:p w14:paraId="6D112E55" w14:textId="77777777" w:rsidR="00636682" w:rsidRPr="008F43C7" w:rsidRDefault="00636682" w:rsidP="00636682">
      <w:pPr>
        <w:pStyle w:val="Ttulo1"/>
        <w:spacing w:before="0" w:line="240" w:lineRule="auto"/>
        <w:jc w:val="both"/>
        <w:rPr>
          <w:rFonts w:ascii="Times New Roman" w:hAnsi="Times New Roman" w:cs="Times New Roman"/>
          <w:b/>
          <w:color w:val="auto"/>
          <w:sz w:val="24"/>
          <w:szCs w:val="24"/>
        </w:rPr>
      </w:pPr>
      <w:bookmarkStart w:id="5" w:name="_Hlk492843126"/>
      <w:r w:rsidRPr="008F43C7">
        <w:rPr>
          <w:rFonts w:ascii="Times New Roman" w:hAnsi="Times New Roman" w:cs="Times New Roman"/>
          <w:b/>
          <w:color w:val="auto"/>
          <w:sz w:val="24"/>
          <w:szCs w:val="24"/>
        </w:rPr>
        <w:t>2.2 Fatores determinantes da Taxa Efetiva de Impostos (</w:t>
      </w:r>
      <w:r w:rsidRPr="008F43C7">
        <w:rPr>
          <w:rFonts w:ascii="Times New Roman" w:hAnsi="Times New Roman" w:cs="Times New Roman"/>
          <w:b/>
          <w:i/>
          <w:color w:val="auto"/>
          <w:sz w:val="24"/>
          <w:szCs w:val="24"/>
        </w:rPr>
        <w:t>Effective Tax Rate</w:t>
      </w:r>
      <w:r w:rsidRPr="008F43C7">
        <w:rPr>
          <w:rFonts w:ascii="Times New Roman" w:hAnsi="Times New Roman" w:cs="Times New Roman"/>
          <w:b/>
          <w:color w:val="auto"/>
          <w:sz w:val="24"/>
          <w:szCs w:val="24"/>
        </w:rPr>
        <w:t xml:space="preserve">- ETR) </w:t>
      </w:r>
      <w:bookmarkEnd w:id="5"/>
    </w:p>
    <w:p w14:paraId="472B61B3" w14:textId="77777777" w:rsidR="00636682" w:rsidRPr="00B66825" w:rsidRDefault="00636682" w:rsidP="00636682">
      <w:pPr>
        <w:ind w:firstLine="708"/>
        <w:jc w:val="both"/>
        <w:rPr>
          <w:sz w:val="24"/>
          <w:szCs w:val="24"/>
        </w:rPr>
      </w:pPr>
      <w:r w:rsidRPr="00B66825">
        <w:rPr>
          <w:sz w:val="24"/>
          <w:szCs w:val="24"/>
        </w:rPr>
        <w:t xml:space="preserve"> </w:t>
      </w:r>
      <w:r>
        <w:rPr>
          <w:sz w:val="24"/>
          <w:szCs w:val="24"/>
        </w:rPr>
        <w:t>Há</w:t>
      </w:r>
      <w:r w:rsidRPr="00B66825">
        <w:rPr>
          <w:sz w:val="24"/>
          <w:szCs w:val="24"/>
        </w:rPr>
        <w:t xml:space="preserve"> vários fatores determinantes que vem sendo associados a Taxa Efetiva de Impostos. No entanto, conforme destaca Fernández-Rodríguez &amp; Martínez-Arias (2014), ainda não há um consenso sobre </w:t>
      </w:r>
      <w:r>
        <w:rPr>
          <w:sz w:val="24"/>
          <w:szCs w:val="24"/>
        </w:rPr>
        <w:t>o</w:t>
      </w:r>
      <w:r w:rsidRPr="00B66825">
        <w:rPr>
          <w:sz w:val="24"/>
          <w:szCs w:val="24"/>
        </w:rPr>
        <w:t>s principais determinantes sobre a ETR, como variável dependente.</w:t>
      </w:r>
    </w:p>
    <w:p w14:paraId="664FDC61" w14:textId="77777777" w:rsidR="00636682" w:rsidRPr="000A1C7A" w:rsidRDefault="00636682" w:rsidP="00636682">
      <w:pPr>
        <w:ind w:firstLine="708"/>
        <w:jc w:val="both"/>
        <w:rPr>
          <w:sz w:val="24"/>
          <w:szCs w:val="24"/>
        </w:rPr>
      </w:pPr>
      <w:r w:rsidRPr="00A2410D">
        <w:rPr>
          <w:sz w:val="24"/>
          <w:szCs w:val="24"/>
        </w:rPr>
        <w:t xml:space="preserve">O tamanho, segundo Gupta &amp; Newberry (1997), é uma das variáveis independentes mais utilizadas em estudos relacionados </w:t>
      </w:r>
      <w:r>
        <w:rPr>
          <w:sz w:val="24"/>
          <w:szCs w:val="24"/>
        </w:rPr>
        <w:t xml:space="preserve">com </w:t>
      </w:r>
      <w:r w:rsidRPr="00B66825">
        <w:rPr>
          <w:sz w:val="24"/>
          <w:szCs w:val="24"/>
        </w:rPr>
        <w:t xml:space="preserve">a ETR. Contudo, devido ao código tributário da maioria dos países conceder tratamento diferencial à estrutura de capital e às decisões de mix de ativos organizacionais, aspectos relacionados ao financiamento das empresas e as decisões de investimento provavelmente também poderão afetar seus ETRs. </w:t>
      </w:r>
      <w:r>
        <w:rPr>
          <w:sz w:val="24"/>
          <w:szCs w:val="24"/>
        </w:rPr>
        <w:t>É</w:t>
      </w:r>
      <w:r w:rsidRPr="00B66825">
        <w:rPr>
          <w:sz w:val="24"/>
          <w:szCs w:val="24"/>
        </w:rPr>
        <w:t xml:space="preserve"> relevante estudar estes demais elementos, principalmente </w:t>
      </w:r>
      <w:r>
        <w:rPr>
          <w:sz w:val="24"/>
          <w:szCs w:val="24"/>
        </w:rPr>
        <w:t>aqueles</w:t>
      </w:r>
      <w:r w:rsidRPr="00B66825">
        <w:rPr>
          <w:sz w:val="24"/>
          <w:szCs w:val="24"/>
        </w:rPr>
        <w:t xml:space="preserve"> que impactam em pol</w:t>
      </w:r>
      <w:r>
        <w:rPr>
          <w:sz w:val="24"/>
          <w:szCs w:val="24"/>
        </w:rPr>
        <w:t>í</w:t>
      </w:r>
      <w:r w:rsidRPr="00A2410D">
        <w:rPr>
          <w:sz w:val="24"/>
          <w:szCs w:val="24"/>
        </w:rPr>
        <w:t>ticas de redução de tributos (Fernández-Rodríguez, Martínez-Arias, 2016)</w:t>
      </w:r>
      <w:r w:rsidRPr="000A1C7A">
        <w:rPr>
          <w:sz w:val="24"/>
          <w:szCs w:val="24"/>
        </w:rPr>
        <w:t xml:space="preserve">. </w:t>
      </w:r>
    </w:p>
    <w:p w14:paraId="20C6529A" w14:textId="0C504AAB" w:rsidR="00636682" w:rsidRDefault="00636682" w:rsidP="00636682">
      <w:pPr>
        <w:ind w:firstLine="708"/>
        <w:jc w:val="both"/>
        <w:rPr>
          <w:sz w:val="24"/>
          <w:szCs w:val="24"/>
        </w:rPr>
      </w:pPr>
      <w:r>
        <w:rPr>
          <w:sz w:val="24"/>
          <w:szCs w:val="24"/>
        </w:rPr>
        <w:t>A Figura</w:t>
      </w:r>
      <w:r w:rsidRPr="0042038B">
        <w:rPr>
          <w:sz w:val="24"/>
          <w:szCs w:val="24"/>
        </w:rPr>
        <w:t xml:space="preserve"> 1, apresenta a relação de estudos e evidências anteriores relacionados</w:t>
      </w:r>
      <w:r>
        <w:rPr>
          <w:sz w:val="24"/>
          <w:szCs w:val="24"/>
        </w:rPr>
        <w:t xml:space="preserve"> com</w:t>
      </w:r>
      <w:r w:rsidRPr="0042038B">
        <w:rPr>
          <w:sz w:val="24"/>
          <w:szCs w:val="24"/>
        </w:rPr>
        <w:t xml:space="preserve"> a ETR, </w:t>
      </w:r>
      <w:r w:rsidRPr="008F43C7">
        <w:rPr>
          <w:sz w:val="24"/>
          <w:szCs w:val="24"/>
        </w:rPr>
        <w:t xml:space="preserve">e os seguintes determinantes: Tamanho, Alavancagem, Custo da dívida, Intensidade de Capital, </w:t>
      </w:r>
      <w:r w:rsidRPr="00B66825">
        <w:rPr>
          <w:sz w:val="24"/>
          <w:szCs w:val="24"/>
        </w:rPr>
        <w:t>Depreciação de Ativos não Circulantes e Retorno sobre os ativos</w:t>
      </w:r>
      <w:r>
        <w:rPr>
          <w:sz w:val="24"/>
          <w:szCs w:val="24"/>
        </w:rPr>
        <w:t xml:space="preserve"> (</w:t>
      </w:r>
      <w:r w:rsidRPr="00B66825">
        <w:rPr>
          <w:sz w:val="24"/>
          <w:szCs w:val="24"/>
        </w:rPr>
        <w:t>ROA</w:t>
      </w:r>
      <w:r>
        <w:rPr>
          <w:sz w:val="24"/>
          <w:szCs w:val="24"/>
        </w:rPr>
        <w:t>)</w:t>
      </w:r>
      <w:r w:rsidRPr="00B66825">
        <w:rPr>
          <w:sz w:val="24"/>
          <w:szCs w:val="24"/>
        </w:rPr>
        <w:t>.</w:t>
      </w:r>
    </w:p>
    <w:p w14:paraId="7F4D2FD3" w14:textId="712EB361" w:rsidR="001D6E2A" w:rsidRDefault="001D6E2A" w:rsidP="00636682">
      <w:pPr>
        <w:ind w:firstLine="708"/>
        <w:jc w:val="both"/>
        <w:rPr>
          <w:sz w:val="24"/>
          <w:szCs w:val="24"/>
        </w:rPr>
      </w:pPr>
    </w:p>
    <w:p w14:paraId="27A48FFE" w14:textId="77777777" w:rsidR="001D6E2A" w:rsidRPr="00B66825" w:rsidRDefault="001D6E2A" w:rsidP="00636682">
      <w:pPr>
        <w:ind w:firstLine="708"/>
        <w:jc w:val="both"/>
        <w:rPr>
          <w:sz w:val="24"/>
          <w:szCs w:val="24"/>
        </w:rPr>
      </w:pPr>
    </w:p>
    <w:p w14:paraId="735B9DDB" w14:textId="77777777" w:rsidR="00636682" w:rsidRPr="008F43C7" w:rsidRDefault="00636682" w:rsidP="00636682">
      <w:pPr>
        <w:jc w:val="both"/>
        <w:rPr>
          <w:b/>
        </w:rPr>
      </w:pPr>
      <w:bookmarkStart w:id="6" w:name="footnote3"/>
      <w:bookmarkEnd w:id="6"/>
    </w:p>
    <w:tbl>
      <w:tblPr>
        <w:tblStyle w:val="Tabelacomgrade"/>
        <w:tblW w:w="9067" w:type="dxa"/>
        <w:tblLook w:val="04A0" w:firstRow="1" w:lastRow="0" w:firstColumn="1" w:lastColumn="0" w:noHBand="0" w:noVBand="1"/>
      </w:tblPr>
      <w:tblGrid>
        <w:gridCol w:w="1413"/>
        <w:gridCol w:w="2835"/>
        <w:gridCol w:w="4819"/>
      </w:tblGrid>
      <w:tr w:rsidR="00636682" w:rsidRPr="00A2410D" w14:paraId="7564231F" w14:textId="77777777" w:rsidTr="00CC3874">
        <w:tc>
          <w:tcPr>
            <w:tcW w:w="1413" w:type="dxa"/>
            <w:vAlign w:val="center"/>
          </w:tcPr>
          <w:p w14:paraId="1CC3D871" w14:textId="77777777" w:rsidR="00636682" w:rsidRPr="00707342" w:rsidRDefault="00636682" w:rsidP="00CC3874">
            <w:pPr>
              <w:jc w:val="both"/>
              <w:rPr>
                <w:b/>
                <w:sz w:val="18"/>
                <w:szCs w:val="18"/>
              </w:rPr>
            </w:pPr>
            <w:bookmarkStart w:id="7" w:name="_Hlk501441737"/>
            <w:r w:rsidRPr="00707342">
              <w:rPr>
                <w:b/>
                <w:sz w:val="18"/>
                <w:szCs w:val="18"/>
              </w:rPr>
              <w:lastRenderedPageBreak/>
              <w:t>Variável</w:t>
            </w:r>
          </w:p>
        </w:tc>
        <w:tc>
          <w:tcPr>
            <w:tcW w:w="2835" w:type="dxa"/>
            <w:vAlign w:val="center"/>
          </w:tcPr>
          <w:p w14:paraId="20532086" w14:textId="77777777" w:rsidR="00636682" w:rsidRPr="00A2410D" w:rsidRDefault="00636682" w:rsidP="00CC3874">
            <w:pPr>
              <w:jc w:val="both"/>
              <w:rPr>
                <w:b/>
                <w:sz w:val="18"/>
                <w:szCs w:val="18"/>
              </w:rPr>
            </w:pPr>
            <w:r w:rsidRPr="00A2410D">
              <w:rPr>
                <w:b/>
                <w:sz w:val="18"/>
                <w:szCs w:val="18"/>
              </w:rPr>
              <w:t>Evidências de Estudos Anteriores</w:t>
            </w:r>
          </w:p>
        </w:tc>
        <w:tc>
          <w:tcPr>
            <w:tcW w:w="4819" w:type="dxa"/>
            <w:vAlign w:val="center"/>
          </w:tcPr>
          <w:p w14:paraId="3013745F" w14:textId="77777777" w:rsidR="00636682" w:rsidRPr="00A2410D" w:rsidRDefault="00636682" w:rsidP="00CC3874">
            <w:pPr>
              <w:jc w:val="both"/>
              <w:rPr>
                <w:b/>
                <w:sz w:val="18"/>
                <w:szCs w:val="18"/>
              </w:rPr>
            </w:pPr>
            <w:r w:rsidRPr="00A2410D">
              <w:rPr>
                <w:b/>
                <w:sz w:val="18"/>
                <w:szCs w:val="18"/>
              </w:rPr>
              <w:t>Autores</w:t>
            </w:r>
          </w:p>
        </w:tc>
      </w:tr>
      <w:tr w:rsidR="00636682" w:rsidRPr="00A2410D" w14:paraId="2C1D5BCA" w14:textId="77777777" w:rsidTr="00CC3874">
        <w:tc>
          <w:tcPr>
            <w:tcW w:w="1413" w:type="dxa"/>
            <w:vMerge w:val="restart"/>
            <w:vAlign w:val="center"/>
          </w:tcPr>
          <w:p w14:paraId="1DA44876" w14:textId="77777777" w:rsidR="00636682" w:rsidRPr="00A2410D" w:rsidRDefault="00636682" w:rsidP="00CC3874">
            <w:pPr>
              <w:jc w:val="both"/>
              <w:rPr>
                <w:sz w:val="18"/>
                <w:szCs w:val="18"/>
              </w:rPr>
            </w:pPr>
            <w:r w:rsidRPr="00A2410D">
              <w:rPr>
                <w:sz w:val="18"/>
                <w:szCs w:val="18"/>
              </w:rPr>
              <w:t>Tamanho</w:t>
            </w:r>
          </w:p>
        </w:tc>
        <w:tc>
          <w:tcPr>
            <w:tcW w:w="2835" w:type="dxa"/>
            <w:vAlign w:val="center"/>
          </w:tcPr>
          <w:p w14:paraId="427C956F" w14:textId="77777777" w:rsidR="00636682" w:rsidRPr="00A2410D" w:rsidRDefault="00636682" w:rsidP="00CC3874">
            <w:pPr>
              <w:jc w:val="both"/>
              <w:rPr>
                <w:sz w:val="18"/>
                <w:szCs w:val="18"/>
              </w:rPr>
            </w:pPr>
            <w:r w:rsidRPr="00A2410D">
              <w:rPr>
                <w:sz w:val="18"/>
                <w:szCs w:val="18"/>
              </w:rPr>
              <w:t>- Relação positiva entre tamanho e ETR - custos políticos</w:t>
            </w:r>
          </w:p>
        </w:tc>
        <w:tc>
          <w:tcPr>
            <w:tcW w:w="4819" w:type="dxa"/>
            <w:vAlign w:val="center"/>
          </w:tcPr>
          <w:p w14:paraId="407D9080" w14:textId="77777777" w:rsidR="00636682" w:rsidRPr="0042038B" w:rsidRDefault="00636682" w:rsidP="00CC3874">
            <w:pPr>
              <w:jc w:val="both"/>
              <w:rPr>
                <w:sz w:val="18"/>
                <w:szCs w:val="18"/>
              </w:rPr>
            </w:pPr>
            <w:r w:rsidRPr="00A2410D">
              <w:rPr>
                <w:sz w:val="18"/>
                <w:szCs w:val="18"/>
              </w:rPr>
              <w:t>Zimmerman (1983), Wang (1991), Omer, Molloy e Ziebart (1993), Plesko (2003), Calvé, Labatut e Molina (2005), Paira </w:t>
            </w:r>
            <w:r w:rsidRPr="00A2410D">
              <w:rPr>
                <w:i/>
                <w:iCs/>
                <w:sz w:val="18"/>
                <w:szCs w:val="18"/>
              </w:rPr>
              <w:t>et al. </w:t>
            </w:r>
            <w:r w:rsidRPr="00A2410D">
              <w:rPr>
                <w:sz w:val="18"/>
                <w:szCs w:val="18"/>
              </w:rPr>
              <w:t>(2005) e Rohaya </w:t>
            </w:r>
            <w:r w:rsidRPr="00A2410D">
              <w:rPr>
                <w:i/>
                <w:iCs/>
                <w:sz w:val="18"/>
                <w:szCs w:val="18"/>
              </w:rPr>
              <w:t>et al. </w:t>
            </w:r>
            <w:r w:rsidRPr="00A2410D">
              <w:rPr>
                <w:sz w:val="18"/>
                <w:szCs w:val="18"/>
              </w:rPr>
              <w:t xml:space="preserve">(2010), Chen </w:t>
            </w:r>
            <w:r w:rsidRPr="0042038B">
              <w:rPr>
                <w:i/>
                <w:sz w:val="18"/>
                <w:szCs w:val="18"/>
              </w:rPr>
              <w:t>et al</w:t>
            </w:r>
            <w:r w:rsidRPr="0042038B">
              <w:rPr>
                <w:sz w:val="18"/>
                <w:szCs w:val="18"/>
              </w:rPr>
              <w:t xml:space="preserve">. (2010), Kraft (2014), Delgado </w:t>
            </w:r>
            <w:r w:rsidRPr="0042038B">
              <w:rPr>
                <w:i/>
                <w:sz w:val="18"/>
                <w:szCs w:val="18"/>
              </w:rPr>
              <w:t>et al</w:t>
            </w:r>
            <w:r w:rsidRPr="0042038B">
              <w:rPr>
                <w:sz w:val="18"/>
                <w:szCs w:val="18"/>
              </w:rPr>
              <w:t>. (2014)</w:t>
            </w:r>
          </w:p>
        </w:tc>
      </w:tr>
      <w:tr w:rsidR="00636682" w:rsidRPr="00A2410D" w14:paraId="021E0193" w14:textId="77777777" w:rsidTr="00CC3874">
        <w:tc>
          <w:tcPr>
            <w:tcW w:w="1413" w:type="dxa"/>
            <w:vMerge/>
            <w:vAlign w:val="center"/>
          </w:tcPr>
          <w:p w14:paraId="7D570D53" w14:textId="77777777" w:rsidR="00636682" w:rsidRPr="00A2410D" w:rsidRDefault="00636682" w:rsidP="00CC3874">
            <w:pPr>
              <w:jc w:val="both"/>
              <w:rPr>
                <w:sz w:val="18"/>
                <w:szCs w:val="18"/>
              </w:rPr>
            </w:pPr>
          </w:p>
        </w:tc>
        <w:tc>
          <w:tcPr>
            <w:tcW w:w="2835" w:type="dxa"/>
            <w:vAlign w:val="center"/>
          </w:tcPr>
          <w:p w14:paraId="0FA72B28" w14:textId="77777777" w:rsidR="00636682" w:rsidRPr="00A2410D" w:rsidRDefault="00636682" w:rsidP="00CC3874">
            <w:pPr>
              <w:jc w:val="both"/>
              <w:rPr>
                <w:sz w:val="18"/>
                <w:szCs w:val="18"/>
              </w:rPr>
            </w:pPr>
            <w:r w:rsidRPr="00A2410D">
              <w:rPr>
                <w:sz w:val="18"/>
                <w:szCs w:val="18"/>
              </w:rPr>
              <w:t>- Relação negativa entre o tamanho e a ETR - poder politico</w:t>
            </w:r>
          </w:p>
        </w:tc>
        <w:tc>
          <w:tcPr>
            <w:tcW w:w="4819" w:type="dxa"/>
            <w:vAlign w:val="center"/>
          </w:tcPr>
          <w:p w14:paraId="1B2F56B4" w14:textId="77777777" w:rsidR="00636682" w:rsidRPr="00A2410D" w:rsidRDefault="00636682" w:rsidP="00CC3874">
            <w:pPr>
              <w:jc w:val="both"/>
              <w:rPr>
                <w:sz w:val="18"/>
                <w:szCs w:val="18"/>
              </w:rPr>
            </w:pPr>
            <w:r w:rsidRPr="00A2410D">
              <w:rPr>
                <w:sz w:val="18"/>
                <w:szCs w:val="18"/>
              </w:rPr>
              <w:t>Porcano (1986), Kim e Limpaphayom (1998), Derashid e Zhang (2003), Harris e Feeny (2003), Janssen (2005), Richardson e Lanis (2007) e Chen </w:t>
            </w:r>
            <w:r w:rsidRPr="00A2410D">
              <w:rPr>
                <w:i/>
                <w:iCs/>
                <w:sz w:val="18"/>
                <w:szCs w:val="18"/>
              </w:rPr>
              <w:t>et al. </w:t>
            </w:r>
            <w:r w:rsidRPr="00A2410D">
              <w:rPr>
                <w:sz w:val="18"/>
                <w:szCs w:val="18"/>
              </w:rPr>
              <w:t xml:space="preserve">(2010)  </w:t>
            </w:r>
          </w:p>
        </w:tc>
      </w:tr>
      <w:tr w:rsidR="00636682" w:rsidRPr="00A2410D" w14:paraId="3BE7999D" w14:textId="77777777" w:rsidTr="00CC3874">
        <w:tc>
          <w:tcPr>
            <w:tcW w:w="1413" w:type="dxa"/>
            <w:vMerge/>
            <w:vAlign w:val="center"/>
          </w:tcPr>
          <w:p w14:paraId="542F1122" w14:textId="77777777" w:rsidR="00636682" w:rsidRPr="00A2410D" w:rsidRDefault="00636682" w:rsidP="00CC3874">
            <w:pPr>
              <w:jc w:val="both"/>
              <w:rPr>
                <w:sz w:val="18"/>
                <w:szCs w:val="18"/>
              </w:rPr>
            </w:pPr>
          </w:p>
        </w:tc>
        <w:tc>
          <w:tcPr>
            <w:tcW w:w="2835" w:type="dxa"/>
            <w:vAlign w:val="center"/>
          </w:tcPr>
          <w:p w14:paraId="2CB1300E" w14:textId="77777777" w:rsidR="00636682" w:rsidRPr="00A2410D" w:rsidRDefault="00636682" w:rsidP="00CC3874">
            <w:pPr>
              <w:jc w:val="both"/>
              <w:rPr>
                <w:sz w:val="18"/>
                <w:szCs w:val="18"/>
              </w:rPr>
            </w:pPr>
            <w:r w:rsidRPr="00A2410D">
              <w:rPr>
                <w:sz w:val="18"/>
                <w:szCs w:val="18"/>
              </w:rPr>
              <w:t>- Não identificaram qualquer relação significativa entre tamanho e ETR; ou</w:t>
            </w:r>
          </w:p>
          <w:p w14:paraId="248D4661" w14:textId="77777777" w:rsidR="00636682" w:rsidRPr="00A2410D" w:rsidRDefault="00636682" w:rsidP="00CC3874">
            <w:pPr>
              <w:jc w:val="both"/>
              <w:rPr>
                <w:sz w:val="18"/>
                <w:szCs w:val="18"/>
              </w:rPr>
            </w:pPr>
            <w:r w:rsidRPr="00A2410D">
              <w:rPr>
                <w:sz w:val="18"/>
                <w:szCs w:val="18"/>
              </w:rPr>
              <w:t>- Relações empresas menores suportam uma ETR maiores</w:t>
            </w:r>
          </w:p>
        </w:tc>
        <w:tc>
          <w:tcPr>
            <w:tcW w:w="4819" w:type="dxa"/>
            <w:vAlign w:val="center"/>
          </w:tcPr>
          <w:p w14:paraId="5AD1C10B" w14:textId="77777777" w:rsidR="00636682" w:rsidRPr="000A1C7A" w:rsidRDefault="00636682" w:rsidP="00CC3874">
            <w:pPr>
              <w:jc w:val="both"/>
              <w:rPr>
                <w:sz w:val="18"/>
                <w:szCs w:val="18"/>
              </w:rPr>
            </w:pPr>
            <w:r w:rsidRPr="00A2410D">
              <w:rPr>
                <w:sz w:val="18"/>
                <w:szCs w:val="18"/>
              </w:rPr>
              <w:t>Stickney e McGee (1982), Gupta e Newberry (1997), Wilkinson </w:t>
            </w:r>
            <w:r w:rsidRPr="00A2410D">
              <w:rPr>
                <w:i/>
                <w:iCs/>
                <w:sz w:val="18"/>
                <w:szCs w:val="18"/>
              </w:rPr>
              <w:t>et al. </w:t>
            </w:r>
            <w:r w:rsidRPr="00A2410D">
              <w:rPr>
                <w:sz w:val="18"/>
                <w:szCs w:val="18"/>
              </w:rPr>
              <w:t>(2001), Fernandez-Rodriguez (2004), Feeny </w:t>
            </w:r>
            <w:r w:rsidRPr="00A2410D">
              <w:rPr>
                <w:i/>
                <w:iCs/>
                <w:sz w:val="18"/>
                <w:szCs w:val="18"/>
              </w:rPr>
              <w:t>et al. </w:t>
            </w:r>
            <w:r w:rsidRPr="00A2410D">
              <w:rPr>
                <w:sz w:val="18"/>
                <w:szCs w:val="18"/>
              </w:rPr>
              <w:t xml:space="preserve">(2006) e Liu e Cao (2007), Amstrong </w:t>
            </w:r>
            <w:r w:rsidRPr="0042038B">
              <w:rPr>
                <w:i/>
                <w:sz w:val="18"/>
                <w:szCs w:val="18"/>
              </w:rPr>
              <w:t>et al</w:t>
            </w:r>
            <w:r w:rsidRPr="0042038B">
              <w:rPr>
                <w:sz w:val="18"/>
                <w:szCs w:val="18"/>
              </w:rPr>
              <w:t xml:space="preserve">. (2012), Fernandez-Rodriguez e Martinez-Arias (2011)*; Fonseca-Diaz </w:t>
            </w:r>
            <w:r w:rsidRPr="0042038B">
              <w:rPr>
                <w:i/>
                <w:sz w:val="18"/>
                <w:szCs w:val="18"/>
              </w:rPr>
              <w:t>et al</w:t>
            </w:r>
            <w:r w:rsidRPr="0042038B">
              <w:rPr>
                <w:sz w:val="18"/>
                <w:szCs w:val="18"/>
              </w:rPr>
              <w:t xml:space="preserve">. (2011)*; Delgado </w:t>
            </w:r>
            <w:r w:rsidRPr="0042038B">
              <w:rPr>
                <w:i/>
                <w:sz w:val="18"/>
                <w:szCs w:val="18"/>
              </w:rPr>
              <w:t>et al</w:t>
            </w:r>
            <w:r w:rsidRPr="0042038B">
              <w:rPr>
                <w:sz w:val="18"/>
                <w:szCs w:val="18"/>
              </w:rPr>
              <w:t>.</w:t>
            </w:r>
            <w:r>
              <w:rPr>
                <w:sz w:val="18"/>
                <w:szCs w:val="18"/>
              </w:rPr>
              <w:t xml:space="preserve"> </w:t>
            </w:r>
            <w:r w:rsidRPr="00A2410D">
              <w:rPr>
                <w:sz w:val="18"/>
                <w:szCs w:val="18"/>
              </w:rPr>
              <w:t>(2012)*,</w:t>
            </w:r>
            <w:r w:rsidRPr="00A2410D">
              <w:t xml:space="preserve"> </w:t>
            </w:r>
            <w:r w:rsidRPr="00A2410D">
              <w:rPr>
                <w:sz w:val="18"/>
                <w:szCs w:val="18"/>
              </w:rPr>
              <w:t>Wang, Campbell &amp; Jhonson (2014), Fernández-Rodríguez e Martínez-Arias (2016)*</w:t>
            </w:r>
          </w:p>
        </w:tc>
      </w:tr>
      <w:tr w:rsidR="00636682" w:rsidRPr="00A2410D" w14:paraId="303C1225" w14:textId="77777777" w:rsidTr="00CC3874">
        <w:tc>
          <w:tcPr>
            <w:tcW w:w="1413" w:type="dxa"/>
            <w:vMerge w:val="restart"/>
            <w:vAlign w:val="center"/>
          </w:tcPr>
          <w:p w14:paraId="3EFCF4FA" w14:textId="77777777" w:rsidR="00636682" w:rsidRDefault="00636682" w:rsidP="00CC3874">
            <w:pPr>
              <w:jc w:val="center"/>
              <w:rPr>
                <w:sz w:val="18"/>
                <w:szCs w:val="18"/>
              </w:rPr>
            </w:pPr>
            <w:r w:rsidRPr="00A2410D">
              <w:rPr>
                <w:sz w:val="18"/>
                <w:szCs w:val="18"/>
              </w:rPr>
              <w:t>Alavancagem</w:t>
            </w:r>
          </w:p>
          <w:p w14:paraId="094EE59A" w14:textId="77777777" w:rsidR="00636682" w:rsidRPr="00A2410D" w:rsidRDefault="00636682" w:rsidP="00CC3874">
            <w:pPr>
              <w:jc w:val="center"/>
              <w:rPr>
                <w:sz w:val="18"/>
                <w:szCs w:val="18"/>
              </w:rPr>
            </w:pPr>
            <w:r w:rsidRPr="00A2410D">
              <w:rPr>
                <w:sz w:val="18"/>
                <w:szCs w:val="18"/>
              </w:rPr>
              <w:t>e Custo</w:t>
            </w:r>
            <w:r>
              <w:rPr>
                <w:sz w:val="18"/>
                <w:szCs w:val="18"/>
              </w:rPr>
              <w:t xml:space="preserve"> </w:t>
            </w:r>
            <w:r w:rsidRPr="00A2410D">
              <w:rPr>
                <w:sz w:val="18"/>
                <w:szCs w:val="18"/>
              </w:rPr>
              <w:t>da dívida</w:t>
            </w:r>
          </w:p>
        </w:tc>
        <w:tc>
          <w:tcPr>
            <w:tcW w:w="2835" w:type="dxa"/>
            <w:vAlign w:val="center"/>
          </w:tcPr>
          <w:p w14:paraId="32CB0310" w14:textId="77777777" w:rsidR="00636682" w:rsidRPr="00A2410D" w:rsidRDefault="00636682" w:rsidP="00CC3874">
            <w:pPr>
              <w:jc w:val="both"/>
              <w:rPr>
                <w:sz w:val="18"/>
                <w:szCs w:val="18"/>
              </w:rPr>
            </w:pPr>
            <w:r w:rsidRPr="00A2410D">
              <w:rPr>
                <w:sz w:val="18"/>
                <w:szCs w:val="18"/>
              </w:rPr>
              <w:t>- Relação negativa entre dívida e ETR</w:t>
            </w:r>
          </w:p>
        </w:tc>
        <w:tc>
          <w:tcPr>
            <w:tcW w:w="4819" w:type="dxa"/>
            <w:vAlign w:val="center"/>
          </w:tcPr>
          <w:p w14:paraId="3141468B" w14:textId="77777777" w:rsidR="00636682" w:rsidRPr="0042038B" w:rsidRDefault="00636682" w:rsidP="00CC3874">
            <w:pPr>
              <w:jc w:val="both"/>
              <w:rPr>
                <w:sz w:val="18"/>
                <w:szCs w:val="18"/>
              </w:rPr>
            </w:pPr>
            <w:r w:rsidRPr="00A2410D">
              <w:rPr>
                <w:sz w:val="18"/>
                <w:szCs w:val="18"/>
              </w:rPr>
              <w:t xml:space="preserve">Stickney e McGee (1982), Plesko (2003), Fernandez-Rodriguez (2004), Calvé </w:t>
            </w:r>
            <w:r w:rsidRPr="0042038B">
              <w:rPr>
                <w:i/>
                <w:sz w:val="18"/>
                <w:szCs w:val="18"/>
              </w:rPr>
              <w:t>et al</w:t>
            </w:r>
            <w:r w:rsidRPr="0042038B">
              <w:rPr>
                <w:sz w:val="18"/>
                <w:szCs w:val="18"/>
              </w:rPr>
              <w:t xml:space="preserve">. (2005), Liu e Cao (2007), Richardson e Lanis (2007) e Rohaya </w:t>
            </w:r>
            <w:r w:rsidRPr="0042038B">
              <w:rPr>
                <w:i/>
                <w:sz w:val="18"/>
                <w:szCs w:val="18"/>
              </w:rPr>
              <w:t>et al</w:t>
            </w:r>
            <w:r w:rsidRPr="0042038B">
              <w:rPr>
                <w:sz w:val="18"/>
                <w:szCs w:val="18"/>
              </w:rPr>
              <w:t>. (2010), Kraft (2014)</w:t>
            </w:r>
          </w:p>
        </w:tc>
      </w:tr>
      <w:tr w:rsidR="00636682" w:rsidRPr="00A2410D" w14:paraId="711BA0B9" w14:textId="77777777" w:rsidTr="00CC3874">
        <w:tc>
          <w:tcPr>
            <w:tcW w:w="1413" w:type="dxa"/>
            <w:vMerge/>
            <w:vAlign w:val="center"/>
          </w:tcPr>
          <w:p w14:paraId="0B90F282" w14:textId="77777777" w:rsidR="00636682" w:rsidRPr="00A2410D" w:rsidRDefault="00636682" w:rsidP="00CC3874">
            <w:pPr>
              <w:jc w:val="center"/>
              <w:rPr>
                <w:sz w:val="18"/>
                <w:szCs w:val="18"/>
              </w:rPr>
            </w:pPr>
          </w:p>
        </w:tc>
        <w:tc>
          <w:tcPr>
            <w:tcW w:w="2835" w:type="dxa"/>
            <w:vAlign w:val="center"/>
          </w:tcPr>
          <w:p w14:paraId="52B40944" w14:textId="77777777" w:rsidR="00636682" w:rsidRPr="00A2410D" w:rsidRDefault="00636682" w:rsidP="00CC3874">
            <w:pPr>
              <w:rPr>
                <w:sz w:val="18"/>
                <w:szCs w:val="18"/>
              </w:rPr>
            </w:pPr>
            <w:r w:rsidRPr="00A2410D">
              <w:rPr>
                <w:sz w:val="18"/>
                <w:szCs w:val="18"/>
              </w:rPr>
              <w:t xml:space="preserve">- Relação positiva entre dívida e ETR </w:t>
            </w:r>
          </w:p>
        </w:tc>
        <w:tc>
          <w:tcPr>
            <w:tcW w:w="4819" w:type="dxa"/>
            <w:vAlign w:val="center"/>
          </w:tcPr>
          <w:p w14:paraId="5FD45DB4" w14:textId="77777777" w:rsidR="00636682" w:rsidRPr="0042038B" w:rsidRDefault="00636682" w:rsidP="00CC3874">
            <w:pPr>
              <w:jc w:val="both"/>
              <w:rPr>
                <w:sz w:val="18"/>
                <w:szCs w:val="18"/>
              </w:rPr>
            </w:pPr>
            <w:r w:rsidRPr="00A2410D">
              <w:rPr>
                <w:sz w:val="18"/>
                <w:szCs w:val="18"/>
              </w:rPr>
              <w:t>Harris e Feeny (2003), Janssen (2005), Feeny </w:t>
            </w:r>
            <w:r w:rsidRPr="00A2410D">
              <w:rPr>
                <w:i/>
                <w:iCs/>
                <w:sz w:val="18"/>
                <w:szCs w:val="18"/>
              </w:rPr>
              <w:t>et al. </w:t>
            </w:r>
            <w:r w:rsidRPr="00A2410D">
              <w:rPr>
                <w:sz w:val="18"/>
                <w:szCs w:val="18"/>
              </w:rPr>
              <w:t>(2006), Chen  </w:t>
            </w:r>
            <w:r w:rsidRPr="00A2410D">
              <w:rPr>
                <w:i/>
                <w:iCs/>
                <w:sz w:val="18"/>
                <w:szCs w:val="18"/>
              </w:rPr>
              <w:t>et al. </w:t>
            </w:r>
            <w:r w:rsidRPr="00A2410D">
              <w:rPr>
                <w:sz w:val="18"/>
                <w:szCs w:val="18"/>
              </w:rPr>
              <w:t xml:space="preserve">(2010), Wang, Campbell &amp; Jhonson (2014), Delgado </w:t>
            </w:r>
            <w:r w:rsidRPr="0042038B">
              <w:rPr>
                <w:i/>
                <w:sz w:val="18"/>
                <w:szCs w:val="18"/>
              </w:rPr>
              <w:t>et al</w:t>
            </w:r>
            <w:r w:rsidRPr="0042038B">
              <w:rPr>
                <w:sz w:val="18"/>
                <w:szCs w:val="18"/>
              </w:rPr>
              <w:t>. (2014)</w:t>
            </w:r>
          </w:p>
        </w:tc>
      </w:tr>
      <w:tr w:rsidR="00636682" w:rsidRPr="00A2410D" w14:paraId="2AD9E5CA" w14:textId="77777777" w:rsidTr="00CC3874">
        <w:tc>
          <w:tcPr>
            <w:tcW w:w="1413" w:type="dxa"/>
            <w:vMerge/>
            <w:vAlign w:val="center"/>
          </w:tcPr>
          <w:p w14:paraId="4BF1CD58" w14:textId="77777777" w:rsidR="00636682" w:rsidRPr="00A2410D" w:rsidRDefault="00636682" w:rsidP="00CC3874">
            <w:pPr>
              <w:jc w:val="center"/>
              <w:rPr>
                <w:sz w:val="18"/>
                <w:szCs w:val="18"/>
              </w:rPr>
            </w:pPr>
          </w:p>
        </w:tc>
        <w:tc>
          <w:tcPr>
            <w:tcW w:w="2835" w:type="dxa"/>
            <w:vAlign w:val="center"/>
          </w:tcPr>
          <w:p w14:paraId="165F97CA" w14:textId="77777777" w:rsidR="00636682" w:rsidRPr="00A2410D" w:rsidRDefault="00636682" w:rsidP="00CC3874">
            <w:pPr>
              <w:rPr>
                <w:sz w:val="18"/>
                <w:szCs w:val="18"/>
              </w:rPr>
            </w:pPr>
            <w:r w:rsidRPr="00A2410D">
              <w:rPr>
                <w:sz w:val="18"/>
                <w:szCs w:val="18"/>
              </w:rPr>
              <w:t>- Não identificaram qualquer relação significativa entre a dívida e ETR</w:t>
            </w:r>
          </w:p>
        </w:tc>
        <w:tc>
          <w:tcPr>
            <w:tcW w:w="4819" w:type="dxa"/>
            <w:vAlign w:val="center"/>
          </w:tcPr>
          <w:p w14:paraId="6C4EECA8" w14:textId="77777777" w:rsidR="00636682" w:rsidRPr="0042038B" w:rsidRDefault="00636682" w:rsidP="00CC3874">
            <w:pPr>
              <w:jc w:val="both"/>
              <w:rPr>
                <w:sz w:val="18"/>
                <w:szCs w:val="18"/>
              </w:rPr>
            </w:pPr>
            <w:r w:rsidRPr="00A2410D">
              <w:rPr>
                <w:sz w:val="18"/>
                <w:szCs w:val="18"/>
              </w:rPr>
              <w:t>Kim e Limpaphayom (1998) e Wilkinson </w:t>
            </w:r>
            <w:r w:rsidRPr="00A2410D">
              <w:rPr>
                <w:i/>
                <w:iCs/>
                <w:sz w:val="18"/>
                <w:szCs w:val="18"/>
              </w:rPr>
              <w:t>et al </w:t>
            </w:r>
            <w:r w:rsidRPr="00A2410D">
              <w:rPr>
                <w:sz w:val="18"/>
                <w:szCs w:val="18"/>
              </w:rPr>
              <w:t xml:space="preserve">. (2001), Fernandez-Rodriguez e Martinez-Arias, (2011)*; Delgado </w:t>
            </w:r>
            <w:r w:rsidRPr="0042038B">
              <w:rPr>
                <w:i/>
                <w:sz w:val="18"/>
                <w:szCs w:val="18"/>
              </w:rPr>
              <w:t>et al</w:t>
            </w:r>
            <w:r w:rsidRPr="0042038B">
              <w:rPr>
                <w:sz w:val="18"/>
                <w:szCs w:val="18"/>
              </w:rPr>
              <w:t>. (2012)*</w:t>
            </w:r>
          </w:p>
        </w:tc>
      </w:tr>
      <w:tr w:rsidR="00636682" w:rsidRPr="00A2410D" w14:paraId="03D34199" w14:textId="77777777" w:rsidTr="00CC3874">
        <w:trPr>
          <w:trHeight w:val="845"/>
        </w:trPr>
        <w:tc>
          <w:tcPr>
            <w:tcW w:w="1413" w:type="dxa"/>
            <w:vMerge w:val="restart"/>
            <w:vAlign w:val="center"/>
          </w:tcPr>
          <w:p w14:paraId="04513A7F" w14:textId="77777777" w:rsidR="00636682" w:rsidRDefault="00636682" w:rsidP="00CC3874">
            <w:pPr>
              <w:jc w:val="center"/>
              <w:rPr>
                <w:sz w:val="18"/>
                <w:szCs w:val="18"/>
              </w:rPr>
            </w:pPr>
            <w:r w:rsidRPr="00A2410D">
              <w:rPr>
                <w:sz w:val="18"/>
                <w:szCs w:val="18"/>
              </w:rPr>
              <w:t>Intensidade</w:t>
            </w:r>
            <w:r>
              <w:rPr>
                <w:sz w:val="18"/>
                <w:szCs w:val="18"/>
              </w:rPr>
              <w:t xml:space="preserve"> </w:t>
            </w:r>
            <w:r w:rsidRPr="00A2410D">
              <w:rPr>
                <w:sz w:val="18"/>
                <w:szCs w:val="18"/>
              </w:rPr>
              <w:t>de capital e</w:t>
            </w:r>
          </w:p>
          <w:p w14:paraId="3B3DD1E2" w14:textId="77777777" w:rsidR="00636682" w:rsidRDefault="00636682" w:rsidP="00CC3874">
            <w:pPr>
              <w:jc w:val="center"/>
              <w:rPr>
                <w:sz w:val="18"/>
                <w:szCs w:val="18"/>
              </w:rPr>
            </w:pPr>
            <w:r w:rsidRPr="00A2410D">
              <w:rPr>
                <w:sz w:val="18"/>
                <w:szCs w:val="18"/>
              </w:rPr>
              <w:t>Depreciação de</w:t>
            </w:r>
          </w:p>
          <w:p w14:paraId="4DA9AA56" w14:textId="77777777" w:rsidR="00636682" w:rsidRDefault="00636682" w:rsidP="00CC3874">
            <w:pPr>
              <w:jc w:val="center"/>
              <w:rPr>
                <w:sz w:val="18"/>
                <w:szCs w:val="18"/>
              </w:rPr>
            </w:pPr>
            <w:r w:rsidRPr="00A2410D">
              <w:rPr>
                <w:sz w:val="18"/>
                <w:szCs w:val="18"/>
              </w:rPr>
              <w:t>Ativos não</w:t>
            </w:r>
          </w:p>
          <w:p w14:paraId="00F879EA" w14:textId="77777777" w:rsidR="00636682" w:rsidRPr="00A2410D" w:rsidRDefault="00636682" w:rsidP="00CC3874">
            <w:pPr>
              <w:jc w:val="center"/>
              <w:rPr>
                <w:sz w:val="18"/>
                <w:szCs w:val="18"/>
              </w:rPr>
            </w:pPr>
            <w:r w:rsidRPr="00A2410D">
              <w:rPr>
                <w:sz w:val="18"/>
                <w:szCs w:val="18"/>
              </w:rPr>
              <w:t>Circulantes</w:t>
            </w:r>
          </w:p>
        </w:tc>
        <w:tc>
          <w:tcPr>
            <w:tcW w:w="2835" w:type="dxa"/>
            <w:vAlign w:val="center"/>
          </w:tcPr>
          <w:p w14:paraId="5769C339" w14:textId="77777777" w:rsidR="00636682" w:rsidRPr="00A2410D" w:rsidRDefault="00636682" w:rsidP="00CC3874">
            <w:pPr>
              <w:jc w:val="both"/>
              <w:rPr>
                <w:sz w:val="18"/>
                <w:szCs w:val="18"/>
              </w:rPr>
            </w:pPr>
            <w:r w:rsidRPr="00A2410D">
              <w:rPr>
                <w:sz w:val="18"/>
                <w:szCs w:val="18"/>
              </w:rPr>
              <w:t>- Uma maior quantidade de ativos depreciáveis leva a uma menor ETR</w:t>
            </w:r>
          </w:p>
          <w:p w14:paraId="0F734AE9" w14:textId="77777777" w:rsidR="00636682" w:rsidRPr="00A2410D" w:rsidRDefault="00636682" w:rsidP="00CC3874">
            <w:pPr>
              <w:jc w:val="both"/>
              <w:rPr>
                <w:sz w:val="18"/>
                <w:szCs w:val="18"/>
              </w:rPr>
            </w:pPr>
            <w:r w:rsidRPr="00A2410D">
              <w:rPr>
                <w:sz w:val="18"/>
                <w:szCs w:val="18"/>
              </w:rPr>
              <w:t>- Relação negativa entre intensidade de capital e ETR</w:t>
            </w:r>
          </w:p>
        </w:tc>
        <w:tc>
          <w:tcPr>
            <w:tcW w:w="4819" w:type="dxa"/>
            <w:vAlign w:val="center"/>
          </w:tcPr>
          <w:p w14:paraId="550D8C7C" w14:textId="77777777" w:rsidR="00636682" w:rsidRPr="0042038B" w:rsidRDefault="00636682" w:rsidP="00CC3874">
            <w:pPr>
              <w:jc w:val="both"/>
              <w:rPr>
                <w:sz w:val="18"/>
                <w:szCs w:val="18"/>
              </w:rPr>
            </w:pPr>
            <w:r w:rsidRPr="00A2410D">
              <w:rPr>
                <w:sz w:val="18"/>
                <w:szCs w:val="18"/>
              </w:rPr>
              <w:t xml:space="preserve">Stickney e McGee (1982), Gupta e Newberry (1997), Derashid e Zhang (2003), Calve </w:t>
            </w:r>
            <w:r w:rsidRPr="0042038B">
              <w:rPr>
                <w:i/>
                <w:sz w:val="18"/>
                <w:szCs w:val="18"/>
              </w:rPr>
              <w:t>et al</w:t>
            </w:r>
            <w:r w:rsidRPr="0042038B">
              <w:rPr>
                <w:sz w:val="18"/>
                <w:szCs w:val="18"/>
              </w:rPr>
              <w:t xml:space="preserve">. (2005), Janssen (2005), Richardson e Lanis (2007), Chen </w:t>
            </w:r>
            <w:r w:rsidRPr="0042038B">
              <w:rPr>
                <w:i/>
                <w:sz w:val="18"/>
                <w:szCs w:val="18"/>
              </w:rPr>
              <w:t>et al</w:t>
            </w:r>
            <w:r w:rsidRPr="0042038B">
              <w:rPr>
                <w:sz w:val="18"/>
                <w:szCs w:val="18"/>
              </w:rPr>
              <w:t xml:space="preserve">. (2010), Rohaya </w:t>
            </w:r>
            <w:r w:rsidRPr="0042038B">
              <w:rPr>
                <w:i/>
                <w:sz w:val="18"/>
                <w:szCs w:val="18"/>
              </w:rPr>
              <w:t>et al</w:t>
            </w:r>
            <w:r w:rsidRPr="0042038B">
              <w:rPr>
                <w:sz w:val="18"/>
                <w:szCs w:val="18"/>
              </w:rPr>
              <w:t xml:space="preserve">. (2010), Fonseca </w:t>
            </w:r>
            <w:r w:rsidRPr="0042038B">
              <w:rPr>
                <w:i/>
                <w:sz w:val="18"/>
                <w:szCs w:val="18"/>
              </w:rPr>
              <w:t>et al</w:t>
            </w:r>
            <w:r w:rsidRPr="0042038B">
              <w:rPr>
                <w:sz w:val="18"/>
                <w:szCs w:val="18"/>
              </w:rPr>
              <w:t xml:space="preserve">. (2011), Fernandes-Rodrigues e Martinez-Arias (2011), Delgado </w:t>
            </w:r>
            <w:r w:rsidRPr="0042038B">
              <w:rPr>
                <w:i/>
                <w:sz w:val="18"/>
                <w:szCs w:val="18"/>
              </w:rPr>
              <w:t>et al</w:t>
            </w:r>
            <w:r w:rsidRPr="0042038B">
              <w:rPr>
                <w:sz w:val="18"/>
                <w:szCs w:val="18"/>
              </w:rPr>
              <w:t>. (2012)*, Fernández-Rodríguez, e  Martínez-Arias (2016)</w:t>
            </w:r>
          </w:p>
        </w:tc>
      </w:tr>
      <w:tr w:rsidR="00636682" w:rsidRPr="00A2410D" w14:paraId="22ED7545" w14:textId="77777777" w:rsidTr="00CC3874">
        <w:tc>
          <w:tcPr>
            <w:tcW w:w="1413" w:type="dxa"/>
            <w:vMerge/>
            <w:vAlign w:val="center"/>
          </w:tcPr>
          <w:p w14:paraId="5A88482C" w14:textId="77777777" w:rsidR="00636682" w:rsidRPr="00A2410D" w:rsidRDefault="00636682" w:rsidP="00CC3874">
            <w:pPr>
              <w:jc w:val="center"/>
              <w:rPr>
                <w:sz w:val="18"/>
                <w:szCs w:val="18"/>
              </w:rPr>
            </w:pPr>
            <w:bookmarkStart w:id="8" w:name="_Hlk501112966"/>
          </w:p>
        </w:tc>
        <w:tc>
          <w:tcPr>
            <w:tcW w:w="2835" w:type="dxa"/>
            <w:vAlign w:val="center"/>
          </w:tcPr>
          <w:p w14:paraId="3945A5AA" w14:textId="77777777" w:rsidR="00636682" w:rsidRPr="00A2410D" w:rsidRDefault="00636682" w:rsidP="00CC3874">
            <w:pPr>
              <w:jc w:val="both"/>
              <w:rPr>
                <w:sz w:val="18"/>
                <w:szCs w:val="18"/>
              </w:rPr>
            </w:pPr>
            <w:r w:rsidRPr="00A2410D">
              <w:rPr>
                <w:sz w:val="18"/>
                <w:szCs w:val="18"/>
              </w:rPr>
              <w:t>- Relação positiva entre intensidade de capital e ETR</w:t>
            </w:r>
          </w:p>
        </w:tc>
        <w:tc>
          <w:tcPr>
            <w:tcW w:w="4819" w:type="dxa"/>
            <w:vAlign w:val="center"/>
          </w:tcPr>
          <w:p w14:paraId="3FF130E4" w14:textId="77777777" w:rsidR="00636682" w:rsidRPr="0042038B" w:rsidRDefault="00636682" w:rsidP="00CC3874">
            <w:pPr>
              <w:jc w:val="both"/>
              <w:rPr>
                <w:sz w:val="18"/>
                <w:szCs w:val="18"/>
              </w:rPr>
            </w:pPr>
            <w:r w:rsidRPr="00A2410D">
              <w:rPr>
                <w:sz w:val="18"/>
                <w:szCs w:val="18"/>
              </w:rPr>
              <w:t xml:space="preserve">Janssen &amp; Buijink (2000); Wilkinson </w:t>
            </w:r>
            <w:r w:rsidRPr="0042038B">
              <w:rPr>
                <w:i/>
                <w:sz w:val="18"/>
                <w:szCs w:val="18"/>
              </w:rPr>
              <w:t>et al</w:t>
            </w:r>
            <w:r w:rsidRPr="0042038B">
              <w:rPr>
                <w:sz w:val="18"/>
                <w:szCs w:val="18"/>
              </w:rPr>
              <w:t xml:space="preserve">. (2001), Plesko (2003) e Feeny </w:t>
            </w:r>
            <w:r w:rsidRPr="0042038B">
              <w:rPr>
                <w:i/>
                <w:sz w:val="18"/>
                <w:szCs w:val="18"/>
              </w:rPr>
              <w:t>et al</w:t>
            </w:r>
            <w:r w:rsidRPr="0042038B">
              <w:rPr>
                <w:sz w:val="18"/>
                <w:szCs w:val="18"/>
              </w:rPr>
              <w:t>. (2006); Wu </w:t>
            </w:r>
            <w:r w:rsidRPr="0042038B">
              <w:rPr>
                <w:i/>
                <w:iCs/>
                <w:sz w:val="18"/>
                <w:szCs w:val="18"/>
              </w:rPr>
              <w:t>et al., (</w:t>
            </w:r>
            <w:r w:rsidRPr="0042038B">
              <w:rPr>
                <w:sz w:val="18"/>
                <w:szCs w:val="18"/>
              </w:rPr>
              <w:t xml:space="preserve">2012); Delgado </w:t>
            </w:r>
            <w:r w:rsidRPr="0042038B">
              <w:rPr>
                <w:i/>
                <w:sz w:val="18"/>
                <w:szCs w:val="18"/>
              </w:rPr>
              <w:t>et al</w:t>
            </w:r>
            <w:r w:rsidRPr="0042038B">
              <w:rPr>
                <w:sz w:val="18"/>
                <w:szCs w:val="18"/>
              </w:rPr>
              <w:t>. (2014)</w:t>
            </w:r>
          </w:p>
        </w:tc>
      </w:tr>
      <w:bookmarkEnd w:id="8"/>
      <w:tr w:rsidR="00636682" w:rsidRPr="00A2410D" w14:paraId="56081641" w14:textId="77777777" w:rsidTr="00CC3874">
        <w:tc>
          <w:tcPr>
            <w:tcW w:w="1413" w:type="dxa"/>
            <w:vMerge/>
            <w:vAlign w:val="center"/>
          </w:tcPr>
          <w:p w14:paraId="0AB894C3" w14:textId="77777777" w:rsidR="00636682" w:rsidRPr="00A2410D" w:rsidRDefault="00636682" w:rsidP="00CC3874">
            <w:pPr>
              <w:jc w:val="center"/>
              <w:rPr>
                <w:sz w:val="18"/>
                <w:szCs w:val="18"/>
              </w:rPr>
            </w:pPr>
          </w:p>
        </w:tc>
        <w:tc>
          <w:tcPr>
            <w:tcW w:w="2835" w:type="dxa"/>
            <w:vAlign w:val="center"/>
          </w:tcPr>
          <w:p w14:paraId="662FB542" w14:textId="77777777" w:rsidR="00636682" w:rsidRPr="00A2410D" w:rsidRDefault="00636682" w:rsidP="00CC3874">
            <w:pPr>
              <w:rPr>
                <w:sz w:val="18"/>
                <w:szCs w:val="18"/>
              </w:rPr>
            </w:pPr>
            <w:r w:rsidRPr="00A2410D">
              <w:rPr>
                <w:sz w:val="18"/>
                <w:szCs w:val="18"/>
              </w:rPr>
              <w:t>-</w:t>
            </w:r>
            <w:bookmarkStart w:id="9" w:name="_Hlk501112654"/>
            <w:r w:rsidRPr="00A2410D">
              <w:rPr>
                <w:sz w:val="18"/>
                <w:szCs w:val="18"/>
              </w:rPr>
              <w:t>Não identificaram qualquer relação significativa entre ativos depreciáveis e ETR</w:t>
            </w:r>
            <w:bookmarkEnd w:id="9"/>
          </w:p>
        </w:tc>
        <w:tc>
          <w:tcPr>
            <w:tcW w:w="4819" w:type="dxa"/>
            <w:vAlign w:val="center"/>
          </w:tcPr>
          <w:p w14:paraId="4F499C90" w14:textId="77777777" w:rsidR="00636682" w:rsidRPr="00A2410D" w:rsidRDefault="00636682" w:rsidP="00CC3874">
            <w:pPr>
              <w:jc w:val="both"/>
              <w:rPr>
                <w:sz w:val="18"/>
                <w:szCs w:val="18"/>
              </w:rPr>
            </w:pPr>
            <w:bookmarkStart w:id="10" w:name="_Hlk501112521"/>
            <w:r w:rsidRPr="00A2410D">
              <w:rPr>
                <w:sz w:val="18"/>
                <w:szCs w:val="18"/>
              </w:rPr>
              <w:t>Harris e Feeny, 2003; Fernandez-Rodriguez, 2004; Liu e Cao (2007), Fernandez-Rodriguez e Martinez-Arias, (2011)*;</w:t>
            </w:r>
            <w:bookmarkEnd w:id="10"/>
            <w:r w:rsidRPr="00A2410D">
              <w:rPr>
                <w:sz w:val="18"/>
                <w:szCs w:val="18"/>
              </w:rPr>
              <w:t xml:space="preserve"> Fernandez-Rodriguez e Martinez-Arias (2014)</w:t>
            </w:r>
          </w:p>
        </w:tc>
      </w:tr>
      <w:tr w:rsidR="00636682" w:rsidRPr="00A2410D" w14:paraId="51E93E06" w14:textId="77777777" w:rsidTr="00CC3874">
        <w:tc>
          <w:tcPr>
            <w:tcW w:w="1413" w:type="dxa"/>
            <w:vMerge w:val="restart"/>
            <w:vAlign w:val="center"/>
          </w:tcPr>
          <w:p w14:paraId="0F4AA291" w14:textId="77777777" w:rsidR="00636682" w:rsidRDefault="00636682" w:rsidP="00CC3874">
            <w:pPr>
              <w:jc w:val="center"/>
              <w:rPr>
                <w:sz w:val="18"/>
                <w:szCs w:val="18"/>
              </w:rPr>
            </w:pPr>
            <w:r w:rsidRPr="00A2410D">
              <w:rPr>
                <w:sz w:val="18"/>
                <w:szCs w:val="18"/>
              </w:rPr>
              <w:t>Retorno sobre</w:t>
            </w:r>
          </w:p>
          <w:p w14:paraId="3D4B5E2E" w14:textId="77777777" w:rsidR="00636682" w:rsidRPr="00A2410D" w:rsidRDefault="00636682" w:rsidP="00CC3874">
            <w:pPr>
              <w:jc w:val="center"/>
              <w:rPr>
                <w:sz w:val="18"/>
                <w:szCs w:val="18"/>
              </w:rPr>
            </w:pPr>
            <w:r w:rsidRPr="00A2410D">
              <w:rPr>
                <w:sz w:val="18"/>
                <w:szCs w:val="18"/>
              </w:rPr>
              <w:t>os ativos – ROA</w:t>
            </w:r>
          </w:p>
        </w:tc>
        <w:tc>
          <w:tcPr>
            <w:tcW w:w="2835" w:type="dxa"/>
            <w:vAlign w:val="center"/>
          </w:tcPr>
          <w:p w14:paraId="0F68EBD2" w14:textId="77777777" w:rsidR="00636682" w:rsidRPr="00A2410D" w:rsidRDefault="00636682" w:rsidP="00CC3874">
            <w:pPr>
              <w:rPr>
                <w:sz w:val="18"/>
                <w:szCs w:val="18"/>
              </w:rPr>
            </w:pPr>
            <w:r w:rsidRPr="00A2410D">
              <w:rPr>
                <w:sz w:val="18"/>
                <w:szCs w:val="18"/>
              </w:rPr>
              <w:t>- Relação positiva entre o ROA e ETR</w:t>
            </w:r>
          </w:p>
          <w:p w14:paraId="472B9A5A" w14:textId="77777777" w:rsidR="00636682" w:rsidRPr="00A2410D" w:rsidRDefault="00636682" w:rsidP="00CC3874">
            <w:pPr>
              <w:rPr>
                <w:sz w:val="18"/>
                <w:szCs w:val="18"/>
              </w:rPr>
            </w:pPr>
          </w:p>
        </w:tc>
        <w:tc>
          <w:tcPr>
            <w:tcW w:w="4819" w:type="dxa"/>
            <w:vAlign w:val="center"/>
          </w:tcPr>
          <w:p w14:paraId="6ECD37F9" w14:textId="77777777" w:rsidR="00636682" w:rsidRPr="0042038B" w:rsidRDefault="00636682" w:rsidP="00CC3874">
            <w:pPr>
              <w:jc w:val="both"/>
              <w:rPr>
                <w:sz w:val="18"/>
                <w:szCs w:val="18"/>
              </w:rPr>
            </w:pPr>
            <w:r w:rsidRPr="00A2410D">
              <w:rPr>
                <w:sz w:val="18"/>
                <w:szCs w:val="18"/>
              </w:rPr>
              <w:t>Stickney e McGee (1982), Gupta e Newberry (1997), Plesko (2003), Fernandez-Rodriguez</w:t>
            </w:r>
            <w:r w:rsidRPr="00A2410D" w:rsidDel="0006102C">
              <w:rPr>
                <w:sz w:val="18"/>
                <w:szCs w:val="18"/>
              </w:rPr>
              <w:t xml:space="preserve"> </w:t>
            </w:r>
            <w:r w:rsidRPr="00A2410D">
              <w:rPr>
                <w:sz w:val="18"/>
                <w:szCs w:val="18"/>
              </w:rPr>
              <w:t xml:space="preserve">(2004), Paira </w:t>
            </w:r>
            <w:r w:rsidRPr="0042038B">
              <w:rPr>
                <w:i/>
                <w:sz w:val="18"/>
                <w:szCs w:val="18"/>
              </w:rPr>
              <w:t>et al</w:t>
            </w:r>
            <w:r w:rsidRPr="0042038B">
              <w:rPr>
                <w:sz w:val="18"/>
                <w:szCs w:val="18"/>
              </w:rPr>
              <w:t>. (2005), Calvé, Labatut e Molina (2005), Richardson &amp; Lanis, 2005; Liu &amp; Cao, 2007,</w:t>
            </w:r>
            <w:r w:rsidRPr="008F43C7">
              <w:rPr>
                <w:sz w:val="18"/>
                <w:szCs w:val="18"/>
              </w:rPr>
              <w:t xml:space="preserve"> Richardson e Lanis (2007), Chen </w:t>
            </w:r>
            <w:r w:rsidRPr="0042038B">
              <w:rPr>
                <w:i/>
                <w:sz w:val="18"/>
                <w:szCs w:val="18"/>
              </w:rPr>
              <w:t>et al</w:t>
            </w:r>
            <w:r w:rsidRPr="0042038B">
              <w:rPr>
                <w:sz w:val="18"/>
                <w:szCs w:val="18"/>
              </w:rPr>
              <w:t xml:space="preserve">. (2010), Fernandez e Martinez (2011) e Delgado </w:t>
            </w:r>
            <w:r w:rsidRPr="0042038B">
              <w:rPr>
                <w:i/>
                <w:sz w:val="18"/>
                <w:szCs w:val="18"/>
              </w:rPr>
              <w:t>et al</w:t>
            </w:r>
            <w:r w:rsidRPr="0042038B">
              <w:rPr>
                <w:sz w:val="18"/>
                <w:szCs w:val="18"/>
              </w:rPr>
              <w:t xml:space="preserve">. (2012), Wu </w:t>
            </w:r>
            <w:r w:rsidRPr="0042038B">
              <w:rPr>
                <w:i/>
                <w:sz w:val="18"/>
                <w:szCs w:val="18"/>
              </w:rPr>
              <w:t>et al</w:t>
            </w:r>
            <w:r w:rsidRPr="0042038B">
              <w:rPr>
                <w:sz w:val="18"/>
                <w:szCs w:val="18"/>
              </w:rPr>
              <w:t xml:space="preserve">. (2012); Delgado </w:t>
            </w:r>
            <w:r w:rsidRPr="0042038B">
              <w:rPr>
                <w:i/>
                <w:sz w:val="18"/>
                <w:szCs w:val="18"/>
              </w:rPr>
              <w:t>et al</w:t>
            </w:r>
            <w:r w:rsidRPr="0042038B">
              <w:rPr>
                <w:sz w:val="18"/>
                <w:szCs w:val="18"/>
              </w:rPr>
              <w:t>. (2014)</w:t>
            </w:r>
          </w:p>
        </w:tc>
      </w:tr>
      <w:tr w:rsidR="00636682" w:rsidRPr="00A2410D" w14:paraId="4BCF45B7" w14:textId="77777777" w:rsidTr="00CC3874">
        <w:tc>
          <w:tcPr>
            <w:tcW w:w="1413" w:type="dxa"/>
            <w:vMerge/>
            <w:vAlign w:val="center"/>
          </w:tcPr>
          <w:p w14:paraId="7BFD3BAD" w14:textId="77777777" w:rsidR="00636682" w:rsidRPr="00A2410D" w:rsidRDefault="00636682" w:rsidP="00CC3874">
            <w:pPr>
              <w:jc w:val="both"/>
              <w:rPr>
                <w:sz w:val="18"/>
                <w:szCs w:val="18"/>
              </w:rPr>
            </w:pPr>
          </w:p>
        </w:tc>
        <w:tc>
          <w:tcPr>
            <w:tcW w:w="2835" w:type="dxa"/>
            <w:vAlign w:val="center"/>
          </w:tcPr>
          <w:p w14:paraId="3CE75156" w14:textId="77777777" w:rsidR="00636682" w:rsidRPr="00A2410D" w:rsidRDefault="00636682" w:rsidP="00CC3874">
            <w:pPr>
              <w:rPr>
                <w:sz w:val="18"/>
                <w:szCs w:val="18"/>
              </w:rPr>
            </w:pPr>
            <w:r w:rsidRPr="00A2410D">
              <w:rPr>
                <w:sz w:val="18"/>
                <w:szCs w:val="18"/>
              </w:rPr>
              <w:t>- Relação negativa entre o ROA e ETR</w:t>
            </w:r>
          </w:p>
        </w:tc>
        <w:tc>
          <w:tcPr>
            <w:tcW w:w="4819" w:type="dxa"/>
            <w:vAlign w:val="center"/>
          </w:tcPr>
          <w:p w14:paraId="112822E4" w14:textId="77777777" w:rsidR="00636682" w:rsidRPr="0042038B" w:rsidRDefault="00636682" w:rsidP="00CC3874">
            <w:pPr>
              <w:jc w:val="both"/>
              <w:rPr>
                <w:sz w:val="18"/>
                <w:szCs w:val="18"/>
              </w:rPr>
            </w:pPr>
            <w:bookmarkStart w:id="11" w:name="_Hlk501110585"/>
            <w:r w:rsidRPr="00A2410D">
              <w:rPr>
                <w:sz w:val="18"/>
                <w:szCs w:val="18"/>
              </w:rPr>
              <w:t xml:space="preserve">Derashid e Zhang, 2003; Rohaya, </w:t>
            </w:r>
            <w:r w:rsidRPr="0042038B">
              <w:rPr>
                <w:i/>
                <w:sz w:val="18"/>
                <w:szCs w:val="18"/>
              </w:rPr>
              <w:t>et al</w:t>
            </w:r>
            <w:r>
              <w:rPr>
                <w:i/>
                <w:sz w:val="18"/>
                <w:szCs w:val="18"/>
              </w:rPr>
              <w:t>.</w:t>
            </w:r>
            <w:r w:rsidRPr="0042038B">
              <w:rPr>
                <w:sz w:val="18"/>
                <w:szCs w:val="18"/>
              </w:rPr>
              <w:t xml:space="preserve">, (2008), Rohaya, </w:t>
            </w:r>
            <w:r w:rsidRPr="0042038B">
              <w:rPr>
                <w:i/>
                <w:sz w:val="18"/>
                <w:szCs w:val="18"/>
              </w:rPr>
              <w:t>et al</w:t>
            </w:r>
            <w:r>
              <w:rPr>
                <w:sz w:val="18"/>
                <w:szCs w:val="18"/>
              </w:rPr>
              <w:t>.,</w:t>
            </w:r>
            <w:r w:rsidRPr="0042038B">
              <w:rPr>
                <w:sz w:val="18"/>
                <w:szCs w:val="18"/>
              </w:rPr>
              <w:t xml:space="preserve"> 2010), Mahenthiran &amp; Kasipillai (2011), </w:t>
            </w:r>
            <w:bookmarkEnd w:id="11"/>
            <w:r w:rsidRPr="0042038B">
              <w:rPr>
                <w:sz w:val="18"/>
                <w:szCs w:val="18"/>
              </w:rPr>
              <w:t>Kraft (2014)</w:t>
            </w:r>
          </w:p>
        </w:tc>
      </w:tr>
    </w:tbl>
    <w:bookmarkEnd w:id="7"/>
    <w:p w14:paraId="69B262DB" w14:textId="77777777" w:rsidR="00636682" w:rsidRPr="00993FE6" w:rsidRDefault="00636682" w:rsidP="00636682">
      <w:pPr>
        <w:jc w:val="both"/>
        <w:rPr>
          <w:b/>
        </w:rPr>
      </w:pPr>
      <w:r>
        <w:rPr>
          <w:b/>
        </w:rPr>
        <w:t>Figura</w:t>
      </w:r>
      <w:r w:rsidRPr="008F43C7">
        <w:rPr>
          <w:b/>
        </w:rPr>
        <w:t xml:space="preserve"> 1. </w:t>
      </w:r>
      <w:r w:rsidRPr="00993FE6">
        <w:rPr>
          <w:b/>
        </w:rPr>
        <w:t xml:space="preserve">Principais evidências empíricas relacionados a ETR </w:t>
      </w:r>
    </w:p>
    <w:p w14:paraId="7B87628B" w14:textId="77777777" w:rsidR="00636682" w:rsidRPr="00A2410D" w:rsidRDefault="00636682" w:rsidP="00636682">
      <w:pPr>
        <w:jc w:val="both"/>
        <w:rPr>
          <w:sz w:val="18"/>
          <w:szCs w:val="18"/>
        </w:rPr>
      </w:pPr>
      <w:r w:rsidRPr="00707342">
        <w:rPr>
          <w:sz w:val="18"/>
          <w:szCs w:val="18"/>
        </w:rPr>
        <w:t xml:space="preserve">Legenda: *= </w:t>
      </w:r>
      <w:r w:rsidRPr="00A2410D">
        <w:rPr>
          <w:sz w:val="18"/>
          <w:szCs w:val="18"/>
        </w:rPr>
        <w:t>encontraram uma relação não-linear entre as variáveis, que é caracterizado por um coeficiente positivo para valores baixos e negativo para níveis elevados; ou até mesmo mistos.</w:t>
      </w:r>
    </w:p>
    <w:p w14:paraId="13DC596C" w14:textId="77777777" w:rsidR="00636682" w:rsidRPr="008F43C7" w:rsidRDefault="00636682" w:rsidP="00636682">
      <w:pPr>
        <w:jc w:val="both"/>
        <w:rPr>
          <w:sz w:val="18"/>
          <w:szCs w:val="18"/>
        </w:rPr>
      </w:pPr>
      <w:r w:rsidRPr="00A2410D">
        <w:rPr>
          <w:sz w:val="18"/>
          <w:szCs w:val="18"/>
        </w:rPr>
        <w:t xml:space="preserve">Fonte:  </w:t>
      </w:r>
      <w:r>
        <w:rPr>
          <w:sz w:val="18"/>
          <w:szCs w:val="18"/>
        </w:rPr>
        <w:t xml:space="preserve">Elaboração própria. </w:t>
      </w:r>
    </w:p>
    <w:p w14:paraId="075F3F82" w14:textId="77777777" w:rsidR="00636682" w:rsidRPr="00707342" w:rsidRDefault="00636682" w:rsidP="00636682">
      <w:pPr>
        <w:jc w:val="both"/>
        <w:rPr>
          <w:sz w:val="18"/>
          <w:szCs w:val="18"/>
        </w:rPr>
      </w:pPr>
      <w:r w:rsidRPr="00707342">
        <w:rPr>
          <w:sz w:val="24"/>
          <w:szCs w:val="24"/>
        </w:rPr>
        <w:tab/>
      </w:r>
    </w:p>
    <w:p w14:paraId="6C140556" w14:textId="77777777" w:rsidR="00636682" w:rsidRPr="00993FE6" w:rsidRDefault="00636682" w:rsidP="00636682">
      <w:pPr>
        <w:pStyle w:val="Ttulo1"/>
        <w:spacing w:before="0" w:line="240" w:lineRule="auto"/>
        <w:rPr>
          <w:rFonts w:ascii="Times New Roman" w:hAnsi="Times New Roman" w:cs="Times New Roman"/>
          <w:b/>
          <w:color w:val="auto"/>
          <w:sz w:val="24"/>
          <w:szCs w:val="24"/>
        </w:rPr>
      </w:pPr>
      <w:bookmarkStart w:id="12" w:name="_Hlk500031090"/>
      <w:r w:rsidRPr="00993FE6">
        <w:rPr>
          <w:rFonts w:ascii="Times New Roman" w:hAnsi="Times New Roman" w:cs="Times New Roman"/>
          <w:b/>
          <w:color w:val="auto"/>
          <w:sz w:val="24"/>
          <w:szCs w:val="24"/>
        </w:rPr>
        <w:t>a) ETR e tamanho</w:t>
      </w:r>
    </w:p>
    <w:p w14:paraId="571DAD66" w14:textId="77777777" w:rsidR="00636682" w:rsidRPr="00A2410D" w:rsidRDefault="00636682" w:rsidP="00636682">
      <w:pPr>
        <w:ind w:firstLine="708"/>
        <w:jc w:val="both"/>
        <w:rPr>
          <w:sz w:val="24"/>
          <w:szCs w:val="24"/>
        </w:rPr>
      </w:pPr>
      <w:r w:rsidRPr="00A2410D">
        <w:rPr>
          <w:sz w:val="24"/>
          <w:szCs w:val="24"/>
        </w:rPr>
        <w:t xml:space="preserve">O tamanho, é uma variável apontada por diversos estudos sobre carga tributária como fator explicativo de uma maior exposição </w:t>
      </w:r>
      <w:r>
        <w:rPr>
          <w:sz w:val="24"/>
          <w:szCs w:val="24"/>
        </w:rPr>
        <w:t>a</w:t>
      </w:r>
      <w:r w:rsidRPr="00A2410D">
        <w:rPr>
          <w:sz w:val="24"/>
          <w:szCs w:val="24"/>
        </w:rPr>
        <w:t xml:space="preserve"> ações regulatórias e taxas mais elevadas (</w:t>
      </w:r>
      <w:bookmarkStart w:id="13" w:name="_Hlk492794654"/>
      <w:r w:rsidRPr="00A2410D">
        <w:rPr>
          <w:sz w:val="24"/>
          <w:szCs w:val="24"/>
        </w:rPr>
        <w:t>Zimmerman, 1983</w:t>
      </w:r>
      <w:bookmarkEnd w:id="13"/>
      <w:r w:rsidRPr="00A2410D">
        <w:rPr>
          <w:sz w:val="24"/>
          <w:szCs w:val="24"/>
        </w:rPr>
        <w:t>; Gupta &amp; Newberry, 1997, Heshmati, Johansson &amp; Bjuggren, 2010, Fernández &amp; Martinez, 2014, Fernández-Rodríguez, &amp; Martínez-Arias, 2016).</w:t>
      </w:r>
    </w:p>
    <w:p w14:paraId="28921752" w14:textId="77777777" w:rsidR="00636682" w:rsidRPr="00A2410D" w:rsidRDefault="00636682" w:rsidP="00636682">
      <w:pPr>
        <w:ind w:firstLine="708"/>
        <w:jc w:val="both"/>
        <w:rPr>
          <w:sz w:val="24"/>
          <w:szCs w:val="24"/>
        </w:rPr>
      </w:pPr>
      <w:r w:rsidRPr="00A2410D">
        <w:rPr>
          <w:sz w:val="24"/>
          <w:szCs w:val="24"/>
        </w:rPr>
        <w:t>Estudos desta variável</w:t>
      </w:r>
      <w:r>
        <w:rPr>
          <w:sz w:val="24"/>
          <w:szCs w:val="24"/>
        </w:rPr>
        <w:t xml:space="preserve"> têm sido </w:t>
      </w:r>
      <w:r w:rsidRPr="00B66825">
        <w:rPr>
          <w:sz w:val="24"/>
          <w:szCs w:val="24"/>
        </w:rPr>
        <w:t xml:space="preserve">explorados por duas principais correntes: </w:t>
      </w:r>
      <w:r>
        <w:rPr>
          <w:sz w:val="24"/>
          <w:szCs w:val="24"/>
        </w:rPr>
        <w:t>a)</w:t>
      </w:r>
      <w:r w:rsidRPr="00B66825">
        <w:rPr>
          <w:sz w:val="24"/>
          <w:szCs w:val="24"/>
        </w:rPr>
        <w:t xml:space="preserve"> teoria relacionada aos custos políticos, que prevê uma relação positiva entre o tamanho da empresa e ETR</w:t>
      </w:r>
      <w:r>
        <w:rPr>
          <w:sz w:val="24"/>
          <w:szCs w:val="24"/>
        </w:rPr>
        <w:t xml:space="preserve">; esta teoria </w:t>
      </w:r>
      <w:r w:rsidRPr="00B66825">
        <w:rPr>
          <w:sz w:val="24"/>
          <w:szCs w:val="24"/>
        </w:rPr>
        <w:t xml:space="preserve">indica que as grandes empresas, que apresentam maiores rentabilidades, sofrem uma tributação e uma regulação mais elevada (Jensen &amp; Meckling, 1976),  </w:t>
      </w:r>
      <w:r>
        <w:rPr>
          <w:sz w:val="24"/>
          <w:szCs w:val="24"/>
        </w:rPr>
        <w:t xml:space="preserve">porque são </w:t>
      </w:r>
      <w:r w:rsidRPr="00B66825">
        <w:rPr>
          <w:sz w:val="24"/>
          <w:szCs w:val="24"/>
        </w:rPr>
        <w:t xml:space="preserve">vítimas de maiores ações regulatórias </w:t>
      </w:r>
      <w:r>
        <w:rPr>
          <w:sz w:val="24"/>
          <w:szCs w:val="24"/>
        </w:rPr>
        <w:t>do</w:t>
      </w:r>
      <w:r w:rsidRPr="00B66825">
        <w:rPr>
          <w:sz w:val="24"/>
          <w:szCs w:val="24"/>
        </w:rPr>
        <w:t xml:space="preserve"> governo, na transferência de riqueza (Zimmerman, </w:t>
      </w:r>
      <w:r w:rsidRPr="00B66825">
        <w:rPr>
          <w:sz w:val="24"/>
          <w:szCs w:val="24"/>
        </w:rPr>
        <w:lastRenderedPageBreak/>
        <w:t xml:space="preserve">1986);  </w:t>
      </w:r>
      <w:r>
        <w:rPr>
          <w:sz w:val="24"/>
          <w:szCs w:val="24"/>
        </w:rPr>
        <w:t>b)</w:t>
      </w:r>
      <w:r w:rsidRPr="00B66825">
        <w:rPr>
          <w:sz w:val="24"/>
          <w:szCs w:val="24"/>
        </w:rPr>
        <w:t xml:space="preserve"> teoria relacionada ao poder político, que prevê uma relação negativa entre tamanho das empresas e ETRs</w:t>
      </w:r>
      <w:r>
        <w:rPr>
          <w:sz w:val="24"/>
          <w:szCs w:val="24"/>
        </w:rPr>
        <w:t xml:space="preserve">; </w:t>
      </w:r>
      <w:r w:rsidRPr="00B66825">
        <w:rPr>
          <w:sz w:val="24"/>
          <w:szCs w:val="24"/>
        </w:rPr>
        <w:t>já que as grandes empresas possuem um maior acesso a recursos, são mais propensas a uma otimização fiscal, e podem elaborar políticas de planejamento contábil e fiscal para reduzir os impostos</w:t>
      </w:r>
      <w:r>
        <w:rPr>
          <w:sz w:val="24"/>
          <w:szCs w:val="24"/>
        </w:rPr>
        <w:t>,</w:t>
      </w:r>
      <w:r w:rsidRPr="00B66825">
        <w:rPr>
          <w:sz w:val="24"/>
          <w:szCs w:val="24"/>
        </w:rPr>
        <w:t xml:space="preserve"> manipulando o processo </w:t>
      </w:r>
      <w:r w:rsidRPr="00707342">
        <w:rPr>
          <w:sz w:val="24"/>
          <w:szCs w:val="24"/>
        </w:rPr>
        <w:t>político a seu favor</w:t>
      </w:r>
      <w:r w:rsidRPr="00A2410D">
        <w:rPr>
          <w:sz w:val="24"/>
          <w:szCs w:val="24"/>
        </w:rPr>
        <w:t xml:space="preserve"> ( Siegfried, 1972).</w:t>
      </w:r>
    </w:p>
    <w:p w14:paraId="07956289" w14:textId="77777777" w:rsidR="00636682" w:rsidRDefault="00636682" w:rsidP="00636682">
      <w:pPr>
        <w:jc w:val="both"/>
        <w:rPr>
          <w:sz w:val="24"/>
          <w:szCs w:val="24"/>
        </w:rPr>
      </w:pPr>
      <w:r w:rsidRPr="00A2410D">
        <w:rPr>
          <w:sz w:val="24"/>
          <w:szCs w:val="24"/>
        </w:rPr>
        <w:t>Partindo do pressuposto que as grandes empresas enfrentam maiores encargos fiscais</w:t>
      </w:r>
      <w:r>
        <w:rPr>
          <w:sz w:val="24"/>
          <w:szCs w:val="24"/>
        </w:rPr>
        <w:t xml:space="preserve">, </w:t>
      </w:r>
      <w:r w:rsidRPr="00A2410D">
        <w:rPr>
          <w:sz w:val="24"/>
          <w:szCs w:val="24"/>
        </w:rPr>
        <w:t>este</w:t>
      </w:r>
      <w:r>
        <w:rPr>
          <w:sz w:val="24"/>
          <w:szCs w:val="24"/>
        </w:rPr>
        <w:t xml:space="preserve"> </w:t>
      </w:r>
      <w:r w:rsidRPr="00A2410D">
        <w:rPr>
          <w:sz w:val="24"/>
          <w:szCs w:val="24"/>
        </w:rPr>
        <w:t>estudo prevê uma relação positiva entre a ETR e o tamanho da empresa. Assim</w:t>
      </w:r>
      <w:r>
        <w:rPr>
          <w:sz w:val="24"/>
          <w:szCs w:val="24"/>
        </w:rPr>
        <w:t>,</w:t>
      </w:r>
      <w:r w:rsidRPr="00A2410D">
        <w:rPr>
          <w:sz w:val="24"/>
          <w:szCs w:val="24"/>
        </w:rPr>
        <w:t xml:space="preserve"> f</w:t>
      </w:r>
      <w:r w:rsidRPr="000A1C7A">
        <w:rPr>
          <w:sz w:val="24"/>
          <w:szCs w:val="24"/>
        </w:rPr>
        <w:t>ormula-se a primeira hipótese:</w:t>
      </w:r>
    </w:p>
    <w:p w14:paraId="08F1C8A9" w14:textId="77777777" w:rsidR="00636682" w:rsidRPr="0042038B" w:rsidRDefault="00636682" w:rsidP="00636682">
      <w:pPr>
        <w:jc w:val="both"/>
        <w:rPr>
          <w:sz w:val="24"/>
          <w:szCs w:val="24"/>
        </w:rPr>
      </w:pPr>
      <w:r>
        <w:rPr>
          <w:sz w:val="24"/>
          <w:szCs w:val="24"/>
        </w:rPr>
        <w:tab/>
      </w:r>
      <w:r w:rsidRPr="0042038B">
        <w:rPr>
          <w:sz w:val="24"/>
          <w:szCs w:val="24"/>
        </w:rPr>
        <w:t>H1: O tamanho da Empresa influ</w:t>
      </w:r>
      <w:r>
        <w:rPr>
          <w:sz w:val="24"/>
          <w:szCs w:val="24"/>
        </w:rPr>
        <w:t>e</w:t>
      </w:r>
      <w:r w:rsidRPr="0042038B">
        <w:rPr>
          <w:sz w:val="24"/>
          <w:szCs w:val="24"/>
        </w:rPr>
        <w:t>ncia positivamente a taxa de imposto efetiva.</w:t>
      </w:r>
    </w:p>
    <w:p w14:paraId="5CF000B5" w14:textId="77777777" w:rsidR="00636682" w:rsidRPr="00993FE6" w:rsidRDefault="00636682" w:rsidP="004B193F">
      <w:pPr>
        <w:jc w:val="both"/>
        <w:rPr>
          <w:b/>
          <w:sz w:val="24"/>
          <w:szCs w:val="24"/>
        </w:rPr>
      </w:pPr>
      <w:bookmarkStart w:id="14" w:name="_Hlk500031109"/>
      <w:bookmarkEnd w:id="12"/>
      <w:r w:rsidRPr="00993FE6">
        <w:rPr>
          <w:b/>
          <w:sz w:val="24"/>
          <w:szCs w:val="24"/>
        </w:rPr>
        <w:t xml:space="preserve">b) ETR e alavancagem </w:t>
      </w:r>
    </w:p>
    <w:p w14:paraId="7E57FBC3" w14:textId="77777777" w:rsidR="00636682" w:rsidRPr="008E4A5C" w:rsidRDefault="00636682" w:rsidP="00636682">
      <w:pPr>
        <w:ind w:firstLine="708"/>
        <w:jc w:val="both"/>
        <w:rPr>
          <w:sz w:val="24"/>
          <w:szCs w:val="24"/>
        </w:rPr>
      </w:pPr>
      <w:bookmarkStart w:id="15" w:name="_Hlk500031069"/>
      <w:bookmarkEnd w:id="14"/>
      <w:r w:rsidRPr="00A2410D">
        <w:rPr>
          <w:sz w:val="24"/>
          <w:szCs w:val="24"/>
        </w:rPr>
        <w:t xml:space="preserve">A alavancagem refere-se à intensidade de recursos de terceiros que as empresas utilizam para financiar </w:t>
      </w:r>
      <w:r>
        <w:rPr>
          <w:sz w:val="24"/>
          <w:szCs w:val="24"/>
        </w:rPr>
        <w:t xml:space="preserve">os </w:t>
      </w:r>
      <w:r w:rsidRPr="008E4A5C">
        <w:rPr>
          <w:sz w:val="24"/>
          <w:szCs w:val="24"/>
        </w:rPr>
        <w:t xml:space="preserve">seus ativos. </w:t>
      </w:r>
      <w:r>
        <w:rPr>
          <w:sz w:val="24"/>
          <w:szCs w:val="24"/>
        </w:rPr>
        <w:t>Ela r</w:t>
      </w:r>
      <w:r w:rsidRPr="008E4A5C">
        <w:rPr>
          <w:sz w:val="24"/>
          <w:szCs w:val="24"/>
        </w:rPr>
        <w:t>epresenta um instrumento que gera benefícios fiscais prov</w:t>
      </w:r>
      <w:r>
        <w:rPr>
          <w:sz w:val="24"/>
          <w:szCs w:val="24"/>
        </w:rPr>
        <w:t xml:space="preserve">enientes </w:t>
      </w:r>
      <w:r w:rsidRPr="008E4A5C">
        <w:rPr>
          <w:sz w:val="24"/>
          <w:szCs w:val="24"/>
        </w:rPr>
        <w:t>da dedutibilidade dos juros (Modigliani &amp; Miller, 1963).</w:t>
      </w:r>
    </w:p>
    <w:p w14:paraId="10626A25" w14:textId="77777777" w:rsidR="00636682" w:rsidRPr="008E4A5C" w:rsidRDefault="00636682" w:rsidP="00636682">
      <w:pPr>
        <w:ind w:firstLine="708"/>
        <w:jc w:val="both"/>
      </w:pPr>
      <w:r w:rsidRPr="008E4A5C">
        <w:rPr>
          <w:sz w:val="24"/>
          <w:szCs w:val="24"/>
        </w:rPr>
        <w:t xml:space="preserve">Segundo a Teoria da </w:t>
      </w:r>
      <w:r w:rsidRPr="008E4A5C">
        <w:rPr>
          <w:i/>
          <w:sz w:val="24"/>
          <w:szCs w:val="24"/>
        </w:rPr>
        <w:t>Pecking Order</w:t>
      </w:r>
      <w:r w:rsidRPr="008E4A5C">
        <w:rPr>
          <w:sz w:val="24"/>
          <w:szCs w:val="24"/>
        </w:rPr>
        <w:t>, proposta por Myers e Majluf (1984), as empresas obedecem a uma hierarquia de escolhas</w:t>
      </w:r>
      <w:r>
        <w:rPr>
          <w:sz w:val="24"/>
          <w:szCs w:val="24"/>
        </w:rPr>
        <w:t>,</w:t>
      </w:r>
      <w:r w:rsidRPr="008E4A5C">
        <w:rPr>
          <w:sz w:val="24"/>
          <w:szCs w:val="24"/>
        </w:rPr>
        <w:t xml:space="preserve"> ao definirem sobre como irão financiar seus projetos</w:t>
      </w:r>
      <w:r>
        <w:rPr>
          <w:sz w:val="24"/>
          <w:szCs w:val="24"/>
        </w:rPr>
        <w:t>. As empresas</w:t>
      </w:r>
      <w:r w:rsidRPr="008E4A5C">
        <w:rPr>
          <w:sz w:val="24"/>
          <w:szCs w:val="24"/>
        </w:rPr>
        <w:t xml:space="preserve"> recorre</w:t>
      </w:r>
      <w:r>
        <w:rPr>
          <w:sz w:val="24"/>
          <w:szCs w:val="24"/>
        </w:rPr>
        <w:t>m</w:t>
      </w:r>
      <w:r w:rsidRPr="008E4A5C">
        <w:rPr>
          <w:sz w:val="24"/>
          <w:szCs w:val="24"/>
        </w:rPr>
        <w:t xml:space="preserve"> inicialmente a recursos gerados internamente, seguido de emissão de dívidas e, por último, a emissão de novas ações. Já a Teoria </w:t>
      </w:r>
      <w:r w:rsidRPr="008E4A5C">
        <w:rPr>
          <w:i/>
          <w:sz w:val="24"/>
          <w:szCs w:val="24"/>
        </w:rPr>
        <w:t>Trade-Off</w:t>
      </w:r>
      <w:r w:rsidRPr="008E4A5C">
        <w:rPr>
          <w:sz w:val="24"/>
          <w:szCs w:val="24"/>
        </w:rPr>
        <w:t xml:space="preserve"> defende a existência de uma estrutura ótima de capital decorrente do </w:t>
      </w:r>
      <w:r w:rsidRPr="008E4A5C">
        <w:rPr>
          <w:i/>
          <w:sz w:val="24"/>
          <w:szCs w:val="24"/>
        </w:rPr>
        <w:t>trade-off</w:t>
      </w:r>
      <w:r w:rsidRPr="008E4A5C">
        <w:rPr>
          <w:sz w:val="24"/>
          <w:szCs w:val="24"/>
        </w:rPr>
        <w:t xml:space="preserve"> entre os custos e benefícios do endividamento</w:t>
      </w:r>
      <w:r>
        <w:rPr>
          <w:sz w:val="24"/>
          <w:szCs w:val="24"/>
        </w:rPr>
        <w:t>. A</w:t>
      </w:r>
      <w:r w:rsidRPr="008E4A5C">
        <w:rPr>
          <w:sz w:val="24"/>
          <w:szCs w:val="24"/>
        </w:rPr>
        <w:t>ssim</w:t>
      </w:r>
      <w:r>
        <w:rPr>
          <w:sz w:val="24"/>
          <w:szCs w:val="24"/>
        </w:rPr>
        <w:t>, de acordo com esta teoria,</w:t>
      </w:r>
      <w:r w:rsidRPr="008E4A5C">
        <w:rPr>
          <w:sz w:val="24"/>
          <w:szCs w:val="24"/>
        </w:rPr>
        <w:t xml:space="preserve"> as empresas deveriam endividar-se até o momento em que o valor presente dos custos decorrentes do endividamento fosse igual ao valor presente dos benefícios gerados pela dívida (Jensen &amp; Meckling, 1976; Myers, 1984</w:t>
      </w:r>
      <w:r w:rsidRPr="008E4A5C">
        <w:t>).</w:t>
      </w:r>
    </w:p>
    <w:p w14:paraId="2A8EBC20" w14:textId="77777777" w:rsidR="00636682" w:rsidRDefault="00636682" w:rsidP="00636682">
      <w:pPr>
        <w:ind w:firstLine="709"/>
        <w:jc w:val="both"/>
        <w:rPr>
          <w:sz w:val="24"/>
          <w:szCs w:val="24"/>
        </w:rPr>
      </w:pPr>
      <w:r w:rsidRPr="008E4A5C">
        <w:rPr>
          <w:sz w:val="24"/>
          <w:szCs w:val="24"/>
        </w:rPr>
        <w:t>Gupta &amp; Newberry (1997) argumentam que as decisões de financiamento das empresas afetam o</w:t>
      </w:r>
      <w:r>
        <w:rPr>
          <w:sz w:val="24"/>
          <w:szCs w:val="24"/>
        </w:rPr>
        <w:t>s</w:t>
      </w:r>
      <w:r w:rsidRPr="008E4A5C">
        <w:rPr>
          <w:sz w:val="24"/>
          <w:szCs w:val="24"/>
        </w:rPr>
        <w:t xml:space="preserve"> ETRs</w:t>
      </w:r>
      <w:r>
        <w:rPr>
          <w:sz w:val="24"/>
          <w:szCs w:val="24"/>
        </w:rPr>
        <w:t>,</w:t>
      </w:r>
      <w:r w:rsidRPr="008E4A5C">
        <w:rPr>
          <w:sz w:val="24"/>
          <w:szCs w:val="24"/>
        </w:rPr>
        <w:t xml:space="preserve"> porque o código tributário concede tratamento diferenciado à estrutura de capital definida pela empresa</w:t>
      </w:r>
      <w:r w:rsidRPr="00707342">
        <w:rPr>
          <w:sz w:val="24"/>
          <w:szCs w:val="24"/>
        </w:rPr>
        <w:t xml:space="preserve">. </w:t>
      </w:r>
      <w:r w:rsidRPr="00A2410D">
        <w:rPr>
          <w:sz w:val="24"/>
          <w:szCs w:val="24"/>
        </w:rPr>
        <w:t xml:space="preserve">Assim, se uma empresa depende mais fortemente da dívida ou do capital próprio para financiar </w:t>
      </w:r>
      <w:r>
        <w:rPr>
          <w:sz w:val="24"/>
          <w:szCs w:val="24"/>
        </w:rPr>
        <w:t xml:space="preserve">as </w:t>
      </w:r>
      <w:r w:rsidRPr="008E4A5C">
        <w:rPr>
          <w:sz w:val="24"/>
          <w:szCs w:val="24"/>
        </w:rPr>
        <w:t>suas operações</w:t>
      </w:r>
      <w:r>
        <w:rPr>
          <w:sz w:val="24"/>
          <w:szCs w:val="24"/>
        </w:rPr>
        <w:t>, os</w:t>
      </w:r>
      <w:r w:rsidRPr="008E4A5C">
        <w:rPr>
          <w:sz w:val="24"/>
          <w:szCs w:val="24"/>
        </w:rPr>
        <w:t xml:space="preserve"> seus benefícios não são equivalentes</w:t>
      </w:r>
      <w:r>
        <w:rPr>
          <w:sz w:val="24"/>
          <w:szCs w:val="24"/>
        </w:rPr>
        <w:t xml:space="preserve">. Isto porque as </w:t>
      </w:r>
      <w:r w:rsidRPr="008E4A5C">
        <w:rPr>
          <w:sz w:val="24"/>
          <w:szCs w:val="24"/>
        </w:rPr>
        <w:t>despesas com juros são dedutíveis para fins fiscais, enquanto os dividendos não são</w:t>
      </w:r>
      <w:r>
        <w:rPr>
          <w:sz w:val="24"/>
          <w:szCs w:val="24"/>
        </w:rPr>
        <w:t>. A</w:t>
      </w:r>
      <w:r w:rsidRPr="008E4A5C">
        <w:rPr>
          <w:sz w:val="24"/>
          <w:szCs w:val="24"/>
        </w:rPr>
        <w:t>ssim</w:t>
      </w:r>
      <w:r>
        <w:rPr>
          <w:sz w:val="24"/>
          <w:szCs w:val="24"/>
        </w:rPr>
        <w:t>,</w:t>
      </w:r>
      <w:r w:rsidRPr="008E4A5C">
        <w:rPr>
          <w:sz w:val="24"/>
          <w:szCs w:val="24"/>
        </w:rPr>
        <w:t xml:space="preserve"> </w:t>
      </w:r>
      <w:r>
        <w:rPr>
          <w:sz w:val="24"/>
          <w:szCs w:val="24"/>
        </w:rPr>
        <w:t>há uma</w:t>
      </w:r>
      <w:r w:rsidRPr="008E4A5C">
        <w:rPr>
          <w:sz w:val="24"/>
          <w:szCs w:val="24"/>
        </w:rPr>
        <w:t xml:space="preserve"> relação ambígua entre endividamento e ETRs. Para Kraft (2014) e</w:t>
      </w:r>
      <w:r>
        <w:rPr>
          <w:sz w:val="24"/>
          <w:szCs w:val="24"/>
        </w:rPr>
        <w:t xml:space="preserve"> </w:t>
      </w:r>
      <w:r w:rsidRPr="008E4A5C">
        <w:rPr>
          <w:sz w:val="24"/>
          <w:szCs w:val="24"/>
        </w:rPr>
        <w:t xml:space="preserve">Ramalhosa (2015), </w:t>
      </w:r>
      <w:r>
        <w:rPr>
          <w:sz w:val="24"/>
          <w:szCs w:val="24"/>
        </w:rPr>
        <w:t xml:space="preserve">as </w:t>
      </w:r>
      <w:r w:rsidRPr="008E4A5C">
        <w:rPr>
          <w:sz w:val="24"/>
          <w:szCs w:val="24"/>
        </w:rPr>
        <w:t>empresas mais endividadas recorrem mais facilmente em estratégias de planejamento fiscais, gerando menores ETRs. Desta forma, espera-se uma relação negativa entre endividamento e a ETR</w:t>
      </w:r>
      <w:r>
        <w:rPr>
          <w:sz w:val="24"/>
          <w:szCs w:val="24"/>
        </w:rPr>
        <w:t>,</w:t>
      </w:r>
      <w:r w:rsidRPr="008E4A5C">
        <w:rPr>
          <w:sz w:val="24"/>
          <w:szCs w:val="24"/>
        </w:rPr>
        <w:t xml:space="preserve"> e formula-se a segunda hipótese:</w:t>
      </w:r>
    </w:p>
    <w:p w14:paraId="40D3D152" w14:textId="77777777" w:rsidR="00636682" w:rsidRPr="00C4250F" w:rsidRDefault="00636682" w:rsidP="00636682">
      <w:pPr>
        <w:jc w:val="both"/>
        <w:rPr>
          <w:sz w:val="24"/>
          <w:szCs w:val="24"/>
        </w:rPr>
      </w:pPr>
      <w:r>
        <w:rPr>
          <w:sz w:val="24"/>
          <w:szCs w:val="24"/>
        </w:rPr>
        <w:tab/>
      </w:r>
      <w:r w:rsidRPr="00C4250F">
        <w:rPr>
          <w:sz w:val="24"/>
          <w:szCs w:val="24"/>
        </w:rPr>
        <w:t>H2: A alavancagem influencia negativamente a taxa de imposto efetiva.</w:t>
      </w:r>
    </w:p>
    <w:p w14:paraId="644B8B36" w14:textId="77777777" w:rsidR="00636682" w:rsidRPr="00993FE6" w:rsidRDefault="00636682" w:rsidP="00636682">
      <w:pPr>
        <w:pStyle w:val="Ttulo1"/>
        <w:spacing w:before="0" w:line="240" w:lineRule="auto"/>
        <w:rPr>
          <w:rFonts w:ascii="Times New Roman" w:hAnsi="Times New Roman" w:cs="Times New Roman"/>
          <w:b/>
          <w:color w:val="auto"/>
          <w:sz w:val="24"/>
          <w:szCs w:val="24"/>
        </w:rPr>
      </w:pPr>
      <w:bookmarkStart w:id="16" w:name="_Hlk500033750"/>
      <w:bookmarkEnd w:id="15"/>
      <w:r w:rsidRPr="00993FE6">
        <w:rPr>
          <w:rFonts w:ascii="Times New Roman" w:hAnsi="Times New Roman" w:cs="Times New Roman"/>
          <w:b/>
          <w:color w:val="auto"/>
          <w:sz w:val="24"/>
          <w:szCs w:val="24"/>
        </w:rPr>
        <w:t xml:space="preserve">c) ETR e custo da dívida </w:t>
      </w:r>
    </w:p>
    <w:bookmarkEnd w:id="16"/>
    <w:p w14:paraId="412883F0" w14:textId="77777777" w:rsidR="00636682" w:rsidRPr="00707342" w:rsidRDefault="00636682" w:rsidP="00636682">
      <w:pPr>
        <w:ind w:firstLine="708"/>
        <w:jc w:val="both"/>
        <w:rPr>
          <w:sz w:val="24"/>
          <w:szCs w:val="24"/>
        </w:rPr>
      </w:pPr>
      <w:r w:rsidRPr="00A2410D">
        <w:rPr>
          <w:sz w:val="24"/>
          <w:szCs w:val="24"/>
        </w:rPr>
        <w:t>A combinação adequada das fontes de financiamento possibilita a definição de um valor mínimo para o custo total de capital das empresas</w:t>
      </w:r>
      <w:r>
        <w:rPr>
          <w:sz w:val="24"/>
          <w:szCs w:val="24"/>
        </w:rPr>
        <w:t>;</w:t>
      </w:r>
      <w:r w:rsidRPr="00707342">
        <w:rPr>
          <w:sz w:val="24"/>
          <w:szCs w:val="24"/>
        </w:rPr>
        <w:t xml:space="preserve"> esse gerenciamento pode maximizar a riqueza dos acionistas (Harris &amp; Raviv, 1991). </w:t>
      </w:r>
      <w:r w:rsidRPr="00A2410D">
        <w:rPr>
          <w:sz w:val="24"/>
          <w:szCs w:val="24"/>
        </w:rPr>
        <w:t xml:space="preserve">Para escolher, de forma adequada, o perfil de financiamento de uma empresa, deve-se levar em conta fatores como o risco e </w:t>
      </w:r>
      <w:r>
        <w:rPr>
          <w:sz w:val="24"/>
          <w:szCs w:val="24"/>
        </w:rPr>
        <w:t xml:space="preserve">o </w:t>
      </w:r>
      <w:r w:rsidRPr="00707342">
        <w:rPr>
          <w:sz w:val="24"/>
          <w:szCs w:val="24"/>
        </w:rPr>
        <w:t>custo, com intuito de potencializar os lucros das empresas.</w:t>
      </w:r>
    </w:p>
    <w:p w14:paraId="0969C550" w14:textId="77777777" w:rsidR="00636682" w:rsidRPr="00707342" w:rsidRDefault="00636682" w:rsidP="00636682">
      <w:pPr>
        <w:ind w:firstLine="708"/>
        <w:jc w:val="both"/>
        <w:rPr>
          <w:sz w:val="24"/>
          <w:szCs w:val="24"/>
        </w:rPr>
      </w:pPr>
      <w:r w:rsidRPr="00707342">
        <w:rPr>
          <w:sz w:val="24"/>
          <w:szCs w:val="24"/>
        </w:rPr>
        <w:t>O custo da dívida, conforme indicado por Fernández-Rodríguez &amp; Martinez-Arias (2016</w:t>
      </w:r>
      <w:r w:rsidRPr="00A2410D">
        <w:rPr>
          <w:sz w:val="24"/>
          <w:szCs w:val="24"/>
        </w:rPr>
        <w:t xml:space="preserve">), é expresso pelo quociente entre o </w:t>
      </w:r>
      <w:bookmarkStart w:id="17" w:name="_Hlk500033916"/>
      <w:r w:rsidRPr="00A2410D">
        <w:rPr>
          <w:sz w:val="24"/>
          <w:szCs w:val="24"/>
        </w:rPr>
        <w:t xml:space="preserve">total de despesas financeiras </w:t>
      </w:r>
      <w:r>
        <w:rPr>
          <w:sz w:val="24"/>
          <w:szCs w:val="24"/>
        </w:rPr>
        <w:t>(</w:t>
      </w:r>
      <w:r w:rsidRPr="00707342">
        <w:rPr>
          <w:sz w:val="24"/>
          <w:szCs w:val="24"/>
        </w:rPr>
        <w:t>ou com juros</w:t>
      </w:r>
      <w:r>
        <w:rPr>
          <w:sz w:val="24"/>
          <w:szCs w:val="24"/>
        </w:rPr>
        <w:t>)</w:t>
      </w:r>
      <w:r w:rsidRPr="00707342">
        <w:rPr>
          <w:sz w:val="24"/>
          <w:szCs w:val="24"/>
        </w:rPr>
        <w:t xml:space="preserve"> sobre o total de dívidas relacionadas a captação de terceiros. Este índice </w:t>
      </w:r>
      <w:r>
        <w:rPr>
          <w:sz w:val="24"/>
          <w:szCs w:val="24"/>
        </w:rPr>
        <w:t>visa</w:t>
      </w:r>
      <w:r w:rsidRPr="00707342">
        <w:rPr>
          <w:sz w:val="24"/>
          <w:szCs w:val="24"/>
        </w:rPr>
        <w:t xml:space="preserve"> verificar a carga tributária que reduz diretamente o lucro e o valor dos ativos financeiros, por serem consideradas despesas dedutíveis para efeitos fiscais. </w:t>
      </w:r>
    </w:p>
    <w:p w14:paraId="39C34A9B" w14:textId="58B4160D" w:rsidR="00636682" w:rsidRDefault="00636682">
      <w:pPr>
        <w:ind w:firstLine="708"/>
        <w:jc w:val="both"/>
        <w:rPr>
          <w:sz w:val="24"/>
          <w:szCs w:val="24"/>
        </w:rPr>
      </w:pPr>
      <w:r w:rsidRPr="00707342">
        <w:rPr>
          <w:sz w:val="24"/>
          <w:szCs w:val="24"/>
        </w:rPr>
        <w:t>Parte-se do pressuposto de que empresas mais endividadas e que tenham maior montante de juros, recorrem a atividades de planejamento fiscal para reduzir a taxa efetiva de imposto</w:t>
      </w:r>
      <w:r w:rsidRPr="00A2410D">
        <w:rPr>
          <w:sz w:val="24"/>
          <w:szCs w:val="24"/>
        </w:rPr>
        <w:t xml:space="preserve">. </w:t>
      </w:r>
      <w:r w:rsidR="00463655">
        <w:rPr>
          <w:sz w:val="24"/>
          <w:szCs w:val="24"/>
        </w:rPr>
        <w:t>Tendo em vista que e</w:t>
      </w:r>
      <w:r w:rsidR="00463655" w:rsidRPr="00A2410D">
        <w:rPr>
          <w:sz w:val="24"/>
          <w:szCs w:val="24"/>
        </w:rPr>
        <w:t xml:space="preserve">mpresas que possuem </w:t>
      </w:r>
      <w:r w:rsidR="00463655">
        <w:rPr>
          <w:sz w:val="24"/>
          <w:szCs w:val="24"/>
        </w:rPr>
        <w:t xml:space="preserve">um </w:t>
      </w:r>
      <w:r w:rsidR="00463655" w:rsidRPr="00707342">
        <w:rPr>
          <w:sz w:val="24"/>
          <w:szCs w:val="24"/>
        </w:rPr>
        <w:t>maior nível de endividamento geralmente necessitam recorrer a atividades de planejamento</w:t>
      </w:r>
      <w:r w:rsidR="00463655">
        <w:rPr>
          <w:sz w:val="24"/>
          <w:szCs w:val="24"/>
        </w:rPr>
        <w:t>. Tais empresas precisam</w:t>
      </w:r>
      <w:r w:rsidR="00463655" w:rsidRPr="00707342">
        <w:rPr>
          <w:sz w:val="24"/>
          <w:szCs w:val="24"/>
        </w:rPr>
        <w:t xml:space="preserve"> reduzir a </w:t>
      </w:r>
      <w:r w:rsidR="00463655">
        <w:rPr>
          <w:sz w:val="24"/>
          <w:szCs w:val="24"/>
        </w:rPr>
        <w:t>ETR</w:t>
      </w:r>
      <w:r w:rsidR="00463655" w:rsidRPr="00707342">
        <w:rPr>
          <w:sz w:val="24"/>
          <w:szCs w:val="24"/>
        </w:rPr>
        <w:t>, por possuir um alto custo de dívidas (Ramalhosa</w:t>
      </w:r>
      <w:r w:rsidR="00463655">
        <w:rPr>
          <w:sz w:val="24"/>
          <w:szCs w:val="24"/>
        </w:rPr>
        <w:t xml:space="preserve">, </w:t>
      </w:r>
      <w:r w:rsidR="00463655" w:rsidRPr="00707342">
        <w:rPr>
          <w:sz w:val="24"/>
          <w:szCs w:val="24"/>
        </w:rPr>
        <w:t>2015).</w:t>
      </w:r>
      <w:r w:rsidR="00463655">
        <w:rPr>
          <w:sz w:val="24"/>
          <w:szCs w:val="24"/>
        </w:rPr>
        <w:t xml:space="preserve"> </w:t>
      </w:r>
      <w:r w:rsidRPr="00A2410D">
        <w:rPr>
          <w:sz w:val="24"/>
          <w:szCs w:val="24"/>
        </w:rPr>
        <w:t xml:space="preserve">Espera-se, portanto, que uma </w:t>
      </w:r>
      <w:r w:rsidRPr="00A2410D">
        <w:rPr>
          <w:sz w:val="24"/>
          <w:szCs w:val="24"/>
        </w:rPr>
        <w:lastRenderedPageBreak/>
        <w:t>maior quantidade de despesas com juros dedutíveis de impostos possa impactar em menores ETRs. Assim, formula-se</w:t>
      </w:r>
      <w:r>
        <w:rPr>
          <w:sz w:val="24"/>
          <w:szCs w:val="24"/>
        </w:rPr>
        <w:t xml:space="preserve"> a</w:t>
      </w:r>
      <w:r w:rsidRPr="00707342">
        <w:rPr>
          <w:sz w:val="24"/>
          <w:szCs w:val="24"/>
        </w:rPr>
        <w:t xml:space="preserve"> terceira hipótese.</w:t>
      </w:r>
    </w:p>
    <w:p w14:paraId="1411ED29" w14:textId="77777777" w:rsidR="00636682" w:rsidRPr="00707342" w:rsidRDefault="00636682" w:rsidP="00636682">
      <w:pPr>
        <w:ind w:firstLine="708"/>
        <w:jc w:val="both"/>
        <w:rPr>
          <w:sz w:val="24"/>
          <w:szCs w:val="24"/>
        </w:rPr>
      </w:pPr>
      <w:r w:rsidRPr="00707342">
        <w:rPr>
          <w:sz w:val="24"/>
          <w:szCs w:val="24"/>
        </w:rPr>
        <w:t>H3: o custo da dívida da empresa influencia negativamente a taxa de imposto efetiva.</w:t>
      </w:r>
    </w:p>
    <w:p w14:paraId="0E013BD5" w14:textId="77777777" w:rsidR="00636682" w:rsidRPr="00993FE6" w:rsidRDefault="00636682" w:rsidP="00636682">
      <w:pPr>
        <w:pStyle w:val="Ttulo1"/>
        <w:spacing w:before="0" w:line="240" w:lineRule="auto"/>
        <w:rPr>
          <w:rFonts w:ascii="Times New Roman" w:hAnsi="Times New Roman" w:cs="Times New Roman"/>
          <w:b/>
          <w:color w:val="auto"/>
          <w:sz w:val="24"/>
          <w:szCs w:val="24"/>
        </w:rPr>
      </w:pPr>
      <w:bookmarkStart w:id="18" w:name="_Hlk500035890"/>
      <w:bookmarkEnd w:id="17"/>
      <w:r w:rsidRPr="00993FE6">
        <w:rPr>
          <w:rFonts w:ascii="Times New Roman" w:hAnsi="Times New Roman" w:cs="Times New Roman"/>
          <w:b/>
          <w:color w:val="auto"/>
          <w:sz w:val="24"/>
          <w:szCs w:val="24"/>
        </w:rPr>
        <w:t xml:space="preserve">d) ETR e a intensidade de capital </w:t>
      </w:r>
    </w:p>
    <w:p w14:paraId="60612202" w14:textId="77777777" w:rsidR="00636682" w:rsidRPr="00707342" w:rsidRDefault="00636682" w:rsidP="00636682">
      <w:pPr>
        <w:ind w:firstLine="708"/>
        <w:jc w:val="both"/>
        <w:rPr>
          <w:sz w:val="24"/>
          <w:szCs w:val="24"/>
        </w:rPr>
      </w:pPr>
      <w:bookmarkStart w:id="19" w:name="_Hlk500035882"/>
      <w:bookmarkEnd w:id="18"/>
      <w:r w:rsidRPr="00A2410D">
        <w:rPr>
          <w:sz w:val="24"/>
          <w:szCs w:val="24"/>
        </w:rPr>
        <w:t>A ETR pode sofrer impactos a partir da composição do ativo apresentado pelas empresas, principalmente elementos como do ativo não circulante</w:t>
      </w:r>
      <w:r>
        <w:rPr>
          <w:sz w:val="24"/>
          <w:szCs w:val="24"/>
        </w:rPr>
        <w:t xml:space="preserve">. Isto porque </w:t>
      </w:r>
      <w:r w:rsidRPr="00707342">
        <w:rPr>
          <w:sz w:val="24"/>
          <w:szCs w:val="24"/>
        </w:rPr>
        <w:t>estes normalmente possibilitam a dedução das despesas de amortização em todos os regimes fiscais (Fernández-Rodríguez &amp; Martínez-Arias, 2016).</w:t>
      </w:r>
      <w:r>
        <w:rPr>
          <w:sz w:val="24"/>
          <w:szCs w:val="24"/>
        </w:rPr>
        <w:t xml:space="preserve"> </w:t>
      </w:r>
      <w:r w:rsidRPr="00707342">
        <w:rPr>
          <w:sz w:val="24"/>
          <w:szCs w:val="24"/>
        </w:rPr>
        <w:t>Stickney &amp; McGee (1982) destaca que estatutos fiscais permitem a redução dos custos dos ativos depreciáveis em períodos mais baixos do que suas vidas econômicas</w:t>
      </w:r>
      <w:r>
        <w:rPr>
          <w:sz w:val="24"/>
          <w:szCs w:val="24"/>
        </w:rPr>
        <w:t>. Tal</w:t>
      </w:r>
      <w:r w:rsidRPr="00707342">
        <w:rPr>
          <w:sz w:val="24"/>
          <w:szCs w:val="24"/>
        </w:rPr>
        <w:t xml:space="preserve"> fator poderia levar a ETRs menores</w:t>
      </w:r>
      <w:r>
        <w:rPr>
          <w:sz w:val="24"/>
          <w:szCs w:val="24"/>
        </w:rPr>
        <w:t>,</w:t>
      </w:r>
      <w:r w:rsidRPr="00707342">
        <w:rPr>
          <w:sz w:val="24"/>
          <w:szCs w:val="24"/>
        </w:rPr>
        <w:t xml:space="preserve"> </w:t>
      </w:r>
      <w:r>
        <w:rPr>
          <w:sz w:val="24"/>
          <w:szCs w:val="24"/>
        </w:rPr>
        <w:t>considerando</w:t>
      </w:r>
      <w:r w:rsidRPr="00707342">
        <w:rPr>
          <w:sz w:val="24"/>
          <w:szCs w:val="24"/>
        </w:rPr>
        <w:t xml:space="preserve"> a dedução tributária de despesas com depreciação e amortização nos regimes fiscais.</w:t>
      </w:r>
    </w:p>
    <w:p w14:paraId="09629972" w14:textId="77777777" w:rsidR="00636682" w:rsidRDefault="00636682" w:rsidP="00636682">
      <w:pPr>
        <w:ind w:firstLine="708"/>
        <w:jc w:val="both"/>
        <w:rPr>
          <w:sz w:val="24"/>
          <w:szCs w:val="24"/>
        </w:rPr>
      </w:pPr>
      <w:r w:rsidRPr="00707342">
        <w:rPr>
          <w:sz w:val="24"/>
          <w:szCs w:val="24"/>
        </w:rPr>
        <w:t>A intensidade de capital é obtida pela divisão do total de ativo imobilizado líquido pelo total de ativos. Estudos como de Gupta e Newberry (1997)</w:t>
      </w:r>
      <w:r>
        <w:rPr>
          <w:sz w:val="24"/>
          <w:szCs w:val="24"/>
        </w:rPr>
        <w:t>,</w:t>
      </w:r>
      <w:r w:rsidRPr="00707342">
        <w:rPr>
          <w:sz w:val="24"/>
          <w:szCs w:val="24"/>
        </w:rPr>
        <w:t xml:space="preserve"> Richardson e Lanis (2007)</w:t>
      </w:r>
      <w:r>
        <w:rPr>
          <w:sz w:val="24"/>
          <w:szCs w:val="24"/>
        </w:rPr>
        <w:t>,</w:t>
      </w:r>
      <w:r w:rsidRPr="00707342">
        <w:rPr>
          <w:sz w:val="24"/>
          <w:szCs w:val="24"/>
        </w:rPr>
        <w:t xml:space="preserve"> encontraram relação negativa entre a intensidade do capital e a ETR. Nesse sentido, espera-se que empresas com </w:t>
      </w:r>
      <w:r>
        <w:rPr>
          <w:sz w:val="24"/>
          <w:szCs w:val="24"/>
        </w:rPr>
        <w:t xml:space="preserve">uma </w:t>
      </w:r>
      <w:r w:rsidRPr="00707342">
        <w:rPr>
          <w:sz w:val="24"/>
          <w:szCs w:val="24"/>
        </w:rPr>
        <w:t>maior proporção de ativos fixos em relação aos ativos totais</w:t>
      </w:r>
      <w:r w:rsidRPr="00707342">
        <w:t xml:space="preserve"> </w:t>
      </w:r>
      <w:r w:rsidRPr="00707342">
        <w:rPr>
          <w:sz w:val="24"/>
          <w:szCs w:val="24"/>
        </w:rPr>
        <w:t>apresentem ETRs menores</w:t>
      </w:r>
      <w:r>
        <w:rPr>
          <w:sz w:val="24"/>
          <w:szCs w:val="24"/>
        </w:rPr>
        <w:t xml:space="preserve">, </w:t>
      </w:r>
      <w:r w:rsidRPr="00707342">
        <w:rPr>
          <w:sz w:val="24"/>
          <w:szCs w:val="24"/>
        </w:rPr>
        <w:t xml:space="preserve">devido a existência de incentivos fiscais. </w:t>
      </w:r>
      <w:r>
        <w:rPr>
          <w:sz w:val="24"/>
          <w:szCs w:val="24"/>
        </w:rPr>
        <w:t>Então, f</w:t>
      </w:r>
      <w:r w:rsidRPr="00707342">
        <w:rPr>
          <w:sz w:val="24"/>
          <w:szCs w:val="24"/>
        </w:rPr>
        <w:t xml:space="preserve">ormula-se </w:t>
      </w:r>
      <w:r>
        <w:rPr>
          <w:sz w:val="24"/>
          <w:szCs w:val="24"/>
        </w:rPr>
        <w:t xml:space="preserve">a </w:t>
      </w:r>
      <w:r w:rsidRPr="00707342">
        <w:rPr>
          <w:sz w:val="24"/>
          <w:szCs w:val="24"/>
        </w:rPr>
        <w:t>quarta hipótese</w:t>
      </w:r>
      <w:r>
        <w:rPr>
          <w:sz w:val="24"/>
          <w:szCs w:val="24"/>
        </w:rPr>
        <w:t>:</w:t>
      </w:r>
    </w:p>
    <w:p w14:paraId="26A5616A" w14:textId="77777777" w:rsidR="00636682" w:rsidRPr="00707342" w:rsidRDefault="00636682" w:rsidP="00636682">
      <w:pPr>
        <w:ind w:firstLine="708"/>
        <w:jc w:val="both"/>
        <w:rPr>
          <w:sz w:val="24"/>
          <w:szCs w:val="24"/>
        </w:rPr>
      </w:pPr>
      <w:r w:rsidRPr="00707342">
        <w:rPr>
          <w:sz w:val="24"/>
          <w:szCs w:val="24"/>
        </w:rPr>
        <w:t>H4: A intensidade de capital influencia negativamente a taxa de imposto efetiva.</w:t>
      </w:r>
    </w:p>
    <w:p w14:paraId="040609C1" w14:textId="77777777" w:rsidR="00636682" w:rsidRPr="00993FE6" w:rsidRDefault="00636682" w:rsidP="00636682">
      <w:pPr>
        <w:pStyle w:val="Ttulo1"/>
        <w:spacing w:before="0" w:line="240" w:lineRule="auto"/>
        <w:rPr>
          <w:rFonts w:ascii="Times New Roman" w:hAnsi="Times New Roman" w:cs="Times New Roman"/>
          <w:b/>
          <w:color w:val="auto"/>
          <w:sz w:val="24"/>
          <w:szCs w:val="24"/>
        </w:rPr>
      </w:pPr>
      <w:bookmarkStart w:id="20" w:name="_Hlk500036646"/>
      <w:bookmarkEnd w:id="19"/>
      <w:r w:rsidRPr="00993FE6">
        <w:rPr>
          <w:rFonts w:ascii="Times New Roman" w:hAnsi="Times New Roman" w:cs="Times New Roman"/>
          <w:b/>
          <w:color w:val="auto"/>
          <w:sz w:val="24"/>
          <w:szCs w:val="24"/>
        </w:rPr>
        <w:t xml:space="preserve">e) ETR e a depreciação dos ativos não circulantes  </w:t>
      </w:r>
    </w:p>
    <w:p w14:paraId="76B0EA95" w14:textId="77777777" w:rsidR="00636682" w:rsidRPr="000A1C7A" w:rsidRDefault="00636682" w:rsidP="00636682">
      <w:pPr>
        <w:ind w:firstLine="709"/>
        <w:jc w:val="both"/>
        <w:rPr>
          <w:sz w:val="24"/>
          <w:szCs w:val="24"/>
        </w:rPr>
      </w:pPr>
      <w:r w:rsidRPr="00A2410D">
        <w:rPr>
          <w:sz w:val="24"/>
          <w:szCs w:val="24"/>
        </w:rPr>
        <w:t>Alterações no ativo imobilizado podem impactar a estrutura patrimonial das empresas</w:t>
      </w:r>
      <w:r>
        <w:rPr>
          <w:sz w:val="24"/>
          <w:szCs w:val="24"/>
        </w:rPr>
        <w:t>,</w:t>
      </w:r>
      <w:r w:rsidRPr="00707342">
        <w:rPr>
          <w:sz w:val="24"/>
          <w:szCs w:val="24"/>
        </w:rPr>
        <w:t xml:space="preserve"> dada a relevância em seu patrimônio, em especial </w:t>
      </w:r>
      <w:r>
        <w:rPr>
          <w:sz w:val="24"/>
          <w:szCs w:val="24"/>
        </w:rPr>
        <w:t>nos</w:t>
      </w:r>
      <w:r w:rsidRPr="00707342">
        <w:rPr>
          <w:sz w:val="24"/>
          <w:szCs w:val="24"/>
        </w:rPr>
        <w:t xml:space="preserve"> segmentos que apresentam maiores níveis de imobilização (Reis &amp; Nogueira, 2012). Já que a despesa com depreciação representa um gasto dedutível fiscalmente, empresas que apresentam </w:t>
      </w:r>
      <w:r>
        <w:rPr>
          <w:sz w:val="24"/>
          <w:szCs w:val="24"/>
        </w:rPr>
        <w:t xml:space="preserve">um </w:t>
      </w:r>
      <w:r w:rsidRPr="00707342">
        <w:rPr>
          <w:sz w:val="24"/>
          <w:szCs w:val="24"/>
        </w:rPr>
        <w:t>maior grau de ativos não circulantes poderão apresentar ETRs mais baixas (Kraft, 2014; Fern</w:t>
      </w:r>
      <w:r>
        <w:rPr>
          <w:sz w:val="24"/>
          <w:szCs w:val="24"/>
        </w:rPr>
        <w:t>a</w:t>
      </w:r>
      <w:r w:rsidRPr="000A1C7A">
        <w:rPr>
          <w:sz w:val="24"/>
          <w:szCs w:val="24"/>
        </w:rPr>
        <w:t>nd</w:t>
      </w:r>
      <w:r>
        <w:rPr>
          <w:sz w:val="24"/>
          <w:szCs w:val="24"/>
        </w:rPr>
        <w:t>e</w:t>
      </w:r>
      <w:r w:rsidRPr="000A1C7A">
        <w:rPr>
          <w:sz w:val="24"/>
          <w:szCs w:val="24"/>
        </w:rPr>
        <w:t>z-Rodríguez &amp; Arias, 2016).</w:t>
      </w:r>
    </w:p>
    <w:p w14:paraId="7C243C2E" w14:textId="77777777" w:rsidR="00636682" w:rsidRDefault="00636682" w:rsidP="00636682">
      <w:pPr>
        <w:ind w:firstLine="709"/>
        <w:jc w:val="both"/>
        <w:rPr>
          <w:sz w:val="24"/>
          <w:szCs w:val="24"/>
        </w:rPr>
      </w:pPr>
      <w:r w:rsidRPr="0042038B">
        <w:rPr>
          <w:sz w:val="24"/>
          <w:szCs w:val="24"/>
        </w:rPr>
        <w:t xml:space="preserve"> Espera-se, portanto, uma relação negativa entre despesa de depreciação dos ativos não circulantes e a ETR devido </w:t>
      </w:r>
      <w:r>
        <w:rPr>
          <w:sz w:val="24"/>
          <w:szCs w:val="24"/>
        </w:rPr>
        <w:t>aos</w:t>
      </w:r>
      <w:r w:rsidRPr="000A1C7A">
        <w:rPr>
          <w:sz w:val="24"/>
          <w:szCs w:val="24"/>
        </w:rPr>
        <w:t xml:space="preserve"> incentivos fiscais. Sendo assim, formula-se a quinta hipótese:</w:t>
      </w:r>
    </w:p>
    <w:p w14:paraId="152599D7" w14:textId="77777777" w:rsidR="00636682" w:rsidRPr="0042038B" w:rsidRDefault="00636682" w:rsidP="00636682">
      <w:pPr>
        <w:ind w:firstLine="708"/>
        <w:jc w:val="both"/>
        <w:rPr>
          <w:sz w:val="24"/>
          <w:szCs w:val="24"/>
        </w:rPr>
      </w:pPr>
      <w:r w:rsidRPr="0042038B">
        <w:rPr>
          <w:sz w:val="24"/>
          <w:szCs w:val="24"/>
        </w:rPr>
        <w:t xml:space="preserve">H5: </w:t>
      </w:r>
      <w:bookmarkStart w:id="21" w:name="_Hlk501112876"/>
      <w:r w:rsidRPr="0042038B">
        <w:rPr>
          <w:sz w:val="24"/>
          <w:szCs w:val="24"/>
        </w:rPr>
        <w:t>A depreciação dos ativos não circulantes influencia negativamente a taxa de imposto efetiva.</w:t>
      </w:r>
      <w:bookmarkEnd w:id="21"/>
    </w:p>
    <w:p w14:paraId="27EAB026" w14:textId="77777777" w:rsidR="00636682" w:rsidRPr="00993FE6" w:rsidRDefault="00636682" w:rsidP="00636682">
      <w:pPr>
        <w:pStyle w:val="Ttulo1"/>
        <w:spacing w:before="0" w:line="240" w:lineRule="auto"/>
        <w:rPr>
          <w:rFonts w:ascii="Times New Roman" w:hAnsi="Times New Roman" w:cs="Times New Roman"/>
          <w:b/>
          <w:color w:val="auto"/>
          <w:sz w:val="24"/>
          <w:szCs w:val="24"/>
        </w:rPr>
      </w:pPr>
      <w:bookmarkStart w:id="22" w:name="_Hlk500036701"/>
      <w:bookmarkEnd w:id="20"/>
      <w:r w:rsidRPr="00993FE6">
        <w:rPr>
          <w:rFonts w:ascii="Times New Roman" w:hAnsi="Times New Roman" w:cs="Times New Roman"/>
          <w:b/>
          <w:color w:val="auto"/>
          <w:sz w:val="24"/>
          <w:szCs w:val="24"/>
        </w:rPr>
        <w:t>f) ETR e retorno sobre os ativos - ROA</w:t>
      </w:r>
    </w:p>
    <w:p w14:paraId="71746B9B" w14:textId="77777777" w:rsidR="00636682" w:rsidRPr="00707342" w:rsidRDefault="00636682" w:rsidP="00636682">
      <w:pPr>
        <w:ind w:firstLine="708"/>
        <w:jc w:val="both"/>
        <w:rPr>
          <w:sz w:val="24"/>
          <w:szCs w:val="24"/>
        </w:rPr>
      </w:pPr>
      <w:r w:rsidRPr="00A2410D">
        <w:rPr>
          <w:sz w:val="24"/>
          <w:szCs w:val="24"/>
        </w:rPr>
        <w:t>O Retorno sobre os ativos representa o total de retorno gerado pelas atividades realizadas pela empresa por meio da combinação de seus ativos (Assaf Neto, 2008). Segundo Wernke (2008)</w:t>
      </w:r>
      <w:r>
        <w:rPr>
          <w:sz w:val="24"/>
          <w:szCs w:val="24"/>
        </w:rPr>
        <w:t>,</w:t>
      </w:r>
      <w:r w:rsidRPr="00707342">
        <w:rPr>
          <w:sz w:val="24"/>
          <w:szCs w:val="24"/>
        </w:rPr>
        <w:t xml:space="preserve"> o ROA pode ser definido como um indicador que demonstra o retorno monetário aplicado pela empresa em ativos em determinado período.</w:t>
      </w:r>
    </w:p>
    <w:p w14:paraId="1A51164B" w14:textId="77777777" w:rsidR="00636682" w:rsidRPr="00A2410D" w:rsidRDefault="00636682" w:rsidP="00636682">
      <w:pPr>
        <w:ind w:firstLine="708"/>
        <w:jc w:val="both"/>
        <w:rPr>
          <w:sz w:val="24"/>
          <w:szCs w:val="24"/>
        </w:rPr>
      </w:pPr>
      <w:r w:rsidRPr="00707342">
        <w:rPr>
          <w:sz w:val="24"/>
          <w:szCs w:val="24"/>
        </w:rPr>
        <w:t>Kraft (2014), evidenciou associação negativa entre ROA e ETR</w:t>
      </w:r>
      <w:r>
        <w:rPr>
          <w:sz w:val="24"/>
          <w:szCs w:val="24"/>
        </w:rPr>
        <w:t>. A</w:t>
      </w:r>
      <w:r w:rsidRPr="00707342">
        <w:rPr>
          <w:sz w:val="24"/>
          <w:szCs w:val="24"/>
        </w:rPr>
        <w:t xml:space="preserve">ssim, empresas mais lucrativas parecem se envolver com maior frequência em estratégias de elisão fiscal, por receberem mais incentivos e oportunidades para reduzir </w:t>
      </w:r>
      <w:r>
        <w:rPr>
          <w:sz w:val="24"/>
          <w:szCs w:val="24"/>
        </w:rPr>
        <w:t xml:space="preserve">a </w:t>
      </w:r>
      <w:r w:rsidRPr="00707342">
        <w:rPr>
          <w:sz w:val="24"/>
          <w:szCs w:val="24"/>
        </w:rPr>
        <w:t>sua carga tributária. Em contrapartida, outros estudos observaram que empresas mais lucrativas possuem maior ETR, ou ainda que um aumento no retorno s</w:t>
      </w:r>
      <w:r w:rsidRPr="00A2410D">
        <w:rPr>
          <w:sz w:val="24"/>
          <w:szCs w:val="24"/>
        </w:rPr>
        <w:t xml:space="preserve">obre os ativos leva a um aumento nos ETRs (Gupta &amp; Newberry, 1997; Richardson &amp; Lanis, 2005; Liu &amp; Cao, 2007). </w:t>
      </w:r>
    </w:p>
    <w:p w14:paraId="33D0EDD3" w14:textId="77777777" w:rsidR="00636682" w:rsidRPr="00707342" w:rsidRDefault="00636682" w:rsidP="00636682">
      <w:pPr>
        <w:ind w:firstLine="708"/>
        <w:jc w:val="both"/>
        <w:rPr>
          <w:sz w:val="24"/>
          <w:szCs w:val="24"/>
        </w:rPr>
      </w:pPr>
      <w:r w:rsidRPr="00A2410D">
        <w:rPr>
          <w:sz w:val="24"/>
          <w:szCs w:val="24"/>
        </w:rPr>
        <w:t>Conforme apresentado, a ROA é um fator determinante da carga tributária e tem relação ambígua com a ETR</w:t>
      </w:r>
      <w:r>
        <w:rPr>
          <w:sz w:val="24"/>
          <w:szCs w:val="24"/>
        </w:rPr>
        <w:t>. T</w:t>
      </w:r>
      <w:r w:rsidRPr="00707342">
        <w:rPr>
          <w:sz w:val="24"/>
          <w:szCs w:val="24"/>
        </w:rPr>
        <w:t>odavia, tendo em vista que as empresas mais rentáveis apresentam maiores lucros e empresas menos rentáveis além de terem lucros mais baixos pagar menos impostos, e podem inclusive apresentar perdas e não serem tributados (Sant’Ana &amp; Zonatto, 2015), espera-se que empresas mais rentáveis apresentem maior ETR. Assim, formula-se a sexta hipótese:</w:t>
      </w:r>
    </w:p>
    <w:p w14:paraId="7140826E" w14:textId="77777777" w:rsidR="00636682" w:rsidRPr="00707342" w:rsidRDefault="00636682" w:rsidP="00636682">
      <w:pPr>
        <w:ind w:firstLine="708"/>
        <w:jc w:val="both"/>
        <w:rPr>
          <w:sz w:val="24"/>
          <w:szCs w:val="24"/>
        </w:rPr>
      </w:pPr>
      <w:r w:rsidRPr="00707342">
        <w:rPr>
          <w:sz w:val="24"/>
          <w:szCs w:val="24"/>
        </w:rPr>
        <w:t>H6: O retorno sobre o ativo influencia positivamente a taxa de imposto efetiva.</w:t>
      </w:r>
    </w:p>
    <w:p w14:paraId="52D89A70" w14:textId="77777777" w:rsidR="00636682" w:rsidRPr="00A2410D" w:rsidRDefault="00636682" w:rsidP="00636682">
      <w:pPr>
        <w:jc w:val="both"/>
        <w:rPr>
          <w:sz w:val="24"/>
          <w:szCs w:val="24"/>
        </w:rPr>
      </w:pPr>
    </w:p>
    <w:bookmarkEnd w:id="22"/>
    <w:p w14:paraId="5AA9AADB" w14:textId="3DFB218E" w:rsidR="00636682" w:rsidRPr="000A1C7A" w:rsidRDefault="00636682" w:rsidP="00636682">
      <w:pPr>
        <w:pStyle w:val="Ttulo1"/>
        <w:spacing w:before="0" w:line="240" w:lineRule="auto"/>
        <w:rPr>
          <w:rFonts w:ascii="Times New Roman" w:hAnsi="Times New Roman" w:cs="Times New Roman"/>
          <w:b/>
          <w:color w:val="auto"/>
          <w:sz w:val="24"/>
          <w:szCs w:val="24"/>
        </w:rPr>
      </w:pPr>
      <w:r w:rsidRPr="00A2410D">
        <w:rPr>
          <w:rFonts w:ascii="Times New Roman" w:hAnsi="Times New Roman" w:cs="Times New Roman"/>
          <w:b/>
          <w:color w:val="auto"/>
          <w:sz w:val="24"/>
          <w:szCs w:val="24"/>
        </w:rPr>
        <w:lastRenderedPageBreak/>
        <w:t xml:space="preserve">3 </w:t>
      </w:r>
      <w:r w:rsidR="00EA4940" w:rsidRPr="00A2410D">
        <w:rPr>
          <w:rFonts w:ascii="Times New Roman" w:hAnsi="Times New Roman" w:cs="Times New Roman"/>
          <w:b/>
          <w:color w:val="auto"/>
          <w:sz w:val="24"/>
          <w:szCs w:val="24"/>
        </w:rPr>
        <w:t>M</w:t>
      </w:r>
      <w:r w:rsidR="00EA4940">
        <w:rPr>
          <w:rFonts w:ascii="Times New Roman" w:hAnsi="Times New Roman" w:cs="Times New Roman"/>
          <w:b/>
          <w:color w:val="auto"/>
          <w:sz w:val="24"/>
          <w:szCs w:val="24"/>
        </w:rPr>
        <w:t>etodologia da pesquisa</w:t>
      </w:r>
    </w:p>
    <w:p w14:paraId="3A0C6A2D" w14:textId="77777777" w:rsidR="00636682" w:rsidRPr="00993FE6" w:rsidRDefault="00636682" w:rsidP="00636682">
      <w:pPr>
        <w:pStyle w:val="Ttulo1"/>
        <w:spacing w:before="0" w:line="240" w:lineRule="auto"/>
        <w:rPr>
          <w:rFonts w:ascii="Times New Roman" w:hAnsi="Times New Roman" w:cs="Times New Roman"/>
          <w:b/>
          <w:color w:val="auto"/>
          <w:sz w:val="24"/>
          <w:szCs w:val="24"/>
        </w:rPr>
      </w:pPr>
      <w:r w:rsidRPr="000A1C7A">
        <w:rPr>
          <w:rFonts w:ascii="Times New Roman" w:hAnsi="Times New Roman" w:cs="Times New Roman"/>
          <w:b/>
          <w:color w:val="auto"/>
          <w:sz w:val="24"/>
          <w:szCs w:val="24"/>
        </w:rPr>
        <w:t>3.1 Classificação, método e técnicas de pesquisa</w:t>
      </w:r>
    </w:p>
    <w:p w14:paraId="2DA0F6AA" w14:textId="0F7F3E1F" w:rsidR="00636682" w:rsidRPr="00A2410D" w:rsidRDefault="00463655" w:rsidP="00636682">
      <w:pPr>
        <w:ind w:firstLine="708"/>
        <w:jc w:val="both"/>
        <w:rPr>
          <w:sz w:val="24"/>
          <w:szCs w:val="24"/>
        </w:rPr>
      </w:pPr>
      <w:r>
        <w:rPr>
          <w:sz w:val="24"/>
          <w:szCs w:val="24"/>
        </w:rPr>
        <w:t>Trata-se de um</w:t>
      </w:r>
      <w:r w:rsidR="00636682" w:rsidRPr="00A2410D">
        <w:rPr>
          <w:sz w:val="24"/>
          <w:szCs w:val="24"/>
        </w:rPr>
        <w:t xml:space="preserve"> estudo descritivo com abordagem quantitativa, </w:t>
      </w:r>
      <w:r>
        <w:rPr>
          <w:sz w:val="24"/>
          <w:szCs w:val="24"/>
        </w:rPr>
        <w:t>que teve o</w:t>
      </w:r>
      <w:r w:rsidR="00636682" w:rsidRPr="00A2410D">
        <w:rPr>
          <w:sz w:val="24"/>
          <w:szCs w:val="24"/>
        </w:rPr>
        <w:t xml:space="preserve"> intuito de analisar os determinantes da taxa efetiva de impostos das empresas brasileiras listadas na B3 do período de 2010 a 2016. </w:t>
      </w:r>
      <w:r w:rsidR="00636682" w:rsidRPr="0042038B">
        <w:rPr>
          <w:sz w:val="24"/>
          <w:szCs w:val="24"/>
        </w:rPr>
        <w:t>Os dados foram coletados na base dados Economática</w:t>
      </w:r>
      <w:r>
        <w:rPr>
          <w:sz w:val="24"/>
          <w:szCs w:val="24"/>
        </w:rPr>
        <w:t xml:space="preserve"> e a</w:t>
      </w:r>
      <w:r w:rsidR="00636682" w:rsidRPr="0042038B">
        <w:rPr>
          <w:sz w:val="24"/>
          <w:szCs w:val="24"/>
        </w:rPr>
        <w:t xml:space="preserve"> análise dos dados</w:t>
      </w:r>
      <w:r>
        <w:rPr>
          <w:sz w:val="24"/>
          <w:szCs w:val="24"/>
        </w:rPr>
        <w:t xml:space="preserve"> adotou</w:t>
      </w:r>
      <w:r w:rsidR="00636682" w:rsidRPr="0042038B">
        <w:rPr>
          <w:sz w:val="24"/>
          <w:szCs w:val="24"/>
        </w:rPr>
        <w:t xml:space="preserve"> a ferramenta econométrica de </w:t>
      </w:r>
      <w:r w:rsidR="00636682" w:rsidRPr="00707342">
        <w:rPr>
          <w:sz w:val="24"/>
          <w:szCs w:val="24"/>
        </w:rPr>
        <w:t xml:space="preserve">regressão de dados em painel ou </w:t>
      </w:r>
      <w:r w:rsidR="00636682" w:rsidRPr="00707342">
        <w:rPr>
          <w:i/>
          <w:sz w:val="24"/>
          <w:szCs w:val="24"/>
        </w:rPr>
        <w:t>Panel Data</w:t>
      </w:r>
      <w:r w:rsidR="00636682" w:rsidRPr="00707342">
        <w:rPr>
          <w:sz w:val="24"/>
          <w:szCs w:val="24"/>
        </w:rPr>
        <w:t xml:space="preserve"> no software </w:t>
      </w:r>
      <w:r w:rsidR="00636682" w:rsidRPr="00707342">
        <w:rPr>
          <w:i/>
          <w:sz w:val="24"/>
          <w:szCs w:val="24"/>
        </w:rPr>
        <w:t>Stata</w:t>
      </w:r>
      <w:r w:rsidR="00636682" w:rsidRPr="00707342">
        <w:rPr>
          <w:sz w:val="24"/>
          <w:szCs w:val="24"/>
        </w:rPr>
        <w:t>. Esta técnica segundo Wooldrige (2006) combina a análise de dados de corte transversais (</w:t>
      </w:r>
      <w:r w:rsidR="00636682" w:rsidRPr="00707342">
        <w:rPr>
          <w:i/>
          <w:sz w:val="24"/>
          <w:szCs w:val="24"/>
        </w:rPr>
        <w:t>cross-section</w:t>
      </w:r>
      <w:r w:rsidR="00636682" w:rsidRPr="00707342">
        <w:rPr>
          <w:sz w:val="24"/>
          <w:szCs w:val="24"/>
        </w:rPr>
        <w:t>) e longitudinais (</w:t>
      </w:r>
      <w:r w:rsidR="00636682" w:rsidRPr="00707342">
        <w:rPr>
          <w:i/>
          <w:sz w:val="24"/>
          <w:szCs w:val="24"/>
        </w:rPr>
        <w:t>time-section</w:t>
      </w:r>
      <w:r w:rsidR="00636682" w:rsidRPr="00707342">
        <w:rPr>
          <w:sz w:val="24"/>
          <w:szCs w:val="24"/>
        </w:rPr>
        <w:t xml:space="preserve">), possibilitando a análise de várias unidades de observação em diferentes períodos de tempo.  </w:t>
      </w:r>
    </w:p>
    <w:p w14:paraId="132395E0" w14:textId="6967E0F6" w:rsidR="00636682" w:rsidRPr="00707342" w:rsidRDefault="00636682" w:rsidP="00636682">
      <w:pPr>
        <w:ind w:firstLine="708"/>
        <w:jc w:val="both"/>
        <w:rPr>
          <w:sz w:val="24"/>
          <w:szCs w:val="24"/>
        </w:rPr>
      </w:pPr>
      <w:r w:rsidRPr="00A2410D">
        <w:rPr>
          <w:sz w:val="24"/>
          <w:szCs w:val="24"/>
        </w:rPr>
        <w:t xml:space="preserve">A análise de dados em painel fornece uma maior quantidade de informações, maior variabilidade dos dados, redução de colinearidade entre as variáveis explicativas e garantem uma maior eficiência na estimação (Marques, 2000; Wooldrige, 2006). Além disso, </w:t>
      </w:r>
      <w:r w:rsidR="00463655">
        <w:rPr>
          <w:sz w:val="24"/>
          <w:szCs w:val="24"/>
        </w:rPr>
        <w:t>esta tecnica</w:t>
      </w:r>
      <w:r w:rsidRPr="00A2410D">
        <w:rPr>
          <w:sz w:val="24"/>
          <w:szCs w:val="24"/>
        </w:rPr>
        <w:t xml:space="preserve"> reduz o risco de multicolinearidade, aumenta os graus de liberdade das estimações e estabilidade dos estimadores, permitindo </w:t>
      </w:r>
      <w:r w:rsidRPr="0042038B">
        <w:rPr>
          <w:sz w:val="24"/>
          <w:szCs w:val="24"/>
        </w:rPr>
        <w:t xml:space="preserve">análise da dinâmica do ajustamento (Gujarati, 2003). </w:t>
      </w:r>
    </w:p>
    <w:p w14:paraId="535AE775" w14:textId="77777777" w:rsidR="00636682" w:rsidRPr="00A2410D" w:rsidRDefault="00636682" w:rsidP="00636682">
      <w:pPr>
        <w:ind w:firstLine="708"/>
        <w:jc w:val="both"/>
        <w:rPr>
          <w:sz w:val="24"/>
          <w:szCs w:val="24"/>
        </w:rPr>
      </w:pPr>
      <w:r w:rsidRPr="00A2410D">
        <w:rPr>
          <w:sz w:val="24"/>
          <w:szCs w:val="24"/>
        </w:rPr>
        <w:t>A técnica do painel permite mensurar a influência de variáveis defasadas no modelo proposto</w:t>
      </w:r>
      <w:r>
        <w:rPr>
          <w:sz w:val="24"/>
          <w:szCs w:val="24"/>
        </w:rPr>
        <w:t>. Ou</w:t>
      </w:r>
      <w:r w:rsidRPr="00A2410D">
        <w:rPr>
          <w:sz w:val="24"/>
          <w:szCs w:val="24"/>
        </w:rPr>
        <w:t xml:space="preserve"> seja, variáveis observadas em t-1 são testadas em relação </w:t>
      </w:r>
      <w:r>
        <w:rPr>
          <w:sz w:val="24"/>
          <w:szCs w:val="24"/>
        </w:rPr>
        <w:t>às</w:t>
      </w:r>
      <w:r w:rsidRPr="00A2410D">
        <w:rPr>
          <w:sz w:val="24"/>
          <w:szCs w:val="24"/>
        </w:rPr>
        <w:t xml:space="preserve"> variáveis observadas </w:t>
      </w:r>
      <w:r>
        <w:rPr>
          <w:sz w:val="24"/>
          <w:szCs w:val="24"/>
        </w:rPr>
        <w:t>no período</w:t>
      </w:r>
      <w:r w:rsidRPr="00A2410D">
        <w:rPr>
          <w:sz w:val="24"/>
          <w:szCs w:val="24"/>
        </w:rPr>
        <w:t xml:space="preserve"> t. Nesse procedimento</w:t>
      </w:r>
      <w:r>
        <w:rPr>
          <w:sz w:val="24"/>
          <w:szCs w:val="24"/>
        </w:rPr>
        <w:t>,</w:t>
      </w:r>
      <w:r w:rsidRPr="00A2410D">
        <w:rPr>
          <w:sz w:val="24"/>
          <w:szCs w:val="24"/>
        </w:rPr>
        <w:t xml:space="preserve"> não é possível utilizar os modelos de efeito fixos e aleatórios para estimar os parâmetros</w:t>
      </w:r>
      <w:r>
        <w:rPr>
          <w:sz w:val="24"/>
          <w:szCs w:val="24"/>
        </w:rPr>
        <w:t>. Afinal</w:t>
      </w:r>
      <w:r w:rsidRPr="00A2410D">
        <w:rPr>
          <w:sz w:val="24"/>
          <w:szCs w:val="24"/>
        </w:rPr>
        <w:t>, este procedimento, segundo Wooldrige (2006)</w:t>
      </w:r>
      <w:r>
        <w:rPr>
          <w:sz w:val="24"/>
          <w:szCs w:val="24"/>
        </w:rPr>
        <w:t>,</w:t>
      </w:r>
      <w:r w:rsidRPr="00A2410D">
        <w:rPr>
          <w:sz w:val="24"/>
          <w:szCs w:val="24"/>
        </w:rPr>
        <w:t xml:space="preserve"> resultaria em estimadores enviesados e inconsistentes</w:t>
      </w:r>
      <w:r>
        <w:rPr>
          <w:sz w:val="24"/>
          <w:szCs w:val="24"/>
        </w:rPr>
        <w:t>, já que</w:t>
      </w:r>
      <w:r w:rsidRPr="00A2410D">
        <w:rPr>
          <w:sz w:val="24"/>
          <w:szCs w:val="24"/>
        </w:rPr>
        <w:t xml:space="preserve"> em que o termo de erro pode estar correlacionado com as variáveis explicativas. </w:t>
      </w:r>
    </w:p>
    <w:p w14:paraId="616E5090" w14:textId="77777777" w:rsidR="00636682" w:rsidRPr="0042038B" w:rsidRDefault="00636682" w:rsidP="00636682">
      <w:pPr>
        <w:ind w:firstLine="708"/>
        <w:jc w:val="both"/>
      </w:pPr>
      <w:r w:rsidRPr="00A2410D">
        <w:rPr>
          <w:sz w:val="24"/>
          <w:szCs w:val="24"/>
        </w:rPr>
        <w:t xml:space="preserve">Por </w:t>
      </w:r>
      <w:r>
        <w:rPr>
          <w:sz w:val="24"/>
          <w:szCs w:val="24"/>
        </w:rPr>
        <w:t>causa d</w:t>
      </w:r>
      <w:r w:rsidRPr="00A2410D">
        <w:rPr>
          <w:sz w:val="24"/>
          <w:szCs w:val="24"/>
        </w:rPr>
        <w:t xml:space="preserve">estes fatores, os coeficientes de painel dinâmico devem ser estimados por meio do </w:t>
      </w:r>
      <w:r w:rsidRPr="00A2410D">
        <w:rPr>
          <w:i/>
          <w:sz w:val="24"/>
          <w:szCs w:val="24"/>
        </w:rPr>
        <w:t>Generalized Method of Moments</w:t>
      </w:r>
      <w:r>
        <w:rPr>
          <w:i/>
          <w:sz w:val="24"/>
          <w:szCs w:val="24"/>
        </w:rPr>
        <w:t xml:space="preserve"> </w:t>
      </w:r>
      <w:r w:rsidRPr="000A1C7A">
        <w:rPr>
          <w:sz w:val="24"/>
          <w:szCs w:val="24"/>
        </w:rPr>
        <w:t xml:space="preserve">- GMM (Arellano &amp; Bond, 1991), que é eficiente para lidar com </w:t>
      </w:r>
      <w:r>
        <w:rPr>
          <w:sz w:val="24"/>
          <w:szCs w:val="24"/>
        </w:rPr>
        <w:t xml:space="preserve">as </w:t>
      </w:r>
      <w:r w:rsidRPr="000A1C7A">
        <w:rPr>
          <w:sz w:val="24"/>
          <w:szCs w:val="24"/>
        </w:rPr>
        <w:t>variáveis que podem estar correlacionadas com o termo de erro pelo uso de instrumentos</w:t>
      </w:r>
      <w:r>
        <w:rPr>
          <w:sz w:val="24"/>
          <w:szCs w:val="24"/>
        </w:rPr>
        <w:t>. Assim, é possível</w:t>
      </w:r>
      <w:r w:rsidRPr="000A1C7A">
        <w:rPr>
          <w:sz w:val="24"/>
          <w:szCs w:val="24"/>
        </w:rPr>
        <w:t xml:space="preserve"> trabalhar com a heteroscedasticidade das empresas da amostra. Nesta pesquisa</w:t>
      </w:r>
      <w:r w:rsidRPr="0042038B">
        <w:rPr>
          <w:sz w:val="24"/>
          <w:szCs w:val="24"/>
        </w:rPr>
        <w:t>, portanto, emprega-se o painel estático e o dinâmico.</w:t>
      </w:r>
      <w:r w:rsidRPr="0042038B">
        <w:t xml:space="preserve">  </w:t>
      </w:r>
    </w:p>
    <w:p w14:paraId="60159514" w14:textId="77777777" w:rsidR="00636682" w:rsidRPr="000A1C7A" w:rsidRDefault="00636682" w:rsidP="00636682">
      <w:pPr>
        <w:ind w:firstLine="709"/>
        <w:jc w:val="both"/>
        <w:rPr>
          <w:sz w:val="24"/>
          <w:szCs w:val="24"/>
        </w:rPr>
      </w:pPr>
      <w:r w:rsidRPr="00707342">
        <w:rPr>
          <w:sz w:val="24"/>
          <w:szCs w:val="24"/>
        </w:rPr>
        <w:t>Testes foram feitos para validar o modelo, tais como</w:t>
      </w:r>
      <w:r>
        <w:rPr>
          <w:sz w:val="24"/>
          <w:szCs w:val="24"/>
        </w:rPr>
        <w:t>:</w:t>
      </w:r>
      <w:r w:rsidRPr="00707342">
        <w:rPr>
          <w:sz w:val="24"/>
          <w:szCs w:val="24"/>
        </w:rPr>
        <w:t xml:space="preserve"> Teste F (Chow), Teste de Breush e Pagan</w:t>
      </w:r>
      <w:r>
        <w:rPr>
          <w:sz w:val="24"/>
          <w:szCs w:val="24"/>
        </w:rPr>
        <w:t>,</w:t>
      </w:r>
      <w:r w:rsidRPr="00707342">
        <w:rPr>
          <w:sz w:val="24"/>
          <w:szCs w:val="24"/>
        </w:rPr>
        <w:t xml:space="preserve"> Teste de Hausman</w:t>
      </w:r>
      <w:r>
        <w:rPr>
          <w:sz w:val="24"/>
          <w:szCs w:val="24"/>
        </w:rPr>
        <w:t>. V</w:t>
      </w:r>
      <w:r w:rsidRPr="00707342">
        <w:rPr>
          <w:sz w:val="24"/>
          <w:szCs w:val="24"/>
        </w:rPr>
        <w:t>erific</w:t>
      </w:r>
      <w:r>
        <w:rPr>
          <w:sz w:val="24"/>
          <w:szCs w:val="24"/>
        </w:rPr>
        <w:t>ou</w:t>
      </w:r>
      <w:r w:rsidRPr="00707342">
        <w:rPr>
          <w:sz w:val="24"/>
          <w:szCs w:val="24"/>
        </w:rPr>
        <w:t xml:space="preserve">-se ainda </w:t>
      </w:r>
      <w:r>
        <w:rPr>
          <w:sz w:val="24"/>
          <w:szCs w:val="24"/>
        </w:rPr>
        <w:t xml:space="preserve">testes para eventuais </w:t>
      </w:r>
      <w:r w:rsidRPr="00707342">
        <w:rPr>
          <w:sz w:val="24"/>
          <w:szCs w:val="24"/>
        </w:rPr>
        <w:t>problemas de heteroscedasticidade e/ou de correlação em série do termo de erro com a aplicação de erros robustos. Além dos resultados oriundos dos modelos</w:t>
      </w:r>
      <w:r>
        <w:rPr>
          <w:sz w:val="24"/>
          <w:szCs w:val="24"/>
        </w:rPr>
        <w:t>,</w:t>
      </w:r>
      <w:r w:rsidRPr="00707342">
        <w:rPr>
          <w:sz w:val="24"/>
          <w:szCs w:val="24"/>
        </w:rPr>
        <w:t xml:space="preserve"> o teste de </w:t>
      </w:r>
      <w:r w:rsidRPr="00A2410D">
        <w:rPr>
          <w:i/>
          <w:sz w:val="24"/>
          <w:szCs w:val="24"/>
        </w:rPr>
        <w:t>Hausman</w:t>
      </w:r>
      <w:r w:rsidRPr="00A2410D">
        <w:rPr>
          <w:sz w:val="24"/>
          <w:szCs w:val="24"/>
        </w:rPr>
        <w:t xml:space="preserve"> </w:t>
      </w:r>
      <w:r>
        <w:rPr>
          <w:sz w:val="24"/>
          <w:szCs w:val="24"/>
        </w:rPr>
        <w:t>foi realizado</w:t>
      </w:r>
      <w:r w:rsidRPr="00A2410D">
        <w:rPr>
          <w:sz w:val="24"/>
          <w:szCs w:val="24"/>
        </w:rPr>
        <w:t xml:space="preserve"> para comparar os estimadores de efeito fixo e efeito aleatório</w:t>
      </w:r>
      <w:r>
        <w:rPr>
          <w:sz w:val="24"/>
          <w:szCs w:val="24"/>
        </w:rPr>
        <w:t xml:space="preserve">. </w:t>
      </w:r>
      <w:r w:rsidRPr="00A2410D">
        <w:rPr>
          <w:sz w:val="24"/>
          <w:szCs w:val="24"/>
        </w:rPr>
        <w:t xml:space="preserve"> </w:t>
      </w:r>
      <w:r>
        <w:rPr>
          <w:sz w:val="24"/>
          <w:szCs w:val="24"/>
        </w:rPr>
        <w:t>A</w:t>
      </w:r>
      <w:r w:rsidRPr="00A2410D">
        <w:rPr>
          <w:sz w:val="24"/>
          <w:szCs w:val="24"/>
        </w:rPr>
        <w:t>dicionalmente</w:t>
      </w:r>
      <w:r>
        <w:rPr>
          <w:sz w:val="24"/>
          <w:szCs w:val="24"/>
        </w:rPr>
        <w:t>,</w:t>
      </w:r>
      <w:r w:rsidRPr="00A2410D">
        <w:rPr>
          <w:sz w:val="24"/>
          <w:szCs w:val="24"/>
        </w:rPr>
        <w:t xml:space="preserve"> foi aplicado o teste F de significância conjunta dos efeitos fixos e aleatórios, pela análise dos testes de validação dos modelos</w:t>
      </w:r>
      <w:r>
        <w:rPr>
          <w:sz w:val="24"/>
          <w:szCs w:val="24"/>
        </w:rPr>
        <w:t>.</w:t>
      </w:r>
      <w:r w:rsidRPr="00A2410D">
        <w:rPr>
          <w:sz w:val="24"/>
          <w:szCs w:val="24"/>
        </w:rPr>
        <w:t xml:space="preserve"> </w:t>
      </w:r>
      <w:r>
        <w:rPr>
          <w:sz w:val="24"/>
          <w:szCs w:val="24"/>
        </w:rPr>
        <w:t>O</w:t>
      </w:r>
      <w:r w:rsidRPr="00A2410D">
        <w:rPr>
          <w:sz w:val="24"/>
          <w:szCs w:val="24"/>
        </w:rPr>
        <w:t>ptou-se pela análise do Modelo</w:t>
      </w:r>
      <w:r w:rsidRPr="00A2410D">
        <w:rPr>
          <w:i/>
          <w:sz w:val="24"/>
          <w:szCs w:val="24"/>
        </w:rPr>
        <w:t xml:space="preserve"> Pooled</w:t>
      </w:r>
      <w:r>
        <w:rPr>
          <w:sz w:val="24"/>
          <w:szCs w:val="24"/>
        </w:rPr>
        <w:t>,</w:t>
      </w:r>
      <w:r w:rsidRPr="00A2410D">
        <w:rPr>
          <w:sz w:val="24"/>
          <w:szCs w:val="24"/>
        </w:rPr>
        <w:t xml:space="preserve"> com a opção </w:t>
      </w:r>
      <w:r w:rsidRPr="00A2410D">
        <w:rPr>
          <w:i/>
          <w:sz w:val="24"/>
          <w:szCs w:val="24"/>
        </w:rPr>
        <w:t>robust</w:t>
      </w:r>
      <w:r w:rsidRPr="00A2410D">
        <w:rPr>
          <w:sz w:val="24"/>
          <w:szCs w:val="24"/>
        </w:rPr>
        <w:t xml:space="preserve"> para an</w:t>
      </w:r>
      <w:r>
        <w:rPr>
          <w:sz w:val="24"/>
          <w:szCs w:val="24"/>
        </w:rPr>
        <w:t>á</w:t>
      </w:r>
      <w:r w:rsidRPr="000A1C7A">
        <w:rPr>
          <w:sz w:val="24"/>
          <w:szCs w:val="24"/>
        </w:rPr>
        <w:t>lise do Modelo Estático e GMM dinâmico para o Modelo Dinâmico.</w:t>
      </w:r>
    </w:p>
    <w:p w14:paraId="37050844" w14:textId="77777777" w:rsidR="00636682" w:rsidRPr="0042038B" w:rsidRDefault="00636682" w:rsidP="00636682">
      <w:pPr>
        <w:jc w:val="both"/>
        <w:rPr>
          <w:sz w:val="24"/>
          <w:szCs w:val="24"/>
        </w:rPr>
      </w:pPr>
      <w:bookmarkStart w:id="23" w:name="_Hlk500042218"/>
    </w:p>
    <w:bookmarkEnd w:id="23"/>
    <w:p w14:paraId="571AF709" w14:textId="77777777" w:rsidR="00636682" w:rsidRPr="000A1C7A" w:rsidRDefault="00636682" w:rsidP="00636682">
      <w:pPr>
        <w:pStyle w:val="Ttulo1"/>
        <w:spacing w:before="0" w:line="240" w:lineRule="auto"/>
        <w:rPr>
          <w:rFonts w:ascii="Times New Roman" w:hAnsi="Times New Roman" w:cs="Times New Roman"/>
          <w:b/>
          <w:color w:val="auto"/>
          <w:sz w:val="24"/>
          <w:szCs w:val="24"/>
        </w:rPr>
      </w:pPr>
      <w:r w:rsidRPr="00707342">
        <w:rPr>
          <w:rFonts w:ascii="Times New Roman" w:hAnsi="Times New Roman" w:cs="Times New Roman"/>
          <w:b/>
          <w:color w:val="auto"/>
          <w:sz w:val="24"/>
          <w:szCs w:val="24"/>
        </w:rPr>
        <w:t xml:space="preserve">3.2 Seleção das empresas e </w:t>
      </w:r>
      <w:r>
        <w:rPr>
          <w:rFonts w:ascii="Times New Roman" w:hAnsi="Times New Roman" w:cs="Times New Roman"/>
          <w:b/>
          <w:color w:val="auto"/>
          <w:sz w:val="24"/>
          <w:szCs w:val="24"/>
        </w:rPr>
        <w:t xml:space="preserve">do </w:t>
      </w:r>
      <w:r w:rsidRPr="000A1C7A">
        <w:rPr>
          <w:rFonts w:ascii="Times New Roman" w:hAnsi="Times New Roman" w:cs="Times New Roman"/>
          <w:b/>
          <w:color w:val="auto"/>
          <w:sz w:val="24"/>
          <w:szCs w:val="24"/>
        </w:rPr>
        <w:t>modelo de estimação</w:t>
      </w:r>
    </w:p>
    <w:p w14:paraId="65CF3467" w14:textId="7B53CAAF" w:rsidR="004F554D" w:rsidRDefault="00636682" w:rsidP="00636682">
      <w:pPr>
        <w:ind w:firstLine="709"/>
        <w:jc w:val="both"/>
        <w:rPr>
          <w:sz w:val="24"/>
          <w:szCs w:val="24"/>
        </w:rPr>
      </w:pPr>
      <w:r w:rsidRPr="000A1C7A">
        <w:rPr>
          <w:sz w:val="24"/>
          <w:szCs w:val="24"/>
        </w:rPr>
        <w:t xml:space="preserve">A população da pesquisa é representada por todas as empresas listadas em 31-12 de cada ano na </w:t>
      </w:r>
      <w:r>
        <w:rPr>
          <w:sz w:val="24"/>
          <w:szCs w:val="24"/>
        </w:rPr>
        <w:t>B3</w:t>
      </w:r>
      <w:r w:rsidRPr="000A1C7A">
        <w:rPr>
          <w:sz w:val="24"/>
          <w:szCs w:val="24"/>
        </w:rPr>
        <w:t>, totalizando 4.102 observações. Tal como</w:t>
      </w:r>
      <w:r>
        <w:rPr>
          <w:sz w:val="24"/>
          <w:szCs w:val="24"/>
        </w:rPr>
        <w:t xml:space="preserve"> na pesquisa de</w:t>
      </w:r>
      <w:r w:rsidRPr="000A1C7A">
        <w:rPr>
          <w:sz w:val="24"/>
          <w:szCs w:val="24"/>
        </w:rPr>
        <w:t xml:space="preserve"> Gupta e Newberry (1997), inicialmente foram excluídas as empresas do setor financeiro, segundo a classificação de setor econômico da bolsa</w:t>
      </w:r>
      <w:r>
        <w:rPr>
          <w:sz w:val="24"/>
          <w:szCs w:val="24"/>
        </w:rPr>
        <w:t>. Isto se</w:t>
      </w:r>
      <w:r w:rsidRPr="000A1C7A">
        <w:rPr>
          <w:sz w:val="24"/>
          <w:szCs w:val="24"/>
        </w:rPr>
        <w:t xml:space="preserve"> justifica por </w:t>
      </w:r>
      <w:r>
        <w:rPr>
          <w:sz w:val="24"/>
          <w:szCs w:val="24"/>
        </w:rPr>
        <w:t xml:space="preserve">estas empresas </w:t>
      </w:r>
      <w:r w:rsidRPr="000A1C7A">
        <w:rPr>
          <w:sz w:val="24"/>
          <w:szCs w:val="24"/>
        </w:rPr>
        <w:t>possuírem características espec</w:t>
      </w:r>
      <w:r>
        <w:rPr>
          <w:sz w:val="24"/>
          <w:szCs w:val="24"/>
        </w:rPr>
        <w:t>í</w:t>
      </w:r>
      <w:r w:rsidRPr="000A1C7A">
        <w:rPr>
          <w:sz w:val="24"/>
          <w:szCs w:val="24"/>
        </w:rPr>
        <w:t>ficas de estrutura de capital</w:t>
      </w:r>
      <w:r>
        <w:rPr>
          <w:sz w:val="24"/>
          <w:szCs w:val="24"/>
        </w:rPr>
        <w:t>, que são</w:t>
      </w:r>
      <w:r w:rsidRPr="000A1C7A">
        <w:rPr>
          <w:sz w:val="24"/>
          <w:szCs w:val="24"/>
        </w:rPr>
        <w:t xml:space="preserve"> adequad</w:t>
      </w:r>
      <w:r>
        <w:rPr>
          <w:sz w:val="24"/>
          <w:szCs w:val="24"/>
        </w:rPr>
        <w:t>as</w:t>
      </w:r>
      <w:r w:rsidRPr="000A1C7A">
        <w:rPr>
          <w:sz w:val="24"/>
          <w:szCs w:val="24"/>
        </w:rPr>
        <w:t xml:space="preserve"> às suas atividades operacionais</w:t>
      </w:r>
      <w:r>
        <w:rPr>
          <w:sz w:val="24"/>
          <w:szCs w:val="24"/>
        </w:rPr>
        <w:t>,</w:t>
      </w:r>
      <w:r w:rsidRPr="000A1C7A">
        <w:rPr>
          <w:sz w:val="24"/>
          <w:szCs w:val="24"/>
        </w:rPr>
        <w:t xml:space="preserve"> r</w:t>
      </w:r>
      <w:r w:rsidRPr="0042038B">
        <w:rPr>
          <w:sz w:val="24"/>
          <w:szCs w:val="24"/>
        </w:rPr>
        <w:t>egulad</w:t>
      </w:r>
      <w:r>
        <w:rPr>
          <w:sz w:val="24"/>
          <w:szCs w:val="24"/>
        </w:rPr>
        <w:t>as</w:t>
      </w:r>
      <w:r w:rsidRPr="0042038B">
        <w:rPr>
          <w:sz w:val="24"/>
          <w:szCs w:val="24"/>
        </w:rPr>
        <w:t xml:space="preserve"> pelo Bacen, impossibilitando a comparabilidade. Foram excluídas também as observações com patrimônio líquido negativo, com resultado negativo e observações com dados ausentes</w:t>
      </w:r>
      <w:r>
        <w:rPr>
          <w:sz w:val="24"/>
          <w:szCs w:val="24"/>
        </w:rPr>
        <w:t>,</w:t>
      </w:r>
      <w:r w:rsidRPr="0042038B">
        <w:rPr>
          <w:sz w:val="24"/>
          <w:szCs w:val="24"/>
        </w:rPr>
        <w:t xml:space="preserve"> para a elaboração das proxies</w:t>
      </w:r>
      <w:r w:rsidR="00AC4490">
        <w:rPr>
          <w:sz w:val="24"/>
          <w:szCs w:val="24"/>
        </w:rPr>
        <w:t>, conforme estudos anteriores</w:t>
      </w:r>
      <w:r w:rsidRPr="0042038B">
        <w:rPr>
          <w:sz w:val="24"/>
          <w:szCs w:val="24"/>
        </w:rPr>
        <w:t xml:space="preserve">. </w:t>
      </w:r>
    </w:p>
    <w:p w14:paraId="6DD361CA" w14:textId="58939A80" w:rsidR="004F554D" w:rsidRDefault="004F554D" w:rsidP="00636682">
      <w:pPr>
        <w:ind w:firstLine="709"/>
        <w:jc w:val="both"/>
        <w:rPr>
          <w:sz w:val="24"/>
          <w:szCs w:val="24"/>
        </w:rPr>
      </w:pPr>
      <w:r>
        <w:rPr>
          <w:sz w:val="24"/>
          <w:szCs w:val="24"/>
        </w:rPr>
        <w:t>Como</w:t>
      </w:r>
      <w:r w:rsidRPr="00707342">
        <w:rPr>
          <w:sz w:val="24"/>
          <w:szCs w:val="24"/>
        </w:rPr>
        <w:t xml:space="preserve"> observou-se variação no número de ob</w:t>
      </w:r>
      <w:r>
        <w:rPr>
          <w:sz w:val="24"/>
          <w:szCs w:val="24"/>
        </w:rPr>
        <w:t xml:space="preserve">servações no período analisado, </w:t>
      </w:r>
      <w:r w:rsidRPr="00707342">
        <w:rPr>
          <w:sz w:val="24"/>
          <w:szCs w:val="24"/>
        </w:rPr>
        <w:t>emprega-se o painel não balanceado</w:t>
      </w:r>
      <w:r>
        <w:rPr>
          <w:sz w:val="24"/>
          <w:szCs w:val="24"/>
        </w:rPr>
        <w:t>,</w:t>
      </w:r>
      <w:r w:rsidRPr="00707342">
        <w:rPr>
          <w:sz w:val="24"/>
          <w:szCs w:val="24"/>
        </w:rPr>
        <w:t xml:space="preserve"> conforme recomendações de Wooldrige (2006)</w:t>
      </w:r>
      <w:r>
        <w:rPr>
          <w:sz w:val="24"/>
          <w:szCs w:val="24"/>
        </w:rPr>
        <w:t xml:space="preserve">, utilizado quando determinados períodos não apresentam dados </w:t>
      </w:r>
      <w:r w:rsidRPr="00A2410D">
        <w:rPr>
          <w:sz w:val="24"/>
          <w:szCs w:val="24"/>
        </w:rPr>
        <w:t>disponíveis</w:t>
      </w:r>
      <w:r>
        <w:rPr>
          <w:sz w:val="24"/>
          <w:szCs w:val="24"/>
        </w:rPr>
        <w:t>. A</w:t>
      </w:r>
      <w:r w:rsidR="00636682" w:rsidRPr="00707342">
        <w:rPr>
          <w:sz w:val="24"/>
          <w:szCs w:val="24"/>
        </w:rPr>
        <w:t xml:space="preserve"> Tabela </w:t>
      </w:r>
      <w:r>
        <w:rPr>
          <w:sz w:val="24"/>
          <w:szCs w:val="24"/>
        </w:rPr>
        <w:t xml:space="preserve">1 demonstra a composição de empresas com dados disponíveis (2010-2011) e a quantidade de observações após exclusões. </w:t>
      </w:r>
    </w:p>
    <w:p w14:paraId="49A45C7B" w14:textId="0F5A047B" w:rsidR="00636682" w:rsidRPr="00A2410D" w:rsidRDefault="00636682" w:rsidP="00636682">
      <w:pPr>
        <w:autoSpaceDE w:val="0"/>
        <w:autoSpaceDN w:val="0"/>
        <w:adjustRightInd w:val="0"/>
        <w:contextualSpacing/>
        <w:rPr>
          <w:b/>
        </w:rPr>
      </w:pPr>
      <w:r w:rsidRPr="00A2410D">
        <w:rPr>
          <w:b/>
        </w:rPr>
        <w:lastRenderedPageBreak/>
        <w:t xml:space="preserve">Tabela 1- Composição da Amostra </w:t>
      </w:r>
      <w:r w:rsidR="00AC4490">
        <w:rPr>
          <w:b/>
        </w:rPr>
        <w:t xml:space="preserve">e observações </w:t>
      </w:r>
      <w:r w:rsidRPr="00A2410D">
        <w:rPr>
          <w:b/>
        </w:rPr>
        <w:t>do estudo</w:t>
      </w:r>
    </w:p>
    <w:tbl>
      <w:tblPr>
        <w:tblStyle w:val="TabelaSimples2"/>
        <w:tblW w:w="8966" w:type="dxa"/>
        <w:tblLook w:val="04A0" w:firstRow="1" w:lastRow="0" w:firstColumn="1" w:lastColumn="0" w:noHBand="0" w:noVBand="1"/>
      </w:tblPr>
      <w:tblGrid>
        <w:gridCol w:w="3201"/>
        <w:gridCol w:w="667"/>
        <w:gridCol w:w="667"/>
        <w:gridCol w:w="787"/>
        <w:gridCol w:w="702"/>
        <w:gridCol w:w="667"/>
        <w:gridCol w:w="667"/>
        <w:gridCol w:w="838"/>
        <w:gridCol w:w="770"/>
      </w:tblGrid>
      <w:tr w:rsidR="00636682" w:rsidRPr="00A2410D" w14:paraId="2D07FFE7" w14:textId="77777777" w:rsidTr="00CC387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12" w:space="0" w:color="auto"/>
            </w:tcBorders>
            <w:noWrap/>
            <w:hideMark/>
          </w:tcPr>
          <w:p w14:paraId="417CB951" w14:textId="77777777" w:rsidR="00636682" w:rsidRPr="00A2410D" w:rsidRDefault="00636682" w:rsidP="00CC3874"/>
        </w:tc>
        <w:tc>
          <w:tcPr>
            <w:tcW w:w="0" w:type="dxa"/>
            <w:tcBorders>
              <w:top w:val="single" w:sz="12" w:space="0" w:color="auto"/>
            </w:tcBorders>
            <w:noWrap/>
            <w:hideMark/>
          </w:tcPr>
          <w:p w14:paraId="68DE4213" w14:textId="77777777" w:rsidR="00636682" w:rsidRPr="00993FE6" w:rsidRDefault="00636682" w:rsidP="00CC3874">
            <w:pPr>
              <w:jc w:val="center"/>
              <w:cnfStyle w:val="100000000000" w:firstRow="1" w:lastRow="0" w:firstColumn="0" w:lastColumn="0" w:oddVBand="0" w:evenVBand="0" w:oddHBand="0" w:evenHBand="0" w:firstRowFirstColumn="0" w:firstRowLastColumn="0" w:lastRowFirstColumn="0" w:lastRowLastColumn="0"/>
            </w:pPr>
            <w:r w:rsidRPr="00993FE6">
              <w:t>2010</w:t>
            </w:r>
          </w:p>
        </w:tc>
        <w:tc>
          <w:tcPr>
            <w:tcW w:w="0" w:type="dxa"/>
            <w:tcBorders>
              <w:top w:val="single" w:sz="12" w:space="0" w:color="auto"/>
            </w:tcBorders>
            <w:noWrap/>
            <w:hideMark/>
          </w:tcPr>
          <w:p w14:paraId="3199B117" w14:textId="77777777" w:rsidR="00636682" w:rsidRPr="00993FE6" w:rsidRDefault="00636682" w:rsidP="00CC3874">
            <w:pPr>
              <w:jc w:val="center"/>
              <w:cnfStyle w:val="100000000000" w:firstRow="1" w:lastRow="0" w:firstColumn="0" w:lastColumn="0" w:oddVBand="0" w:evenVBand="0" w:oddHBand="0" w:evenHBand="0" w:firstRowFirstColumn="0" w:firstRowLastColumn="0" w:lastRowFirstColumn="0" w:lastRowLastColumn="0"/>
            </w:pPr>
            <w:r w:rsidRPr="00993FE6">
              <w:t>2011</w:t>
            </w:r>
          </w:p>
        </w:tc>
        <w:tc>
          <w:tcPr>
            <w:tcW w:w="767" w:type="dxa"/>
            <w:tcBorders>
              <w:top w:val="single" w:sz="12" w:space="0" w:color="auto"/>
            </w:tcBorders>
            <w:noWrap/>
            <w:hideMark/>
          </w:tcPr>
          <w:p w14:paraId="702B7F31" w14:textId="77777777" w:rsidR="00636682" w:rsidRPr="00993FE6" w:rsidRDefault="00636682" w:rsidP="00CC3874">
            <w:pPr>
              <w:jc w:val="center"/>
              <w:cnfStyle w:val="100000000000" w:firstRow="1" w:lastRow="0" w:firstColumn="0" w:lastColumn="0" w:oddVBand="0" w:evenVBand="0" w:oddHBand="0" w:evenHBand="0" w:firstRowFirstColumn="0" w:firstRowLastColumn="0" w:lastRowFirstColumn="0" w:lastRowLastColumn="0"/>
            </w:pPr>
            <w:r w:rsidRPr="00993FE6">
              <w:t>2012</w:t>
            </w:r>
          </w:p>
        </w:tc>
        <w:tc>
          <w:tcPr>
            <w:tcW w:w="684" w:type="dxa"/>
            <w:tcBorders>
              <w:top w:val="single" w:sz="12" w:space="0" w:color="auto"/>
            </w:tcBorders>
            <w:noWrap/>
            <w:hideMark/>
          </w:tcPr>
          <w:p w14:paraId="4FBB71B6" w14:textId="77777777" w:rsidR="00636682" w:rsidRPr="00993FE6" w:rsidRDefault="00636682" w:rsidP="00CC3874">
            <w:pPr>
              <w:jc w:val="center"/>
              <w:cnfStyle w:val="100000000000" w:firstRow="1" w:lastRow="0" w:firstColumn="0" w:lastColumn="0" w:oddVBand="0" w:evenVBand="0" w:oddHBand="0" w:evenHBand="0" w:firstRowFirstColumn="0" w:firstRowLastColumn="0" w:lastRowFirstColumn="0" w:lastRowLastColumn="0"/>
            </w:pPr>
            <w:r w:rsidRPr="00993FE6">
              <w:t>2013</w:t>
            </w:r>
          </w:p>
        </w:tc>
        <w:tc>
          <w:tcPr>
            <w:tcW w:w="0" w:type="dxa"/>
            <w:tcBorders>
              <w:top w:val="single" w:sz="12" w:space="0" w:color="auto"/>
            </w:tcBorders>
            <w:noWrap/>
            <w:hideMark/>
          </w:tcPr>
          <w:p w14:paraId="65063725" w14:textId="77777777" w:rsidR="00636682" w:rsidRPr="00993FE6" w:rsidRDefault="00636682" w:rsidP="00CC3874">
            <w:pPr>
              <w:jc w:val="center"/>
              <w:cnfStyle w:val="100000000000" w:firstRow="1" w:lastRow="0" w:firstColumn="0" w:lastColumn="0" w:oddVBand="0" w:evenVBand="0" w:oddHBand="0" w:evenHBand="0" w:firstRowFirstColumn="0" w:firstRowLastColumn="0" w:lastRowFirstColumn="0" w:lastRowLastColumn="0"/>
            </w:pPr>
            <w:r w:rsidRPr="00993FE6">
              <w:t>2014</w:t>
            </w:r>
          </w:p>
        </w:tc>
        <w:tc>
          <w:tcPr>
            <w:tcW w:w="0" w:type="dxa"/>
            <w:tcBorders>
              <w:top w:val="single" w:sz="12" w:space="0" w:color="auto"/>
            </w:tcBorders>
            <w:noWrap/>
            <w:hideMark/>
          </w:tcPr>
          <w:p w14:paraId="3A7E7317" w14:textId="77777777" w:rsidR="00636682" w:rsidRPr="00993FE6" w:rsidRDefault="00636682" w:rsidP="00CC3874">
            <w:pPr>
              <w:jc w:val="center"/>
              <w:cnfStyle w:val="100000000000" w:firstRow="1" w:lastRow="0" w:firstColumn="0" w:lastColumn="0" w:oddVBand="0" w:evenVBand="0" w:oddHBand="0" w:evenHBand="0" w:firstRowFirstColumn="0" w:firstRowLastColumn="0" w:lastRowFirstColumn="0" w:lastRowLastColumn="0"/>
            </w:pPr>
            <w:r w:rsidRPr="00993FE6">
              <w:t>2015</w:t>
            </w:r>
          </w:p>
        </w:tc>
        <w:tc>
          <w:tcPr>
            <w:tcW w:w="817" w:type="dxa"/>
            <w:tcBorders>
              <w:top w:val="single" w:sz="12" w:space="0" w:color="auto"/>
            </w:tcBorders>
            <w:noWrap/>
            <w:hideMark/>
          </w:tcPr>
          <w:p w14:paraId="2011FB5F" w14:textId="77777777" w:rsidR="00636682" w:rsidRPr="00993FE6" w:rsidRDefault="00636682" w:rsidP="00CC3874">
            <w:pPr>
              <w:jc w:val="center"/>
              <w:cnfStyle w:val="100000000000" w:firstRow="1" w:lastRow="0" w:firstColumn="0" w:lastColumn="0" w:oddVBand="0" w:evenVBand="0" w:oddHBand="0" w:evenHBand="0" w:firstRowFirstColumn="0" w:firstRowLastColumn="0" w:lastRowFirstColumn="0" w:lastRowLastColumn="0"/>
            </w:pPr>
            <w:r w:rsidRPr="00993FE6">
              <w:t>2016</w:t>
            </w:r>
          </w:p>
        </w:tc>
        <w:tc>
          <w:tcPr>
            <w:tcW w:w="0" w:type="dxa"/>
            <w:tcBorders>
              <w:top w:val="single" w:sz="12" w:space="0" w:color="auto"/>
            </w:tcBorders>
            <w:noWrap/>
            <w:hideMark/>
          </w:tcPr>
          <w:p w14:paraId="6CE51FF6" w14:textId="77777777" w:rsidR="00636682" w:rsidRPr="00993FE6" w:rsidRDefault="00636682" w:rsidP="00CC3874">
            <w:pPr>
              <w:jc w:val="center"/>
              <w:cnfStyle w:val="100000000000" w:firstRow="1" w:lastRow="0" w:firstColumn="0" w:lastColumn="0" w:oddVBand="0" w:evenVBand="0" w:oddHBand="0" w:evenHBand="0" w:firstRowFirstColumn="0" w:firstRowLastColumn="0" w:lastRowFirstColumn="0" w:lastRowLastColumn="0"/>
            </w:pPr>
            <w:r w:rsidRPr="00993FE6">
              <w:t>Total</w:t>
            </w:r>
          </w:p>
        </w:tc>
      </w:tr>
      <w:tr w:rsidR="00636682" w:rsidRPr="00A2410D" w14:paraId="2AE89A17" w14:textId="77777777" w:rsidTr="00CC387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26F10B2C" w14:textId="77777777" w:rsidR="00636682" w:rsidRPr="00196447" w:rsidRDefault="00636682" w:rsidP="00CC3874">
            <w:pPr>
              <w:rPr>
                <w:b w:val="0"/>
              </w:rPr>
            </w:pPr>
            <w:r w:rsidRPr="00196447">
              <w:rPr>
                <w:b w:val="0"/>
              </w:rPr>
              <w:t>Empresas em 31/12 por ano</w:t>
            </w:r>
          </w:p>
        </w:tc>
        <w:tc>
          <w:tcPr>
            <w:tcW w:w="0" w:type="dxa"/>
            <w:noWrap/>
            <w:hideMark/>
          </w:tcPr>
          <w:p w14:paraId="0846710D"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pPr>
            <w:r w:rsidRPr="00993FE6">
              <w:t>586</w:t>
            </w:r>
          </w:p>
        </w:tc>
        <w:tc>
          <w:tcPr>
            <w:tcW w:w="0" w:type="dxa"/>
            <w:noWrap/>
            <w:hideMark/>
          </w:tcPr>
          <w:p w14:paraId="116BBFF0"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pPr>
            <w:r w:rsidRPr="00993FE6">
              <w:t>586</w:t>
            </w:r>
          </w:p>
        </w:tc>
        <w:tc>
          <w:tcPr>
            <w:tcW w:w="0" w:type="dxa"/>
            <w:noWrap/>
            <w:hideMark/>
          </w:tcPr>
          <w:p w14:paraId="6DAF2736"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pPr>
            <w:r w:rsidRPr="00993FE6">
              <w:t>586</w:t>
            </w:r>
          </w:p>
        </w:tc>
        <w:tc>
          <w:tcPr>
            <w:tcW w:w="684" w:type="dxa"/>
            <w:noWrap/>
            <w:hideMark/>
          </w:tcPr>
          <w:p w14:paraId="73803854"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pPr>
            <w:r w:rsidRPr="00993FE6">
              <w:t>586</w:t>
            </w:r>
          </w:p>
        </w:tc>
        <w:tc>
          <w:tcPr>
            <w:tcW w:w="0" w:type="dxa"/>
            <w:noWrap/>
            <w:hideMark/>
          </w:tcPr>
          <w:p w14:paraId="18FDD625"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pPr>
            <w:r w:rsidRPr="00993FE6">
              <w:t>586</w:t>
            </w:r>
          </w:p>
        </w:tc>
        <w:tc>
          <w:tcPr>
            <w:tcW w:w="0" w:type="dxa"/>
            <w:noWrap/>
            <w:hideMark/>
          </w:tcPr>
          <w:p w14:paraId="5D0D0502"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pPr>
            <w:r w:rsidRPr="00993FE6">
              <w:t>586</w:t>
            </w:r>
          </w:p>
        </w:tc>
        <w:tc>
          <w:tcPr>
            <w:tcW w:w="817" w:type="dxa"/>
            <w:noWrap/>
            <w:hideMark/>
          </w:tcPr>
          <w:p w14:paraId="57860713"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pPr>
            <w:r w:rsidRPr="00993FE6">
              <w:t>586</w:t>
            </w:r>
          </w:p>
        </w:tc>
        <w:tc>
          <w:tcPr>
            <w:tcW w:w="0" w:type="dxa"/>
            <w:noWrap/>
            <w:hideMark/>
          </w:tcPr>
          <w:p w14:paraId="4BCA4C94"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rPr>
                <w:b/>
              </w:rPr>
            </w:pPr>
            <w:r w:rsidRPr="00993FE6">
              <w:rPr>
                <w:b/>
              </w:rPr>
              <w:t>4102</w:t>
            </w:r>
          </w:p>
        </w:tc>
      </w:tr>
      <w:tr w:rsidR="00636682" w:rsidRPr="00A2410D" w14:paraId="47E95EA1" w14:textId="77777777" w:rsidTr="00CC3874">
        <w:trPr>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386C3368" w14:textId="77777777" w:rsidR="00636682" w:rsidRPr="00196447" w:rsidRDefault="00636682" w:rsidP="00CC3874">
            <w:pPr>
              <w:rPr>
                <w:b w:val="0"/>
                <w:i/>
              </w:rPr>
            </w:pPr>
            <w:r w:rsidRPr="00196447">
              <w:rPr>
                <w:b w:val="0"/>
                <w:i/>
              </w:rPr>
              <w:t>(-) Setor financeiro</w:t>
            </w:r>
          </w:p>
        </w:tc>
        <w:tc>
          <w:tcPr>
            <w:tcW w:w="0" w:type="dxa"/>
            <w:noWrap/>
            <w:hideMark/>
          </w:tcPr>
          <w:p w14:paraId="29FCE876"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i/>
              </w:rPr>
            </w:pPr>
            <w:r w:rsidRPr="00993FE6">
              <w:rPr>
                <w:i/>
              </w:rPr>
              <w:t>(88)</w:t>
            </w:r>
          </w:p>
        </w:tc>
        <w:tc>
          <w:tcPr>
            <w:tcW w:w="0" w:type="dxa"/>
            <w:noWrap/>
            <w:hideMark/>
          </w:tcPr>
          <w:p w14:paraId="666EBBE0"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i/>
              </w:rPr>
            </w:pPr>
            <w:r w:rsidRPr="00993FE6">
              <w:rPr>
                <w:i/>
              </w:rPr>
              <w:t>(88)</w:t>
            </w:r>
          </w:p>
        </w:tc>
        <w:tc>
          <w:tcPr>
            <w:tcW w:w="767" w:type="dxa"/>
            <w:noWrap/>
            <w:hideMark/>
          </w:tcPr>
          <w:p w14:paraId="412A6561"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i/>
              </w:rPr>
            </w:pPr>
            <w:r w:rsidRPr="00993FE6">
              <w:rPr>
                <w:i/>
              </w:rPr>
              <w:t>(88)</w:t>
            </w:r>
          </w:p>
        </w:tc>
        <w:tc>
          <w:tcPr>
            <w:tcW w:w="684" w:type="dxa"/>
            <w:noWrap/>
            <w:hideMark/>
          </w:tcPr>
          <w:p w14:paraId="12800E63"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i/>
              </w:rPr>
            </w:pPr>
            <w:r w:rsidRPr="00993FE6">
              <w:rPr>
                <w:i/>
              </w:rPr>
              <w:t>(88)</w:t>
            </w:r>
          </w:p>
        </w:tc>
        <w:tc>
          <w:tcPr>
            <w:tcW w:w="0" w:type="dxa"/>
            <w:noWrap/>
            <w:hideMark/>
          </w:tcPr>
          <w:p w14:paraId="55B49EC4"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i/>
              </w:rPr>
            </w:pPr>
            <w:r w:rsidRPr="00993FE6">
              <w:rPr>
                <w:i/>
              </w:rPr>
              <w:t>(88)</w:t>
            </w:r>
          </w:p>
        </w:tc>
        <w:tc>
          <w:tcPr>
            <w:tcW w:w="0" w:type="dxa"/>
            <w:noWrap/>
            <w:hideMark/>
          </w:tcPr>
          <w:p w14:paraId="0D3BA4E4"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i/>
              </w:rPr>
            </w:pPr>
            <w:r w:rsidRPr="00993FE6">
              <w:rPr>
                <w:i/>
              </w:rPr>
              <w:t>(88)</w:t>
            </w:r>
          </w:p>
        </w:tc>
        <w:tc>
          <w:tcPr>
            <w:tcW w:w="817" w:type="dxa"/>
            <w:noWrap/>
            <w:hideMark/>
          </w:tcPr>
          <w:p w14:paraId="44317095"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i/>
              </w:rPr>
            </w:pPr>
            <w:r w:rsidRPr="00993FE6">
              <w:rPr>
                <w:i/>
              </w:rPr>
              <w:t>(88)</w:t>
            </w:r>
          </w:p>
        </w:tc>
        <w:tc>
          <w:tcPr>
            <w:tcW w:w="0" w:type="dxa"/>
            <w:noWrap/>
            <w:hideMark/>
          </w:tcPr>
          <w:p w14:paraId="37B8CEFC"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b/>
                <w:i/>
              </w:rPr>
            </w:pPr>
            <w:r w:rsidRPr="00993FE6">
              <w:rPr>
                <w:b/>
                <w:i/>
              </w:rPr>
              <w:t>(616)</w:t>
            </w:r>
          </w:p>
        </w:tc>
      </w:tr>
      <w:tr w:rsidR="00636682" w:rsidRPr="00A2410D" w14:paraId="57C4201C" w14:textId="77777777" w:rsidTr="00CC387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5EE03275" w14:textId="77777777" w:rsidR="00636682" w:rsidRPr="00196447" w:rsidRDefault="00636682" w:rsidP="00CC3874">
            <w:pPr>
              <w:rPr>
                <w:b w:val="0"/>
                <w:i/>
              </w:rPr>
            </w:pPr>
            <w:r w:rsidRPr="00196447">
              <w:rPr>
                <w:b w:val="0"/>
                <w:i/>
              </w:rPr>
              <w:t>(-) PL negativo ou outros dados para calcular as proxies</w:t>
            </w:r>
          </w:p>
        </w:tc>
        <w:tc>
          <w:tcPr>
            <w:tcW w:w="0" w:type="dxa"/>
            <w:noWrap/>
            <w:vAlign w:val="center"/>
            <w:hideMark/>
          </w:tcPr>
          <w:p w14:paraId="59FCA8E4"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rPr>
                <w:i/>
              </w:rPr>
            </w:pPr>
            <w:r w:rsidRPr="00993FE6">
              <w:rPr>
                <w:i/>
              </w:rPr>
              <w:t>(347)</w:t>
            </w:r>
          </w:p>
        </w:tc>
        <w:tc>
          <w:tcPr>
            <w:tcW w:w="0" w:type="dxa"/>
            <w:noWrap/>
            <w:vAlign w:val="center"/>
            <w:hideMark/>
          </w:tcPr>
          <w:p w14:paraId="4CE80C5E"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rPr>
                <w:i/>
              </w:rPr>
            </w:pPr>
            <w:r w:rsidRPr="00993FE6">
              <w:rPr>
                <w:i/>
              </w:rPr>
              <w:t>(352)</w:t>
            </w:r>
          </w:p>
        </w:tc>
        <w:tc>
          <w:tcPr>
            <w:tcW w:w="767" w:type="dxa"/>
            <w:noWrap/>
            <w:vAlign w:val="center"/>
            <w:hideMark/>
          </w:tcPr>
          <w:p w14:paraId="7D2F4E4F"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rPr>
                <w:i/>
              </w:rPr>
            </w:pPr>
            <w:r w:rsidRPr="00993FE6">
              <w:rPr>
                <w:i/>
              </w:rPr>
              <w:t>(355)</w:t>
            </w:r>
          </w:p>
        </w:tc>
        <w:tc>
          <w:tcPr>
            <w:tcW w:w="684" w:type="dxa"/>
            <w:noWrap/>
            <w:vAlign w:val="center"/>
            <w:hideMark/>
          </w:tcPr>
          <w:p w14:paraId="1ADC1693"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rPr>
                <w:i/>
              </w:rPr>
            </w:pPr>
            <w:r w:rsidRPr="00993FE6">
              <w:rPr>
                <w:i/>
              </w:rPr>
              <w:t>(347)</w:t>
            </w:r>
          </w:p>
        </w:tc>
        <w:tc>
          <w:tcPr>
            <w:tcW w:w="0" w:type="dxa"/>
            <w:noWrap/>
            <w:vAlign w:val="center"/>
            <w:hideMark/>
          </w:tcPr>
          <w:p w14:paraId="085AD235"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rPr>
                <w:i/>
              </w:rPr>
            </w:pPr>
            <w:r w:rsidRPr="00993FE6">
              <w:rPr>
                <w:i/>
              </w:rPr>
              <w:t>(354)</w:t>
            </w:r>
          </w:p>
        </w:tc>
        <w:tc>
          <w:tcPr>
            <w:tcW w:w="0" w:type="dxa"/>
            <w:noWrap/>
            <w:vAlign w:val="center"/>
            <w:hideMark/>
          </w:tcPr>
          <w:p w14:paraId="1F3EF5B3"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rPr>
                <w:i/>
              </w:rPr>
            </w:pPr>
            <w:r w:rsidRPr="00993FE6">
              <w:rPr>
                <w:i/>
              </w:rPr>
              <w:t>(374)</w:t>
            </w:r>
          </w:p>
        </w:tc>
        <w:tc>
          <w:tcPr>
            <w:tcW w:w="817" w:type="dxa"/>
            <w:noWrap/>
            <w:vAlign w:val="center"/>
            <w:hideMark/>
          </w:tcPr>
          <w:p w14:paraId="4D64A194"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rPr>
                <w:i/>
              </w:rPr>
            </w:pPr>
            <w:r w:rsidRPr="00993FE6">
              <w:rPr>
                <w:i/>
              </w:rPr>
              <w:t>(377)</w:t>
            </w:r>
          </w:p>
        </w:tc>
        <w:tc>
          <w:tcPr>
            <w:tcW w:w="0" w:type="dxa"/>
            <w:noWrap/>
            <w:vAlign w:val="center"/>
            <w:hideMark/>
          </w:tcPr>
          <w:p w14:paraId="28978488" w14:textId="77777777" w:rsidR="00636682" w:rsidRPr="00993FE6" w:rsidRDefault="00636682" w:rsidP="00CC3874">
            <w:pPr>
              <w:jc w:val="center"/>
              <w:cnfStyle w:val="000000100000" w:firstRow="0" w:lastRow="0" w:firstColumn="0" w:lastColumn="0" w:oddVBand="0" w:evenVBand="0" w:oddHBand="1" w:evenHBand="0" w:firstRowFirstColumn="0" w:firstRowLastColumn="0" w:lastRowFirstColumn="0" w:lastRowLastColumn="0"/>
              <w:rPr>
                <w:b/>
                <w:i/>
              </w:rPr>
            </w:pPr>
            <w:r w:rsidRPr="00993FE6">
              <w:rPr>
                <w:b/>
                <w:i/>
              </w:rPr>
              <w:t>(2506)</w:t>
            </w:r>
          </w:p>
        </w:tc>
      </w:tr>
      <w:tr w:rsidR="00636682" w:rsidRPr="00A2410D" w14:paraId="3CD73D70" w14:textId="77777777" w:rsidTr="00CC387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single" w:sz="12" w:space="0" w:color="auto"/>
            </w:tcBorders>
            <w:noWrap/>
            <w:hideMark/>
          </w:tcPr>
          <w:p w14:paraId="1A10AFAF" w14:textId="4484F093" w:rsidR="00636682" w:rsidRPr="00993FE6" w:rsidRDefault="00636682" w:rsidP="00CC3874">
            <w:r w:rsidRPr="00993FE6">
              <w:t>Total de empresas</w:t>
            </w:r>
            <w:r w:rsidR="00AC4490">
              <w:t xml:space="preserve"> observadas</w:t>
            </w:r>
          </w:p>
        </w:tc>
        <w:tc>
          <w:tcPr>
            <w:tcW w:w="0" w:type="dxa"/>
            <w:tcBorders>
              <w:bottom w:val="single" w:sz="12" w:space="0" w:color="auto"/>
            </w:tcBorders>
            <w:noWrap/>
            <w:hideMark/>
          </w:tcPr>
          <w:p w14:paraId="0D309A6E"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b/>
              </w:rPr>
            </w:pPr>
            <w:r w:rsidRPr="00993FE6">
              <w:rPr>
                <w:b/>
              </w:rPr>
              <w:t>151</w:t>
            </w:r>
          </w:p>
        </w:tc>
        <w:tc>
          <w:tcPr>
            <w:tcW w:w="0" w:type="dxa"/>
            <w:tcBorders>
              <w:bottom w:val="single" w:sz="12" w:space="0" w:color="auto"/>
            </w:tcBorders>
            <w:noWrap/>
            <w:hideMark/>
          </w:tcPr>
          <w:p w14:paraId="1CA116E0"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b/>
              </w:rPr>
            </w:pPr>
            <w:r w:rsidRPr="00993FE6">
              <w:rPr>
                <w:b/>
              </w:rPr>
              <w:t>146</w:t>
            </w:r>
          </w:p>
        </w:tc>
        <w:tc>
          <w:tcPr>
            <w:tcW w:w="767" w:type="dxa"/>
            <w:tcBorders>
              <w:bottom w:val="single" w:sz="12" w:space="0" w:color="auto"/>
            </w:tcBorders>
            <w:noWrap/>
            <w:hideMark/>
          </w:tcPr>
          <w:p w14:paraId="6AF74998"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b/>
              </w:rPr>
            </w:pPr>
            <w:r w:rsidRPr="00993FE6">
              <w:rPr>
                <w:b/>
              </w:rPr>
              <w:t>143</w:t>
            </w:r>
          </w:p>
        </w:tc>
        <w:tc>
          <w:tcPr>
            <w:tcW w:w="684" w:type="dxa"/>
            <w:tcBorders>
              <w:bottom w:val="single" w:sz="12" w:space="0" w:color="auto"/>
            </w:tcBorders>
            <w:noWrap/>
            <w:hideMark/>
          </w:tcPr>
          <w:p w14:paraId="2BCF2B3B"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b/>
              </w:rPr>
            </w:pPr>
            <w:r w:rsidRPr="00993FE6">
              <w:rPr>
                <w:b/>
              </w:rPr>
              <w:t>151</w:t>
            </w:r>
          </w:p>
        </w:tc>
        <w:tc>
          <w:tcPr>
            <w:tcW w:w="0" w:type="dxa"/>
            <w:tcBorders>
              <w:bottom w:val="single" w:sz="12" w:space="0" w:color="auto"/>
            </w:tcBorders>
            <w:noWrap/>
            <w:hideMark/>
          </w:tcPr>
          <w:p w14:paraId="45BA3633"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b/>
              </w:rPr>
            </w:pPr>
            <w:r w:rsidRPr="00993FE6">
              <w:rPr>
                <w:b/>
              </w:rPr>
              <w:t>144</w:t>
            </w:r>
          </w:p>
        </w:tc>
        <w:tc>
          <w:tcPr>
            <w:tcW w:w="0" w:type="dxa"/>
            <w:tcBorders>
              <w:bottom w:val="single" w:sz="12" w:space="0" w:color="auto"/>
            </w:tcBorders>
            <w:noWrap/>
            <w:hideMark/>
          </w:tcPr>
          <w:p w14:paraId="13BE0C1C"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b/>
              </w:rPr>
            </w:pPr>
            <w:r w:rsidRPr="00993FE6">
              <w:rPr>
                <w:b/>
              </w:rPr>
              <w:t>124</w:t>
            </w:r>
          </w:p>
        </w:tc>
        <w:tc>
          <w:tcPr>
            <w:tcW w:w="817" w:type="dxa"/>
            <w:tcBorders>
              <w:bottom w:val="single" w:sz="12" w:space="0" w:color="auto"/>
            </w:tcBorders>
            <w:noWrap/>
            <w:hideMark/>
          </w:tcPr>
          <w:p w14:paraId="7CE34FE1"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b/>
              </w:rPr>
            </w:pPr>
            <w:r w:rsidRPr="00993FE6">
              <w:rPr>
                <w:b/>
              </w:rPr>
              <w:t>121</w:t>
            </w:r>
          </w:p>
        </w:tc>
        <w:tc>
          <w:tcPr>
            <w:tcW w:w="0" w:type="dxa"/>
            <w:tcBorders>
              <w:bottom w:val="single" w:sz="12" w:space="0" w:color="auto"/>
            </w:tcBorders>
            <w:noWrap/>
            <w:hideMark/>
          </w:tcPr>
          <w:p w14:paraId="377C7668" w14:textId="77777777" w:rsidR="00636682" w:rsidRPr="00993FE6" w:rsidRDefault="00636682" w:rsidP="00CC3874">
            <w:pPr>
              <w:jc w:val="center"/>
              <w:cnfStyle w:val="000000000000" w:firstRow="0" w:lastRow="0" w:firstColumn="0" w:lastColumn="0" w:oddVBand="0" w:evenVBand="0" w:oddHBand="0" w:evenHBand="0" w:firstRowFirstColumn="0" w:firstRowLastColumn="0" w:lastRowFirstColumn="0" w:lastRowLastColumn="0"/>
              <w:rPr>
                <w:b/>
              </w:rPr>
            </w:pPr>
            <w:bookmarkStart w:id="24" w:name="_Hlk501123126"/>
            <w:r w:rsidRPr="00993FE6">
              <w:rPr>
                <w:b/>
              </w:rPr>
              <w:t>980</w:t>
            </w:r>
            <w:bookmarkEnd w:id="24"/>
          </w:p>
        </w:tc>
      </w:tr>
    </w:tbl>
    <w:p w14:paraId="285CBA5F" w14:textId="77777777" w:rsidR="00636682" w:rsidRPr="00993FE6" w:rsidRDefault="00636682" w:rsidP="00636682">
      <w:pPr>
        <w:autoSpaceDE w:val="0"/>
        <w:autoSpaceDN w:val="0"/>
        <w:adjustRightInd w:val="0"/>
        <w:contextualSpacing/>
      </w:pPr>
      <w:r w:rsidRPr="00993FE6">
        <w:t xml:space="preserve">Fonte: elaboração própria. </w:t>
      </w:r>
    </w:p>
    <w:p w14:paraId="08668956" w14:textId="77777777" w:rsidR="00636682" w:rsidRPr="00A2410D" w:rsidRDefault="00636682" w:rsidP="00636682">
      <w:pPr>
        <w:autoSpaceDE w:val="0"/>
        <w:autoSpaceDN w:val="0"/>
        <w:adjustRightInd w:val="0"/>
        <w:contextualSpacing/>
        <w:jc w:val="center"/>
      </w:pPr>
    </w:p>
    <w:p w14:paraId="60AF4BE8" w14:textId="196EB030" w:rsidR="00636682" w:rsidRDefault="00636682" w:rsidP="004B193F">
      <w:pPr>
        <w:ind w:firstLine="708"/>
        <w:jc w:val="both"/>
        <w:rPr>
          <w:sz w:val="24"/>
          <w:szCs w:val="24"/>
        </w:rPr>
      </w:pPr>
      <w:r w:rsidRPr="00A2410D">
        <w:rPr>
          <w:sz w:val="24"/>
          <w:szCs w:val="24"/>
        </w:rPr>
        <w:t xml:space="preserve">Como se observa na tabela 1, do período de </w:t>
      </w:r>
      <w:r w:rsidRPr="0042038B">
        <w:rPr>
          <w:sz w:val="24"/>
          <w:szCs w:val="24"/>
        </w:rPr>
        <w:t>análise, após exclusões</w:t>
      </w:r>
      <w:r w:rsidR="008D12C5">
        <w:rPr>
          <w:sz w:val="24"/>
          <w:szCs w:val="24"/>
        </w:rPr>
        <w:t xml:space="preserve"> (empresas do set</w:t>
      </w:r>
      <w:r w:rsidR="00196447">
        <w:rPr>
          <w:sz w:val="24"/>
          <w:szCs w:val="24"/>
        </w:rPr>
        <w:t xml:space="preserve">or financeiro e PL negativos), </w:t>
      </w:r>
      <w:r w:rsidRPr="0042038B">
        <w:rPr>
          <w:sz w:val="24"/>
          <w:szCs w:val="24"/>
        </w:rPr>
        <w:t xml:space="preserve">foram analisadas </w:t>
      </w:r>
      <w:r w:rsidRPr="00707342">
        <w:rPr>
          <w:sz w:val="24"/>
          <w:szCs w:val="24"/>
        </w:rPr>
        <w:t>980 observações</w:t>
      </w:r>
      <w:r>
        <w:rPr>
          <w:sz w:val="24"/>
          <w:szCs w:val="24"/>
        </w:rPr>
        <w:t>.</w:t>
      </w:r>
      <w:r w:rsidRPr="00707342">
        <w:rPr>
          <w:sz w:val="24"/>
          <w:szCs w:val="24"/>
        </w:rPr>
        <w:t xml:space="preserve"> </w:t>
      </w:r>
    </w:p>
    <w:p w14:paraId="3E5D49F0" w14:textId="77777777" w:rsidR="00EA4940" w:rsidRPr="00A2410D" w:rsidRDefault="00EA4940" w:rsidP="00636682">
      <w:pPr>
        <w:autoSpaceDE w:val="0"/>
        <w:autoSpaceDN w:val="0"/>
        <w:adjustRightInd w:val="0"/>
        <w:ind w:firstLine="708"/>
        <w:contextualSpacing/>
        <w:jc w:val="both"/>
        <w:rPr>
          <w:sz w:val="24"/>
          <w:szCs w:val="24"/>
        </w:rPr>
      </w:pPr>
    </w:p>
    <w:p w14:paraId="3FFFEECE" w14:textId="77777777" w:rsidR="00636682" w:rsidRPr="00A2410D" w:rsidRDefault="00636682" w:rsidP="00636682">
      <w:pPr>
        <w:pStyle w:val="Ttulo1"/>
        <w:spacing w:before="0" w:line="240" w:lineRule="auto"/>
        <w:rPr>
          <w:rFonts w:ascii="Times New Roman" w:hAnsi="Times New Roman" w:cs="Times New Roman"/>
          <w:b/>
          <w:color w:val="auto"/>
          <w:sz w:val="24"/>
          <w:szCs w:val="24"/>
        </w:rPr>
      </w:pPr>
      <w:r w:rsidRPr="00A2410D">
        <w:rPr>
          <w:rFonts w:ascii="Times New Roman" w:hAnsi="Times New Roman" w:cs="Times New Roman"/>
          <w:b/>
          <w:color w:val="auto"/>
          <w:sz w:val="24"/>
          <w:szCs w:val="24"/>
        </w:rPr>
        <w:t>3.3 Variáveis do modelo de estimação</w:t>
      </w:r>
    </w:p>
    <w:p w14:paraId="58792169" w14:textId="6D909383" w:rsidR="00636682" w:rsidRPr="00A2410D" w:rsidRDefault="00636682" w:rsidP="00636682">
      <w:pPr>
        <w:jc w:val="both"/>
        <w:rPr>
          <w:sz w:val="24"/>
          <w:szCs w:val="24"/>
        </w:rPr>
      </w:pPr>
      <w:r w:rsidRPr="00A2410D">
        <w:tab/>
      </w:r>
      <w:r w:rsidRPr="00A2410D">
        <w:rPr>
          <w:sz w:val="24"/>
          <w:szCs w:val="24"/>
        </w:rPr>
        <w:t>Este estudo tem como variável dependente a taxa efetiva de imposto efetiva</w:t>
      </w:r>
      <w:r w:rsidR="008D12C5">
        <w:rPr>
          <w:sz w:val="24"/>
          <w:szCs w:val="24"/>
        </w:rPr>
        <w:t xml:space="preserve"> (ETR)</w:t>
      </w:r>
      <w:r>
        <w:rPr>
          <w:sz w:val="24"/>
          <w:szCs w:val="24"/>
        </w:rPr>
        <w:t>,</w:t>
      </w:r>
      <w:r w:rsidRPr="00A2410D">
        <w:rPr>
          <w:sz w:val="24"/>
          <w:szCs w:val="24"/>
        </w:rPr>
        <w:t xml:space="preserve"> que foi obtida por meio da divisão do gasto de impostos de renda e contribuição social (numerador) pelo lucro contábil antes dos devidos imposto (denominador).</w:t>
      </w:r>
    </w:p>
    <w:p w14:paraId="39D3B50F" w14:textId="77777777" w:rsidR="00636682" w:rsidRPr="0042038B" w:rsidRDefault="00350375" w:rsidP="00636682">
      <w:pPr>
        <w:tabs>
          <w:tab w:val="left" w:pos="1134"/>
          <w:tab w:val="left" w:pos="1418"/>
        </w:tabs>
        <w:ind w:firstLine="709"/>
        <w:jc w:val="both"/>
        <w:rPr>
          <w:i/>
        </w:rPr>
      </w:pPr>
      <m:oMathPara>
        <m:oMath>
          <m:sSub>
            <m:sSubPr>
              <m:ctrlPr>
                <w:rPr>
                  <w:rFonts w:ascii="Cambria Math" w:hAnsi="Cambria Math"/>
                  <w:i/>
                </w:rPr>
              </m:ctrlPr>
            </m:sSubPr>
            <m:e>
              <m:r>
                <w:rPr>
                  <w:rFonts w:ascii="Cambria Math" w:hAnsi="Cambria Math"/>
                </w:rPr>
                <m:t>ETR</m:t>
              </m:r>
            </m:e>
            <m:sub>
              <w:bookmarkStart w:id="25" w:name="_Hlk501439044"/>
              <m:r>
                <w:rPr>
                  <w:rFonts w:ascii="Cambria Math" w:hAnsi="Cambria Math"/>
                </w:rPr>
                <m:t>it</m:t>
              </m:r>
              <w:bookmarkEnd w:id="25"/>
              <m:r>
                <w:rPr>
                  <w:rFonts w:ascii="Cambria Math" w:hAnsi="Cambria Math"/>
                </w:rPr>
                <m:t xml:space="preserve"> </m:t>
              </m:r>
            </m:sub>
          </m:sSub>
          <m:r>
            <w:rPr>
              <w:rFonts w:ascii="Cambria Math" w:hAnsi="Cambria Math"/>
            </w:rPr>
            <m:t>= Provisão de IR e CSLL ÷ Lucro Antes do IR e CSLL      (1)</m:t>
          </m:r>
        </m:oMath>
      </m:oMathPara>
    </w:p>
    <w:p w14:paraId="09D5D918" w14:textId="77777777" w:rsidR="00636682" w:rsidRPr="00707342" w:rsidRDefault="00636682" w:rsidP="00636682">
      <w:pPr>
        <w:jc w:val="both"/>
      </w:pPr>
      <w:r w:rsidRPr="00707342">
        <w:t>onde:</w:t>
      </w:r>
    </w:p>
    <w:p w14:paraId="6BF61C9F" w14:textId="77777777" w:rsidR="00636682" w:rsidRPr="00A2410D" w:rsidRDefault="00636682" w:rsidP="00636682">
      <w:pPr>
        <w:jc w:val="both"/>
      </w:pPr>
      <w:r w:rsidRPr="00A2410D">
        <w:t xml:space="preserve">i = refere-se a empresa </w:t>
      </w:r>
    </w:p>
    <w:p w14:paraId="5BB4F4B9" w14:textId="77777777" w:rsidR="00636682" w:rsidRPr="00A2410D" w:rsidRDefault="00636682" w:rsidP="00636682">
      <w:pPr>
        <w:jc w:val="both"/>
      </w:pPr>
      <w:r w:rsidRPr="00A2410D">
        <w:t>t  = representa o ano</w:t>
      </w:r>
    </w:p>
    <w:p w14:paraId="26F4B515" w14:textId="77777777" w:rsidR="00636682" w:rsidRPr="00A2410D" w:rsidRDefault="00636682" w:rsidP="00636682">
      <w:pPr>
        <w:ind w:firstLine="708"/>
        <w:jc w:val="both"/>
        <w:rPr>
          <w:sz w:val="24"/>
          <w:szCs w:val="24"/>
        </w:rPr>
      </w:pPr>
      <w:r>
        <w:rPr>
          <w:sz w:val="24"/>
          <w:szCs w:val="24"/>
        </w:rPr>
        <w:t>C</w:t>
      </w:r>
      <w:r w:rsidRPr="00A2410D">
        <w:rPr>
          <w:sz w:val="24"/>
          <w:szCs w:val="24"/>
        </w:rPr>
        <w:t>omo variáveis independentes do modelo</w:t>
      </w:r>
      <w:r>
        <w:rPr>
          <w:sz w:val="24"/>
          <w:szCs w:val="24"/>
        </w:rPr>
        <w:t>,</w:t>
      </w:r>
      <w:r w:rsidRPr="00A2410D">
        <w:rPr>
          <w:sz w:val="24"/>
          <w:szCs w:val="24"/>
        </w:rPr>
        <w:t xml:space="preserve"> este estudo conta com 7 variáveis, conforme o Figura 2, </w:t>
      </w:r>
      <w:r>
        <w:rPr>
          <w:sz w:val="24"/>
          <w:szCs w:val="24"/>
        </w:rPr>
        <w:t>que são</w:t>
      </w:r>
      <w:r w:rsidRPr="00A2410D">
        <w:rPr>
          <w:sz w:val="24"/>
          <w:szCs w:val="24"/>
        </w:rPr>
        <w:t>: ETR - Taxa efetiva do imposto, TAM- Tamanho, ALAV-Alavancagem, CDIV- Custo da dívida, INTC - Intensidade de Capital, DANC - Depreciação de Ativos não Circulantes, e ROA - Rentabilidade Sobre Ativos.</w:t>
      </w:r>
    </w:p>
    <w:p w14:paraId="14D39EE7" w14:textId="77777777" w:rsidR="00636682" w:rsidRPr="00A2410D" w:rsidRDefault="00636682" w:rsidP="00636682">
      <w:pPr>
        <w:jc w:val="both"/>
        <w:rPr>
          <w:sz w:val="24"/>
          <w:szCs w:val="24"/>
        </w:rPr>
      </w:pPr>
    </w:p>
    <w:tbl>
      <w:tblPr>
        <w:tblStyle w:val="Tabelacomgrade"/>
        <w:tblW w:w="9174" w:type="dxa"/>
        <w:tblLook w:val="04A0" w:firstRow="1" w:lastRow="0" w:firstColumn="1" w:lastColumn="0" w:noHBand="0" w:noVBand="1"/>
      </w:tblPr>
      <w:tblGrid>
        <w:gridCol w:w="846"/>
        <w:gridCol w:w="2778"/>
        <w:gridCol w:w="4026"/>
        <w:gridCol w:w="1524"/>
      </w:tblGrid>
      <w:tr w:rsidR="00636682" w:rsidRPr="00A2410D" w14:paraId="3D582E03" w14:textId="77777777" w:rsidTr="004B193F">
        <w:tc>
          <w:tcPr>
            <w:tcW w:w="846" w:type="dxa"/>
          </w:tcPr>
          <w:p w14:paraId="1583C735" w14:textId="77777777" w:rsidR="00636682" w:rsidRPr="00A2410D" w:rsidRDefault="00636682" w:rsidP="00CC3874">
            <w:pPr>
              <w:jc w:val="both"/>
              <w:rPr>
                <w:b/>
              </w:rPr>
            </w:pPr>
            <w:r w:rsidRPr="00A2410D">
              <w:rPr>
                <w:b/>
              </w:rPr>
              <w:t>Sigla</w:t>
            </w:r>
          </w:p>
        </w:tc>
        <w:tc>
          <w:tcPr>
            <w:tcW w:w="2778" w:type="dxa"/>
          </w:tcPr>
          <w:p w14:paraId="7B7DF412" w14:textId="77777777" w:rsidR="00636682" w:rsidRPr="00A2410D" w:rsidRDefault="00636682" w:rsidP="00CC3874">
            <w:pPr>
              <w:jc w:val="both"/>
              <w:rPr>
                <w:b/>
              </w:rPr>
            </w:pPr>
            <w:r w:rsidRPr="00A2410D">
              <w:rPr>
                <w:b/>
              </w:rPr>
              <w:t>Descrição</w:t>
            </w:r>
          </w:p>
        </w:tc>
        <w:tc>
          <w:tcPr>
            <w:tcW w:w="4026" w:type="dxa"/>
          </w:tcPr>
          <w:p w14:paraId="2A09631B" w14:textId="77777777" w:rsidR="00636682" w:rsidRPr="00A2410D" w:rsidRDefault="00636682" w:rsidP="00CC3874">
            <w:pPr>
              <w:jc w:val="both"/>
              <w:rPr>
                <w:b/>
              </w:rPr>
            </w:pPr>
            <w:r w:rsidRPr="00A2410D">
              <w:rPr>
                <w:b/>
              </w:rPr>
              <w:t>Mensuração</w:t>
            </w:r>
          </w:p>
        </w:tc>
        <w:tc>
          <w:tcPr>
            <w:tcW w:w="1524" w:type="dxa"/>
          </w:tcPr>
          <w:p w14:paraId="452BD35B" w14:textId="77777777" w:rsidR="00636682" w:rsidRPr="00A2410D" w:rsidRDefault="00636682" w:rsidP="00CC3874">
            <w:pPr>
              <w:jc w:val="both"/>
              <w:rPr>
                <w:b/>
              </w:rPr>
            </w:pPr>
            <w:r w:rsidRPr="00A2410D">
              <w:rPr>
                <w:b/>
              </w:rPr>
              <w:t>Sinal Esperado</w:t>
            </w:r>
          </w:p>
        </w:tc>
      </w:tr>
      <w:tr w:rsidR="00636682" w:rsidRPr="00A2410D" w14:paraId="5C936FAD" w14:textId="77777777" w:rsidTr="004B193F">
        <w:tc>
          <w:tcPr>
            <w:tcW w:w="846" w:type="dxa"/>
          </w:tcPr>
          <w:p w14:paraId="7AEA0EC4" w14:textId="77777777" w:rsidR="00636682" w:rsidRPr="00A2410D" w:rsidRDefault="00636682" w:rsidP="00CC3874">
            <w:pPr>
              <w:jc w:val="both"/>
            </w:pPr>
            <w:r w:rsidRPr="00A2410D">
              <w:t>ETR</w:t>
            </w:r>
          </w:p>
        </w:tc>
        <w:tc>
          <w:tcPr>
            <w:tcW w:w="2778" w:type="dxa"/>
          </w:tcPr>
          <w:p w14:paraId="004561B4" w14:textId="77777777" w:rsidR="00636682" w:rsidRPr="00A2410D" w:rsidRDefault="00636682" w:rsidP="00CC3874">
            <w:pPr>
              <w:jc w:val="both"/>
              <w:rPr>
                <w:b/>
              </w:rPr>
            </w:pPr>
            <w:r w:rsidRPr="00A2410D">
              <w:rPr>
                <w:b/>
              </w:rPr>
              <w:t>Taxa efetiva do imposto</w:t>
            </w:r>
          </w:p>
        </w:tc>
        <w:tc>
          <w:tcPr>
            <w:tcW w:w="4026" w:type="dxa"/>
          </w:tcPr>
          <w:p w14:paraId="00C1EA78" w14:textId="77777777" w:rsidR="00636682" w:rsidRPr="00A2410D" w:rsidRDefault="00636682" w:rsidP="00CC3874">
            <w:pPr>
              <w:jc w:val="both"/>
            </w:pPr>
            <w:r w:rsidRPr="00A2410D">
              <w:t>Provisão IR e CSLL / Lucros antes IR e CSLL</w:t>
            </w:r>
          </w:p>
        </w:tc>
        <w:tc>
          <w:tcPr>
            <w:tcW w:w="1524" w:type="dxa"/>
          </w:tcPr>
          <w:p w14:paraId="2A4CBA4A" w14:textId="77777777" w:rsidR="00636682" w:rsidRPr="00A2410D" w:rsidRDefault="00636682" w:rsidP="00CC3874">
            <w:pPr>
              <w:jc w:val="center"/>
            </w:pPr>
            <w:r w:rsidRPr="00A2410D">
              <w:t>n/a</w:t>
            </w:r>
          </w:p>
        </w:tc>
      </w:tr>
      <w:tr w:rsidR="00636682" w:rsidRPr="00A2410D" w14:paraId="2EA75D2D" w14:textId="77777777" w:rsidTr="004B193F">
        <w:tc>
          <w:tcPr>
            <w:tcW w:w="846" w:type="dxa"/>
          </w:tcPr>
          <w:p w14:paraId="1F302740" w14:textId="77777777" w:rsidR="00636682" w:rsidRPr="00A2410D" w:rsidRDefault="00636682" w:rsidP="00CC3874">
            <w:pPr>
              <w:jc w:val="both"/>
            </w:pPr>
            <w:r w:rsidRPr="00A2410D">
              <w:t>TAM</w:t>
            </w:r>
          </w:p>
        </w:tc>
        <w:tc>
          <w:tcPr>
            <w:tcW w:w="2778" w:type="dxa"/>
          </w:tcPr>
          <w:p w14:paraId="155E8F34" w14:textId="77777777" w:rsidR="00636682" w:rsidRPr="00A2410D" w:rsidRDefault="00636682" w:rsidP="00CC3874">
            <w:pPr>
              <w:jc w:val="both"/>
              <w:rPr>
                <w:b/>
              </w:rPr>
            </w:pPr>
            <w:r w:rsidRPr="00A2410D">
              <w:rPr>
                <w:b/>
              </w:rPr>
              <w:t>Tamanho</w:t>
            </w:r>
          </w:p>
        </w:tc>
        <w:tc>
          <w:tcPr>
            <w:tcW w:w="4026" w:type="dxa"/>
          </w:tcPr>
          <w:p w14:paraId="67A88645" w14:textId="77777777" w:rsidR="00636682" w:rsidRPr="00A2410D" w:rsidRDefault="00636682" w:rsidP="00CC3874">
            <w:pPr>
              <w:jc w:val="both"/>
            </w:pPr>
            <w:r w:rsidRPr="00A2410D">
              <w:t>Logaritmo Natural do Ativo Total</w:t>
            </w:r>
          </w:p>
        </w:tc>
        <w:tc>
          <w:tcPr>
            <w:tcW w:w="1524" w:type="dxa"/>
          </w:tcPr>
          <w:p w14:paraId="4733F0BD" w14:textId="77777777" w:rsidR="00636682" w:rsidRPr="00A2410D" w:rsidRDefault="00636682" w:rsidP="00CC3874">
            <w:pPr>
              <w:jc w:val="center"/>
            </w:pPr>
            <w:r w:rsidRPr="00A2410D">
              <w:t>(+)</w:t>
            </w:r>
          </w:p>
        </w:tc>
      </w:tr>
      <w:tr w:rsidR="00636682" w:rsidRPr="00A2410D" w14:paraId="60D2F1A9" w14:textId="77777777" w:rsidTr="004B193F">
        <w:tc>
          <w:tcPr>
            <w:tcW w:w="846" w:type="dxa"/>
          </w:tcPr>
          <w:p w14:paraId="65AE4B02" w14:textId="77777777" w:rsidR="00636682" w:rsidRPr="00A2410D" w:rsidRDefault="00636682" w:rsidP="00CC3874">
            <w:pPr>
              <w:jc w:val="both"/>
            </w:pPr>
            <w:r w:rsidRPr="00A2410D">
              <w:t>ALAV</w:t>
            </w:r>
          </w:p>
        </w:tc>
        <w:tc>
          <w:tcPr>
            <w:tcW w:w="2778" w:type="dxa"/>
          </w:tcPr>
          <w:p w14:paraId="6A806663" w14:textId="77777777" w:rsidR="00636682" w:rsidRPr="00A2410D" w:rsidRDefault="00636682" w:rsidP="00CC3874">
            <w:pPr>
              <w:jc w:val="both"/>
              <w:rPr>
                <w:b/>
              </w:rPr>
            </w:pPr>
            <w:r w:rsidRPr="00A2410D">
              <w:rPr>
                <w:b/>
              </w:rPr>
              <w:t>Alavancagem</w:t>
            </w:r>
          </w:p>
        </w:tc>
        <w:tc>
          <w:tcPr>
            <w:tcW w:w="4026" w:type="dxa"/>
          </w:tcPr>
          <w:p w14:paraId="5AE4DBEC" w14:textId="77777777" w:rsidR="00636682" w:rsidRPr="00A2410D" w:rsidRDefault="00636682" w:rsidP="00CC3874">
            <w:pPr>
              <w:jc w:val="both"/>
            </w:pPr>
            <w:r w:rsidRPr="00A2410D">
              <w:t>Total de Dívidas / Ativo Total</w:t>
            </w:r>
          </w:p>
        </w:tc>
        <w:tc>
          <w:tcPr>
            <w:tcW w:w="1524" w:type="dxa"/>
          </w:tcPr>
          <w:p w14:paraId="18D5E586" w14:textId="77777777" w:rsidR="00636682" w:rsidRPr="00A2410D" w:rsidRDefault="00636682" w:rsidP="00CC3874">
            <w:pPr>
              <w:jc w:val="center"/>
            </w:pPr>
            <w:r w:rsidRPr="00A2410D">
              <w:t>(-)</w:t>
            </w:r>
          </w:p>
        </w:tc>
      </w:tr>
      <w:tr w:rsidR="00636682" w:rsidRPr="00A2410D" w14:paraId="28E3DC78" w14:textId="77777777" w:rsidTr="004B193F">
        <w:tc>
          <w:tcPr>
            <w:tcW w:w="846" w:type="dxa"/>
          </w:tcPr>
          <w:p w14:paraId="178DD223" w14:textId="77777777" w:rsidR="00636682" w:rsidRPr="00A2410D" w:rsidRDefault="00636682" w:rsidP="00CC3874">
            <w:pPr>
              <w:jc w:val="both"/>
            </w:pPr>
            <w:bookmarkStart w:id="26" w:name="_Hlk503194754"/>
            <w:r w:rsidRPr="00A2410D">
              <w:t>CDIV</w:t>
            </w:r>
          </w:p>
        </w:tc>
        <w:tc>
          <w:tcPr>
            <w:tcW w:w="2778" w:type="dxa"/>
          </w:tcPr>
          <w:p w14:paraId="36C35837" w14:textId="77777777" w:rsidR="00636682" w:rsidRPr="00A2410D" w:rsidRDefault="00636682" w:rsidP="00CC3874">
            <w:pPr>
              <w:jc w:val="both"/>
              <w:rPr>
                <w:b/>
              </w:rPr>
            </w:pPr>
            <w:r w:rsidRPr="00A2410D">
              <w:rPr>
                <w:b/>
              </w:rPr>
              <w:t>Custo da dívida</w:t>
            </w:r>
          </w:p>
        </w:tc>
        <w:tc>
          <w:tcPr>
            <w:tcW w:w="4026" w:type="dxa"/>
          </w:tcPr>
          <w:p w14:paraId="7F1C051A" w14:textId="77777777" w:rsidR="00636682" w:rsidRPr="00A2410D" w:rsidRDefault="00636682" w:rsidP="00CC3874">
            <w:pPr>
              <w:jc w:val="both"/>
            </w:pPr>
            <w:r w:rsidRPr="00A2410D">
              <w:t>Despesas de juros / Total de Dívidas</w:t>
            </w:r>
          </w:p>
        </w:tc>
        <w:tc>
          <w:tcPr>
            <w:tcW w:w="1524" w:type="dxa"/>
          </w:tcPr>
          <w:p w14:paraId="70FCAF74" w14:textId="77777777" w:rsidR="00636682" w:rsidRPr="00A2410D" w:rsidRDefault="00636682" w:rsidP="00CC3874">
            <w:pPr>
              <w:jc w:val="center"/>
            </w:pPr>
            <w:r w:rsidRPr="00A2410D">
              <w:t>(-)</w:t>
            </w:r>
          </w:p>
        </w:tc>
      </w:tr>
      <w:bookmarkEnd w:id="26"/>
      <w:tr w:rsidR="00636682" w:rsidRPr="00A2410D" w14:paraId="5C67A9C6" w14:textId="77777777" w:rsidTr="004B193F">
        <w:tc>
          <w:tcPr>
            <w:tcW w:w="846" w:type="dxa"/>
          </w:tcPr>
          <w:p w14:paraId="488DADA7" w14:textId="77777777" w:rsidR="00636682" w:rsidRPr="00A2410D" w:rsidRDefault="00636682" w:rsidP="00CC3874">
            <w:pPr>
              <w:jc w:val="both"/>
            </w:pPr>
            <w:r w:rsidRPr="00A2410D">
              <w:t>INTC</w:t>
            </w:r>
          </w:p>
        </w:tc>
        <w:tc>
          <w:tcPr>
            <w:tcW w:w="2778" w:type="dxa"/>
            <w:vAlign w:val="center"/>
          </w:tcPr>
          <w:p w14:paraId="7E4BB322" w14:textId="77777777" w:rsidR="00636682" w:rsidRPr="00A2410D" w:rsidRDefault="00636682" w:rsidP="00CC3874">
            <w:pPr>
              <w:jc w:val="both"/>
              <w:rPr>
                <w:b/>
              </w:rPr>
            </w:pPr>
            <w:r w:rsidRPr="00A2410D">
              <w:rPr>
                <w:b/>
              </w:rPr>
              <w:t>Intensidade de capital</w:t>
            </w:r>
          </w:p>
        </w:tc>
        <w:tc>
          <w:tcPr>
            <w:tcW w:w="4026" w:type="dxa"/>
          </w:tcPr>
          <w:p w14:paraId="39242CE4" w14:textId="77777777" w:rsidR="00636682" w:rsidRPr="00A2410D" w:rsidRDefault="00636682" w:rsidP="00CC3874">
            <w:pPr>
              <w:jc w:val="both"/>
            </w:pPr>
            <w:r w:rsidRPr="00A2410D">
              <w:t>Ativos Imobilizados Líquido / Ativo Total</w:t>
            </w:r>
          </w:p>
        </w:tc>
        <w:tc>
          <w:tcPr>
            <w:tcW w:w="1524" w:type="dxa"/>
          </w:tcPr>
          <w:p w14:paraId="3BDB0550" w14:textId="77777777" w:rsidR="00636682" w:rsidRPr="00A2410D" w:rsidRDefault="00636682" w:rsidP="00CC3874">
            <w:pPr>
              <w:jc w:val="center"/>
            </w:pPr>
            <w:r w:rsidRPr="00A2410D">
              <w:t>(-)</w:t>
            </w:r>
          </w:p>
        </w:tc>
      </w:tr>
      <w:tr w:rsidR="00636682" w:rsidRPr="00A2410D" w14:paraId="60A17264" w14:textId="77777777" w:rsidTr="004B193F">
        <w:tc>
          <w:tcPr>
            <w:tcW w:w="846" w:type="dxa"/>
          </w:tcPr>
          <w:p w14:paraId="0FE8F75C" w14:textId="77777777" w:rsidR="00636682" w:rsidRPr="00A2410D" w:rsidRDefault="00636682" w:rsidP="00CC3874">
            <w:pPr>
              <w:jc w:val="both"/>
            </w:pPr>
            <w:r w:rsidRPr="00A2410D">
              <w:t>DANC</w:t>
            </w:r>
          </w:p>
        </w:tc>
        <w:tc>
          <w:tcPr>
            <w:tcW w:w="2778" w:type="dxa"/>
            <w:vAlign w:val="center"/>
          </w:tcPr>
          <w:p w14:paraId="77664382" w14:textId="77777777" w:rsidR="00636682" w:rsidRPr="00A2410D" w:rsidRDefault="00636682" w:rsidP="00CC3874">
            <w:pPr>
              <w:jc w:val="both"/>
              <w:rPr>
                <w:b/>
              </w:rPr>
            </w:pPr>
            <w:r w:rsidRPr="00A2410D">
              <w:rPr>
                <w:b/>
              </w:rPr>
              <w:t>Depreciação de ativos não circulantes</w:t>
            </w:r>
          </w:p>
        </w:tc>
        <w:tc>
          <w:tcPr>
            <w:tcW w:w="4026" w:type="dxa"/>
          </w:tcPr>
          <w:p w14:paraId="2938D02F" w14:textId="77777777" w:rsidR="00636682" w:rsidRPr="00A2410D" w:rsidRDefault="00636682" w:rsidP="00CC3874">
            <w:pPr>
              <w:jc w:val="both"/>
            </w:pPr>
            <w:r w:rsidRPr="00A2410D">
              <w:t>Despesa com depreciação / Ativos Total</w:t>
            </w:r>
          </w:p>
        </w:tc>
        <w:tc>
          <w:tcPr>
            <w:tcW w:w="1524" w:type="dxa"/>
          </w:tcPr>
          <w:p w14:paraId="03975B97" w14:textId="77777777" w:rsidR="00636682" w:rsidRPr="00A2410D" w:rsidRDefault="00636682" w:rsidP="00CC3874">
            <w:pPr>
              <w:jc w:val="center"/>
            </w:pPr>
            <w:r w:rsidRPr="00A2410D">
              <w:t>(-)</w:t>
            </w:r>
          </w:p>
        </w:tc>
      </w:tr>
      <w:tr w:rsidR="00636682" w:rsidRPr="00A2410D" w14:paraId="48C7DEE4" w14:textId="77777777" w:rsidTr="004B193F">
        <w:tc>
          <w:tcPr>
            <w:tcW w:w="846" w:type="dxa"/>
          </w:tcPr>
          <w:p w14:paraId="2CAE4B8F" w14:textId="77777777" w:rsidR="00636682" w:rsidRPr="00A2410D" w:rsidRDefault="00636682" w:rsidP="00CC3874">
            <w:pPr>
              <w:jc w:val="both"/>
            </w:pPr>
            <w:r w:rsidRPr="00A2410D">
              <w:t>ROA</w:t>
            </w:r>
          </w:p>
        </w:tc>
        <w:tc>
          <w:tcPr>
            <w:tcW w:w="2778" w:type="dxa"/>
          </w:tcPr>
          <w:p w14:paraId="35956FA3" w14:textId="77777777" w:rsidR="00636682" w:rsidRPr="00A2410D" w:rsidRDefault="00636682" w:rsidP="00CC3874">
            <w:pPr>
              <w:jc w:val="both"/>
              <w:rPr>
                <w:b/>
              </w:rPr>
            </w:pPr>
            <w:r w:rsidRPr="00A2410D">
              <w:rPr>
                <w:b/>
              </w:rPr>
              <w:t>Rentabilidade sobre o ativo</w:t>
            </w:r>
          </w:p>
        </w:tc>
        <w:tc>
          <w:tcPr>
            <w:tcW w:w="4026" w:type="dxa"/>
          </w:tcPr>
          <w:p w14:paraId="40E88D04" w14:textId="77777777" w:rsidR="00636682" w:rsidRPr="00A2410D" w:rsidRDefault="00636682" w:rsidP="00CC3874">
            <w:pPr>
              <w:jc w:val="both"/>
            </w:pPr>
            <w:r w:rsidRPr="00A2410D">
              <w:t>Lucro líquido / Ativo Total</w:t>
            </w:r>
          </w:p>
        </w:tc>
        <w:tc>
          <w:tcPr>
            <w:tcW w:w="1524" w:type="dxa"/>
          </w:tcPr>
          <w:p w14:paraId="3476B343" w14:textId="77777777" w:rsidR="00636682" w:rsidRPr="00A2410D" w:rsidRDefault="00636682" w:rsidP="00CC3874">
            <w:pPr>
              <w:jc w:val="center"/>
            </w:pPr>
            <w:r w:rsidRPr="00A2410D">
              <w:t>(+)</w:t>
            </w:r>
          </w:p>
        </w:tc>
      </w:tr>
    </w:tbl>
    <w:p w14:paraId="36BEAA98" w14:textId="77777777" w:rsidR="00636682" w:rsidRDefault="00636682" w:rsidP="00636682">
      <w:pPr>
        <w:rPr>
          <w:b/>
        </w:rPr>
      </w:pPr>
      <w:r w:rsidRPr="00993FE6">
        <w:rPr>
          <w:b/>
        </w:rPr>
        <w:t>Figura 2. Descrição das variáveis e resultado esperado</w:t>
      </w:r>
    </w:p>
    <w:p w14:paraId="4BA353EC" w14:textId="77777777" w:rsidR="00636682" w:rsidRPr="00993FE6" w:rsidRDefault="00636682" w:rsidP="00636682">
      <w:r w:rsidRPr="00993FE6">
        <w:t>Fonte: elaboração própria.</w:t>
      </w:r>
    </w:p>
    <w:p w14:paraId="53D7623E" w14:textId="77777777" w:rsidR="00636682" w:rsidRPr="00A2410D" w:rsidRDefault="00636682" w:rsidP="00636682">
      <w:pPr>
        <w:autoSpaceDE w:val="0"/>
        <w:autoSpaceDN w:val="0"/>
        <w:adjustRightInd w:val="0"/>
        <w:ind w:firstLine="360"/>
        <w:contextualSpacing/>
        <w:jc w:val="both"/>
        <w:rPr>
          <w:sz w:val="24"/>
          <w:szCs w:val="24"/>
        </w:rPr>
      </w:pPr>
    </w:p>
    <w:p w14:paraId="08E0D8BE" w14:textId="77777777" w:rsidR="00636682" w:rsidRPr="00A2410D" w:rsidRDefault="00636682" w:rsidP="00636682">
      <w:pPr>
        <w:autoSpaceDE w:val="0"/>
        <w:autoSpaceDN w:val="0"/>
        <w:adjustRightInd w:val="0"/>
        <w:ind w:firstLine="360"/>
        <w:contextualSpacing/>
        <w:jc w:val="both"/>
        <w:rPr>
          <w:i/>
          <w:sz w:val="24"/>
          <w:szCs w:val="24"/>
        </w:rPr>
      </w:pPr>
      <w:r w:rsidRPr="00A2410D">
        <w:rPr>
          <w:sz w:val="24"/>
          <w:szCs w:val="24"/>
        </w:rPr>
        <w:t>Com base nestas informações, o modelo de estimação está associado a taxa efetiva de imposto das empesas no ano t, representado pela equação:</w:t>
      </w:r>
    </w:p>
    <w:p w14:paraId="34E799EF" w14:textId="77777777" w:rsidR="00636682" w:rsidRPr="000A1C7A" w:rsidRDefault="00350375" w:rsidP="00636682">
      <w:pPr>
        <w:tabs>
          <w:tab w:val="left" w:pos="1134"/>
          <w:tab w:val="left" w:pos="1418"/>
        </w:tabs>
        <w:ind w:firstLine="709"/>
        <w:jc w:val="both"/>
        <w:rPr>
          <w:i/>
        </w:rPr>
      </w:pPr>
      <m:oMathPara>
        <m:oMath>
          <m:sSub>
            <m:sSubPr>
              <m:ctrlPr>
                <w:rPr>
                  <w:rFonts w:ascii="Cambria Math" w:hAnsi="Cambria Math"/>
                  <w:i/>
                </w:rPr>
              </m:ctrlPr>
            </m:sSubPr>
            <m:e>
              <m:r>
                <w:rPr>
                  <w:rFonts w:ascii="Cambria Math" w:hAnsi="Cambria Math"/>
                </w:rPr>
                <m:t>ETR</m:t>
              </m:r>
            </m:e>
            <m:sub>
              <m:r>
                <w:rPr>
                  <w:rFonts w:ascii="Cambria Math" w:hAnsi="Cambria Math"/>
                </w:rPr>
                <m:t xml:space="preserve">it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sub>
          </m:sSub>
          <m:sSub>
            <m:sSubPr>
              <m:ctrlPr>
                <w:rPr>
                  <w:rFonts w:ascii="Cambria Math" w:hAnsi="Cambria Math"/>
                  <w:i/>
                </w:rPr>
              </m:ctrlPr>
            </m:sSubPr>
            <m:e>
              <m:r>
                <w:rPr>
                  <w:rFonts w:ascii="Cambria Math" w:hAnsi="Cambria Math"/>
                </w:rPr>
                <m:t>TAM</m:t>
              </m:r>
            </m:e>
            <m:sub>
              <m:r>
                <w:rPr>
                  <w:rFonts w:ascii="Cambria Math" w:hAnsi="Cambria Math"/>
                </w:rPr>
                <m:t xml:space="preserve">it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m:rPr>
                  <m:sty m:val="p"/>
                </m:rPr>
                <w:rPr>
                  <w:rFonts w:ascii="Cambria Math" w:hAnsi="Cambria Math"/>
                </w:rPr>
                <m:t>CDIV</m:t>
              </m:r>
            </m:e>
            <m:sub>
              <m:r>
                <w:rPr>
                  <w:rFonts w:ascii="Cambria Math" w:hAnsi="Cambria Math"/>
                </w:rPr>
                <m:t xml:space="preserve">it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m:rPr>
                  <m:sty m:val="p"/>
                </m:rPr>
                <w:rPr>
                  <w:rFonts w:ascii="Cambria Math" w:hAnsi="Cambria Math"/>
                </w:rPr>
                <m:t>ALAV</m:t>
              </m:r>
            </m:e>
            <m:sub>
              <m:r>
                <w:rPr>
                  <w:rFonts w:ascii="Cambria Math" w:hAnsi="Cambria Math"/>
                </w:rPr>
                <m:t xml:space="preserve">it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 4</m:t>
              </m:r>
            </m:sub>
          </m:sSub>
          <m:sSub>
            <m:sSubPr>
              <m:ctrlPr>
                <w:rPr>
                  <w:rFonts w:ascii="Cambria Math" w:hAnsi="Cambria Math"/>
                  <w:i/>
                </w:rPr>
              </m:ctrlPr>
            </m:sSubPr>
            <m:e>
              <m:r>
                <m:rPr>
                  <m:sty m:val="p"/>
                </m:rPr>
                <w:rPr>
                  <w:rFonts w:ascii="Cambria Math" w:hAnsi="Cambria Math"/>
                </w:rPr>
                <m:t>DANC</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 5</m:t>
              </m:r>
            </m:sub>
          </m:sSub>
          <m:sSub>
            <m:sSubPr>
              <m:ctrlPr>
                <w:rPr>
                  <w:rFonts w:ascii="Cambria Math" w:hAnsi="Cambria Math"/>
                  <w:i/>
                </w:rPr>
              </m:ctrlPr>
            </m:sSubPr>
            <m:e>
              <m:r>
                <m:rPr>
                  <m:sty m:val="p"/>
                </m:rPr>
                <w:rPr>
                  <w:rFonts w:ascii="Cambria Math" w:hAnsi="Cambria Math"/>
                </w:rPr>
                <m:t>INTC</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m:rPr>
                  <m:sty m:val="p"/>
                </m:rPr>
                <w:rPr>
                  <w:rFonts w:ascii="Cambria Math" w:hAnsi="Cambria Math"/>
                </w:rPr>
                <m:t>ROA</m:t>
              </m:r>
            </m:e>
            <m:sub>
              <m:r>
                <w:rPr>
                  <w:rFonts w:ascii="Cambria Math" w:hAnsi="Cambria Math"/>
                </w:rPr>
                <m:t>it</m:t>
              </m:r>
            </m:sub>
          </m:sSub>
          <m:r>
            <w:rPr>
              <w:rFonts w:ascii="Cambria Math" w:hAnsi="Cambria Math"/>
            </w:rPr>
            <m:t>+ ε        (2)</m:t>
          </m:r>
        </m:oMath>
      </m:oMathPara>
    </w:p>
    <w:p w14:paraId="34094668" w14:textId="77777777" w:rsidR="00636682" w:rsidRPr="0042038B" w:rsidRDefault="00636682" w:rsidP="00636682">
      <w:pPr>
        <w:jc w:val="both"/>
      </w:pPr>
    </w:p>
    <w:p w14:paraId="62DEE2CA" w14:textId="77777777" w:rsidR="00636682" w:rsidRPr="00707342" w:rsidRDefault="00636682" w:rsidP="00636682">
      <w:pPr>
        <w:jc w:val="both"/>
      </w:pPr>
      <w:r w:rsidRPr="00707342">
        <w:t>Onde:</w:t>
      </w:r>
    </w:p>
    <w:p w14:paraId="1BAF4583" w14:textId="77777777" w:rsidR="00636682" w:rsidRPr="000A1C7A" w:rsidRDefault="00636682" w:rsidP="00636682">
      <w:pPr>
        <w:jc w:val="both"/>
      </w:pPr>
      <w:r w:rsidRPr="00A2410D">
        <w:t xml:space="preserve"> </w:t>
      </w:r>
      <m:oMath>
        <m:sSub>
          <m:sSubPr>
            <m:ctrlPr>
              <w:rPr>
                <w:rFonts w:ascii="Cambria Math" w:hAnsi="Cambria Math"/>
                <w:i/>
              </w:rPr>
            </m:ctrlPr>
          </m:sSubPr>
          <m:e>
            <m:r>
              <w:rPr>
                <w:rFonts w:ascii="Cambria Math" w:hAnsi="Cambria Math"/>
              </w:rPr>
              <m:t>ETR</m:t>
            </m:r>
          </m:e>
          <m:sub>
            <m:r>
              <w:rPr>
                <w:rFonts w:ascii="Cambria Math" w:hAnsi="Cambria Math"/>
              </w:rPr>
              <m:t xml:space="preserve">it </m:t>
            </m:r>
          </m:sub>
        </m:sSub>
      </m:oMath>
      <w:r w:rsidRPr="000A1C7A">
        <w:t>, representa a taxa efetiva de imposto;</w:t>
      </w:r>
    </w:p>
    <w:p w14:paraId="2E0A7C2C" w14:textId="77777777" w:rsidR="00636682" w:rsidRPr="000A1C7A" w:rsidRDefault="00350375" w:rsidP="00636682">
      <w:pPr>
        <w:jc w:val="both"/>
      </w:pPr>
      <m:oMath>
        <m:sSub>
          <m:sSubPr>
            <m:ctrlPr>
              <w:rPr>
                <w:rFonts w:ascii="Cambria Math" w:hAnsi="Cambria Math"/>
                <w:i/>
              </w:rPr>
            </m:ctrlPr>
          </m:sSubPr>
          <m:e>
            <m:r>
              <w:rPr>
                <w:rFonts w:ascii="Cambria Math" w:hAnsi="Cambria Math"/>
              </w:rPr>
              <m:t>β</m:t>
            </m:r>
          </m:e>
          <m:sub>
            <m:r>
              <w:rPr>
                <w:rFonts w:ascii="Cambria Math" w:hAnsi="Cambria Math"/>
              </w:rPr>
              <m:t xml:space="preserve">1 </m:t>
            </m:r>
          </m:sub>
        </m:sSub>
        <m:sSub>
          <m:sSubPr>
            <m:ctrlPr>
              <w:rPr>
                <w:rFonts w:ascii="Cambria Math" w:hAnsi="Cambria Math"/>
                <w:i/>
              </w:rPr>
            </m:ctrlPr>
          </m:sSubPr>
          <m:e>
            <m:r>
              <w:rPr>
                <w:rFonts w:ascii="Cambria Math" w:hAnsi="Cambria Math"/>
              </w:rPr>
              <m:t>TAM</m:t>
            </m:r>
          </m:e>
          <m:sub>
            <m:r>
              <w:rPr>
                <w:rFonts w:ascii="Cambria Math" w:hAnsi="Cambria Math"/>
              </w:rPr>
              <m:t xml:space="preserve">it </m:t>
            </m:r>
          </m:sub>
        </m:sSub>
      </m:oMath>
      <w:r w:rsidR="00636682" w:rsidRPr="000A1C7A">
        <w:t>, representa a variável tamanho;</w:t>
      </w:r>
    </w:p>
    <w:p w14:paraId="634A65B2" w14:textId="77777777" w:rsidR="00636682" w:rsidRPr="000A1C7A" w:rsidRDefault="00350375" w:rsidP="00636682">
      <w:pPr>
        <w:jc w:val="both"/>
      </w:pPr>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m:rPr>
                <m:sty m:val="p"/>
              </m:rPr>
              <w:rPr>
                <w:rFonts w:ascii="Cambria Math" w:hAnsi="Cambria Math"/>
              </w:rPr>
              <m:t>CDIV</m:t>
            </m:r>
          </m:e>
          <m:sub>
            <m:r>
              <w:rPr>
                <w:rFonts w:ascii="Cambria Math" w:hAnsi="Cambria Math"/>
              </w:rPr>
              <m:t xml:space="preserve">it </m:t>
            </m:r>
          </m:sub>
        </m:sSub>
      </m:oMath>
      <w:r w:rsidR="00636682" w:rsidRPr="000A1C7A">
        <w:rPr>
          <w:rFonts w:eastAsiaTheme="minorEastAsia"/>
        </w:rPr>
        <w:t>,</w:t>
      </w:r>
      <w:r w:rsidR="00636682" w:rsidRPr="000A1C7A">
        <w:t xml:space="preserve"> representa a variável custo da dívida;</w:t>
      </w:r>
    </w:p>
    <w:p w14:paraId="382C42F8" w14:textId="77777777" w:rsidR="00636682" w:rsidRPr="000A1C7A" w:rsidRDefault="00350375" w:rsidP="00636682">
      <w:pPr>
        <w:jc w:val="both"/>
      </w:pPr>
      <m:oMath>
        <m:sSub>
          <m:sSubPr>
            <m:ctrlPr>
              <w:rPr>
                <w:rFonts w:ascii="Cambria Math" w:hAnsi="Cambria Math"/>
                <w:i/>
              </w:rPr>
            </m:ctrlPr>
          </m:sSubPr>
          <m:e>
            <m:r>
              <w:rPr>
                <w:rFonts w:ascii="Cambria Math" w:hAnsi="Cambria Math"/>
              </w:rPr>
              <m:t>β</m:t>
            </m:r>
          </m:e>
          <m:sub>
            <m:r>
              <w:rPr>
                <w:rFonts w:ascii="Cambria Math" w:hAnsi="Cambria Math"/>
              </w:rPr>
              <m:t xml:space="preserve"> 3</m:t>
            </m:r>
          </m:sub>
        </m:sSub>
        <m:sSub>
          <m:sSubPr>
            <m:ctrlPr>
              <w:rPr>
                <w:rFonts w:ascii="Cambria Math" w:hAnsi="Cambria Math"/>
                <w:i/>
              </w:rPr>
            </m:ctrlPr>
          </m:sSubPr>
          <m:e>
            <m:r>
              <m:rPr>
                <m:sty m:val="p"/>
              </m:rPr>
              <w:rPr>
                <w:rFonts w:ascii="Cambria Math" w:hAnsi="Cambria Math"/>
              </w:rPr>
              <m:t>ALAV</m:t>
            </m:r>
          </m:e>
          <m:sub>
            <m:r>
              <w:rPr>
                <w:rFonts w:ascii="Cambria Math" w:hAnsi="Cambria Math"/>
              </w:rPr>
              <m:t>it</m:t>
            </m:r>
          </m:sub>
        </m:sSub>
      </m:oMath>
      <w:r w:rsidR="00636682" w:rsidRPr="000A1C7A">
        <w:rPr>
          <w:rFonts w:eastAsiaTheme="minorEastAsia"/>
        </w:rPr>
        <w:t>, representa a variável alavancagem</w:t>
      </w:r>
      <w:r w:rsidR="00636682" w:rsidRPr="000A1C7A">
        <w:t>;</w:t>
      </w:r>
    </w:p>
    <w:p w14:paraId="1511EDC0" w14:textId="77777777" w:rsidR="00636682" w:rsidRPr="000A1C7A" w:rsidRDefault="00350375" w:rsidP="00636682">
      <w:pPr>
        <w:jc w:val="both"/>
      </w:pPr>
      <m:oMath>
        <m:sSub>
          <m:sSubPr>
            <m:ctrlPr>
              <w:rPr>
                <w:rFonts w:ascii="Cambria Math" w:hAnsi="Cambria Math"/>
                <w:i/>
              </w:rPr>
            </m:ctrlPr>
          </m:sSubPr>
          <m:e>
            <m:r>
              <w:rPr>
                <w:rFonts w:ascii="Cambria Math" w:hAnsi="Cambria Math"/>
              </w:rPr>
              <m:t>β</m:t>
            </m:r>
          </m:e>
          <m:sub>
            <m:r>
              <w:rPr>
                <w:rFonts w:ascii="Cambria Math" w:hAnsi="Cambria Math"/>
              </w:rPr>
              <m:t xml:space="preserve"> 4</m:t>
            </m:r>
          </m:sub>
        </m:sSub>
        <m:sSub>
          <m:sSubPr>
            <m:ctrlPr>
              <w:rPr>
                <w:rFonts w:ascii="Cambria Math" w:hAnsi="Cambria Math"/>
                <w:i/>
              </w:rPr>
            </m:ctrlPr>
          </m:sSubPr>
          <m:e>
            <m:r>
              <m:rPr>
                <m:sty m:val="p"/>
              </m:rPr>
              <w:rPr>
                <w:rFonts w:ascii="Cambria Math" w:hAnsi="Cambria Math"/>
              </w:rPr>
              <m:t>DANC</m:t>
            </m:r>
          </m:e>
          <m:sub>
            <m:r>
              <w:rPr>
                <w:rFonts w:ascii="Cambria Math" w:hAnsi="Cambria Math"/>
              </w:rPr>
              <m:t>it</m:t>
            </m:r>
          </m:sub>
        </m:sSub>
      </m:oMath>
      <w:r w:rsidR="00636682" w:rsidRPr="000A1C7A">
        <w:rPr>
          <w:rFonts w:eastAsiaTheme="minorEastAsia"/>
        </w:rPr>
        <w:t>, representa a variável depreciação de ativo não circulante</w:t>
      </w:r>
      <w:r w:rsidR="00636682" w:rsidRPr="000A1C7A">
        <w:t>;</w:t>
      </w:r>
    </w:p>
    <w:p w14:paraId="6BDAA76E" w14:textId="77777777" w:rsidR="00636682" w:rsidRPr="000A1C7A" w:rsidRDefault="00350375" w:rsidP="00636682">
      <w:pPr>
        <w:jc w:val="both"/>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 xml:space="preserve"> 5</m:t>
            </m:r>
          </m:sub>
        </m:sSub>
        <m:sSub>
          <m:sSubPr>
            <m:ctrlPr>
              <w:rPr>
                <w:rFonts w:ascii="Cambria Math" w:hAnsi="Cambria Math"/>
                <w:i/>
              </w:rPr>
            </m:ctrlPr>
          </m:sSubPr>
          <m:e>
            <m:r>
              <m:rPr>
                <m:sty m:val="p"/>
              </m:rPr>
              <w:rPr>
                <w:rFonts w:ascii="Cambria Math" w:hAnsi="Cambria Math"/>
              </w:rPr>
              <m:t>INTC</m:t>
            </m:r>
          </m:e>
          <m:sub>
            <m:r>
              <w:rPr>
                <w:rFonts w:ascii="Cambria Math" w:hAnsi="Cambria Math"/>
              </w:rPr>
              <m:t>it</m:t>
            </m:r>
          </m:sub>
        </m:sSub>
      </m:oMath>
      <w:r w:rsidR="00636682" w:rsidRPr="000A1C7A">
        <w:rPr>
          <w:rFonts w:eastAsiaTheme="minorEastAsia"/>
        </w:rPr>
        <w:t>, representa a variável intensidade de capital;</w:t>
      </w:r>
    </w:p>
    <w:p w14:paraId="3E560825" w14:textId="77777777" w:rsidR="00636682" w:rsidRPr="000A1C7A" w:rsidRDefault="00350375" w:rsidP="00636682">
      <w:pPr>
        <w:jc w:val="both"/>
      </w:pPr>
      <m:oMath>
        <m:sSub>
          <m:sSubPr>
            <m:ctrlPr>
              <w:rPr>
                <w:rFonts w:ascii="Cambria Math" w:hAnsi="Cambria Math"/>
                <w:i/>
              </w:rPr>
            </m:ctrlPr>
          </m:sSubPr>
          <m:e>
            <m:r>
              <w:rPr>
                <w:rFonts w:ascii="Cambria Math" w:hAnsi="Cambria Math"/>
              </w:rPr>
              <m:t>β</m:t>
            </m:r>
          </m:e>
          <m:sub>
            <m:r>
              <w:rPr>
                <w:rFonts w:ascii="Cambria Math" w:hAnsi="Cambria Math"/>
              </w:rPr>
              <m:t xml:space="preserve"> 6</m:t>
            </m:r>
          </m:sub>
        </m:sSub>
        <m:sSub>
          <m:sSubPr>
            <m:ctrlPr>
              <w:rPr>
                <w:rFonts w:ascii="Cambria Math" w:hAnsi="Cambria Math"/>
                <w:i/>
              </w:rPr>
            </m:ctrlPr>
          </m:sSubPr>
          <m:e>
            <m:r>
              <m:rPr>
                <m:sty m:val="p"/>
              </m:rPr>
              <w:rPr>
                <w:rFonts w:ascii="Cambria Math" w:hAnsi="Cambria Math"/>
              </w:rPr>
              <m:t>ROA</m:t>
            </m:r>
          </m:e>
          <m:sub>
            <m:r>
              <w:rPr>
                <w:rFonts w:ascii="Cambria Math" w:hAnsi="Cambria Math"/>
              </w:rPr>
              <m:t>it</m:t>
            </m:r>
          </m:sub>
        </m:sSub>
      </m:oMath>
      <w:r w:rsidR="00636682" w:rsidRPr="000A1C7A">
        <w:rPr>
          <w:rFonts w:eastAsiaTheme="minorEastAsia"/>
        </w:rPr>
        <w:t>, representa a variável rentabilidade sobre o ativo e</w:t>
      </w:r>
    </w:p>
    <w:p w14:paraId="05833D8D" w14:textId="77777777" w:rsidR="00636682" w:rsidRDefault="00636682" w:rsidP="00636682">
      <w:pPr>
        <w:jc w:val="both"/>
        <w:rPr>
          <w:rFonts w:eastAsiaTheme="minorEastAsia"/>
        </w:rPr>
      </w:pPr>
      <m:oMath>
        <m:r>
          <w:rPr>
            <w:rFonts w:ascii="Cambria Math" w:hAnsi="Cambria Math"/>
          </w:rPr>
          <m:t>ε</m:t>
        </m:r>
      </m:oMath>
      <w:r w:rsidRPr="0042038B">
        <w:rPr>
          <w:rFonts w:eastAsiaTheme="minorEastAsia"/>
        </w:rPr>
        <w:t>, representa o erro.</w:t>
      </w:r>
    </w:p>
    <w:p w14:paraId="16DCEFFD" w14:textId="77777777" w:rsidR="00636682" w:rsidRPr="0042038B" w:rsidRDefault="00636682" w:rsidP="00636682">
      <w:pPr>
        <w:jc w:val="both"/>
        <w:rPr>
          <w:rFonts w:eastAsiaTheme="minorEastAsia"/>
        </w:rPr>
      </w:pPr>
    </w:p>
    <w:p w14:paraId="34EF855E" w14:textId="12DCBC32" w:rsidR="00636682" w:rsidRPr="0042038B" w:rsidRDefault="00636682" w:rsidP="00636682">
      <w:pPr>
        <w:pStyle w:val="Ttulo1"/>
        <w:spacing w:before="0" w:line="240" w:lineRule="auto"/>
        <w:rPr>
          <w:rFonts w:ascii="Times New Roman" w:hAnsi="Times New Roman" w:cs="Times New Roman"/>
          <w:b/>
          <w:color w:val="auto"/>
          <w:sz w:val="24"/>
          <w:szCs w:val="24"/>
        </w:rPr>
      </w:pPr>
      <w:r w:rsidRPr="0042038B">
        <w:rPr>
          <w:rFonts w:ascii="Times New Roman" w:hAnsi="Times New Roman" w:cs="Times New Roman"/>
          <w:b/>
          <w:color w:val="auto"/>
          <w:sz w:val="24"/>
          <w:szCs w:val="24"/>
        </w:rPr>
        <w:lastRenderedPageBreak/>
        <w:t xml:space="preserve">4 </w:t>
      </w:r>
      <w:r w:rsidR="00EA4940">
        <w:rPr>
          <w:rFonts w:ascii="Times New Roman" w:hAnsi="Times New Roman" w:cs="Times New Roman"/>
          <w:b/>
          <w:color w:val="auto"/>
          <w:sz w:val="24"/>
          <w:szCs w:val="24"/>
        </w:rPr>
        <w:t>Análise</w:t>
      </w:r>
      <w:r w:rsidR="00EA4940" w:rsidRPr="0042038B">
        <w:rPr>
          <w:rFonts w:ascii="Times New Roman" w:hAnsi="Times New Roman" w:cs="Times New Roman"/>
          <w:b/>
          <w:color w:val="auto"/>
          <w:sz w:val="24"/>
          <w:szCs w:val="24"/>
        </w:rPr>
        <w:t xml:space="preserve"> </w:t>
      </w:r>
      <w:r w:rsidR="00EA4940">
        <w:rPr>
          <w:rFonts w:ascii="Times New Roman" w:hAnsi="Times New Roman" w:cs="Times New Roman"/>
          <w:b/>
          <w:color w:val="auto"/>
          <w:sz w:val="24"/>
          <w:szCs w:val="24"/>
        </w:rPr>
        <w:t>d</w:t>
      </w:r>
      <w:r w:rsidR="00EA4940" w:rsidRPr="0042038B">
        <w:rPr>
          <w:rFonts w:ascii="Times New Roman" w:hAnsi="Times New Roman" w:cs="Times New Roman"/>
          <w:b/>
          <w:color w:val="auto"/>
          <w:sz w:val="24"/>
          <w:szCs w:val="24"/>
        </w:rPr>
        <w:t>os Dados</w:t>
      </w:r>
    </w:p>
    <w:p w14:paraId="63DC336C" w14:textId="77777777" w:rsidR="00636682" w:rsidRPr="00993FE6" w:rsidRDefault="00636682" w:rsidP="00636682">
      <w:pPr>
        <w:pStyle w:val="Ttulo1"/>
        <w:spacing w:before="0" w:line="240" w:lineRule="auto"/>
        <w:rPr>
          <w:rFonts w:ascii="Times New Roman" w:hAnsi="Times New Roman" w:cs="Times New Roman"/>
          <w:b/>
          <w:color w:val="auto"/>
          <w:sz w:val="24"/>
          <w:szCs w:val="24"/>
        </w:rPr>
      </w:pPr>
      <w:r w:rsidRPr="0042038B">
        <w:rPr>
          <w:rFonts w:ascii="Times New Roman" w:hAnsi="Times New Roman" w:cs="Times New Roman"/>
          <w:b/>
          <w:color w:val="auto"/>
          <w:sz w:val="24"/>
          <w:szCs w:val="24"/>
        </w:rPr>
        <w:t>4.1 Estatística descritiva</w:t>
      </w:r>
    </w:p>
    <w:p w14:paraId="11ADB2FE" w14:textId="0012B462" w:rsidR="00636682" w:rsidRPr="000A1C7A" w:rsidRDefault="00DB1C59" w:rsidP="00DB1C59">
      <w:pPr>
        <w:ind w:firstLine="567"/>
        <w:jc w:val="both"/>
        <w:rPr>
          <w:sz w:val="24"/>
          <w:szCs w:val="24"/>
        </w:rPr>
      </w:pPr>
      <w:r>
        <w:rPr>
          <w:sz w:val="24"/>
          <w:szCs w:val="24"/>
        </w:rPr>
        <w:t>I</w:t>
      </w:r>
      <w:r w:rsidR="00636682" w:rsidRPr="0042038B">
        <w:rPr>
          <w:sz w:val="24"/>
          <w:szCs w:val="24"/>
        </w:rPr>
        <w:t>nicialmente verificou-se a estatística descritiva dos dados</w:t>
      </w:r>
      <w:r>
        <w:rPr>
          <w:sz w:val="24"/>
          <w:szCs w:val="24"/>
        </w:rPr>
        <w:t xml:space="preserve">, conforme mostra a </w:t>
      </w:r>
      <w:r w:rsidR="00636682" w:rsidRPr="0042038B">
        <w:rPr>
          <w:sz w:val="24"/>
          <w:szCs w:val="24"/>
        </w:rPr>
        <w:t xml:space="preserve">Tabela </w:t>
      </w:r>
      <w:r>
        <w:rPr>
          <w:sz w:val="24"/>
          <w:szCs w:val="24"/>
        </w:rPr>
        <w:t>2.</w:t>
      </w:r>
    </w:p>
    <w:p w14:paraId="4FB87E4F" w14:textId="77777777" w:rsidR="00636682" w:rsidRPr="0042038B" w:rsidRDefault="00636682" w:rsidP="00636682">
      <w:pPr>
        <w:jc w:val="both"/>
        <w:rPr>
          <w:sz w:val="24"/>
          <w:szCs w:val="24"/>
        </w:rPr>
      </w:pPr>
    </w:p>
    <w:p w14:paraId="73D273D7" w14:textId="77777777" w:rsidR="00636682" w:rsidRPr="00707342" w:rsidRDefault="00636682" w:rsidP="00636682">
      <w:pPr>
        <w:jc w:val="both"/>
        <w:rPr>
          <w:b/>
        </w:rPr>
      </w:pPr>
      <w:r w:rsidRPr="00707342">
        <w:rPr>
          <w:b/>
        </w:rPr>
        <w:t>Tabela 2 - Estatística descritiva da ETR</w:t>
      </w:r>
    </w:p>
    <w:tbl>
      <w:tblPr>
        <w:tblStyle w:val="TabelaSimples2"/>
        <w:tblW w:w="8931" w:type="dxa"/>
        <w:jc w:val="center"/>
        <w:tblLook w:val="04A0" w:firstRow="1" w:lastRow="0" w:firstColumn="1" w:lastColumn="0" w:noHBand="0" w:noVBand="1"/>
      </w:tblPr>
      <w:tblGrid>
        <w:gridCol w:w="1843"/>
        <w:gridCol w:w="709"/>
        <w:gridCol w:w="1701"/>
        <w:gridCol w:w="1276"/>
        <w:gridCol w:w="1701"/>
        <w:gridCol w:w="1701"/>
      </w:tblGrid>
      <w:tr w:rsidR="0056133E" w:rsidRPr="00A2410D" w14:paraId="16E533B6" w14:textId="77777777" w:rsidTr="004B193F">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8" w:space="0" w:color="auto"/>
            </w:tcBorders>
            <w:noWrap/>
            <w:vAlign w:val="center"/>
            <w:hideMark/>
          </w:tcPr>
          <w:p w14:paraId="6BB2E275" w14:textId="3A7EF2A3" w:rsidR="0056133E" w:rsidRPr="00A2410D" w:rsidRDefault="0056133E" w:rsidP="00CC3874">
            <w:pPr>
              <w:jc w:val="center"/>
            </w:pPr>
            <w:r>
              <w:t>Ano</w:t>
            </w:r>
          </w:p>
        </w:tc>
        <w:tc>
          <w:tcPr>
            <w:tcW w:w="709" w:type="dxa"/>
            <w:tcBorders>
              <w:top w:val="single" w:sz="12" w:space="0" w:color="auto"/>
              <w:bottom w:val="single" w:sz="8" w:space="0" w:color="auto"/>
            </w:tcBorders>
            <w:vAlign w:val="center"/>
          </w:tcPr>
          <w:p w14:paraId="48A69D50" w14:textId="77777777" w:rsidR="0056133E" w:rsidRPr="00993FE6" w:rsidRDefault="0056133E" w:rsidP="00CC3874">
            <w:pPr>
              <w:jc w:val="center"/>
              <w:cnfStyle w:val="100000000000" w:firstRow="1" w:lastRow="0" w:firstColumn="0" w:lastColumn="0" w:oddVBand="0" w:evenVBand="0" w:oddHBand="0" w:evenHBand="0" w:firstRowFirstColumn="0" w:firstRowLastColumn="0" w:lastRowFirstColumn="0" w:lastRowLastColumn="0"/>
            </w:pPr>
            <w:r w:rsidRPr="00993FE6">
              <w:t>N</w:t>
            </w:r>
          </w:p>
        </w:tc>
        <w:tc>
          <w:tcPr>
            <w:tcW w:w="1701" w:type="dxa"/>
            <w:tcBorders>
              <w:top w:val="single" w:sz="12" w:space="0" w:color="auto"/>
              <w:bottom w:val="single" w:sz="8" w:space="0" w:color="auto"/>
            </w:tcBorders>
            <w:noWrap/>
            <w:vAlign w:val="center"/>
            <w:hideMark/>
          </w:tcPr>
          <w:p w14:paraId="3AEDD4D0" w14:textId="77777777" w:rsidR="0056133E" w:rsidRPr="00993FE6" w:rsidRDefault="0056133E" w:rsidP="00CC3874">
            <w:pPr>
              <w:jc w:val="center"/>
              <w:cnfStyle w:val="100000000000" w:firstRow="1" w:lastRow="0" w:firstColumn="0" w:lastColumn="0" w:oddVBand="0" w:evenVBand="0" w:oddHBand="0" w:evenHBand="0" w:firstRowFirstColumn="0" w:firstRowLastColumn="0" w:lastRowFirstColumn="0" w:lastRowLastColumn="0"/>
            </w:pPr>
            <w:r w:rsidRPr="00993FE6">
              <w:t>Média</w:t>
            </w:r>
          </w:p>
        </w:tc>
        <w:tc>
          <w:tcPr>
            <w:tcW w:w="1276" w:type="dxa"/>
            <w:tcBorders>
              <w:top w:val="single" w:sz="12" w:space="0" w:color="auto"/>
              <w:bottom w:val="single" w:sz="8" w:space="0" w:color="auto"/>
            </w:tcBorders>
            <w:noWrap/>
            <w:vAlign w:val="center"/>
            <w:hideMark/>
          </w:tcPr>
          <w:p w14:paraId="510A05BB" w14:textId="77777777" w:rsidR="0056133E" w:rsidRPr="00993FE6" w:rsidRDefault="0056133E" w:rsidP="00CC3874">
            <w:pPr>
              <w:jc w:val="center"/>
              <w:cnfStyle w:val="100000000000" w:firstRow="1" w:lastRow="0" w:firstColumn="0" w:lastColumn="0" w:oddVBand="0" w:evenVBand="0" w:oddHBand="0" w:evenHBand="0" w:firstRowFirstColumn="0" w:firstRowLastColumn="0" w:lastRowFirstColumn="0" w:lastRowLastColumn="0"/>
            </w:pPr>
            <w:r w:rsidRPr="00993FE6">
              <w:t>Mediana</w:t>
            </w:r>
          </w:p>
        </w:tc>
        <w:tc>
          <w:tcPr>
            <w:tcW w:w="1701" w:type="dxa"/>
            <w:tcBorders>
              <w:top w:val="single" w:sz="12" w:space="0" w:color="auto"/>
              <w:bottom w:val="single" w:sz="8" w:space="0" w:color="auto"/>
            </w:tcBorders>
            <w:noWrap/>
            <w:vAlign w:val="center"/>
            <w:hideMark/>
          </w:tcPr>
          <w:p w14:paraId="4B05B51A" w14:textId="77777777" w:rsidR="0056133E" w:rsidRPr="00993FE6" w:rsidRDefault="0056133E" w:rsidP="00CC3874">
            <w:pPr>
              <w:jc w:val="center"/>
              <w:cnfStyle w:val="100000000000" w:firstRow="1" w:lastRow="0" w:firstColumn="0" w:lastColumn="0" w:oddVBand="0" w:evenVBand="0" w:oddHBand="0" w:evenHBand="0" w:firstRowFirstColumn="0" w:firstRowLastColumn="0" w:lastRowFirstColumn="0" w:lastRowLastColumn="0"/>
            </w:pPr>
            <w:r w:rsidRPr="00993FE6">
              <w:t>Máximo</w:t>
            </w:r>
          </w:p>
        </w:tc>
        <w:tc>
          <w:tcPr>
            <w:tcW w:w="1701" w:type="dxa"/>
            <w:tcBorders>
              <w:top w:val="single" w:sz="12" w:space="0" w:color="auto"/>
              <w:bottom w:val="single" w:sz="8" w:space="0" w:color="auto"/>
            </w:tcBorders>
            <w:noWrap/>
            <w:vAlign w:val="center"/>
            <w:hideMark/>
          </w:tcPr>
          <w:p w14:paraId="350188AD" w14:textId="77777777" w:rsidR="0056133E" w:rsidRPr="00993FE6" w:rsidRDefault="0056133E" w:rsidP="00CC3874">
            <w:pPr>
              <w:jc w:val="center"/>
              <w:cnfStyle w:val="100000000000" w:firstRow="1" w:lastRow="0" w:firstColumn="0" w:lastColumn="0" w:oddVBand="0" w:evenVBand="0" w:oddHBand="0" w:evenHBand="0" w:firstRowFirstColumn="0" w:firstRowLastColumn="0" w:lastRowFirstColumn="0" w:lastRowLastColumn="0"/>
            </w:pPr>
            <w:r w:rsidRPr="00993FE6">
              <w:t>Desvio Padrão</w:t>
            </w:r>
          </w:p>
        </w:tc>
      </w:tr>
      <w:tr w:rsidR="0056133E" w:rsidRPr="00A2410D" w14:paraId="13F0CFDE" w14:textId="77777777" w:rsidTr="004B193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auto"/>
              <w:bottom w:val="nil"/>
            </w:tcBorders>
            <w:noWrap/>
            <w:hideMark/>
          </w:tcPr>
          <w:p w14:paraId="71FD7EF1" w14:textId="77777777" w:rsidR="0056133E" w:rsidRPr="00993FE6" w:rsidRDefault="0056133E" w:rsidP="00CC3874">
            <w:pPr>
              <w:jc w:val="center"/>
            </w:pPr>
            <w:r w:rsidRPr="00993FE6">
              <w:t>2010</w:t>
            </w:r>
          </w:p>
        </w:tc>
        <w:tc>
          <w:tcPr>
            <w:tcW w:w="709" w:type="dxa"/>
            <w:tcBorders>
              <w:top w:val="single" w:sz="8" w:space="0" w:color="auto"/>
              <w:bottom w:val="nil"/>
            </w:tcBorders>
          </w:tcPr>
          <w:p w14:paraId="24FBDBBD"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151</w:t>
            </w:r>
          </w:p>
        </w:tc>
        <w:tc>
          <w:tcPr>
            <w:tcW w:w="1701" w:type="dxa"/>
            <w:tcBorders>
              <w:top w:val="single" w:sz="8" w:space="0" w:color="auto"/>
              <w:bottom w:val="nil"/>
            </w:tcBorders>
            <w:noWrap/>
            <w:hideMark/>
          </w:tcPr>
          <w:p w14:paraId="6D29A29F"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0,210850</w:t>
            </w:r>
          </w:p>
        </w:tc>
        <w:tc>
          <w:tcPr>
            <w:tcW w:w="1276" w:type="dxa"/>
            <w:tcBorders>
              <w:top w:val="single" w:sz="8" w:space="0" w:color="auto"/>
              <w:bottom w:val="nil"/>
            </w:tcBorders>
            <w:noWrap/>
            <w:hideMark/>
          </w:tcPr>
          <w:p w14:paraId="71509A1B"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0,200975</w:t>
            </w:r>
          </w:p>
        </w:tc>
        <w:tc>
          <w:tcPr>
            <w:tcW w:w="1701" w:type="dxa"/>
            <w:tcBorders>
              <w:top w:val="single" w:sz="8" w:space="0" w:color="auto"/>
              <w:bottom w:val="nil"/>
            </w:tcBorders>
            <w:noWrap/>
            <w:hideMark/>
          </w:tcPr>
          <w:p w14:paraId="5607A199"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0,892485</w:t>
            </w:r>
          </w:p>
        </w:tc>
        <w:tc>
          <w:tcPr>
            <w:tcW w:w="1701" w:type="dxa"/>
            <w:tcBorders>
              <w:top w:val="single" w:sz="8" w:space="0" w:color="auto"/>
              <w:bottom w:val="nil"/>
            </w:tcBorders>
            <w:noWrap/>
            <w:hideMark/>
          </w:tcPr>
          <w:p w14:paraId="7DCF4757"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0,133571</w:t>
            </w:r>
          </w:p>
        </w:tc>
      </w:tr>
      <w:tr w:rsidR="0056133E" w:rsidRPr="00A2410D" w14:paraId="3C22B0E0" w14:textId="77777777" w:rsidTr="004B193F">
        <w:trPr>
          <w:trHeight w:val="255"/>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noWrap/>
            <w:hideMark/>
          </w:tcPr>
          <w:p w14:paraId="1863237C" w14:textId="77777777" w:rsidR="0056133E" w:rsidRPr="00993FE6" w:rsidRDefault="0056133E" w:rsidP="00CC3874">
            <w:pPr>
              <w:jc w:val="center"/>
            </w:pPr>
            <w:r w:rsidRPr="00993FE6">
              <w:t>2011</w:t>
            </w:r>
          </w:p>
        </w:tc>
        <w:tc>
          <w:tcPr>
            <w:tcW w:w="709" w:type="dxa"/>
            <w:tcBorders>
              <w:top w:val="nil"/>
              <w:bottom w:val="nil"/>
            </w:tcBorders>
          </w:tcPr>
          <w:p w14:paraId="2E55097D"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146</w:t>
            </w:r>
          </w:p>
        </w:tc>
        <w:tc>
          <w:tcPr>
            <w:tcW w:w="1701" w:type="dxa"/>
            <w:tcBorders>
              <w:top w:val="nil"/>
              <w:bottom w:val="nil"/>
            </w:tcBorders>
            <w:noWrap/>
            <w:hideMark/>
          </w:tcPr>
          <w:p w14:paraId="0F59D828"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0,234538</w:t>
            </w:r>
          </w:p>
        </w:tc>
        <w:tc>
          <w:tcPr>
            <w:tcW w:w="1276" w:type="dxa"/>
            <w:tcBorders>
              <w:top w:val="nil"/>
              <w:bottom w:val="nil"/>
            </w:tcBorders>
            <w:noWrap/>
            <w:hideMark/>
          </w:tcPr>
          <w:p w14:paraId="04C61E8C"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0,227059</w:t>
            </w:r>
          </w:p>
        </w:tc>
        <w:tc>
          <w:tcPr>
            <w:tcW w:w="1701" w:type="dxa"/>
            <w:tcBorders>
              <w:top w:val="nil"/>
              <w:bottom w:val="nil"/>
            </w:tcBorders>
            <w:noWrap/>
            <w:hideMark/>
          </w:tcPr>
          <w:p w14:paraId="5BD7B92C"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0,921551</w:t>
            </w:r>
          </w:p>
        </w:tc>
        <w:tc>
          <w:tcPr>
            <w:tcW w:w="1701" w:type="dxa"/>
            <w:tcBorders>
              <w:top w:val="nil"/>
              <w:bottom w:val="nil"/>
            </w:tcBorders>
            <w:noWrap/>
            <w:hideMark/>
          </w:tcPr>
          <w:p w14:paraId="7DE7AE9D"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0,159165</w:t>
            </w:r>
          </w:p>
        </w:tc>
      </w:tr>
      <w:tr w:rsidR="0056133E" w:rsidRPr="00A2410D" w14:paraId="179F6C2B" w14:textId="77777777" w:rsidTr="004B193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noWrap/>
            <w:hideMark/>
          </w:tcPr>
          <w:p w14:paraId="19E85453" w14:textId="77777777" w:rsidR="0056133E" w:rsidRPr="00993FE6" w:rsidRDefault="0056133E" w:rsidP="00CC3874">
            <w:pPr>
              <w:jc w:val="center"/>
            </w:pPr>
            <w:r w:rsidRPr="00993FE6">
              <w:t>2012</w:t>
            </w:r>
          </w:p>
        </w:tc>
        <w:tc>
          <w:tcPr>
            <w:tcW w:w="709" w:type="dxa"/>
            <w:tcBorders>
              <w:top w:val="nil"/>
              <w:bottom w:val="nil"/>
            </w:tcBorders>
          </w:tcPr>
          <w:p w14:paraId="00F7AA8E"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143</w:t>
            </w:r>
          </w:p>
        </w:tc>
        <w:tc>
          <w:tcPr>
            <w:tcW w:w="1701" w:type="dxa"/>
            <w:tcBorders>
              <w:top w:val="nil"/>
              <w:bottom w:val="nil"/>
            </w:tcBorders>
            <w:noWrap/>
            <w:hideMark/>
          </w:tcPr>
          <w:p w14:paraId="3856B81E"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0,265033</w:t>
            </w:r>
          </w:p>
        </w:tc>
        <w:tc>
          <w:tcPr>
            <w:tcW w:w="1276" w:type="dxa"/>
            <w:tcBorders>
              <w:top w:val="nil"/>
              <w:bottom w:val="nil"/>
            </w:tcBorders>
            <w:noWrap/>
            <w:hideMark/>
          </w:tcPr>
          <w:p w14:paraId="71E22905"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0,235307</w:t>
            </w:r>
          </w:p>
        </w:tc>
        <w:tc>
          <w:tcPr>
            <w:tcW w:w="1701" w:type="dxa"/>
            <w:tcBorders>
              <w:top w:val="nil"/>
              <w:bottom w:val="nil"/>
            </w:tcBorders>
            <w:noWrap/>
            <w:hideMark/>
          </w:tcPr>
          <w:p w14:paraId="6FCE8BBE"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0,978355</w:t>
            </w:r>
          </w:p>
        </w:tc>
        <w:tc>
          <w:tcPr>
            <w:tcW w:w="1701" w:type="dxa"/>
            <w:tcBorders>
              <w:top w:val="nil"/>
              <w:bottom w:val="nil"/>
            </w:tcBorders>
            <w:noWrap/>
            <w:hideMark/>
          </w:tcPr>
          <w:p w14:paraId="61D3DBAD"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0,199549</w:t>
            </w:r>
          </w:p>
        </w:tc>
      </w:tr>
      <w:tr w:rsidR="0056133E" w:rsidRPr="00A2410D" w14:paraId="60997375" w14:textId="77777777" w:rsidTr="004B193F">
        <w:trPr>
          <w:trHeight w:val="255"/>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noWrap/>
            <w:hideMark/>
          </w:tcPr>
          <w:p w14:paraId="5A056BCF" w14:textId="77777777" w:rsidR="0056133E" w:rsidRPr="00993FE6" w:rsidRDefault="0056133E" w:rsidP="00CC3874">
            <w:pPr>
              <w:jc w:val="center"/>
            </w:pPr>
            <w:r w:rsidRPr="00993FE6">
              <w:t>2013</w:t>
            </w:r>
          </w:p>
        </w:tc>
        <w:tc>
          <w:tcPr>
            <w:tcW w:w="709" w:type="dxa"/>
            <w:tcBorders>
              <w:top w:val="nil"/>
              <w:bottom w:val="nil"/>
            </w:tcBorders>
          </w:tcPr>
          <w:p w14:paraId="1D05DB43"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151</w:t>
            </w:r>
          </w:p>
        </w:tc>
        <w:tc>
          <w:tcPr>
            <w:tcW w:w="1701" w:type="dxa"/>
            <w:tcBorders>
              <w:top w:val="nil"/>
              <w:bottom w:val="nil"/>
            </w:tcBorders>
            <w:noWrap/>
            <w:hideMark/>
          </w:tcPr>
          <w:p w14:paraId="04B964DF"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0,226516</w:t>
            </w:r>
          </w:p>
        </w:tc>
        <w:tc>
          <w:tcPr>
            <w:tcW w:w="1276" w:type="dxa"/>
            <w:tcBorders>
              <w:top w:val="nil"/>
              <w:bottom w:val="nil"/>
            </w:tcBorders>
            <w:noWrap/>
            <w:hideMark/>
          </w:tcPr>
          <w:p w14:paraId="575F7615"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0,219450</w:t>
            </w:r>
          </w:p>
        </w:tc>
        <w:tc>
          <w:tcPr>
            <w:tcW w:w="1701" w:type="dxa"/>
            <w:tcBorders>
              <w:top w:val="nil"/>
              <w:bottom w:val="nil"/>
            </w:tcBorders>
            <w:noWrap/>
            <w:hideMark/>
          </w:tcPr>
          <w:p w14:paraId="70C294C4"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0,938729</w:t>
            </w:r>
          </w:p>
        </w:tc>
        <w:tc>
          <w:tcPr>
            <w:tcW w:w="1701" w:type="dxa"/>
            <w:tcBorders>
              <w:top w:val="nil"/>
              <w:bottom w:val="nil"/>
            </w:tcBorders>
            <w:noWrap/>
            <w:hideMark/>
          </w:tcPr>
          <w:p w14:paraId="73D229C6"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0,171926</w:t>
            </w:r>
          </w:p>
        </w:tc>
      </w:tr>
      <w:tr w:rsidR="0056133E" w:rsidRPr="00A2410D" w14:paraId="633C20C0" w14:textId="77777777" w:rsidTr="004B193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noWrap/>
            <w:hideMark/>
          </w:tcPr>
          <w:p w14:paraId="79EF4A4F" w14:textId="77777777" w:rsidR="0056133E" w:rsidRPr="00993FE6" w:rsidRDefault="0056133E" w:rsidP="00CC3874">
            <w:pPr>
              <w:jc w:val="center"/>
            </w:pPr>
            <w:r w:rsidRPr="00993FE6">
              <w:t>2014</w:t>
            </w:r>
          </w:p>
        </w:tc>
        <w:tc>
          <w:tcPr>
            <w:tcW w:w="709" w:type="dxa"/>
            <w:tcBorders>
              <w:top w:val="nil"/>
              <w:bottom w:val="nil"/>
            </w:tcBorders>
          </w:tcPr>
          <w:p w14:paraId="6C02ADBC"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144</w:t>
            </w:r>
          </w:p>
        </w:tc>
        <w:tc>
          <w:tcPr>
            <w:tcW w:w="1701" w:type="dxa"/>
            <w:tcBorders>
              <w:top w:val="nil"/>
              <w:bottom w:val="nil"/>
            </w:tcBorders>
            <w:noWrap/>
            <w:hideMark/>
          </w:tcPr>
          <w:p w14:paraId="3DCFFB02"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0,229542</w:t>
            </w:r>
          </w:p>
        </w:tc>
        <w:tc>
          <w:tcPr>
            <w:tcW w:w="1276" w:type="dxa"/>
            <w:tcBorders>
              <w:top w:val="nil"/>
              <w:bottom w:val="nil"/>
            </w:tcBorders>
            <w:noWrap/>
            <w:hideMark/>
          </w:tcPr>
          <w:p w14:paraId="6EDD635A"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0,203146</w:t>
            </w:r>
          </w:p>
        </w:tc>
        <w:tc>
          <w:tcPr>
            <w:tcW w:w="1701" w:type="dxa"/>
            <w:tcBorders>
              <w:top w:val="nil"/>
              <w:bottom w:val="nil"/>
            </w:tcBorders>
            <w:noWrap/>
            <w:hideMark/>
          </w:tcPr>
          <w:p w14:paraId="3893E4C1"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0,929508</w:t>
            </w:r>
          </w:p>
        </w:tc>
        <w:tc>
          <w:tcPr>
            <w:tcW w:w="1701" w:type="dxa"/>
            <w:tcBorders>
              <w:top w:val="nil"/>
              <w:bottom w:val="nil"/>
            </w:tcBorders>
            <w:noWrap/>
            <w:hideMark/>
          </w:tcPr>
          <w:p w14:paraId="1CBB947C"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0,177799</w:t>
            </w:r>
          </w:p>
        </w:tc>
      </w:tr>
      <w:tr w:rsidR="0056133E" w:rsidRPr="00A2410D" w14:paraId="47F0121C" w14:textId="77777777" w:rsidTr="004B193F">
        <w:trPr>
          <w:trHeight w:val="255"/>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noWrap/>
            <w:hideMark/>
          </w:tcPr>
          <w:p w14:paraId="14C15F70" w14:textId="77777777" w:rsidR="0056133E" w:rsidRPr="00993FE6" w:rsidRDefault="0056133E" w:rsidP="00CC3874">
            <w:pPr>
              <w:jc w:val="center"/>
            </w:pPr>
            <w:r w:rsidRPr="00993FE6">
              <w:t>2015</w:t>
            </w:r>
          </w:p>
        </w:tc>
        <w:tc>
          <w:tcPr>
            <w:tcW w:w="709" w:type="dxa"/>
            <w:tcBorders>
              <w:top w:val="nil"/>
              <w:bottom w:val="nil"/>
            </w:tcBorders>
          </w:tcPr>
          <w:p w14:paraId="5976FE90"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124</w:t>
            </w:r>
          </w:p>
        </w:tc>
        <w:tc>
          <w:tcPr>
            <w:tcW w:w="1701" w:type="dxa"/>
            <w:tcBorders>
              <w:top w:val="nil"/>
              <w:bottom w:val="nil"/>
            </w:tcBorders>
            <w:noWrap/>
            <w:hideMark/>
          </w:tcPr>
          <w:p w14:paraId="4510C0F7"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0,229542</w:t>
            </w:r>
          </w:p>
        </w:tc>
        <w:tc>
          <w:tcPr>
            <w:tcW w:w="1276" w:type="dxa"/>
            <w:tcBorders>
              <w:top w:val="nil"/>
              <w:bottom w:val="nil"/>
            </w:tcBorders>
            <w:noWrap/>
            <w:hideMark/>
          </w:tcPr>
          <w:p w14:paraId="2EC797BA"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0,203146</w:t>
            </w:r>
          </w:p>
        </w:tc>
        <w:tc>
          <w:tcPr>
            <w:tcW w:w="1701" w:type="dxa"/>
            <w:tcBorders>
              <w:top w:val="nil"/>
              <w:bottom w:val="nil"/>
            </w:tcBorders>
            <w:noWrap/>
            <w:hideMark/>
          </w:tcPr>
          <w:p w14:paraId="405DCB09"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0,965057</w:t>
            </w:r>
          </w:p>
        </w:tc>
        <w:tc>
          <w:tcPr>
            <w:tcW w:w="1701" w:type="dxa"/>
            <w:tcBorders>
              <w:top w:val="nil"/>
              <w:bottom w:val="nil"/>
            </w:tcBorders>
            <w:noWrap/>
            <w:hideMark/>
          </w:tcPr>
          <w:p w14:paraId="6942EFA2"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0,217759</w:t>
            </w:r>
          </w:p>
        </w:tc>
      </w:tr>
      <w:tr w:rsidR="0056133E" w:rsidRPr="00A2410D" w14:paraId="6C6DD0A9" w14:textId="77777777" w:rsidTr="004B193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noWrap/>
            <w:hideMark/>
          </w:tcPr>
          <w:p w14:paraId="5FF3AA77" w14:textId="77777777" w:rsidR="0056133E" w:rsidRPr="00993FE6" w:rsidRDefault="0056133E" w:rsidP="00CC3874">
            <w:pPr>
              <w:jc w:val="center"/>
            </w:pPr>
            <w:r w:rsidRPr="00993FE6">
              <w:t>2016</w:t>
            </w:r>
          </w:p>
        </w:tc>
        <w:tc>
          <w:tcPr>
            <w:tcW w:w="709" w:type="dxa"/>
            <w:tcBorders>
              <w:top w:val="nil"/>
              <w:bottom w:val="nil"/>
            </w:tcBorders>
          </w:tcPr>
          <w:p w14:paraId="21DF7F75"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121</w:t>
            </w:r>
          </w:p>
        </w:tc>
        <w:tc>
          <w:tcPr>
            <w:tcW w:w="1701" w:type="dxa"/>
            <w:tcBorders>
              <w:top w:val="nil"/>
              <w:bottom w:val="nil"/>
            </w:tcBorders>
            <w:noWrap/>
            <w:hideMark/>
          </w:tcPr>
          <w:p w14:paraId="16297862"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0,250414</w:t>
            </w:r>
          </w:p>
        </w:tc>
        <w:tc>
          <w:tcPr>
            <w:tcW w:w="1276" w:type="dxa"/>
            <w:tcBorders>
              <w:top w:val="nil"/>
              <w:bottom w:val="nil"/>
            </w:tcBorders>
            <w:noWrap/>
            <w:hideMark/>
          </w:tcPr>
          <w:p w14:paraId="4FFC0903"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0,207567</w:t>
            </w:r>
          </w:p>
        </w:tc>
        <w:tc>
          <w:tcPr>
            <w:tcW w:w="1701" w:type="dxa"/>
            <w:tcBorders>
              <w:top w:val="nil"/>
              <w:bottom w:val="nil"/>
            </w:tcBorders>
            <w:noWrap/>
            <w:hideMark/>
          </w:tcPr>
          <w:p w14:paraId="021F633F"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0,987278</w:t>
            </w:r>
          </w:p>
        </w:tc>
        <w:tc>
          <w:tcPr>
            <w:tcW w:w="1701" w:type="dxa"/>
            <w:tcBorders>
              <w:top w:val="nil"/>
              <w:bottom w:val="nil"/>
            </w:tcBorders>
            <w:noWrap/>
            <w:hideMark/>
          </w:tcPr>
          <w:p w14:paraId="092F08B6" w14:textId="77777777" w:rsidR="0056133E" w:rsidRPr="00993FE6" w:rsidRDefault="0056133E" w:rsidP="00CC3874">
            <w:pPr>
              <w:jc w:val="center"/>
              <w:cnfStyle w:val="000000100000" w:firstRow="0" w:lastRow="0" w:firstColumn="0" w:lastColumn="0" w:oddVBand="0" w:evenVBand="0" w:oddHBand="1" w:evenHBand="0" w:firstRowFirstColumn="0" w:firstRowLastColumn="0" w:lastRowFirstColumn="0" w:lastRowLastColumn="0"/>
            </w:pPr>
            <w:r w:rsidRPr="00993FE6">
              <w:t>0,224703</w:t>
            </w:r>
          </w:p>
        </w:tc>
      </w:tr>
      <w:tr w:rsidR="0056133E" w:rsidRPr="00A2410D" w14:paraId="40AA6895" w14:textId="77777777" w:rsidTr="004B193F">
        <w:trPr>
          <w:trHeight w:val="255"/>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single" w:sz="12" w:space="0" w:color="auto"/>
            </w:tcBorders>
            <w:noWrap/>
            <w:hideMark/>
          </w:tcPr>
          <w:p w14:paraId="4BEACA1D" w14:textId="77777777" w:rsidR="0056133E" w:rsidRPr="00993FE6" w:rsidRDefault="0056133E" w:rsidP="00CC3874">
            <w:pPr>
              <w:jc w:val="center"/>
            </w:pPr>
            <w:r w:rsidRPr="00993FE6">
              <w:t>2010 -2016</w:t>
            </w:r>
          </w:p>
        </w:tc>
        <w:tc>
          <w:tcPr>
            <w:tcW w:w="709" w:type="dxa"/>
            <w:tcBorders>
              <w:top w:val="nil"/>
              <w:bottom w:val="single" w:sz="12" w:space="0" w:color="auto"/>
            </w:tcBorders>
          </w:tcPr>
          <w:p w14:paraId="0958864B"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980</w:t>
            </w:r>
          </w:p>
        </w:tc>
        <w:tc>
          <w:tcPr>
            <w:tcW w:w="1701" w:type="dxa"/>
            <w:tcBorders>
              <w:top w:val="nil"/>
              <w:bottom w:val="single" w:sz="12" w:space="0" w:color="auto"/>
            </w:tcBorders>
            <w:noWrap/>
            <w:hideMark/>
          </w:tcPr>
          <w:p w14:paraId="242490DD"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0,239887</w:t>
            </w:r>
          </w:p>
        </w:tc>
        <w:tc>
          <w:tcPr>
            <w:tcW w:w="1276" w:type="dxa"/>
            <w:tcBorders>
              <w:top w:val="nil"/>
              <w:bottom w:val="single" w:sz="12" w:space="0" w:color="auto"/>
            </w:tcBorders>
            <w:noWrap/>
            <w:hideMark/>
          </w:tcPr>
          <w:p w14:paraId="29D628CE"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0,217973</w:t>
            </w:r>
          </w:p>
        </w:tc>
        <w:tc>
          <w:tcPr>
            <w:tcW w:w="1701" w:type="dxa"/>
            <w:tcBorders>
              <w:top w:val="nil"/>
              <w:bottom w:val="single" w:sz="12" w:space="0" w:color="auto"/>
            </w:tcBorders>
            <w:noWrap/>
            <w:hideMark/>
          </w:tcPr>
          <w:p w14:paraId="4339E7B4"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0,987278</w:t>
            </w:r>
          </w:p>
        </w:tc>
        <w:tc>
          <w:tcPr>
            <w:tcW w:w="1701" w:type="dxa"/>
            <w:tcBorders>
              <w:top w:val="nil"/>
              <w:bottom w:val="single" w:sz="12" w:space="0" w:color="auto"/>
            </w:tcBorders>
            <w:noWrap/>
            <w:hideMark/>
          </w:tcPr>
          <w:p w14:paraId="1F7AAF79" w14:textId="77777777" w:rsidR="0056133E" w:rsidRPr="00993FE6" w:rsidRDefault="0056133E" w:rsidP="00CC3874">
            <w:pPr>
              <w:jc w:val="center"/>
              <w:cnfStyle w:val="000000000000" w:firstRow="0" w:lastRow="0" w:firstColumn="0" w:lastColumn="0" w:oddVBand="0" w:evenVBand="0" w:oddHBand="0" w:evenHBand="0" w:firstRowFirstColumn="0" w:firstRowLastColumn="0" w:lastRowFirstColumn="0" w:lastRowLastColumn="0"/>
            </w:pPr>
            <w:r w:rsidRPr="00993FE6">
              <w:t>0,184328</w:t>
            </w:r>
          </w:p>
        </w:tc>
      </w:tr>
    </w:tbl>
    <w:p w14:paraId="647AFBBC" w14:textId="77777777" w:rsidR="00636682" w:rsidRDefault="00636682" w:rsidP="00636682">
      <w:pPr>
        <w:jc w:val="both"/>
      </w:pPr>
      <w:r w:rsidRPr="001D29B0">
        <w:t>Fonte: elaboração própria.</w:t>
      </w:r>
    </w:p>
    <w:p w14:paraId="5D1852CE" w14:textId="77777777" w:rsidR="00636682" w:rsidRPr="00A2410D" w:rsidRDefault="00636682" w:rsidP="00636682">
      <w:pPr>
        <w:jc w:val="both"/>
        <w:rPr>
          <w:sz w:val="24"/>
          <w:szCs w:val="24"/>
        </w:rPr>
      </w:pPr>
    </w:p>
    <w:p w14:paraId="092D9E2D" w14:textId="3075C2DA" w:rsidR="00636682" w:rsidRPr="00A2410D" w:rsidRDefault="00636682" w:rsidP="00636682">
      <w:pPr>
        <w:ind w:firstLine="708"/>
        <w:jc w:val="both"/>
        <w:rPr>
          <w:sz w:val="24"/>
          <w:szCs w:val="24"/>
        </w:rPr>
      </w:pPr>
      <w:r w:rsidRPr="00A2410D">
        <w:rPr>
          <w:sz w:val="24"/>
          <w:szCs w:val="24"/>
        </w:rPr>
        <w:t>Nota-se que no período de 2010 a 2016, a mediana da variável ETR apresentou valor de 21,79%, e m</w:t>
      </w:r>
      <w:r>
        <w:rPr>
          <w:sz w:val="24"/>
          <w:szCs w:val="24"/>
        </w:rPr>
        <w:t>é</w:t>
      </w:r>
      <w:r w:rsidRPr="000A1C7A">
        <w:rPr>
          <w:sz w:val="24"/>
          <w:szCs w:val="24"/>
        </w:rPr>
        <w:t xml:space="preserve">dia de 23,99% indicando, </w:t>
      </w:r>
      <w:r w:rsidRPr="0042038B">
        <w:rPr>
          <w:sz w:val="24"/>
          <w:szCs w:val="24"/>
        </w:rPr>
        <w:t xml:space="preserve">que os impostos efetivamente pagos pelas empresas da amostra, se comportaram abaixo da alíquota tributos de </w:t>
      </w:r>
      <w:r w:rsidR="00DB1C59">
        <w:rPr>
          <w:sz w:val="24"/>
          <w:szCs w:val="24"/>
        </w:rPr>
        <w:t>IR</w:t>
      </w:r>
      <w:r w:rsidRPr="0042038B">
        <w:rPr>
          <w:sz w:val="24"/>
          <w:szCs w:val="24"/>
        </w:rPr>
        <w:t xml:space="preserve"> e </w:t>
      </w:r>
      <w:r w:rsidR="00DB1C59">
        <w:rPr>
          <w:sz w:val="24"/>
          <w:szCs w:val="24"/>
        </w:rPr>
        <w:t>CSLL</w:t>
      </w:r>
      <w:r w:rsidRPr="00707342">
        <w:rPr>
          <w:sz w:val="24"/>
          <w:szCs w:val="24"/>
        </w:rPr>
        <w:t xml:space="preserve">, que pode chegar até 34%, conforme legislação brasileira </w:t>
      </w:r>
      <w:r w:rsidRPr="00A2410D">
        <w:rPr>
          <w:sz w:val="24"/>
          <w:szCs w:val="24"/>
        </w:rPr>
        <w:t>(</w:t>
      </w:r>
      <w:r w:rsidRPr="00A2410D">
        <w:rPr>
          <w:rFonts w:ascii="TimesNewRoman" w:hAnsi="TimesNewRoman" w:cs="TimesNewRoman"/>
          <w:sz w:val="24"/>
          <w:szCs w:val="24"/>
        </w:rPr>
        <w:t>Receita Federal, 2016).</w:t>
      </w:r>
    </w:p>
    <w:p w14:paraId="3619E90F" w14:textId="6BE4AB59" w:rsidR="00636682" w:rsidRPr="00A2410D" w:rsidRDefault="00636682" w:rsidP="00636682">
      <w:pPr>
        <w:ind w:firstLine="708"/>
        <w:jc w:val="both"/>
        <w:rPr>
          <w:sz w:val="24"/>
          <w:szCs w:val="24"/>
        </w:rPr>
      </w:pPr>
      <w:r w:rsidRPr="00A2410D">
        <w:rPr>
          <w:sz w:val="24"/>
          <w:szCs w:val="24"/>
        </w:rPr>
        <w:t>O maior desembolso observado, segundo a mediana, foi no ano de 2012 com uma alíquota de 23,53% com desvio padrão de 15,91, e o menor desembolso foi em 2010, com uma alíquota de 20,09% e desvio padrão de 13,35%. Se observado a média, destaca-se o período de 2012, com uma alíquota de 26,50% e o período de 2016, com uma alíquota de 25,04%.</w:t>
      </w:r>
    </w:p>
    <w:p w14:paraId="1B0EAD95" w14:textId="3E8E5431" w:rsidR="00636682" w:rsidRPr="00A2410D" w:rsidRDefault="00636682" w:rsidP="00636682">
      <w:pPr>
        <w:ind w:firstLine="708"/>
        <w:jc w:val="both"/>
        <w:rPr>
          <w:sz w:val="24"/>
          <w:szCs w:val="24"/>
        </w:rPr>
      </w:pPr>
      <w:r w:rsidRPr="00A2410D">
        <w:rPr>
          <w:sz w:val="24"/>
          <w:szCs w:val="24"/>
        </w:rPr>
        <w:t>O estudo de Fernandez-Rodriguez &amp; Martinez-Arias, (2011), que analisaram os países BRIC entre 2000 a 2009, observaram ETRs médios durante este período de 25,21%. Destacando desta forma, que esta pesquisa parece estar próxima dos achados anteriores, podendo-se supor que as previsões e pagamentos de impostos no Brasil, para o período em análise, tendem a ser menores que o valor de referência dos impostos incidentes sobre o lucro. Indicando a possibilidade d</w:t>
      </w:r>
      <w:r w:rsidR="00DB1C59">
        <w:rPr>
          <w:sz w:val="24"/>
          <w:szCs w:val="24"/>
        </w:rPr>
        <w:t>estas</w:t>
      </w:r>
      <w:r w:rsidRPr="00A2410D">
        <w:rPr>
          <w:sz w:val="24"/>
          <w:szCs w:val="24"/>
        </w:rPr>
        <w:t xml:space="preserve"> empresas estarem realizando planejamento e gerenciamento tributário em suas empresas.</w:t>
      </w:r>
    </w:p>
    <w:p w14:paraId="1D25EB66" w14:textId="77777777" w:rsidR="00636682" w:rsidRPr="0042038B" w:rsidRDefault="00636682" w:rsidP="00636682">
      <w:pPr>
        <w:ind w:firstLine="708"/>
        <w:jc w:val="both"/>
        <w:rPr>
          <w:sz w:val="24"/>
          <w:szCs w:val="24"/>
        </w:rPr>
      </w:pPr>
      <w:r w:rsidRPr="00A2410D">
        <w:rPr>
          <w:sz w:val="24"/>
          <w:szCs w:val="24"/>
        </w:rPr>
        <w:t xml:space="preserve">Wang (1991), indica que a ETR tende a estar abaixo da taxa de imposto legal. O estudo de Dyreng </w:t>
      </w:r>
      <w:r w:rsidRPr="0042038B">
        <w:rPr>
          <w:i/>
          <w:sz w:val="24"/>
          <w:szCs w:val="24"/>
        </w:rPr>
        <w:t>et al</w:t>
      </w:r>
      <w:r>
        <w:rPr>
          <w:sz w:val="24"/>
          <w:szCs w:val="24"/>
        </w:rPr>
        <w:t>.</w:t>
      </w:r>
      <w:r w:rsidRPr="0042038B">
        <w:rPr>
          <w:sz w:val="24"/>
          <w:szCs w:val="24"/>
        </w:rPr>
        <w:t xml:space="preserve"> (2017) também apontam que tanto as empresas nacionais, quanto as multinacionais também têm apresentado ETRs em declínio ao longo do tempo, comparativamente as taxas de imposto legais.</w:t>
      </w:r>
    </w:p>
    <w:p w14:paraId="52C4595B" w14:textId="77777777" w:rsidR="00636682" w:rsidRPr="0042038B" w:rsidRDefault="00636682" w:rsidP="00636682">
      <w:pPr>
        <w:ind w:firstLine="708"/>
        <w:jc w:val="both"/>
        <w:rPr>
          <w:sz w:val="24"/>
          <w:szCs w:val="24"/>
        </w:rPr>
      </w:pPr>
      <w:r w:rsidRPr="00707342">
        <w:rPr>
          <w:sz w:val="24"/>
          <w:szCs w:val="24"/>
        </w:rPr>
        <w:t xml:space="preserve">Posteriormente, verificou-se o efeito temporal do conjunto de dados, utilizando o modelo </w:t>
      </w:r>
      <w:r>
        <w:rPr>
          <w:sz w:val="24"/>
          <w:szCs w:val="24"/>
        </w:rPr>
        <w:t>t</w:t>
      </w:r>
      <w:r w:rsidRPr="00707342">
        <w:rPr>
          <w:i/>
          <w:sz w:val="24"/>
          <w:szCs w:val="24"/>
        </w:rPr>
        <w:t>wo way fixed effect</w:t>
      </w:r>
      <w:r w:rsidRPr="00A2410D">
        <w:rPr>
          <w:sz w:val="24"/>
          <w:szCs w:val="24"/>
        </w:rPr>
        <w:t>. O teste apresentou p-val</w:t>
      </w:r>
      <w:r>
        <w:rPr>
          <w:sz w:val="24"/>
          <w:szCs w:val="24"/>
        </w:rPr>
        <w:t>or</w:t>
      </w:r>
      <w:r w:rsidRPr="000A1C7A">
        <w:rPr>
          <w:sz w:val="24"/>
          <w:szCs w:val="24"/>
        </w:rPr>
        <w:t xml:space="preserve"> de 0,6752, rejeitando a hipótese de que o efeito do tempo é significativo no modelo proposto, ou seja, a heterogeneidade não é variável ao longo do tempo</w:t>
      </w:r>
      <w:r w:rsidRPr="0042038B">
        <w:rPr>
          <w:sz w:val="24"/>
          <w:szCs w:val="24"/>
        </w:rPr>
        <w:t>.</w:t>
      </w:r>
    </w:p>
    <w:p w14:paraId="51A4E5D4" w14:textId="77777777" w:rsidR="00636682" w:rsidRPr="00993FE6" w:rsidRDefault="00636682" w:rsidP="00636682">
      <w:pPr>
        <w:ind w:firstLine="708"/>
        <w:jc w:val="both"/>
        <w:rPr>
          <w:sz w:val="24"/>
          <w:szCs w:val="24"/>
        </w:rPr>
      </w:pPr>
    </w:p>
    <w:p w14:paraId="3E11D3D4" w14:textId="77777777" w:rsidR="00636682" w:rsidRPr="00993FE6" w:rsidRDefault="00636682" w:rsidP="00636682">
      <w:pPr>
        <w:pStyle w:val="Ttulo1"/>
        <w:spacing w:before="0" w:line="240" w:lineRule="auto"/>
        <w:rPr>
          <w:rFonts w:ascii="Times New Roman" w:hAnsi="Times New Roman" w:cs="Times New Roman"/>
          <w:b/>
          <w:color w:val="auto"/>
          <w:sz w:val="24"/>
          <w:szCs w:val="24"/>
        </w:rPr>
      </w:pPr>
      <w:r w:rsidRPr="000A1C7A">
        <w:rPr>
          <w:rFonts w:ascii="Times New Roman" w:hAnsi="Times New Roman" w:cs="Times New Roman"/>
          <w:b/>
          <w:color w:val="auto"/>
          <w:sz w:val="24"/>
          <w:szCs w:val="24"/>
        </w:rPr>
        <w:t>4.2 Estimação do modelo</w:t>
      </w:r>
    </w:p>
    <w:p w14:paraId="4CF82F60" w14:textId="77777777" w:rsidR="00636682" w:rsidRPr="00A2410D" w:rsidRDefault="00636682" w:rsidP="00636682">
      <w:pPr>
        <w:ind w:firstLine="709"/>
        <w:jc w:val="both"/>
        <w:rPr>
          <w:sz w:val="24"/>
          <w:szCs w:val="24"/>
        </w:rPr>
      </w:pPr>
      <w:r w:rsidRPr="000A1C7A">
        <w:rPr>
          <w:sz w:val="24"/>
          <w:szCs w:val="24"/>
        </w:rPr>
        <w:t xml:space="preserve">Na sequência, verificou-se qual a estimação mais </w:t>
      </w:r>
      <w:r w:rsidRPr="0042038B">
        <w:rPr>
          <w:sz w:val="24"/>
          <w:szCs w:val="24"/>
        </w:rPr>
        <w:t xml:space="preserve">indicada para a análise dos dados. Sendo utilizado o painel estático para verificar os determinantes da taxa de imposto efetivo, e o painel dinâmico para verificação do ajustamento da taxa de imposto efetivo, </w:t>
      </w:r>
      <w:r w:rsidRPr="00707342">
        <w:rPr>
          <w:sz w:val="24"/>
          <w:szCs w:val="24"/>
        </w:rPr>
        <w:t>por meio da análise do coeficiente da variável defasada em um período</w:t>
      </w:r>
      <w:r w:rsidRPr="00A2410D">
        <w:rPr>
          <w:sz w:val="24"/>
          <w:szCs w:val="24"/>
        </w:rPr>
        <w:t xml:space="preserve"> (ETR-1), com intuito de buscar explicações da taxa no período atual.</w:t>
      </w:r>
    </w:p>
    <w:p w14:paraId="683E5B07" w14:textId="77777777" w:rsidR="00636682" w:rsidRPr="00A2410D" w:rsidRDefault="00636682" w:rsidP="00636682">
      <w:pPr>
        <w:ind w:firstLine="709"/>
        <w:jc w:val="both"/>
        <w:rPr>
          <w:sz w:val="24"/>
          <w:szCs w:val="24"/>
        </w:rPr>
      </w:pPr>
      <w:r w:rsidRPr="00A2410D">
        <w:rPr>
          <w:sz w:val="24"/>
          <w:szCs w:val="24"/>
        </w:rPr>
        <w:lastRenderedPageBreak/>
        <w:t xml:space="preserve">Com relação ao modelo estático, o Teste F (Chow) que, além de ser utilizado para escolher entre efeito fixo e </w:t>
      </w:r>
      <w:r w:rsidRPr="00A2410D">
        <w:rPr>
          <w:i/>
          <w:sz w:val="24"/>
          <w:szCs w:val="24"/>
        </w:rPr>
        <w:t>pooled</w:t>
      </w:r>
      <w:r w:rsidRPr="00A2410D">
        <w:rPr>
          <w:sz w:val="24"/>
          <w:szCs w:val="24"/>
        </w:rPr>
        <w:t xml:space="preserve">, verifica se há igualdade de interceptos e inclinações, rejeitou a hipótese nula de adequação ao modelo </w:t>
      </w:r>
      <w:r w:rsidRPr="00A2410D">
        <w:rPr>
          <w:i/>
          <w:sz w:val="24"/>
          <w:szCs w:val="24"/>
        </w:rPr>
        <w:t>Pooled</w:t>
      </w:r>
      <w:r w:rsidRPr="00A2410D">
        <w:rPr>
          <w:sz w:val="24"/>
          <w:szCs w:val="24"/>
        </w:rPr>
        <w:t xml:space="preserve">, sendo preferível adotar o modelo de efeito fixo. Realizou-se na sequência, o Teste </w:t>
      </w:r>
      <w:r w:rsidRPr="00A2410D">
        <w:rPr>
          <w:i/>
          <w:sz w:val="24"/>
          <w:szCs w:val="24"/>
        </w:rPr>
        <w:t>Breush e Pagan</w:t>
      </w:r>
      <w:r w:rsidRPr="00A2410D">
        <w:rPr>
          <w:sz w:val="24"/>
          <w:szCs w:val="24"/>
        </w:rPr>
        <w:t xml:space="preserve">, adotado para se escolher entre efeito aleatório e </w:t>
      </w:r>
      <w:r w:rsidRPr="00A2410D">
        <w:rPr>
          <w:i/>
          <w:sz w:val="24"/>
          <w:szCs w:val="24"/>
        </w:rPr>
        <w:t>Pooled</w:t>
      </w:r>
      <w:r w:rsidRPr="00A2410D">
        <w:rPr>
          <w:sz w:val="24"/>
          <w:szCs w:val="24"/>
        </w:rPr>
        <w:t xml:space="preserve">. Este teste rejeitou a hipótese nula de adequação ao modelo </w:t>
      </w:r>
      <w:r w:rsidRPr="00A2410D">
        <w:rPr>
          <w:i/>
          <w:sz w:val="24"/>
          <w:szCs w:val="24"/>
        </w:rPr>
        <w:t>Pooled</w:t>
      </w:r>
      <w:r w:rsidRPr="00A2410D">
        <w:rPr>
          <w:sz w:val="24"/>
          <w:szCs w:val="24"/>
        </w:rPr>
        <w:t xml:space="preserve">, sendo preferível adotar o modelo de efeito aleatório. </w:t>
      </w:r>
    </w:p>
    <w:p w14:paraId="3B36FDA0" w14:textId="77777777" w:rsidR="00636682" w:rsidRPr="00A2410D" w:rsidRDefault="00636682" w:rsidP="00636682">
      <w:pPr>
        <w:ind w:firstLine="709"/>
        <w:jc w:val="both"/>
        <w:rPr>
          <w:sz w:val="24"/>
          <w:szCs w:val="24"/>
        </w:rPr>
      </w:pPr>
      <w:r w:rsidRPr="00A2410D">
        <w:rPr>
          <w:sz w:val="24"/>
          <w:szCs w:val="24"/>
        </w:rPr>
        <w:t xml:space="preserve">E, por fim, o Teste </w:t>
      </w:r>
      <w:r w:rsidRPr="00A2410D">
        <w:rPr>
          <w:i/>
          <w:sz w:val="24"/>
          <w:szCs w:val="24"/>
        </w:rPr>
        <w:t>Hausman</w:t>
      </w:r>
      <w:r w:rsidRPr="00A2410D">
        <w:rPr>
          <w:sz w:val="24"/>
          <w:szCs w:val="24"/>
        </w:rPr>
        <w:t xml:space="preserve"> rejeitou a hipótese nula de que o modelo de efeitos aleatório seja o mais adequado, sendo preferível adotar o modelo de efeito fixo. Apontando que um modelo de efeito aleatório pode indicar estimadores tendenciosos, fator este que viola um dos pressupostos de Gauss-Markov, sendo desta forma preferível adotar um modelo de efeito fixo. Este teste geralmente reforça o Teste </w:t>
      </w:r>
      <w:r w:rsidRPr="00A2410D">
        <w:rPr>
          <w:i/>
          <w:sz w:val="24"/>
          <w:szCs w:val="24"/>
        </w:rPr>
        <w:t>Breush e Pagan</w:t>
      </w:r>
      <w:r w:rsidRPr="00A2410D">
        <w:rPr>
          <w:sz w:val="24"/>
          <w:szCs w:val="24"/>
        </w:rPr>
        <w:t xml:space="preserve">. Neste caso, apontando que para análise podem ser consideradas as estimativas do modelo de efeito fixo. </w:t>
      </w:r>
    </w:p>
    <w:p w14:paraId="47ACB40C" w14:textId="7540B423" w:rsidR="00636682" w:rsidRPr="0042038B" w:rsidRDefault="00636682" w:rsidP="00636682">
      <w:pPr>
        <w:ind w:firstLine="709"/>
        <w:jc w:val="both"/>
        <w:rPr>
          <w:sz w:val="24"/>
          <w:szCs w:val="24"/>
        </w:rPr>
      </w:pPr>
      <w:r w:rsidRPr="00A2410D">
        <w:rPr>
          <w:sz w:val="24"/>
          <w:szCs w:val="24"/>
        </w:rPr>
        <w:t>No entanto, ao testar a heterocedasticidade, rejeitou-se a H0 de ausência de heterocedasticidade.  Conforme Wooldrige (2006)</w:t>
      </w:r>
      <w:r>
        <w:rPr>
          <w:sz w:val="24"/>
          <w:szCs w:val="24"/>
        </w:rPr>
        <w:t>,</w:t>
      </w:r>
      <w:r w:rsidRPr="000A1C7A">
        <w:rPr>
          <w:sz w:val="24"/>
          <w:szCs w:val="24"/>
        </w:rPr>
        <w:t xml:space="preserve"> a heterocedasticia acarreta o problema de eficiência dos estimadores, assim foi estimado o modelo </w:t>
      </w:r>
      <w:r w:rsidRPr="000A1C7A">
        <w:rPr>
          <w:i/>
          <w:sz w:val="24"/>
          <w:szCs w:val="24"/>
        </w:rPr>
        <w:t>pooled</w:t>
      </w:r>
      <w:r w:rsidRPr="000A1C7A">
        <w:rPr>
          <w:sz w:val="24"/>
          <w:szCs w:val="24"/>
        </w:rPr>
        <w:t xml:space="preserve"> com a opção </w:t>
      </w:r>
      <w:r w:rsidR="00DB1C59" w:rsidRPr="004B193F">
        <w:rPr>
          <w:i/>
          <w:sz w:val="24"/>
          <w:szCs w:val="24"/>
        </w:rPr>
        <w:t>R</w:t>
      </w:r>
      <w:r w:rsidRPr="004B193F">
        <w:rPr>
          <w:i/>
          <w:sz w:val="24"/>
          <w:szCs w:val="24"/>
        </w:rPr>
        <w:t>obust</w:t>
      </w:r>
      <w:r w:rsidRPr="000A1C7A">
        <w:rPr>
          <w:sz w:val="24"/>
          <w:szCs w:val="24"/>
        </w:rPr>
        <w:t>, que corrige a heterocedasticia e sob o qual foi analisado a relação proposta.</w:t>
      </w:r>
    </w:p>
    <w:p w14:paraId="478410CB" w14:textId="77777777" w:rsidR="00636682" w:rsidRPr="000A1C7A" w:rsidRDefault="00636682" w:rsidP="00636682">
      <w:pPr>
        <w:ind w:firstLine="709"/>
        <w:jc w:val="both"/>
        <w:rPr>
          <w:sz w:val="24"/>
          <w:szCs w:val="24"/>
        </w:rPr>
      </w:pPr>
      <w:r w:rsidRPr="0042038B">
        <w:rPr>
          <w:sz w:val="24"/>
          <w:szCs w:val="24"/>
        </w:rPr>
        <w:t xml:space="preserve">Para efeitos comparativos, na Tabela 3 são reportados os resultados dos modelos testados, onde os dados superiores representam os coeficientes e os dados inferiores o </w:t>
      </w:r>
      <w:r w:rsidRPr="004B193F">
        <w:rPr>
          <w:i/>
          <w:sz w:val="24"/>
          <w:szCs w:val="24"/>
        </w:rPr>
        <w:t>p-valor</w:t>
      </w:r>
      <w:r w:rsidRPr="000A1C7A">
        <w:rPr>
          <w:sz w:val="24"/>
          <w:szCs w:val="24"/>
        </w:rPr>
        <w:t xml:space="preserve">. </w:t>
      </w:r>
    </w:p>
    <w:p w14:paraId="30850CD2" w14:textId="77777777" w:rsidR="00636682" w:rsidRPr="0042038B" w:rsidRDefault="00636682" w:rsidP="00636682">
      <w:pPr>
        <w:ind w:firstLine="709"/>
        <w:jc w:val="both"/>
        <w:rPr>
          <w:sz w:val="24"/>
          <w:szCs w:val="24"/>
        </w:rPr>
      </w:pPr>
    </w:p>
    <w:p w14:paraId="7B499C4B" w14:textId="77777777" w:rsidR="00636682" w:rsidRPr="0042038B" w:rsidRDefault="00636682" w:rsidP="00636682">
      <w:pPr>
        <w:jc w:val="both"/>
        <w:rPr>
          <w:b/>
        </w:rPr>
      </w:pPr>
      <w:r w:rsidRPr="0042038B">
        <w:t xml:space="preserve">Tabela 3- </w:t>
      </w:r>
      <w:r w:rsidRPr="0042038B">
        <w:rPr>
          <w:b/>
        </w:rPr>
        <w:t>Modelos de estimação das variáveis</w:t>
      </w:r>
    </w:p>
    <w:tbl>
      <w:tblPr>
        <w:tblStyle w:val="Tabelacomgrade"/>
        <w:tblW w:w="9214" w:type="dxa"/>
        <w:tblBorders>
          <w:left w:val="none" w:sz="0" w:space="0" w:color="auto"/>
          <w:right w:val="none" w:sz="0" w:space="0" w:color="auto"/>
        </w:tblBorders>
        <w:tblLook w:val="04A0" w:firstRow="1" w:lastRow="0" w:firstColumn="1" w:lastColumn="0" w:noHBand="0" w:noVBand="1"/>
      </w:tblPr>
      <w:tblGrid>
        <w:gridCol w:w="2410"/>
        <w:gridCol w:w="1418"/>
        <w:gridCol w:w="1417"/>
        <w:gridCol w:w="1418"/>
        <w:gridCol w:w="1275"/>
        <w:gridCol w:w="1276"/>
      </w:tblGrid>
      <w:tr w:rsidR="00636682" w:rsidRPr="00A2410D" w14:paraId="2FA284D2" w14:textId="77777777" w:rsidTr="00CC3874">
        <w:trPr>
          <w:trHeight w:val="255"/>
        </w:trPr>
        <w:tc>
          <w:tcPr>
            <w:tcW w:w="2410" w:type="dxa"/>
            <w:tcBorders>
              <w:top w:val="single" w:sz="12" w:space="0" w:color="auto"/>
            </w:tcBorders>
            <w:shd w:val="clear" w:color="auto" w:fill="auto"/>
            <w:vAlign w:val="center"/>
          </w:tcPr>
          <w:p w14:paraId="51FDD870" w14:textId="77777777" w:rsidR="00636682" w:rsidRPr="00707342" w:rsidRDefault="00636682" w:rsidP="00CC3874">
            <w:pPr>
              <w:jc w:val="both"/>
              <w:rPr>
                <w:sz w:val="24"/>
                <w:szCs w:val="24"/>
              </w:rPr>
            </w:pPr>
            <w:bookmarkStart w:id="27" w:name="_Hlk501112761"/>
          </w:p>
        </w:tc>
        <w:tc>
          <w:tcPr>
            <w:tcW w:w="5528" w:type="dxa"/>
            <w:gridSpan w:val="4"/>
            <w:tcBorders>
              <w:top w:val="single" w:sz="12" w:space="0" w:color="auto"/>
            </w:tcBorders>
          </w:tcPr>
          <w:p w14:paraId="12652FCF" w14:textId="77777777" w:rsidR="00636682" w:rsidRPr="00A2410D" w:rsidRDefault="00636682" w:rsidP="00CC3874">
            <w:pPr>
              <w:jc w:val="center"/>
              <w:rPr>
                <w:sz w:val="24"/>
                <w:szCs w:val="24"/>
              </w:rPr>
            </w:pPr>
            <w:r w:rsidRPr="00A2410D">
              <w:rPr>
                <w:b/>
              </w:rPr>
              <w:t>Modelo Estático</w:t>
            </w:r>
          </w:p>
        </w:tc>
        <w:tc>
          <w:tcPr>
            <w:tcW w:w="1276" w:type="dxa"/>
            <w:tcBorders>
              <w:top w:val="single" w:sz="12" w:space="0" w:color="auto"/>
            </w:tcBorders>
            <w:shd w:val="clear" w:color="auto" w:fill="auto"/>
            <w:vAlign w:val="center"/>
          </w:tcPr>
          <w:p w14:paraId="4EE7D9FC" w14:textId="77777777" w:rsidR="00636682" w:rsidRPr="00A2410D" w:rsidRDefault="00636682" w:rsidP="00CC3874">
            <w:pPr>
              <w:ind w:left="-251"/>
              <w:jc w:val="center"/>
              <w:rPr>
                <w:sz w:val="24"/>
                <w:szCs w:val="24"/>
              </w:rPr>
            </w:pPr>
            <w:r>
              <w:rPr>
                <w:b/>
              </w:rPr>
              <w:t xml:space="preserve">  </w:t>
            </w:r>
            <w:r w:rsidRPr="00A2410D">
              <w:rPr>
                <w:b/>
              </w:rPr>
              <w:t>Modelo Dinâmico</w:t>
            </w:r>
          </w:p>
        </w:tc>
      </w:tr>
      <w:tr w:rsidR="00636682" w:rsidRPr="00A2410D" w14:paraId="191273F8" w14:textId="77777777" w:rsidTr="00CC3874">
        <w:trPr>
          <w:trHeight w:val="255"/>
        </w:trPr>
        <w:tc>
          <w:tcPr>
            <w:tcW w:w="2410" w:type="dxa"/>
            <w:tcBorders>
              <w:bottom w:val="single" w:sz="12" w:space="0" w:color="auto"/>
            </w:tcBorders>
            <w:shd w:val="clear" w:color="auto" w:fill="auto"/>
            <w:vAlign w:val="center"/>
          </w:tcPr>
          <w:p w14:paraId="08CE31D4" w14:textId="77777777" w:rsidR="00636682" w:rsidRPr="00A2410D" w:rsidRDefault="00636682" w:rsidP="00CC3874">
            <w:pPr>
              <w:jc w:val="both"/>
              <w:rPr>
                <w:i/>
                <w:sz w:val="24"/>
                <w:szCs w:val="24"/>
              </w:rPr>
            </w:pPr>
            <w:r w:rsidRPr="00A2410D">
              <w:rPr>
                <w:b/>
                <w:i/>
              </w:rPr>
              <w:t>Variáveis</w:t>
            </w:r>
          </w:p>
        </w:tc>
        <w:tc>
          <w:tcPr>
            <w:tcW w:w="1418" w:type="dxa"/>
            <w:tcBorders>
              <w:bottom w:val="single" w:sz="12" w:space="0" w:color="auto"/>
            </w:tcBorders>
            <w:shd w:val="clear" w:color="auto" w:fill="auto"/>
            <w:vAlign w:val="center"/>
          </w:tcPr>
          <w:p w14:paraId="695A34B5" w14:textId="77777777" w:rsidR="00636682" w:rsidRPr="00A2410D" w:rsidRDefault="00636682" w:rsidP="00CC3874">
            <w:pPr>
              <w:jc w:val="center"/>
              <w:rPr>
                <w:i/>
                <w:sz w:val="24"/>
                <w:szCs w:val="24"/>
              </w:rPr>
            </w:pPr>
            <w:bookmarkStart w:id="28" w:name="_Hlk503273701"/>
            <w:r w:rsidRPr="00A2410D">
              <w:rPr>
                <w:b/>
                <w:i/>
              </w:rPr>
              <w:t>Pooled</w:t>
            </w:r>
            <w:bookmarkEnd w:id="28"/>
          </w:p>
        </w:tc>
        <w:tc>
          <w:tcPr>
            <w:tcW w:w="1417" w:type="dxa"/>
            <w:tcBorders>
              <w:bottom w:val="single" w:sz="12" w:space="0" w:color="auto"/>
            </w:tcBorders>
            <w:shd w:val="clear" w:color="auto" w:fill="auto"/>
            <w:vAlign w:val="center"/>
          </w:tcPr>
          <w:p w14:paraId="44A4E16A" w14:textId="77777777" w:rsidR="00636682" w:rsidRPr="00A2410D" w:rsidRDefault="00636682" w:rsidP="00CC3874">
            <w:pPr>
              <w:jc w:val="center"/>
              <w:rPr>
                <w:i/>
                <w:sz w:val="24"/>
                <w:szCs w:val="24"/>
              </w:rPr>
            </w:pPr>
            <w:r w:rsidRPr="00A2410D">
              <w:rPr>
                <w:b/>
                <w:i/>
              </w:rPr>
              <w:t>Efeito Fixo</w:t>
            </w:r>
          </w:p>
        </w:tc>
        <w:tc>
          <w:tcPr>
            <w:tcW w:w="1418" w:type="dxa"/>
            <w:tcBorders>
              <w:bottom w:val="single" w:sz="12" w:space="0" w:color="auto"/>
            </w:tcBorders>
          </w:tcPr>
          <w:p w14:paraId="04687B4D" w14:textId="77777777" w:rsidR="00636682" w:rsidRPr="00A2410D" w:rsidRDefault="00636682" w:rsidP="00CC3874">
            <w:pPr>
              <w:ind w:left="-676" w:firstLine="676"/>
              <w:jc w:val="center"/>
              <w:rPr>
                <w:b/>
                <w:i/>
              </w:rPr>
            </w:pPr>
            <w:r w:rsidRPr="00A2410D">
              <w:rPr>
                <w:b/>
                <w:i/>
              </w:rPr>
              <w:t>Efeito</w:t>
            </w:r>
          </w:p>
          <w:p w14:paraId="374ED9A4" w14:textId="77777777" w:rsidR="00636682" w:rsidRPr="00A2410D" w:rsidRDefault="00636682" w:rsidP="00CC3874">
            <w:pPr>
              <w:ind w:left="-676" w:firstLine="676"/>
              <w:jc w:val="center"/>
              <w:rPr>
                <w:b/>
                <w:i/>
              </w:rPr>
            </w:pPr>
            <w:r w:rsidRPr="00A2410D">
              <w:rPr>
                <w:b/>
                <w:i/>
              </w:rPr>
              <w:t>Aleatório</w:t>
            </w:r>
          </w:p>
        </w:tc>
        <w:tc>
          <w:tcPr>
            <w:tcW w:w="1275" w:type="dxa"/>
            <w:tcBorders>
              <w:bottom w:val="single" w:sz="12" w:space="0" w:color="auto"/>
            </w:tcBorders>
            <w:shd w:val="clear" w:color="auto" w:fill="auto"/>
            <w:vAlign w:val="center"/>
          </w:tcPr>
          <w:p w14:paraId="670049E8" w14:textId="77777777" w:rsidR="00636682" w:rsidRPr="00A2410D" w:rsidRDefault="00636682" w:rsidP="00CC3874">
            <w:pPr>
              <w:ind w:left="-676" w:firstLine="676"/>
              <w:jc w:val="center"/>
              <w:rPr>
                <w:b/>
                <w:i/>
              </w:rPr>
            </w:pPr>
            <w:r w:rsidRPr="00A2410D">
              <w:rPr>
                <w:b/>
                <w:i/>
              </w:rPr>
              <w:t>VCE</w:t>
            </w:r>
          </w:p>
          <w:p w14:paraId="1120479D" w14:textId="77777777" w:rsidR="00636682" w:rsidRPr="00A2410D" w:rsidRDefault="00636682" w:rsidP="00CC3874">
            <w:pPr>
              <w:ind w:left="-676" w:firstLine="676"/>
              <w:jc w:val="center"/>
              <w:rPr>
                <w:i/>
                <w:sz w:val="24"/>
                <w:szCs w:val="24"/>
              </w:rPr>
            </w:pPr>
            <w:r w:rsidRPr="00A2410D">
              <w:rPr>
                <w:b/>
                <w:i/>
              </w:rPr>
              <w:t>(Robust)</w:t>
            </w:r>
          </w:p>
        </w:tc>
        <w:tc>
          <w:tcPr>
            <w:tcW w:w="1276" w:type="dxa"/>
            <w:tcBorders>
              <w:bottom w:val="single" w:sz="12" w:space="0" w:color="auto"/>
            </w:tcBorders>
            <w:shd w:val="clear" w:color="auto" w:fill="auto"/>
            <w:vAlign w:val="center"/>
          </w:tcPr>
          <w:p w14:paraId="1E680EF4" w14:textId="77777777" w:rsidR="00636682" w:rsidRPr="00A2410D" w:rsidRDefault="00636682" w:rsidP="00CC3874">
            <w:pPr>
              <w:ind w:left="-109"/>
              <w:jc w:val="center"/>
              <w:rPr>
                <w:b/>
                <w:i/>
              </w:rPr>
            </w:pPr>
            <w:r w:rsidRPr="00A2410D">
              <w:rPr>
                <w:b/>
                <w:i/>
              </w:rPr>
              <w:t>Dinâmico (GMM)</w:t>
            </w:r>
          </w:p>
        </w:tc>
      </w:tr>
      <w:bookmarkEnd w:id="27"/>
      <w:tr w:rsidR="00636682" w:rsidRPr="00A2410D" w14:paraId="03A6E662" w14:textId="77777777" w:rsidTr="00CC3874">
        <w:trPr>
          <w:trHeight w:val="255"/>
        </w:trPr>
        <w:tc>
          <w:tcPr>
            <w:tcW w:w="2410" w:type="dxa"/>
            <w:tcBorders>
              <w:top w:val="single" w:sz="12" w:space="0" w:color="auto"/>
            </w:tcBorders>
            <w:shd w:val="clear" w:color="auto" w:fill="auto"/>
            <w:vAlign w:val="center"/>
          </w:tcPr>
          <w:p w14:paraId="73F7B5F3" w14:textId="77777777" w:rsidR="00636682" w:rsidRPr="00A2410D" w:rsidRDefault="00636682" w:rsidP="00CC3874">
            <w:pPr>
              <w:jc w:val="both"/>
              <w:rPr>
                <w:sz w:val="24"/>
                <w:szCs w:val="24"/>
              </w:rPr>
            </w:pPr>
            <w:r w:rsidRPr="00A2410D">
              <w:rPr>
                <w:b/>
              </w:rPr>
              <w:t>S erros robustos (ETR -1)</w:t>
            </w:r>
          </w:p>
        </w:tc>
        <w:tc>
          <w:tcPr>
            <w:tcW w:w="1418" w:type="dxa"/>
            <w:tcBorders>
              <w:top w:val="single" w:sz="12" w:space="0" w:color="auto"/>
            </w:tcBorders>
            <w:shd w:val="clear" w:color="auto" w:fill="auto"/>
            <w:vAlign w:val="center"/>
          </w:tcPr>
          <w:p w14:paraId="010C28B6" w14:textId="77777777" w:rsidR="00636682" w:rsidRPr="00A2410D" w:rsidRDefault="00636682" w:rsidP="00CC3874">
            <w:pPr>
              <w:jc w:val="center"/>
              <w:rPr>
                <w:sz w:val="24"/>
                <w:szCs w:val="24"/>
              </w:rPr>
            </w:pPr>
            <w:r w:rsidRPr="00A2410D">
              <w:rPr>
                <w:b/>
              </w:rPr>
              <w:t>-</w:t>
            </w:r>
          </w:p>
        </w:tc>
        <w:tc>
          <w:tcPr>
            <w:tcW w:w="1417" w:type="dxa"/>
            <w:tcBorders>
              <w:top w:val="single" w:sz="12" w:space="0" w:color="auto"/>
            </w:tcBorders>
            <w:shd w:val="clear" w:color="auto" w:fill="auto"/>
            <w:vAlign w:val="center"/>
          </w:tcPr>
          <w:p w14:paraId="4A82844A" w14:textId="77777777" w:rsidR="00636682" w:rsidRPr="00A2410D" w:rsidRDefault="00636682" w:rsidP="00CC3874">
            <w:pPr>
              <w:jc w:val="center"/>
              <w:rPr>
                <w:sz w:val="24"/>
                <w:szCs w:val="24"/>
              </w:rPr>
            </w:pPr>
            <w:r w:rsidRPr="00A2410D">
              <w:rPr>
                <w:b/>
              </w:rPr>
              <w:t>-</w:t>
            </w:r>
          </w:p>
        </w:tc>
        <w:tc>
          <w:tcPr>
            <w:tcW w:w="1418" w:type="dxa"/>
            <w:tcBorders>
              <w:top w:val="single" w:sz="12" w:space="0" w:color="auto"/>
            </w:tcBorders>
          </w:tcPr>
          <w:p w14:paraId="0C19F13D" w14:textId="77777777" w:rsidR="00636682" w:rsidRPr="00A2410D" w:rsidRDefault="00636682" w:rsidP="00CC3874">
            <w:pPr>
              <w:jc w:val="center"/>
              <w:rPr>
                <w:b/>
              </w:rPr>
            </w:pPr>
          </w:p>
        </w:tc>
        <w:tc>
          <w:tcPr>
            <w:tcW w:w="1275" w:type="dxa"/>
            <w:tcBorders>
              <w:top w:val="single" w:sz="12" w:space="0" w:color="auto"/>
            </w:tcBorders>
            <w:shd w:val="clear" w:color="auto" w:fill="auto"/>
            <w:vAlign w:val="center"/>
          </w:tcPr>
          <w:p w14:paraId="5A4874BF" w14:textId="77777777" w:rsidR="00636682" w:rsidRPr="00A2410D" w:rsidRDefault="00636682" w:rsidP="00CC3874">
            <w:pPr>
              <w:jc w:val="center"/>
              <w:rPr>
                <w:sz w:val="24"/>
                <w:szCs w:val="24"/>
              </w:rPr>
            </w:pPr>
            <w:r w:rsidRPr="00A2410D">
              <w:rPr>
                <w:b/>
              </w:rPr>
              <w:t>-</w:t>
            </w:r>
          </w:p>
        </w:tc>
        <w:tc>
          <w:tcPr>
            <w:tcW w:w="1276" w:type="dxa"/>
            <w:tcBorders>
              <w:top w:val="single" w:sz="12" w:space="0" w:color="auto"/>
            </w:tcBorders>
            <w:shd w:val="clear" w:color="auto" w:fill="auto"/>
            <w:vAlign w:val="center"/>
          </w:tcPr>
          <w:p w14:paraId="28B39715" w14:textId="77777777" w:rsidR="00636682" w:rsidRPr="00A2410D" w:rsidRDefault="00636682" w:rsidP="00CC3874">
            <w:pPr>
              <w:ind w:left="-676" w:firstLine="676"/>
              <w:jc w:val="center"/>
            </w:pPr>
            <w:r w:rsidRPr="00A2410D">
              <w:t>.1249621</w:t>
            </w:r>
          </w:p>
          <w:p w14:paraId="0CB7D65A" w14:textId="77777777" w:rsidR="00636682" w:rsidRPr="00A2410D" w:rsidRDefault="00636682" w:rsidP="00CC3874">
            <w:pPr>
              <w:jc w:val="center"/>
              <w:rPr>
                <w:sz w:val="24"/>
                <w:szCs w:val="24"/>
              </w:rPr>
            </w:pPr>
            <w:r w:rsidRPr="00A2410D">
              <w:t>(0.298)</w:t>
            </w:r>
          </w:p>
        </w:tc>
      </w:tr>
      <w:tr w:rsidR="00636682" w:rsidRPr="00A2410D" w14:paraId="73E0EBB3" w14:textId="77777777" w:rsidTr="00CC3874">
        <w:trPr>
          <w:trHeight w:val="255"/>
        </w:trPr>
        <w:tc>
          <w:tcPr>
            <w:tcW w:w="2410" w:type="dxa"/>
            <w:shd w:val="clear" w:color="auto" w:fill="auto"/>
            <w:vAlign w:val="center"/>
          </w:tcPr>
          <w:p w14:paraId="34E0ED1B" w14:textId="77777777" w:rsidR="00636682" w:rsidRPr="00A2410D" w:rsidRDefault="00636682" w:rsidP="00CC3874">
            <w:pPr>
              <w:jc w:val="both"/>
              <w:rPr>
                <w:sz w:val="24"/>
                <w:szCs w:val="24"/>
              </w:rPr>
            </w:pPr>
            <w:r w:rsidRPr="00A2410D">
              <w:rPr>
                <w:b/>
              </w:rPr>
              <w:t>TAM</w:t>
            </w:r>
          </w:p>
        </w:tc>
        <w:tc>
          <w:tcPr>
            <w:tcW w:w="1418" w:type="dxa"/>
            <w:shd w:val="clear" w:color="auto" w:fill="auto"/>
            <w:vAlign w:val="center"/>
          </w:tcPr>
          <w:p w14:paraId="33F504CB" w14:textId="77777777" w:rsidR="00636682" w:rsidRPr="00A2410D" w:rsidRDefault="00636682" w:rsidP="00CC3874">
            <w:pPr>
              <w:jc w:val="center"/>
            </w:pPr>
            <w:r w:rsidRPr="00A2410D">
              <w:t>-.0152632</w:t>
            </w:r>
          </w:p>
          <w:p w14:paraId="59C5AD5F" w14:textId="77777777" w:rsidR="00636682" w:rsidRPr="00A2410D" w:rsidRDefault="00636682" w:rsidP="00CC3874">
            <w:pPr>
              <w:jc w:val="center"/>
            </w:pPr>
            <w:r w:rsidRPr="00A2410D">
              <w:t>(0.063)</w:t>
            </w:r>
          </w:p>
        </w:tc>
        <w:tc>
          <w:tcPr>
            <w:tcW w:w="1417" w:type="dxa"/>
            <w:shd w:val="clear" w:color="auto" w:fill="auto"/>
            <w:vAlign w:val="center"/>
          </w:tcPr>
          <w:p w14:paraId="0F98F63F" w14:textId="77777777" w:rsidR="00636682" w:rsidRPr="00A2410D" w:rsidRDefault="00636682" w:rsidP="00CC3874">
            <w:pPr>
              <w:jc w:val="center"/>
            </w:pPr>
            <w:r w:rsidRPr="00A2410D">
              <w:t>.0733779</w:t>
            </w:r>
          </w:p>
          <w:p w14:paraId="7A2B9577" w14:textId="77777777" w:rsidR="00636682" w:rsidRPr="00A2410D" w:rsidRDefault="00636682" w:rsidP="00CC3874">
            <w:pPr>
              <w:jc w:val="center"/>
            </w:pPr>
            <w:r w:rsidRPr="00A2410D">
              <w:t>(0.057)</w:t>
            </w:r>
          </w:p>
        </w:tc>
        <w:tc>
          <w:tcPr>
            <w:tcW w:w="1418" w:type="dxa"/>
          </w:tcPr>
          <w:p w14:paraId="7511FA7A" w14:textId="77777777" w:rsidR="00636682" w:rsidRPr="00A2410D" w:rsidRDefault="00636682" w:rsidP="00CC3874">
            <w:pPr>
              <w:jc w:val="center"/>
            </w:pPr>
            <w:r w:rsidRPr="00A2410D">
              <w:t>-.0104995</w:t>
            </w:r>
          </w:p>
          <w:p w14:paraId="4DC30B16" w14:textId="77777777" w:rsidR="00636682" w:rsidRPr="00A2410D" w:rsidRDefault="00636682" w:rsidP="00CC3874">
            <w:pPr>
              <w:ind w:left="-676" w:firstLine="676"/>
              <w:jc w:val="center"/>
            </w:pPr>
            <w:r w:rsidRPr="00A2410D">
              <w:t>(0.403)</w:t>
            </w:r>
          </w:p>
        </w:tc>
        <w:tc>
          <w:tcPr>
            <w:tcW w:w="1275" w:type="dxa"/>
            <w:shd w:val="clear" w:color="auto" w:fill="auto"/>
            <w:vAlign w:val="center"/>
          </w:tcPr>
          <w:p w14:paraId="4E8D3311" w14:textId="77777777" w:rsidR="00636682" w:rsidRPr="00A2410D" w:rsidRDefault="00636682" w:rsidP="00CC3874">
            <w:pPr>
              <w:ind w:left="-676" w:firstLine="676"/>
              <w:jc w:val="center"/>
            </w:pPr>
            <w:r w:rsidRPr="00A2410D">
              <w:t>-.0104995</w:t>
            </w:r>
          </w:p>
          <w:p w14:paraId="19ECF87B" w14:textId="77777777" w:rsidR="00636682" w:rsidRPr="00A2410D" w:rsidRDefault="00636682" w:rsidP="00CC3874">
            <w:pPr>
              <w:jc w:val="center"/>
            </w:pPr>
            <w:r w:rsidRPr="00A2410D">
              <w:t>(0.463)</w:t>
            </w:r>
          </w:p>
        </w:tc>
        <w:tc>
          <w:tcPr>
            <w:tcW w:w="1276" w:type="dxa"/>
            <w:shd w:val="clear" w:color="auto" w:fill="auto"/>
            <w:vAlign w:val="center"/>
          </w:tcPr>
          <w:p w14:paraId="33055057" w14:textId="77777777" w:rsidR="00636682" w:rsidRPr="00770D10" w:rsidRDefault="00636682" w:rsidP="00CC3874">
            <w:pPr>
              <w:ind w:left="-676" w:firstLine="676"/>
              <w:jc w:val="center"/>
            </w:pPr>
            <w:r w:rsidRPr="00770D10">
              <w:t>.1528597</w:t>
            </w:r>
          </w:p>
          <w:p w14:paraId="6DE7E249" w14:textId="77777777" w:rsidR="00636682" w:rsidRPr="00770D10" w:rsidRDefault="00636682" w:rsidP="00CC3874">
            <w:pPr>
              <w:jc w:val="center"/>
            </w:pPr>
            <w:r w:rsidRPr="00770D10">
              <w:t>(0.020)</w:t>
            </w:r>
          </w:p>
        </w:tc>
      </w:tr>
      <w:tr w:rsidR="00636682" w:rsidRPr="00A2410D" w14:paraId="6F2ECB33" w14:textId="77777777" w:rsidTr="00CC3874">
        <w:trPr>
          <w:trHeight w:val="255"/>
        </w:trPr>
        <w:tc>
          <w:tcPr>
            <w:tcW w:w="2410" w:type="dxa"/>
            <w:shd w:val="clear" w:color="auto" w:fill="auto"/>
            <w:vAlign w:val="center"/>
          </w:tcPr>
          <w:p w14:paraId="16BF227F" w14:textId="77777777" w:rsidR="00636682" w:rsidRPr="00A2410D" w:rsidRDefault="00636682" w:rsidP="00CC3874">
            <w:pPr>
              <w:jc w:val="both"/>
              <w:rPr>
                <w:sz w:val="24"/>
                <w:szCs w:val="24"/>
              </w:rPr>
            </w:pPr>
            <w:r w:rsidRPr="00A2410D">
              <w:rPr>
                <w:b/>
              </w:rPr>
              <w:t>ALAV</w:t>
            </w:r>
          </w:p>
        </w:tc>
        <w:tc>
          <w:tcPr>
            <w:tcW w:w="1418" w:type="dxa"/>
            <w:shd w:val="clear" w:color="auto" w:fill="auto"/>
            <w:vAlign w:val="center"/>
          </w:tcPr>
          <w:p w14:paraId="3D9B2E57" w14:textId="77777777" w:rsidR="00636682" w:rsidRPr="00A2410D" w:rsidRDefault="00636682" w:rsidP="00CC3874">
            <w:pPr>
              <w:jc w:val="center"/>
            </w:pPr>
            <w:r w:rsidRPr="00A2410D">
              <w:t>.0972297</w:t>
            </w:r>
          </w:p>
          <w:p w14:paraId="054D8F09" w14:textId="77777777" w:rsidR="00636682" w:rsidRPr="00A2410D" w:rsidRDefault="00636682" w:rsidP="00CC3874">
            <w:pPr>
              <w:jc w:val="center"/>
            </w:pPr>
            <w:r w:rsidRPr="00A2410D">
              <w:t>(0.015)</w:t>
            </w:r>
          </w:p>
        </w:tc>
        <w:tc>
          <w:tcPr>
            <w:tcW w:w="1417" w:type="dxa"/>
            <w:shd w:val="clear" w:color="auto" w:fill="auto"/>
            <w:vAlign w:val="center"/>
          </w:tcPr>
          <w:p w14:paraId="0B74EE11" w14:textId="77777777" w:rsidR="00636682" w:rsidRPr="00A2410D" w:rsidRDefault="00636682" w:rsidP="00CC3874">
            <w:pPr>
              <w:jc w:val="center"/>
            </w:pPr>
            <w:r w:rsidRPr="00A2410D">
              <w:t>-.0347962</w:t>
            </w:r>
          </w:p>
          <w:p w14:paraId="1FDDB295" w14:textId="77777777" w:rsidR="00636682" w:rsidRPr="00A2410D" w:rsidRDefault="00636682" w:rsidP="00CC3874">
            <w:pPr>
              <w:jc w:val="center"/>
            </w:pPr>
            <w:r w:rsidRPr="00A2410D">
              <w:t>(0.675)</w:t>
            </w:r>
          </w:p>
        </w:tc>
        <w:tc>
          <w:tcPr>
            <w:tcW w:w="1418" w:type="dxa"/>
          </w:tcPr>
          <w:p w14:paraId="1718BEA5" w14:textId="77777777" w:rsidR="00636682" w:rsidRPr="00A2410D" w:rsidRDefault="00636682" w:rsidP="00CC3874">
            <w:pPr>
              <w:jc w:val="center"/>
            </w:pPr>
            <w:r w:rsidRPr="00A2410D">
              <w:t>.0132294</w:t>
            </w:r>
          </w:p>
          <w:p w14:paraId="2B56827B" w14:textId="77777777" w:rsidR="00636682" w:rsidRPr="00A2410D" w:rsidRDefault="00636682" w:rsidP="00CC3874">
            <w:pPr>
              <w:ind w:left="-676" w:firstLine="676"/>
              <w:jc w:val="center"/>
            </w:pPr>
            <w:r w:rsidRPr="00A2410D">
              <w:t>(0.806)</w:t>
            </w:r>
          </w:p>
        </w:tc>
        <w:tc>
          <w:tcPr>
            <w:tcW w:w="1275" w:type="dxa"/>
            <w:shd w:val="clear" w:color="auto" w:fill="auto"/>
            <w:vAlign w:val="center"/>
          </w:tcPr>
          <w:p w14:paraId="30D8678D" w14:textId="77777777" w:rsidR="00636682" w:rsidRPr="00A2410D" w:rsidRDefault="00636682" w:rsidP="00CC3874">
            <w:pPr>
              <w:ind w:left="-676" w:firstLine="676"/>
              <w:jc w:val="center"/>
            </w:pPr>
            <w:r w:rsidRPr="00A2410D">
              <w:t>.0132294</w:t>
            </w:r>
          </w:p>
          <w:p w14:paraId="79094EE8" w14:textId="77777777" w:rsidR="00636682" w:rsidRPr="00A2410D" w:rsidRDefault="00636682" w:rsidP="00CC3874">
            <w:pPr>
              <w:jc w:val="center"/>
            </w:pPr>
            <w:r w:rsidRPr="00A2410D">
              <w:t>(0.831)</w:t>
            </w:r>
          </w:p>
        </w:tc>
        <w:tc>
          <w:tcPr>
            <w:tcW w:w="1276" w:type="dxa"/>
            <w:shd w:val="clear" w:color="auto" w:fill="auto"/>
            <w:vAlign w:val="center"/>
          </w:tcPr>
          <w:p w14:paraId="75250D71" w14:textId="77777777" w:rsidR="00636682" w:rsidRPr="00770D10" w:rsidRDefault="00636682" w:rsidP="00CC3874">
            <w:pPr>
              <w:ind w:left="-676" w:firstLine="676"/>
              <w:jc w:val="center"/>
            </w:pPr>
            <w:r w:rsidRPr="00770D10">
              <w:t>.0406653</w:t>
            </w:r>
          </w:p>
          <w:p w14:paraId="2981AF4C" w14:textId="77777777" w:rsidR="00636682" w:rsidRPr="00770D10" w:rsidRDefault="00636682" w:rsidP="00CC3874">
            <w:pPr>
              <w:jc w:val="center"/>
            </w:pPr>
            <w:r w:rsidRPr="00770D10">
              <w:t>(0.778)</w:t>
            </w:r>
          </w:p>
        </w:tc>
      </w:tr>
      <w:tr w:rsidR="00636682" w:rsidRPr="00A2410D" w14:paraId="647EFBBF" w14:textId="77777777" w:rsidTr="00CC3874">
        <w:trPr>
          <w:trHeight w:val="255"/>
        </w:trPr>
        <w:tc>
          <w:tcPr>
            <w:tcW w:w="2410" w:type="dxa"/>
            <w:shd w:val="clear" w:color="auto" w:fill="auto"/>
            <w:vAlign w:val="center"/>
          </w:tcPr>
          <w:p w14:paraId="71366680" w14:textId="77777777" w:rsidR="00636682" w:rsidRPr="00A2410D" w:rsidRDefault="00636682" w:rsidP="00CC3874">
            <w:pPr>
              <w:jc w:val="both"/>
              <w:rPr>
                <w:sz w:val="24"/>
                <w:szCs w:val="24"/>
              </w:rPr>
            </w:pPr>
            <w:r w:rsidRPr="00A2410D">
              <w:rPr>
                <w:b/>
              </w:rPr>
              <w:t>CDIV</w:t>
            </w:r>
          </w:p>
        </w:tc>
        <w:tc>
          <w:tcPr>
            <w:tcW w:w="1418" w:type="dxa"/>
            <w:shd w:val="clear" w:color="auto" w:fill="auto"/>
            <w:vAlign w:val="center"/>
          </w:tcPr>
          <w:p w14:paraId="4F0729D2" w14:textId="77777777" w:rsidR="00636682" w:rsidRPr="00A2410D" w:rsidRDefault="00636682" w:rsidP="00CC3874">
            <w:pPr>
              <w:jc w:val="center"/>
            </w:pPr>
            <w:r w:rsidRPr="00A2410D">
              <w:t>.0001823</w:t>
            </w:r>
          </w:p>
          <w:p w14:paraId="60DC37BA" w14:textId="77777777" w:rsidR="00636682" w:rsidRPr="00A2410D" w:rsidRDefault="00636682" w:rsidP="00CC3874">
            <w:pPr>
              <w:jc w:val="center"/>
            </w:pPr>
            <w:r w:rsidRPr="00A2410D">
              <w:t>(0.166)</w:t>
            </w:r>
          </w:p>
        </w:tc>
        <w:tc>
          <w:tcPr>
            <w:tcW w:w="1417" w:type="dxa"/>
            <w:shd w:val="clear" w:color="auto" w:fill="auto"/>
            <w:vAlign w:val="center"/>
          </w:tcPr>
          <w:p w14:paraId="7B52BD9F" w14:textId="77777777" w:rsidR="00636682" w:rsidRPr="00A2410D" w:rsidRDefault="00636682" w:rsidP="00CC3874">
            <w:pPr>
              <w:jc w:val="center"/>
            </w:pPr>
            <w:r w:rsidRPr="00A2410D">
              <w:t>-.0011076</w:t>
            </w:r>
          </w:p>
          <w:p w14:paraId="304181E9" w14:textId="77777777" w:rsidR="00636682" w:rsidRPr="00A2410D" w:rsidRDefault="00636682" w:rsidP="00CC3874">
            <w:pPr>
              <w:jc w:val="center"/>
            </w:pPr>
            <w:r w:rsidRPr="00A2410D">
              <w:t>(0.001)</w:t>
            </w:r>
          </w:p>
        </w:tc>
        <w:tc>
          <w:tcPr>
            <w:tcW w:w="1418" w:type="dxa"/>
          </w:tcPr>
          <w:p w14:paraId="5C2198F1" w14:textId="77777777" w:rsidR="00636682" w:rsidRPr="00A2410D" w:rsidRDefault="00636682" w:rsidP="00CC3874">
            <w:pPr>
              <w:jc w:val="center"/>
            </w:pPr>
            <w:r w:rsidRPr="00A2410D">
              <w:t>.0001533</w:t>
            </w:r>
          </w:p>
          <w:p w14:paraId="0FF53277" w14:textId="77777777" w:rsidR="00636682" w:rsidRPr="00A2410D" w:rsidRDefault="00636682" w:rsidP="00CC3874">
            <w:pPr>
              <w:ind w:left="-676" w:firstLine="676"/>
              <w:jc w:val="center"/>
            </w:pPr>
            <w:r w:rsidRPr="00A2410D">
              <w:t>(0.952)</w:t>
            </w:r>
          </w:p>
        </w:tc>
        <w:tc>
          <w:tcPr>
            <w:tcW w:w="1275" w:type="dxa"/>
            <w:shd w:val="clear" w:color="auto" w:fill="auto"/>
            <w:vAlign w:val="center"/>
          </w:tcPr>
          <w:p w14:paraId="4C9DBBB2" w14:textId="77777777" w:rsidR="00636682" w:rsidRPr="00A2410D" w:rsidRDefault="00636682" w:rsidP="00CC3874">
            <w:pPr>
              <w:ind w:left="-676" w:firstLine="676"/>
              <w:jc w:val="center"/>
            </w:pPr>
            <w:r w:rsidRPr="00A2410D">
              <w:t>.0000245</w:t>
            </w:r>
          </w:p>
          <w:p w14:paraId="5A368BE8" w14:textId="77777777" w:rsidR="00636682" w:rsidRPr="00A2410D" w:rsidRDefault="00636682" w:rsidP="00CC3874">
            <w:pPr>
              <w:jc w:val="center"/>
            </w:pPr>
            <w:r w:rsidRPr="00A2410D">
              <w:t>(0.709)</w:t>
            </w:r>
          </w:p>
        </w:tc>
        <w:tc>
          <w:tcPr>
            <w:tcW w:w="1276" w:type="dxa"/>
            <w:shd w:val="clear" w:color="auto" w:fill="auto"/>
            <w:vAlign w:val="center"/>
          </w:tcPr>
          <w:p w14:paraId="79A220DD" w14:textId="77777777" w:rsidR="00636682" w:rsidRPr="00770D10" w:rsidRDefault="00636682" w:rsidP="00CC3874">
            <w:pPr>
              <w:ind w:left="-676" w:firstLine="676"/>
              <w:jc w:val="center"/>
            </w:pPr>
            <w:r w:rsidRPr="00770D10">
              <w:t>-.0007393</w:t>
            </w:r>
          </w:p>
          <w:p w14:paraId="5BD3B977" w14:textId="77777777" w:rsidR="00636682" w:rsidRPr="00770D10" w:rsidRDefault="00636682" w:rsidP="00CC3874">
            <w:pPr>
              <w:jc w:val="center"/>
            </w:pPr>
            <w:r w:rsidRPr="00770D10">
              <w:t>(0.705)</w:t>
            </w:r>
          </w:p>
        </w:tc>
      </w:tr>
      <w:tr w:rsidR="00636682" w:rsidRPr="00A2410D" w14:paraId="06FD112B" w14:textId="77777777" w:rsidTr="00CC3874">
        <w:trPr>
          <w:trHeight w:val="255"/>
        </w:trPr>
        <w:tc>
          <w:tcPr>
            <w:tcW w:w="2410" w:type="dxa"/>
            <w:shd w:val="clear" w:color="auto" w:fill="auto"/>
            <w:vAlign w:val="center"/>
          </w:tcPr>
          <w:p w14:paraId="768CAF57" w14:textId="77777777" w:rsidR="00636682" w:rsidRPr="00A2410D" w:rsidRDefault="00636682" w:rsidP="00CC3874">
            <w:pPr>
              <w:jc w:val="both"/>
              <w:rPr>
                <w:sz w:val="24"/>
                <w:szCs w:val="24"/>
              </w:rPr>
            </w:pPr>
            <w:r w:rsidRPr="00A2410D">
              <w:rPr>
                <w:b/>
              </w:rPr>
              <w:t>INTC</w:t>
            </w:r>
          </w:p>
        </w:tc>
        <w:tc>
          <w:tcPr>
            <w:tcW w:w="1418" w:type="dxa"/>
            <w:shd w:val="clear" w:color="auto" w:fill="auto"/>
            <w:vAlign w:val="center"/>
          </w:tcPr>
          <w:p w14:paraId="0E2F9E76" w14:textId="77777777" w:rsidR="00636682" w:rsidRPr="00A2410D" w:rsidRDefault="00636682" w:rsidP="00CC3874">
            <w:pPr>
              <w:jc w:val="center"/>
            </w:pPr>
            <w:r w:rsidRPr="00A2410D">
              <w:t>-.0180927</w:t>
            </w:r>
          </w:p>
          <w:p w14:paraId="53DEC01A" w14:textId="77777777" w:rsidR="00636682" w:rsidRPr="00A2410D" w:rsidRDefault="00636682" w:rsidP="00CC3874">
            <w:pPr>
              <w:jc w:val="center"/>
            </w:pPr>
            <w:r w:rsidRPr="00A2410D">
              <w:t>(0.507)</w:t>
            </w:r>
          </w:p>
        </w:tc>
        <w:tc>
          <w:tcPr>
            <w:tcW w:w="1417" w:type="dxa"/>
            <w:shd w:val="clear" w:color="auto" w:fill="auto"/>
            <w:vAlign w:val="center"/>
          </w:tcPr>
          <w:p w14:paraId="237C77DE" w14:textId="77777777" w:rsidR="00636682" w:rsidRPr="00A2410D" w:rsidRDefault="00636682" w:rsidP="00CC3874">
            <w:pPr>
              <w:jc w:val="center"/>
            </w:pPr>
            <w:r w:rsidRPr="00A2410D">
              <w:t>.1979222</w:t>
            </w:r>
          </w:p>
          <w:p w14:paraId="790F51FE" w14:textId="77777777" w:rsidR="00636682" w:rsidRPr="00A2410D" w:rsidRDefault="00636682" w:rsidP="00CC3874">
            <w:pPr>
              <w:jc w:val="center"/>
            </w:pPr>
            <w:r w:rsidRPr="00A2410D">
              <w:t>(0.019)</w:t>
            </w:r>
          </w:p>
        </w:tc>
        <w:tc>
          <w:tcPr>
            <w:tcW w:w="1418" w:type="dxa"/>
          </w:tcPr>
          <w:p w14:paraId="5BC96F03" w14:textId="77777777" w:rsidR="00636682" w:rsidRPr="00A2410D" w:rsidRDefault="00636682" w:rsidP="00CC3874">
            <w:pPr>
              <w:jc w:val="center"/>
            </w:pPr>
            <w:r w:rsidRPr="00A2410D">
              <w:t>.0145033</w:t>
            </w:r>
          </w:p>
          <w:p w14:paraId="59B4BC1A" w14:textId="77777777" w:rsidR="00636682" w:rsidRPr="00A2410D" w:rsidRDefault="00636682" w:rsidP="00CC3874">
            <w:pPr>
              <w:ind w:left="-676" w:firstLine="676"/>
              <w:jc w:val="center"/>
            </w:pPr>
            <w:r w:rsidRPr="00A2410D">
              <w:t>(0.717)</w:t>
            </w:r>
          </w:p>
        </w:tc>
        <w:tc>
          <w:tcPr>
            <w:tcW w:w="1275" w:type="dxa"/>
            <w:shd w:val="clear" w:color="auto" w:fill="auto"/>
            <w:vAlign w:val="center"/>
          </w:tcPr>
          <w:p w14:paraId="05A10E83" w14:textId="77777777" w:rsidR="00636682" w:rsidRPr="00A2410D" w:rsidRDefault="00636682" w:rsidP="00CC3874">
            <w:pPr>
              <w:ind w:left="-676" w:firstLine="676"/>
              <w:jc w:val="center"/>
            </w:pPr>
            <w:r w:rsidRPr="00A2410D">
              <w:t>.0145033</w:t>
            </w:r>
          </w:p>
          <w:p w14:paraId="0EB65BA2" w14:textId="77777777" w:rsidR="00636682" w:rsidRPr="00A2410D" w:rsidRDefault="00636682" w:rsidP="00CC3874">
            <w:pPr>
              <w:jc w:val="center"/>
            </w:pPr>
            <w:r w:rsidRPr="00A2410D">
              <w:t>(0.730)</w:t>
            </w:r>
          </w:p>
        </w:tc>
        <w:tc>
          <w:tcPr>
            <w:tcW w:w="1276" w:type="dxa"/>
            <w:shd w:val="clear" w:color="auto" w:fill="auto"/>
            <w:vAlign w:val="center"/>
          </w:tcPr>
          <w:p w14:paraId="04E6177E" w14:textId="77777777" w:rsidR="00636682" w:rsidRPr="00770D10" w:rsidRDefault="00636682" w:rsidP="00CC3874">
            <w:pPr>
              <w:ind w:left="-676" w:firstLine="676"/>
              <w:jc w:val="center"/>
            </w:pPr>
            <w:r w:rsidRPr="00770D10">
              <w:t>.0108853</w:t>
            </w:r>
          </w:p>
          <w:p w14:paraId="0A1FF4C0" w14:textId="77777777" w:rsidR="00636682" w:rsidRPr="00770D10" w:rsidRDefault="00636682" w:rsidP="00CC3874">
            <w:pPr>
              <w:jc w:val="center"/>
            </w:pPr>
            <w:r w:rsidRPr="00770D10">
              <w:t>(0.944)</w:t>
            </w:r>
          </w:p>
        </w:tc>
      </w:tr>
      <w:tr w:rsidR="00636682" w:rsidRPr="00A2410D" w14:paraId="058A8D62" w14:textId="77777777" w:rsidTr="00CC3874">
        <w:trPr>
          <w:trHeight w:val="255"/>
        </w:trPr>
        <w:tc>
          <w:tcPr>
            <w:tcW w:w="2410" w:type="dxa"/>
            <w:shd w:val="clear" w:color="auto" w:fill="auto"/>
            <w:vAlign w:val="center"/>
          </w:tcPr>
          <w:p w14:paraId="35884091" w14:textId="77777777" w:rsidR="00636682" w:rsidRPr="00A2410D" w:rsidRDefault="00636682" w:rsidP="00CC3874">
            <w:pPr>
              <w:jc w:val="both"/>
              <w:rPr>
                <w:sz w:val="24"/>
                <w:szCs w:val="24"/>
              </w:rPr>
            </w:pPr>
            <w:r w:rsidRPr="00A2410D">
              <w:rPr>
                <w:b/>
              </w:rPr>
              <w:t>DANC</w:t>
            </w:r>
          </w:p>
        </w:tc>
        <w:tc>
          <w:tcPr>
            <w:tcW w:w="1418" w:type="dxa"/>
            <w:shd w:val="clear" w:color="auto" w:fill="auto"/>
            <w:vAlign w:val="center"/>
          </w:tcPr>
          <w:p w14:paraId="4721B904" w14:textId="77777777" w:rsidR="00636682" w:rsidRPr="00A2410D" w:rsidRDefault="00636682" w:rsidP="00CC3874">
            <w:pPr>
              <w:jc w:val="center"/>
            </w:pPr>
            <w:r w:rsidRPr="00A2410D">
              <w:t>1.37658</w:t>
            </w:r>
          </w:p>
          <w:p w14:paraId="73C3AD16" w14:textId="77777777" w:rsidR="00636682" w:rsidRPr="00A2410D" w:rsidRDefault="00636682" w:rsidP="00CC3874">
            <w:pPr>
              <w:jc w:val="center"/>
            </w:pPr>
            <w:r w:rsidRPr="00A2410D">
              <w:t>(0.000)</w:t>
            </w:r>
          </w:p>
        </w:tc>
        <w:tc>
          <w:tcPr>
            <w:tcW w:w="1417" w:type="dxa"/>
            <w:shd w:val="clear" w:color="auto" w:fill="auto"/>
            <w:vAlign w:val="center"/>
          </w:tcPr>
          <w:p w14:paraId="34D40EA4" w14:textId="77777777" w:rsidR="00636682" w:rsidRPr="00A2410D" w:rsidRDefault="00636682" w:rsidP="00CC3874">
            <w:pPr>
              <w:jc w:val="center"/>
            </w:pPr>
            <w:r w:rsidRPr="00A2410D">
              <w:t>.5355873</w:t>
            </w:r>
          </w:p>
          <w:p w14:paraId="464287EA" w14:textId="77777777" w:rsidR="00636682" w:rsidRPr="00A2410D" w:rsidRDefault="00636682" w:rsidP="00CC3874">
            <w:pPr>
              <w:jc w:val="center"/>
            </w:pPr>
            <w:r w:rsidRPr="00A2410D">
              <w:t>(0.340)</w:t>
            </w:r>
          </w:p>
        </w:tc>
        <w:tc>
          <w:tcPr>
            <w:tcW w:w="1418" w:type="dxa"/>
          </w:tcPr>
          <w:p w14:paraId="0164E9CA" w14:textId="77777777" w:rsidR="00636682" w:rsidRPr="00A2410D" w:rsidRDefault="00636682" w:rsidP="00CC3874">
            <w:pPr>
              <w:jc w:val="center"/>
            </w:pPr>
            <w:r w:rsidRPr="00A2410D">
              <w:t>1.250746</w:t>
            </w:r>
          </w:p>
          <w:p w14:paraId="17698C54" w14:textId="77777777" w:rsidR="00636682" w:rsidRPr="00A2410D" w:rsidRDefault="00636682" w:rsidP="00CC3874">
            <w:pPr>
              <w:ind w:left="-676" w:firstLine="676"/>
              <w:jc w:val="center"/>
            </w:pPr>
            <w:r w:rsidRPr="00A2410D">
              <w:t>(0.001)</w:t>
            </w:r>
          </w:p>
        </w:tc>
        <w:tc>
          <w:tcPr>
            <w:tcW w:w="1275" w:type="dxa"/>
            <w:shd w:val="clear" w:color="auto" w:fill="auto"/>
            <w:vAlign w:val="center"/>
          </w:tcPr>
          <w:p w14:paraId="473930DB" w14:textId="77777777" w:rsidR="00636682" w:rsidRPr="00770D10" w:rsidRDefault="00636682" w:rsidP="00CC3874">
            <w:pPr>
              <w:ind w:left="-676" w:firstLine="676"/>
              <w:jc w:val="center"/>
            </w:pPr>
            <w:r w:rsidRPr="00770D10">
              <w:t>1.250746</w:t>
            </w:r>
          </w:p>
          <w:p w14:paraId="78142BB1" w14:textId="77777777" w:rsidR="00636682" w:rsidRPr="00770D10" w:rsidRDefault="00636682" w:rsidP="00CC3874">
            <w:pPr>
              <w:jc w:val="center"/>
            </w:pPr>
            <w:r w:rsidRPr="00770D10">
              <w:t>(0.006)</w:t>
            </w:r>
          </w:p>
        </w:tc>
        <w:tc>
          <w:tcPr>
            <w:tcW w:w="1276" w:type="dxa"/>
            <w:shd w:val="clear" w:color="auto" w:fill="auto"/>
            <w:vAlign w:val="center"/>
          </w:tcPr>
          <w:p w14:paraId="38DD1DA3" w14:textId="77777777" w:rsidR="00636682" w:rsidRPr="00770D10" w:rsidRDefault="00636682" w:rsidP="00CC3874">
            <w:pPr>
              <w:ind w:left="-676" w:firstLine="676"/>
              <w:jc w:val="center"/>
            </w:pPr>
            <w:r w:rsidRPr="00770D10">
              <w:t>.5867619</w:t>
            </w:r>
          </w:p>
          <w:p w14:paraId="15C6C544" w14:textId="77777777" w:rsidR="00636682" w:rsidRPr="00770D10" w:rsidRDefault="00636682" w:rsidP="00CC3874">
            <w:pPr>
              <w:jc w:val="center"/>
            </w:pPr>
            <w:r w:rsidRPr="00770D10">
              <w:t>(0.509)</w:t>
            </w:r>
          </w:p>
        </w:tc>
      </w:tr>
      <w:tr w:rsidR="00636682" w:rsidRPr="00A2410D" w14:paraId="546A8031" w14:textId="77777777" w:rsidTr="00CC3874">
        <w:trPr>
          <w:trHeight w:val="255"/>
        </w:trPr>
        <w:tc>
          <w:tcPr>
            <w:tcW w:w="2410" w:type="dxa"/>
            <w:shd w:val="clear" w:color="auto" w:fill="auto"/>
            <w:vAlign w:val="center"/>
          </w:tcPr>
          <w:p w14:paraId="2F5EAD9D" w14:textId="77777777" w:rsidR="00636682" w:rsidRPr="00A2410D" w:rsidRDefault="00636682" w:rsidP="00CC3874">
            <w:pPr>
              <w:jc w:val="both"/>
              <w:rPr>
                <w:sz w:val="24"/>
                <w:szCs w:val="24"/>
              </w:rPr>
            </w:pPr>
            <w:r w:rsidRPr="00A2410D">
              <w:rPr>
                <w:b/>
              </w:rPr>
              <w:t>ROA</w:t>
            </w:r>
          </w:p>
        </w:tc>
        <w:tc>
          <w:tcPr>
            <w:tcW w:w="1418" w:type="dxa"/>
            <w:shd w:val="clear" w:color="auto" w:fill="auto"/>
            <w:vAlign w:val="center"/>
          </w:tcPr>
          <w:p w14:paraId="5E371EAC" w14:textId="77777777" w:rsidR="00636682" w:rsidRPr="00A2410D" w:rsidRDefault="00636682" w:rsidP="00CC3874">
            <w:pPr>
              <w:jc w:val="center"/>
            </w:pPr>
            <w:r w:rsidRPr="00A2410D">
              <w:t>-.8509839</w:t>
            </w:r>
          </w:p>
          <w:p w14:paraId="03A0A6FF" w14:textId="77777777" w:rsidR="00636682" w:rsidRPr="00A2410D" w:rsidRDefault="00636682" w:rsidP="00CC3874">
            <w:pPr>
              <w:jc w:val="center"/>
            </w:pPr>
            <w:r w:rsidRPr="00A2410D">
              <w:t>(0.000)</w:t>
            </w:r>
          </w:p>
        </w:tc>
        <w:tc>
          <w:tcPr>
            <w:tcW w:w="1417" w:type="dxa"/>
            <w:shd w:val="clear" w:color="auto" w:fill="auto"/>
            <w:vAlign w:val="center"/>
          </w:tcPr>
          <w:p w14:paraId="45333770" w14:textId="77777777" w:rsidR="00636682" w:rsidRPr="00A2410D" w:rsidRDefault="00636682" w:rsidP="00CC3874">
            <w:pPr>
              <w:jc w:val="center"/>
            </w:pPr>
            <w:r w:rsidRPr="00A2410D">
              <w:t>-1.60577</w:t>
            </w:r>
          </w:p>
          <w:p w14:paraId="58E2A35F" w14:textId="77777777" w:rsidR="00636682" w:rsidRPr="00A2410D" w:rsidRDefault="00636682" w:rsidP="00CC3874">
            <w:pPr>
              <w:jc w:val="center"/>
            </w:pPr>
            <w:r w:rsidRPr="00A2410D">
              <w:t>(0.000)</w:t>
            </w:r>
          </w:p>
        </w:tc>
        <w:tc>
          <w:tcPr>
            <w:tcW w:w="1418" w:type="dxa"/>
          </w:tcPr>
          <w:p w14:paraId="09A24BA2" w14:textId="77777777" w:rsidR="00636682" w:rsidRPr="00A2410D" w:rsidRDefault="00636682" w:rsidP="00CC3874">
            <w:pPr>
              <w:jc w:val="center"/>
            </w:pPr>
            <w:r w:rsidRPr="00A2410D">
              <w:t>-1.177586</w:t>
            </w:r>
          </w:p>
          <w:p w14:paraId="323C2A58" w14:textId="77777777" w:rsidR="00636682" w:rsidRPr="00A2410D" w:rsidRDefault="00636682" w:rsidP="00CC3874">
            <w:pPr>
              <w:jc w:val="center"/>
            </w:pPr>
            <w:r w:rsidRPr="00A2410D">
              <w:t xml:space="preserve">(0.000) </w:t>
            </w:r>
          </w:p>
        </w:tc>
        <w:tc>
          <w:tcPr>
            <w:tcW w:w="1275" w:type="dxa"/>
            <w:shd w:val="clear" w:color="auto" w:fill="auto"/>
            <w:vAlign w:val="center"/>
          </w:tcPr>
          <w:p w14:paraId="4931370D" w14:textId="77777777" w:rsidR="00636682" w:rsidRPr="00770D10" w:rsidRDefault="00636682" w:rsidP="00CC3874">
            <w:pPr>
              <w:jc w:val="center"/>
            </w:pPr>
            <w:r w:rsidRPr="00770D10">
              <w:t>-1.177586</w:t>
            </w:r>
          </w:p>
          <w:p w14:paraId="0019D9B3" w14:textId="77777777" w:rsidR="00636682" w:rsidRPr="00770D10" w:rsidRDefault="00636682" w:rsidP="00CC3874">
            <w:pPr>
              <w:jc w:val="center"/>
            </w:pPr>
            <w:r w:rsidRPr="00770D10">
              <w:t>(0.000)</w:t>
            </w:r>
          </w:p>
        </w:tc>
        <w:tc>
          <w:tcPr>
            <w:tcW w:w="1276" w:type="dxa"/>
            <w:shd w:val="clear" w:color="auto" w:fill="auto"/>
            <w:vAlign w:val="center"/>
          </w:tcPr>
          <w:p w14:paraId="7AC151AF" w14:textId="77777777" w:rsidR="00636682" w:rsidRPr="00770D10" w:rsidRDefault="00636682" w:rsidP="00CC3874">
            <w:pPr>
              <w:ind w:left="-676" w:firstLine="676"/>
              <w:jc w:val="center"/>
            </w:pPr>
            <w:bookmarkStart w:id="29" w:name="_Hlk501113097"/>
            <w:r w:rsidRPr="00770D10">
              <w:t>-1.76071</w:t>
            </w:r>
          </w:p>
          <w:p w14:paraId="6567A67A" w14:textId="77777777" w:rsidR="00636682" w:rsidRPr="00770D10" w:rsidRDefault="00636682" w:rsidP="00CC3874">
            <w:pPr>
              <w:jc w:val="center"/>
            </w:pPr>
            <w:r w:rsidRPr="00770D10">
              <w:t>(0.000)</w:t>
            </w:r>
            <w:bookmarkEnd w:id="29"/>
          </w:p>
        </w:tc>
      </w:tr>
      <w:tr w:rsidR="00636682" w:rsidRPr="00A2410D" w14:paraId="69B1B7F9" w14:textId="77777777" w:rsidTr="00CC3874">
        <w:trPr>
          <w:trHeight w:val="255"/>
        </w:trPr>
        <w:tc>
          <w:tcPr>
            <w:tcW w:w="2410" w:type="dxa"/>
            <w:shd w:val="clear" w:color="auto" w:fill="auto"/>
            <w:vAlign w:val="center"/>
          </w:tcPr>
          <w:p w14:paraId="14C4CAE5" w14:textId="77777777" w:rsidR="00636682" w:rsidRPr="00A2410D" w:rsidRDefault="00636682" w:rsidP="00CC3874">
            <w:pPr>
              <w:jc w:val="both"/>
              <w:rPr>
                <w:sz w:val="24"/>
                <w:szCs w:val="24"/>
              </w:rPr>
            </w:pPr>
            <w:r w:rsidRPr="00A2410D">
              <w:rPr>
                <w:b/>
              </w:rPr>
              <w:t>Constante</w:t>
            </w:r>
          </w:p>
        </w:tc>
        <w:tc>
          <w:tcPr>
            <w:tcW w:w="1418" w:type="dxa"/>
            <w:shd w:val="clear" w:color="auto" w:fill="auto"/>
            <w:vAlign w:val="center"/>
          </w:tcPr>
          <w:p w14:paraId="5CA866AA" w14:textId="77777777" w:rsidR="00636682" w:rsidRPr="00A2410D" w:rsidRDefault="00636682" w:rsidP="00CC3874">
            <w:pPr>
              <w:jc w:val="center"/>
            </w:pPr>
            <w:r w:rsidRPr="00A2410D">
              <w:t>.3226736</w:t>
            </w:r>
          </w:p>
          <w:p w14:paraId="43777FCB" w14:textId="77777777" w:rsidR="00636682" w:rsidRPr="00A2410D" w:rsidRDefault="00636682" w:rsidP="00CC3874">
            <w:pPr>
              <w:jc w:val="center"/>
            </w:pPr>
            <w:r w:rsidRPr="00A2410D">
              <w:t xml:space="preserve">(0.000) </w:t>
            </w:r>
          </w:p>
        </w:tc>
        <w:tc>
          <w:tcPr>
            <w:tcW w:w="1417" w:type="dxa"/>
            <w:shd w:val="clear" w:color="auto" w:fill="auto"/>
            <w:vAlign w:val="center"/>
          </w:tcPr>
          <w:p w14:paraId="5A6E6822" w14:textId="77777777" w:rsidR="00636682" w:rsidRPr="00A2410D" w:rsidRDefault="00636682" w:rsidP="00CC3874">
            <w:pPr>
              <w:jc w:val="center"/>
            </w:pPr>
            <w:r w:rsidRPr="00A2410D">
              <w:t>-.1915101</w:t>
            </w:r>
          </w:p>
          <w:p w14:paraId="589DD4F0" w14:textId="77777777" w:rsidR="00636682" w:rsidRPr="00A2410D" w:rsidRDefault="00636682" w:rsidP="00CC3874">
            <w:pPr>
              <w:jc w:val="center"/>
            </w:pPr>
            <w:r w:rsidRPr="00A2410D">
              <w:t>(0.453)</w:t>
            </w:r>
          </w:p>
        </w:tc>
        <w:tc>
          <w:tcPr>
            <w:tcW w:w="1418" w:type="dxa"/>
          </w:tcPr>
          <w:p w14:paraId="39FEED4E" w14:textId="77777777" w:rsidR="00636682" w:rsidRPr="00A2410D" w:rsidRDefault="00636682" w:rsidP="00CC3874">
            <w:pPr>
              <w:jc w:val="center"/>
            </w:pPr>
            <w:r w:rsidRPr="00A2410D">
              <w:t>.3315631</w:t>
            </w:r>
          </w:p>
          <w:p w14:paraId="03E29551" w14:textId="77777777" w:rsidR="00636682" w:rsidRPr="00A2410D" w:rsidRDefault="00636682" w:rsidP="00CC3874">
            <w:pPr>
              <w:jc w:val="center"/>
            </w:pPr>
            <w:r w:rsidRPr="00A2410D">
              <w:t>(0.000)</w:t>
            </w:r>
          </w:p>
        </w:tc>
        <w:tc>
          <w:tcPr>
            <w:tcW w:w="1275" w:type="dxa"/>
            <w:shd w:val="clear" w:color="auto" w:fill="auto"/>
            <w:vAlign w:val="center"/>
          </w:tcPr>
          <w:p w14:paraId="2686FEF2" w14:textId="77777777" w:rsidR="00636682" w:rsidRPr="00A2410D" w:rsidRDefault="00636682" w:rsidP="00CC3874">
            <w:pPr>
              <w:jc w:val="center"/>
            </w:pPr>
            <w:r w:rsidRPr="00A2410D">
              <w:t>.3315631</w:t>
            </w:r>
          </w:p>
          <w:p w14:paraId="23EF5E6F" w14:textId="77777777" w:rsidR="00636682" w:rsidRPr="00A2410D" w:rsidRDefault="00636682" w:rsidP="00CC3874">
            <w:pPr>
              <w:jc w:val="center"/>
            </w:pPr>
            <w:r w:rsidRPr="00A2410D">
              <w:t>(0.001)</w:t>
            </w:r>
          </w:p>
        </w:tc>
        <w:tc>
          <w:tcPr>
            <w:tcW w:w="1276" w:type="dxa"/>
            <w:shd w:val="clear" w:color="auto" w:fill="auto"/>
          </w:tcPr>
          <w:p w14:paraId="31069DF8" w14:textId="77777777" w:rsidR="00636682" w:rsidRPr="00A2410D" w:rsidRDefault="00636682" w:rsidP="00CC3874">
            <w:pPr>
              <w:ind w:left="-676" w:firstLine="676"/>
              <w:jc w:val="center"/>
            </w:pPr>
            <w:r w:rsidRPr="00A2410D">
              <w:t>-.7131157</w:t>
            </w:r>
          </w:p>
          <w:p w14:paraId="65E6FE2B" w14:textId="77777777" w:rsidR="00636682" w:rsidRPr="00A2410D" w:rsidRDefault="00636682" w:rsidP="00CC3874">
            <w:pPr>
              <w:jc w:val="center"/>
            </w:pPr>
            <w:r w:rsidRPr="00A2410D">
              <w:t xml:space="preserve">(0.104)       </w:t>
            </w:r>
          </w:p>
        </w:tc>
      </w:tr>
      <w:tr w:rsidR="00636682" w:rsidRPr="00A2410D" w14:paraId="78C4D348" w14:textId="77777777" w:rsidTr="00CC3874">
        <w:trPr>
          <w:trHeight w:val="255"/>
        </w:trPr>
        <w:tc>
          <w:tcPr>
            <w:tcW w:w="2410" w:type="dxa"/>
            <w:shd w:val="clear" w:color="auto" w:fill="auto"/>
            <w:vAlign w:val="center"/>
          </w:tcPr>
          <w:p w14:paraId="61EBAB10" w14:textId="77777777" w:rsidR="00636682" w:rsidRPr="00A2410D" w:rsidRDefault="00636682" w:rsidP="00CC3874">
            <w:pPr>
              <w:rPr>
                <w:b/>
              </w:rPr>
            </w:pPr>
            <w:r w:rsidRPr="00A2410D">
              <w:rPr>
                <w:b/>
              </w:rPr>
              <w:t>Prob &gt; F/</w:t>
            </w:r>
          </w:p>
          <w:p w14:paraId="290E7C53" w14:textId="77777777" w:rsidR="00636682" w:rsidRPr="00A2410D" w:rsidRDefault="00636682" w:rsidP="00CC3874">
            <w:pPr>
              <w:jc w:val="both"/>
              <w:rPr>
                <w:sz w:val="24"/>
                <w:szCs w:val="24"/>
              </w:rPr>
            </w:pPr>
            <w:r w:rsidRPr="00A2410D">
              <w:rPr>
                <w:b/>
              </w:rPr>
              <w:t>Prob &gt; chi2**</w:t>
            </w:r>
            <w:r w:rsidRPr="00A2410D">
              <w:rPr>
                <w:rFonts w:ascii="Courier New" w:hAnsi="Courier New" w:cs="Courier New"/>
                <w:sz w:val="16"/>
                <w:szCs w:val="16"/>
              </w:rPr>
              <w:t xml:space="preserve">        </w:t>
            </w:r>
            <w:r w:rsidRPr="00A2410D">
              <w:rPr>
                <w:rFonts w:ascii="Courier New" w:hAnsi="Courier New" w:cs="Courier New"/>
                <w:b/>
                <w:sz w:val="16"/>
                <w:szCs w:val="16"/>
              </w:rPr>
              <w:t xml:space="preserve">      </w:t>
            </w:r>
          </w:p>
        </w:tc>
        <w:tc>
          <w:tcPr>
            <w:tcW w:w="1418" w:type="dxa"/>
            <w:shd w:val="clear" w:color="auto" w:fill="auto"/>
            <w:vAlign w:val="center"/>
          </w:tcPr>
          <w:p w14:paraId="2BC44B21" w14:textId="77777777" w:rsidR="00636682" w:rsidRPr="00A2410D" w:rsidRDefault="00636682" w:rsidP="00CC3874">
            <w:pPr>
              <w:jc w:val="center"/>
            </w:pPr>
            <w:r w:rsidRPr="00A2410D">
              <w:t>17.60</w:t>
            </w:r>
          </w:p>
          <w:p w14:paraId="2482F5B3" w14:textId="77777777" w:rsidR="00636682" w:rsidRPr="00A2410D" w:rsidRDefault="00636682" w:rsidP="00CC3874">
            <w:pPr>
              <w:jc w:val="center"/>
            </w:pPr>
            <w:r w:rsidRPr="00A2410D">
              <w:t>(0.000)</w:t>
            </w:r>
          </w:p>
        </w:tc>
        <w:tc>
          <w:tcPr>
            <w:tcW w:w="1417" w:type="dxa"/>
            <w:shd w:val="clear" w:color="auto" w:fill="auto"/>
            <w:vAlign w:val="center"/>
          </w:tcPr>
          <w:p w14:paraId="4F189D28" w14:textId="77777777" w:rsidR="00636682" w:rsidRPr="00A2410D" w:rsidRDefault="00636682" w:rsidP="00CC3874">
            <w:pPr>
              <w:jc w:val="center"/>
            </w:pPr>
            <w:r w:rsidRPr="00A2410D">
              <w:t>21.95</w:t>
            </w:r>
          </w:p>
          <w:p w14:paraId="7E51EC28" w14:textId="77777777" w:rsidR="00636682" w:rsidRPr="00A2410D" w:rsidRDefault="00636682" w:rsidP="00CC3874">
            <w:pPr>
              <w:jc w:val="center"/>
            </w:pPr>
            <w:r w:rsidRPr="00A2410D">
              <w:t>(0.000)</w:t>
            </w:r>
          </w:p>
        </w:tc>
        <w:tc>
          <w:tcPr>
            <w:tcW w:w="1418" w:type="dxa"/>
          </w:tcPr>
          <w:p w14:paraId="27DDB890" w14:textId="77777777" w:rsidR="00636682" w:rsidRPr="00A2410D" w:rsidRDefault="00636682" w:rsidP="00CC3874">
            <w:pPr>
              <w:jc w:val="center"/>
            </w:pPr>
            <w:r w:rsidRPr="00A2410D">
              <w:t>106.68</w:t>
            </w:r>
          </w:p>
          <w:p w14:paraId="7FFE33DE" w14:textId="77777777" w:rsidR="00636682" w:rsidRPr="00A2410D" w:rsidRDefault="00636682" w:rsidP="00CC3874">
            <w:pPr>
              <w:jc w:val="center"/>
            </w:pPr>
            <w:r w:rsidRPr="00A2410D">
              <w:t>(0.000)</w:t>
            </w:r>
          </w:p>
        </w:tc>
        <w:tc>
          <w:tcPr>
            <w:tcW w:w="1275" w:type="dxa"/>
            <w:shd w:val="clear" w:color="auto" w:fill="auto"/>
            <w:vAlign w:val="center"/>
          </w:tcPr>
          <w:p w14:paraId="5618B765" w14:textId="77777777" w:rsidR="00636682" w:rsidRPr="00A2410D" w:rsidRDefault="00636682" w:rsidP="00CC3874">
            <w:pPr>
              <w:jc w:val="center"/>
            </w:pPr>
            <w:r w:rsidRPr="00A2410D">
              <w:t>106.68 (0.000)</w:t>
            </w:r>
          </w:p>
        </w:tc>
        <w:tc>
          <w:tcPr>
            <w:tcW w:w="1276" w:type="dxa"/>
            <w:shd w:val="clear" w:color="auto" w:fill="auto"/>
          </w:tcPr>
          <w:p w14:paraId="0D407F54" w14:textId="77777777" w:rsidR="00636682" w:rsidRPr="00A2410D" w:rsidRDefault="00636682" w:rsidP="00CC3874">
            <w:pPr>
              <w:ind w:left="-676" w:firstLine="676"/>
              <w:jc w:val="center"/>
            </w:pPr>
            <w:r w:rsidRPr="00A2410D">
              <w:t>74.20</w:t>
            </w:r>
          </w:p>
          <w:p w14:paraId="7E6160A0" w14:textId="77777777" w:rsidR="00636682" w:rsidRPr="00A2410D" w:rsidRDefault="00636682" w:rsidP="00CC3874">
            <w:pPr>
              <w:jc w:val="center"/>
            </w:pPr>
            <w:r w:rsidRPr="00A2410D">
              <w:t>(0.0000)</w:t>
            </w:r>
          </w:p>
        </w:tc>
      </w:tr>
      <w:tr w:rsidR="00636682" w:rsidRPr="00A2410D" w14:paraId="532F8696" w14:textId="77777777" w:rsidTr="00CC3874">
        <w:trPr>
          <w:trHeight w:val="255"/>
        </w:trPr>
        <w:tc>
          <w:tcPr>
            <w:tcW w:w="2410" w:type="dxa"/>
            <w:shd w:val="clear" w:color="auto" w:fill="auto"/>
            <w:vAlign w:val="center"/>
          </w:tcPr>
          <w:p w14:paraId="31EA666C" w14:textId="77777777" w:rsidR="00636682" w:rsidRPr="00A2410D" w:rsidRDefault="00636682" w:rsidP="00CC3874">
            <w:pPr>
              <w:jc w:val="both"/>
              <w:rPr>
                <w:sz w:val="24"/>
                <w:szCs w:val="24"/>
              </w:rPr>
            </w:pPr>
            <w:r w:rsidRPr="00A2410D">
              <w:rPr>
                <w:b/>
              </w:rPr>
              <w:t>R2 ajustado</w:t>
            </w:r>
          </w:p>
        </w:tc>
        <w:tc>
          <w:tcPr>
            <w:tcW w:w="1418" w:type="dxa"/>
            <w:shd w:val="clear" w:color="auto" w:fill="auto"/>
            <w:vAlign w:val="center"/>
          </w:tcPr>
          <w:p w14:paraId="0867FB0E" w14:textId="77777777" w:rsidR="00636682" w:rsidRPr="00A2410D" w:rsidRDefault="00636682" w:rsidP="00CC3874">
            <w:pPr>
              <w:jc w:val="center"/>
            </w:pPr>
            <w:r w:rsidRPr="00A2410D">
              <w:t>0.0923</w:t>
            </w:r>
          </w:p>
        </w:tc>
        <w:tc>
          <w:tcPr>
            <w:tcW w:w="1417" w:type="dxa"/>
            <w:shd w:val="clear" w:color="auto" w:fill="auto"/>
            <w:vAlign w:val="center"/>
          </w:tcPr>
          <w:p w14:paraId="1816F5F2" w14:textId="77777777" w:rsidR="00636682" w:rsidRPr="00A2410D" w:rsidRDefault="00636682" w:rsidP="00CC3874">
            <w:pPr>
              <w:jc w:val="center"/>
            </w:pPr>
            <w:r w:rsidRPr="00A2410D">
              <w:t>0.0361</w:t>
            </w:r>
          </w:p>
        </w:tc>
        <w:tc>
          <w:tcPr>
            <w:tcW w:w="1418" w:type="dxa"/>
          </w:tcPr>
          <w:p w14:paraId="43E5FEAF" w14:textId="77777777" w:rsidR="00636682" w:rsidRPr="00A2410D" w:rsidRDefault="00636682" w:rsidP="00CC3874">
            <w:pPr>
              <w:jc w:val="center"/>
            </w:pPr>
            <w:r w:rsidRPr="00A2410D">
              <w:t>0.0898</w:t>
            </w:r>
          </w:p>
        </w:tc>
        <w:tc>
          <w:tcPr>
            <w:tcW w:w="1275" w:type="dxa"/>
            <w:shd w:val="clear" w:color="auto" w:fill="auto"/>
            <w:vAlign w:val="center"/>
          </w:tcPr>
          <w:p w14:paraId="69685B22" w14:textId="77777777" w:rsidR="00636682" w:rsidRPr="00A2410D" w:rsidRDefault="00636682" w:rsidP="00CC3874">
            <w:pPr>
              <w:jc w:val="center"/>
            </w:pPr>
            <w:r w:rsidRPr="00A2410D">
              <w:t>0.0898</w:t>
            </w:r>
          </w:p>
        </w:tc>
        <w:tc>
          <w:tcPr>
            <w:tcW w:w="1276" w:type="dxa"/>
            <w:shd w:val="clear" w:color="auto" w:fill="auto"/>
          </w:tcPr>
          <w:p w14:paraId="637D2634" w14:textId="77777777" w:rsidR="00636682" w:rsidRPr="00A2410D" w:rsidRDefault="00636682" w:rsidP="00CC3874">
            <w:pPr>
              <w:jc w:val="center"/>
            </w:pPr>
            <w:r w:rsidRPr="00A2410D">
              <w:t xml:space="preserve">      </w:t>
            </w:r>
          </w:p>
        </w:tc>
      </w:tr>
      <w:tr w:rsidR="00636682" w:rsidRPr="00A2410D" w14:paraId="54F64C5E" w14:textId="77777777" w:rsidTr="00CC3874">
        <w:trPr>
          <w:trHeight w:val="255"/>
        </w:trPr>
        <w:tc>
          <w:tcPr>
            <w:tcW w:w="2410" w:type="dxa"/>
            <w:shd w:val="clear" w:color="auto" w:fill="auto"/>
            <w:vAlign w:val="center"/>
          </w:tcPr>
          <w:p w14:paraId="614AFF55" w14:textId="77777777" w:rsidR="00636682" w:rsidRPr="00A2410D" w:rsidRDefault="00636682" w:rsidP="00CC3874">
            <w:pPr>
              <w:jc w:val="both"/>
              <w:rPr>
                <w:sz w:val="24"/>
                <w:szCs w:val="24"/>
              </w:rPr>
            </w:pPr>
            <w:r w:rsidRPr="00A2410D">
              <w:rPr>
                <w:b/>
              </w:rPr>
              <w:t>Observações</w:t>
            </w:r>
          </w:p>
        </w:tc>
        <w:tc>
          <w:tcPr>
            <w:tcW w:w="1418" w:type="dxa"/>
            <w:shd w:val="clear" w:color="auto" w:fill="auto"/>
            <w:vAlign w:val="center"/>
          </w:tcPr>
          <w:p w14:paraId="15324DBA" w14:textId="77777777" w:rsidR="00636682" w:rsidRPr="00A2410D" w:rsidRDefault="00636682" w:rsidP="00CC3874">
            <w:pPr>
              <w:jc w:val="center"/>
              <w:rPr>
                <w:b/>
              </w:rPr>
            </w:pPr>
            <w:r w:rsidRPr="00A2410D">
              <w:rPr>
                <w:b/>
              </w:rPr>
              <w:t>980</w:t>
            </w:r>
          </w:p>
        </w:tc>
        <w:tc>
          <w:tcPr>
            <w:tcW w:w="1417" w:type="dxa"/>
            <w:shd w:val="clear" w:color="auto" w:fill="auto"/>
            <w:vAlign w:val="center"/>
          </w:tcPr>
          <w:p w14:paraId="45DC96FC" w14:textId="77777777" w:rsidR="00636682" w:rsidRPr="00A2410D" w:rsidRDefault="00636682" w:rsidP="00CC3874">
            <w:pPr>
              <w:jc w:val="center"/>
              <w:rPr>
                <w:b/>
              </w:rPr>
            </w:pPr>
            <w:r w:rsidRPr="00A2410D">
              <w:rPr>
                <w:b/>
              </w:rPr>
              <w:t>980</w:t>
            </w:r>
          </w:p>
        </w:tc>
        <w:tc>
          <w:tcPr>
            <w:tcW w:w="1418" w:type="dxa"/>
          </w:tcPr>
          <w:p w14:paraId="3A992726" w14:textId="77777777" w:rsidR="00636682" w:rsidRPr="00A2410D" w:rsidRDefault="00636682" w:rsidP="00CC3874">
            <w:pPr>
              <w:jc w:val="center"/>
              <w:rPr>
                <w:b/>
              </w:rPr>
            </w:pPr>
            <w:r w:rsidRPr="00A2410D">
              <w:rPr>
                <w:b/>
              </w:rPr>
              <w:t>980</w:t>
            </w:r>
          </w:p>
        </w:tc>
        <w:tc>
          <w:tcPr>
            <w:tcW w:w="1275" w:type="dxa"/>
            <w:shd w:val="clear" w:color="auto" w:fill="auto"/>
            <w:vAlign w:val="center"/>
          </w:tcPr>
          <w:p w14:paraId="207FC256" w14:textId="77777777" w:rsidR="00636682" w:rsidRPr="00A2410D" w:rsidRDefault="00636682" w:rsidP="00CC3874">
            <w:pPr>
              <w:jc w:val="center"/>
              <w:rPr>
                <w:b/>
              </w:rPr>
            </w:pPr>
            <w:r w:rsidRPr="00A2410D">
              <w:rPr>
                <w:b/>
              </w:rPr>
              <w:t>980</w:t>
            </w:r>
          </w:p>
        </w:tc>
        <w:tc>
          <w:tcPr>
            <w:tcW w:w="1276" w:type="dxa"/>
            <w:shd w:val="clear" w:color="auto" w:fill="auto"/>
            <w:vAlign w:val="center"/>
          </w:tcPr>
          <w:p w14:paraId="604F1570" w14:textId="77777777" w:rsidR="00636682" w:rsidRPr="00A2410D" w:rsidRDefault="00636682" w:rsidP="00CC3874">
            <w:pPr>
              <w:jc w:val="center"/>
              <w:rPr>
                <w:b/>
              </w:rPr>
            </w:pPr>
            <w:r w:rsidRPr="00A2410D">
              <w:rPr>
                <w:b/>
              </w:rPr>
              <w:t>506</w:t>
            </w:r>
          </w:p>
        </w:tc>
      </w:tr>
      <w:tr w:rsidR="00636682" w:rsidRPr="00A2410D" w14:paraId="33A8F06B" w14:textId="77777777" w:rsidTr="00CC3874">
        <w:trPr>
          <w:trHeight w:val="255"/>
        </w:trPr>
        <w:tc>
          <w:tcPr>
            <w:tcW w:w="2410" w:type="dxa"/>
            <w:shd w:val="clear" w:color="auto" w:fill="auto"/>
            <w:vAlign w:val="center"/>
          </w:tcPr>
          <w:p w14:paraId="07DC9475" w14:textId="77777777" w:rsidR="00636682" w:rsidRPr="00A2410D" w:rsidRDefault="00636682" w:rsidP="00CC3874">
            <w:pPr>
              <w:jc w:val="both"/>
              <w:rPr>
                <w:sz w:val="24"/>
                <w:szCs w:val="24"/>
              </w:rPr>
            </w:pPr>
            <w:r w:rsidRPr="00A2410D">
              <w:rPr>
                <w:b/>
              </w:rPr>
              <w:t>Teste F (Chow)</w:t>
            </w:r>
          </w:p>
        </w:tc>
        <w:tc>
          <w:tcPr>
            <w:tcW w:w="1418" w:type="dxa"/>
            <w:shd w:val="clear" w:color="auto" w:fill="auto"/>
            <w:vAlign w:val="center"/>
          </w:tcPr>
          <w:p w14:paraId="34380BF8" w14:textId="77777777" w:rsidR="00636682" w:rsidRPr="00A2410D" w:rsidRDefault="00636682" w:rsidP="00CC3874">
            <w:pPr>
              <w:jc w:val="center"/>
              <w:rPr>
                <w:sz w:val="24"/>
                <w:szCs w:val="24"/>
              </w:rPr>
            </w:pPr>
          </w:p>
        </w:tc>
        <w:tc>
          <w:tcPr>
            <w:tcW w:w="1417" w:type="dxa"/>
            <w:shd w:val="clear" w:color="auto" w:fill="auto"/>
            <w:vAlign w:val="center"/>
          </w:tcPr>
          <w:p w14:paraId="652FFD29" w14:textId="77777777" w:rsidR="00636682" w:rsidRPr="00A2410D" w:rsidRDefault="00636682" w:rsidP="00CC3874">
            <w:pPr>
              <w:jc w:val="center"/>
              <w:rPr>
                <w:b/>
              </w:rPr>
            </w:pPr>
            <w:r w:rsidRPr="00A2410D">
              <w:rPr>
                <w:b/>
              </w:rPr>
              <w:t>3.69</w:t>
            </w:r>
          </w:p>
          <w:p w14:paraId="7D100673" w14:textId="77777777" w:rsidR="00636682" w:rsidRPr="00A2410D" w:rsidRDefault="00636682" w:rsidP="00CC3874">
            <w:pPr>
              <w:jc w:val="center"/>
              <w:rPr>
                <w:sz w:val="24"/>
                <w:szCs w:val="24"/>
              </w:rPr>
            </w:pPr>
            <w:r w:rsidRPr="00A2410D">
              <w:rPr>
                <w:b/>
              </w:rPr>
              <w:t>(0.0000)</w:t>
            </w:r>
          </w:p>
        </w:tc>
        <w:tc>
          <w:tcPr>
            <w:tcW w:w="1418" w:type="dxa"/>
          </w:tcPr>
          <w:p w14:paraId="6AD473F1" w14:textId="77777777" w:rsidR="00636682" w:rsidRPr="00A2410D" w:rsidRDefault="00636682" w:rsidP="00CC3874">
            <w:pPr>
              <w:jc w:val="center"/>
              <w:rPr>
                <w:sz w:val="24"/>
                <w:szCs w:val="24"/>
              </w:rPr>
            </w:pPr>
          </w:p>
        </w:tc>
        <w:tc>
          <w:tcPr>
            <w:tcW w:w="1275" w:type="dxa"/>
            <w:shd w:val="clear" w:color="auto" w:fill="auto"/>
            <w:vAlign w:val="center"/>
          </w:tcPr>
          <w:p w14:paraId="7370E2A7" w14:textId="77777777" w:rsidR="00636682" w:rsidRPr="00A2410D" w:rsidRDefault="00636682" w:rsidP="00CC3874">
            <w:pPr>
              <w:jc w:val="center"/>
              <w:rPr>
                <w:sz w:val="24"/>
                <w:szCs w:val="24"/>
              </w:rPr>
            </w:pPr>
          </w:p>
        </w:tc>
        <w:tc>
          <w:tcPr>
            <w:tcW w:w="1276" w:type="dxa"/>
            <w:shd w:val="clear" w:color="auto" w:fill="auto"/>
            <w:vAlign w:val="center"/>
          </w:tcPr>
          <w:p w14:paraId="4CB4157B" w14:textId="77777777" w:rsidR="00636682" w:rsidRPr="00A2410D" w:rsidRDefault="00636682" w:rsidP="00CC3874">
            <w:pPr>
              <w:jc w:val="center"/>
              <w:rPr>
                <w:sz w:val="24"/>
                <w:szCs w:val="24"/>
              </w:rPr>
            </w:pPr>
          </w:p>
        </w:tc>
      </w:tr>
      <w:tr w:rsidR="00636682" w:rsidRPr="00A2410D" w14:paraId="63B349BE" w14:textId="77777777" w:rsidTr="00CC3874">
        <w:trPr>
          <w:trHeight w:val="255"/>
        </w:trPr>
        <w:tc>
          <w:tcPr>
            <w:tcW w:w="2410" w:type="dxa"/>
            <w:shd w:val="clear" w:color="auto" w:fill="auto"/>
            <w:vAlign w:val="center"/>
          </w:tcPr>
          <w:p w14:paraId="731BFF73" w14:textId="77777777" w:rsidR="00636682" w:rsidRPr="00A2410D" w:rsidRDefault="00636682" w:rsidP="00CC3874">
            <w:pPr>
              <w:jc w:val="both"/>
              <w:rPr>
                <w:b/>
                <w:sz w:val="24"/>
                <w:szCs w:val="24"/>
              </w:rPr>
            </w:pPr>
            <w:r w:rsidRPr="00A2410D">
              <w:rPr>
                <w:b/>
              </w:rPr>
              <w:t>Teste de Breush e Pagan</w:t>
            </w:r>
          </w:p>
        </w:tc>
        <w:tc>
          <w:tcPr>
            <w:tcW w:w="1418" w:type="dxa"/>
            <w:shd w:val="clear" w:color="auto" w:fill="auto"/>
            <w:vAlign w:val="center"/>
          </w:tcPr>
          <w:p w14:paraId="1423E307" w14:textId="77777777" w:rsidR="00636682" w:rsidRPr="00A2410D" w:rsidRDefault="00636682" w:rsidP="00CC3874">
            <w:pPr>
              <w:jc w:val="center"/>
              <w:rPr>
                <w:b/>
                <w:sz w:val="24"/>
                <w:szCs w:val="24"/>
              </w:rPr>
            </w:pPr>
          </w:p>
        </w:tc>
        <w:tc>
          <w:tcPr>
            <w:tcW w:w="1417" w:type="dxa"/>
            <w:shd w:val="clear" w:color="auto" w:fill="auto"/>
            <w:vAlign w:val="center"/>
          </w:tcPr>
          <w:p w14:paraId="3FC94DF2" w14:textId="77777777" w:rsidR="00636682" w:rsidRPr="00A2410D" w:rsidRDefault="00636682" w:rsidP="00CC3874">
            <w:pPr>
              <w:jc w:val="center"/>
              <w:rPr>
                <w:b/>
                <w:sz w:val="24"/>
                <w:szCs w:val="24"/>
              </w:rPr>
            </w:pPr>
          </w:p>
        </w:tc>
        <w:tc>
          <w:tcPr>
            <w:tcW w:w="1418" w:type="dxa"/>
            <w:vAlign w:val="center"/>
          </w:tcPr>
          <w:p w14:paraId="28C024EB" w14:textId="77777777" w:rsidR="00636682" w:rsidRPr="00A2410D" w:rsidRDefault="00636682" w:rsidP="00CC3874">
            <w:pPr>
              <w:jc w:val="center"/>
              <w:rPr>
                <w:b/>
              </w:rPr>
            </w:pPr>
            <w:r w:rsidRPr="00A2410D">
              <w:rPr>
                <w:b/>
              </w:rPr>
              <w:t>180.68</w:t>
            </w:r>
          </w:p>
          <w:p w14:paraId="6E550357" w14:textId="77777777" w:rsidR="00636682" w:rsidRPr="00A2410D" w:rsidRDefault="00636682" w:rsidP="00CC3874">
            <w:pPr>
              <w:jc w:val="center"/>
              <w:rPr>
                <w:b/>
              </w:rPr>
            </w:pPr>
            <w:r w:rsidRPr="00A2410D">
              <w:rPr>
                <w:b/>
              </w:rPr>
              <w:t>(0.0000)</w:t>
            </w:r>
          </w:p>
        </w:tc>
        <w:tc>
          <w:tcPr>
            <w:tcW w:w="1275" w:type="dxa"/>
            <w:shd w:val="clear" w:color="auto" w:fill="auto"/>
            <w:vAlign w:val="center"/>
          </w:tcPr>
          <w:p w14:paraId="4E6E14BE" w14:textId="77777777" w:rsidR="00636682" w:rsidRPr="00A2410D" w:rsidRDefault="00636682" w:rsidP="00CC3874">
            <w:pPr>
              <w:jc w:val="center"/>
              <w:rPr>
                <w:b/>
                <w:sz w:val="24"/>
                <w:szCs w:val="24"/>
              </w:rPr>
            </w:pPr>
          </w:p>
        </w:tc>
        <w:tc>
          <w:tcPr>
            <w:tcW w:w="1276" w:type="dxa"/>
            <w:shd w:val="clear" w:color="auto" w:fill="auto"/>
            <w:vAlign w:val="center"/>
          </w:tcPr>
          <w:p w14:paraId="701EABD7" w14:textId="77777777" w:rsidR="00636682" w:rsidRPr="00A2410D" w:rsidRDefault="00636682" w:rsidP="00CC3874">
            <w:pPr>
              <w:jc w:val="center"/>
              <w:rPr>
                <w:b/>
                <w:sz w:val="24"/>
                <w:szCs w:val="24"/>
              </w:rPr>
            </w:pPr>
          </w:p>
        </w:tc>
      </w:tr>
      <w:tr w:rsidR="00636682" w:rsidRPr="00A2410D" w14:paraId="3A7D0520" w14:textId="77777777" w:rsidTr="00CC3874">
        <w:trPr>
          <w:trHeight w:val="255"/>
        </w:trPr>
        <w:tc>
          <w:tcPr>
            <w:tcW w:w="2410" w:type="dxa"/>
            <w:tcBorders>
              <w:bottom w:val="single" w:sz="12" w:space="0" w:color="auto"/>
            </w:tcBorders>
            <w:shd w:val="clear" w:color="auto" w:fill="auto"/>
            <w:vAlign w:val="center"/>
          </w:tcPr>
          <w:p w14:paraId="7020FAED" w14:textId="77777777" w:rsidR="00636682" w:rsidRPr="00A2410D" w:rsidRDefault="00636682" w:rsidP="00CC3874">
            <w:pPr>
              <w:jc w:val="both"/>
              <w:rPr>
                <w:b/>
                <w:sz w:val="24"/>
                <w:szCs w:val="24"/>
              </w:rPr>
            </w:pPr>
            <w:r w:rsidRPr="00A2410D">
              <w:rPr>
                <w:b/>
              </w:rPr>
              <w:t>Teste de Hausman</w:t>
            </w:r>
          </w:p>
        </w:tc>
        <w:tc>
          <w:tcPr>
            <w:tcW w:w="1418" w:type="dxa"/>
            <w:tcBorders>
              <w:bottom w:val="single" w:sz="12" w:space="0" w:color="auto"/>
            </w:tcBorders>
            <w:shd w:val="clear" w:color="auto" w:fill="auto"/>
            <w:vAlign w:val="center"/>
          </w:tcPr>
          <w:p w14:paraId="3C474E6F" w14:textId="77777777" w:rsidR="00636682" w:rsidRPr="00A2410D" w:rsidRDefault="00636682" w:rsidP="00CC3874">
            <w:pPr>
              <w:jc w:val="center"/>
              <w:rPr>
                <w:b/>
                <w:sz w:val="24"/>
                <w:szCs w:val="24"/>
              </w:rPr>
            </w:pPr>
          </w:p>
        </w:tc>
        <w:tc>
          <w:tcPr>
            <w:tcW w:w="1417" w:type="dxa"/>
            <w:tcBorders>
              <w:bottom w:val="single" w:sz="12" w:space="0" w:color="auto"/>
            </w:tcBorders>
            <w:shd w:val="clear" w:color="auto" w:fill="auto"/>
            <w:vAlign w:val="center"/>
          </w:tcPr>
          <w:p w14:paraId="1698C760" w14:textId="77777777" w:rsidR="00636682" w:rsidRPr="00A2410D" w:rsidRDefault="00636682" w:rsidP="00CC3874">
            <w:pPr>
              <w:jc w:val="center"/>
              <w:rPr>
                <w:b/>
                <w:sz w:val="24"/>
                <w:szCs w:val="24"/>
              </w:rPr>
            </w:pPr>
          </w:p>
        </w:tc>
        <w:tc>
          <w:tcPr>
            <w:tcW w:w="1418" w:type="dxa"/>
            <w:tcBorders>
              <w:bottom w:val="single" w:sz="12" w:space="0" w:color="auto"/>
            </w:tcBorders>
            <w:vAlign w:val="center"/>
          </w:tcPr>
          <w:p w14:paraId="7E25798D" w14:textId="77777777" w:rsidR="00636682" w:rsidRPr="00A2410D" w:rsidRDefault="00636682" w:rsidP="00CC3874">
            <w:pPr>
              <w:jc w:val="center"/>
              <w:rPr>
                <w:b/>
              </w:rPr>
            </w:pPr>
            <w:r w:rsidRPr="00A2410D">
              <w:rPr>
                <w:b/>
              </w:rPr>
              <w:t>48.03</w:t>
            </w:r>
          </w:p>
          <w:p w14:paraId="7EB50197" w14:textId="77777777" w:rsidR="00636682" w:rsidRPr="00A2410D" w:rsidRDefault="00636682" w:rsidP="00CC3874">
            <w:pPr>
              <w:jc w:val="center"/>
              <w:rPr>
                <w:b/>
              </w:rPr>
            </w:pPr>
            <w:r w:rsidRPr="00A2410D">
              <w:rPr>
                <w:b/>
              </w:rPr>
              <w:t>(0.0000)</w:t>
            </w:r>
          </w:p>
        </w:tc>
        <w:tc>
          <w:tcPr>
            <w:tcW w:w="1275" w:type="dxa"/>
            <w:tcBorders>
              <w:bottom w:val="single" w:sz="12" w:space="0" w:color="auto"/>
            </w:tcBorders>
            <w:shd w:val="clear" w:color="auto" w:fill="auto"/>
            <w:vAlign w:val="center"/>
          </w:tcPr>
          <w:p w14:paraId="010B094D" w14:textId="77777777" w:rsidR="00636682" w:rsidRPr="00A2410D" w:rsidRDefault="00636682" w:rsidP="00CC3874">
            <w:pPr>
              <w:jc w:val="center"/>
              <w:rPr>
                <w:b/>
                <w:sz w:val="24"/>
                <w:szCs w:val="24"/>
              </w:rPr>
            </w:pPr>
          </w:p>
        </w:tc>
        <w:tc>
          <w:tcPr>
            <w:tcW w:w="1276" w:type="dxa"/>
            <w:tcBorders>
              <w:bottom w:val="single" w:sz="12" w:space="0" w:color="auto"/>
            </w:tcBorders>
            <w:shd w:val="clear" w:color="auto" w:fill="auto"/>
            <w:vAlign w:val="center"/>
          </w:tcPr>
          <w:p w14:paraId="1F7083CD" w14:textId="77777777" w:rsidR="00636682" w:rsidRPr="00A2410D" w:rsidRDefault="00636682" w:rsidP="00CC3874">
            <w:pPr>
              <w:jc w:val="center"/>
              <w:rPr>
                <w:b/>
                <w:sz w:val="24"/>
                <w:szCs w:val="24"/>
              </w:rPr>
            </w:pPr>
          </w:p>
        </w:tc>
      </w:tr>
    </w:tbl>
    <w:p w14:paraId="693A5DB3" w14:textId="16695091" w:rsidR="00636682" w:rsidRPr="00A2410D" w:rsidRDefault="0056133E" w:rsidP="00636682">
      <w:r>
        <w:t>Fonte: dados da pesquisa.</w:t>
      </w:r>
    </w:p>
    <w:p w14:paraId="7F297FAE" w14:textId="233D2196" w:rsidR="00636682" w:rsidRPr="00A2410D" w:rsidRDefault="00636682" w:rsidP="00636682">
      <w:pPr>
        <w:ind w:firstLine="709"/>
        <w:jc w:val="both"/>
        <w:rPr>
          <w:sz w:val="24"/>
          <w:szCs w:val="24"/>
        </w:rPr>
      </w:pPr>
      <w:r w:rsidRPr="00A2410D">
        <w:rPr>
          <w:sz w:val="24"/>
          <w:szCs w:val="24"/>
        </w:rPr>
        <w:lastRenderedPageBreak/>
        <w:t>Observou-se por meio do modelo estático (</w:t>
      </w:r>
      <w:r w:rsidR="00180618">
        <w:rPr>
          <w:i/>
          <w:sz w:val="24"/>
          <w:szCs w:val="24"/>
        </w:rPr>
        <w:t>R</w:t>
      </w:r>
      <w:r w:rsidRPr="004B193F">
        <w:rPr>
          <w:i/>
          <w:sz w:val="24"/>
          <w:szCs w:val="24"/>
        </w:rPr>
        <w:t>obust</w:t>
      </w:r>
      <w:r w:rsidRPr="00A2410D">
        <w:rPr>
          <w:sz w:val="24"/>
          <w:szCs w:val="24"/>
        </w:rPr>
        <w:t>), que as variáveis depreciação do ativo não circulante e a rentabilidade do ativo (ROA) foram estatisticamente significantes para explicar a ETR. Sendo que diferentemente do esperado a depreciação do ativo não circulante relacionou-se positivamente com a ETR e negativamente com a rentabilidade.</w:t>
      </w:r>
    </w:p>
    <w:p w14:paraId="76142660" w14:textId="77777777" w:rsidR="00636682" w:rsidRPr="00A2410D" w:rsidRDefault="00636682" w:rsidP="00636682">
      <w:pPr>
        <w:ind w:firstLine="709"/>
        <w:jc w:val="both"/>
        <w:rPr>
          <w:sz w:val="24"/>
          <w:szCs w:val="24"/>
        </w:rPr>
      </w:pPr>
      <w:r w:rsidRPr="00A2410D">
        <w:rPr>
          <w:sz w:val="24"/>
          <w:szCs w:val="24"/>
        </w:rPr>
        <w:t xml:space="preserve">Por meio do modelo estático com erros robustos, não foi possível confirmar as hipóteses que as variáveis, tamanho, alavancagem, custo da dívida e intensidade de capital como determinantes da ETR das empresas brasileiras no período analisado. O Modelo com erros robusto apresentou teste F de 48.36 </w:t>
      </w:r>
      <w:bookmarkStart w:id="30" w:name="_Hlk501111104"/>
      <w:r w:rsidRPr="00A2410D">
        <w:rPr>
          <w:sz w:val="24"/>
          <w:szCs w:val="24"/>
        </w:rPr>
        <w:t>(</w:t>
      </w:r>
      <w:r w:rsidRPr="00A2410D">
        <w:rPr>
          <w:i/>
          <w:sz w:val="24"/>
          <w:szCs w:val="24"/>
        </w:rPr>
        <w:t>p-value</w:t>
      </w:r>
      <w:r w:rsidRPr="00A2410D">
        <w:rPr>
          <w:sz w:val="24"/>
          <w:szCs w:val="24"/>
        </w:rPr>
        <w:t xml:space="preserve"> de 0,000) </w:t>
      </w:r>
      <w:bookmarkEnd w:id="30"/>
      <w:r w:rsidRPr="00A2410D">
        <w:rPr>
          <w:sz w:val="24"/>
          <w:szCs w:val="24"/>
        </w:rPr>
        <w:t>um poder de explicação de 8%. Isso representa um baixo poder explicativo do modelo, demonstrando que existem outros fatores que não foram investigados que podem melhor explicar o que de fato determina as ETRs, no Brasil para o período investigado.</w:t>
      </w:r>
    </w:p>
    <w:p w14:paraId="7E112DED" w14:textId="77777777" w:rsidR="00636682" w:rsidRPr="00A2410D" w:rsidRDefault="00636682" w:rsidP="00636682">
      <w:pPr>
        <w:ind w:firstLine="708"/>
        <w:jc w:val="both"/>
        <w:rPr>
          <w:sz w:val="24"/>
          <w:szCs w:val="24"/>
        </w:rPr>
      </w:pPr>
      <w:r w:rsidRPr="00A2410D">
        <w:rPr>
          <w:sz w:val="24"/>
          <w:szCs w:val="24"/>
        </w:rPr>
        <w:t>Com relação ao modelo dinâmico que estima a influência da variável dependente da taxa efetiva de imposto defasada (t-1) como fator explicativo da taxa efetiva de imposto em t, observou-se que este modelo não foi significante para explicar a ETR no período atual.</w:t>
      </w:r>
    </w:p>
    <w:p w14:paraId="741BE371" w14:textId="77777777" w:rsidR="00636682" w:rsidRPr="00A2410D" w:rsidRDefault="00636682" w:rsidP="00636682">
      <w:pPr>
        <w:jc w:val="both"/>
        <w:rPr>
          <w:sz w:val="24"/>
          <w:szCs w:val="24"/>
        </w:rPr>
      </w:pPr>
      <w:r w:rsidRPr="00A2410D" w:rsidDel="009E70D6">
        <w:rPr>
          <w:sz w:val="24"/>
          <w:szCs w:val="24"/>
        </w:rPr>
        <w:t xml:space="preserve"> </w:t>
      </w:r>
      <w:r w:rsidRPr="00A2410D">
        <w:rPr>
          <w:sz w:val="24"/>
          <w:szCs w:val="24"/>
        </w:rPr>
        <w:tab/>
        <w:t xml:space="preserve">Estudos como Gupta &amp; Newberry (1997) e Feeny </w:t>
      </w:r>
      <w:r w:rsidRPr="0042038B">
        <w:rPr>
          <w:i/>
          <w:sz w:val="24"/>
          <w:szCs w:val="24"/>
        </w:rPr>
        <w:t>et al</w:t>
      </w:r>
      <w:r w:rsidRPr="0042038B">
        <w:rPr>
          <w:sz w:val="24"/>
          <w:szCs w:val="24"/>
        </w:rPr>
        <w:t>. (2006) também utilizaram modelos alternativos, em</w:t>
      </w:r>
      <w:r w:rsidRPr="00707342">
        <w:rPr>
          <w:sz w:val="24"/>
          <w:szCs w:val="24"/>
        </w:rPr>
        <w:t xml:space="preserve"> relação a variável taxa efetiva de imposto defasada, </w:t>
      </w:r>
      <w:r w:rsidRPr="00A2410D">
        <w:rPr>
          <w:sz w:val="24"/>
          <w:szCs w:val="24"/>
        </w:rPr>
        <w:t>com intuito de avaliar o ajustamento do modelo, buscando -se verificar se a ETR atual poderia ser explicada pela ETR anterior. No entanto os resultados não demonstraram relevância estatística para o modelo dinâmico, contrariando a expectativa intuitiva.</w:t>
      </w:r>
    </w:p>
    <w:p w14:paraId="6CF15A1D" w14:textId="77777777" w:rsidR="00636682" w:rsidRPr="00A2410D" w:rsidRDefault="00636682" w:rsidP="00636682">
      <w:pPr>
        <w:jc w:val="both"/>
        <w:rPr>
          <w:sz w:val="24"/>
          <w:szCs w:val="24"/>
        </w:rPr>
      </w:pPr>
    </w:p>
    <w:p w14:paraId="021AF251" w14:textId="77777777" w:rsidR="00636682" w:rsidRPr="00993FE6" w:rsidRDefault="00636682" w:rsidP="00636682">
      <w:pPr>
        <w:pStyle w:val="Ttulo1"/>
        <w:spacing w:before="0" w:line="240" w:lineRule="auto"/>
        <w:rPr>
          <w:rFonts w:ascii="Times New Roman" w:hAnsi="Times New Roman" w:cs="Times New Roman"/>
          <w:b/>
          <w:color w:val="auto"/>
          <w:sz w:val="24"/>
          <w:szCs w:val="24"/>
        </w:rPr>
      </w:pPr>
      <w:r w:rsidRPr="00A2410D">
        <w:rPr>
          <w:rFonts w:ascii="Times New Roman" w:hAnsi="Times New Roman" w:cs="Times New Roman"/>
          <w:b/>
          <w:color w:val="auto"/>
          <w:sz w:val="24"/>
          <w:szCs w:val="24"/>
        </w:rPr>
        <w:t>4.3 Análise e discussão dos resultados</w:t>
      </w:r>
    </w:p>
    <w:p w14:paraId="5ECEB091" w14:textId="77777777" w:rsidR="00636682" w:rsidRPr="00A2410D" w:rsidRDefault="00636682" w:rsidP="00636682">
      <w:pPr>
        <w:ind w:firstLine="708"/>
        <w:jc w:val="both"/>
        <w:rPr>
          <w:sz w:val="24"/>
          <w:szCs w:val="24"/>
        </w:rPr>
      </w:pPr>
      <w:r w:rsidRPr="000A1C7A">
        <w:rPr>
          <w:sz w:val="24"/>
          <w:szCs w:val="24"/>
        </w:rPr>
        <w:t xml:space="preserve">No modelo </w:t>
      </w:r>
      <w:r w:rsidRPr="00993FE6">
        <w:rPr>
          <w:i/>
          <w:sz w:val="24"/>
          <w:szCs w:val="24"/>
        </w:rPr>
        <w:t>Pooled</w:t>
      </w:r>
      <w:r w:rsidRPr="000A1C7A">
        <w:rPr>
          <w:sz w:val="24"/>
          <w:szCs w:val="24"/>
        </w:rPr>
        <w:t>, apenas as variáveis alavancagem (ALAV), depreciação dos ativos (DANC), e retorno sobre o</w:t>
      </w:r>
      <w:r w:rsidRPr="0042038B">
        <w:rPr>
          <w:sz w:val="24"/>
          <w:szCs w:val="24"/>
        </w:rPr>
        <w:t>s ativos (ROA) se demonstraram significativas, embora a ALAV tenha apresentado índice bastante reduzido</w:t>
      </w:r>
      <w:r w:rsidRPr="00707342">
        <w:rPr>
          <w:sz w:val="24"/>
          <w:szCs w:val="24"/>
        </w:rPr>
        <w:t>. Estes 3 resultados encontrados neste modelo apres</w:t>
      </w:r>
      <w:r w:rsidRPr="00A2410D">
        <w:rPr>
          <w:sz w:val="24"/>
          <w:szCs w:val="24"/>
        </w:rPr>
        <w:t xml:space="preserve">entaram sinais diferentes do esperado. </w:t>
      </w:r>
    </w:p>
    <w:p w14:paraId="3A588BC9" w14:textId="77777777" w:rsidR="00636682" w:rsidRPr="00A2410D" w:rsidRDefault="00636682" w:rsidP="00636682">
      <w:pPr>
        <w:ind w:firstLine="708"/>
        <w:jc w:val="both"/>
        <w:rPr>
          <w:sz w:val="24"/>
          <w:szCs w:val="24"/>
        </w:rPr>
      </w:pPr>
      <w:r w:rsidRPr="00A2410D">
        <w:rPr>
          <w:sz w:val="24"/>
          <w:szCs w:val="24"/>
        </w:rPr>
        <w:t>Já no modelo de efeitos fixos observa-se que outras variáveis apresentaram relações significativas tais como o custo da dívida (CDIV), intensidade de capital (INTC) e ROA. Estas duas últimas variáveis também apresentaram sinais opostos ao esperado.</w:t>
      </w:r>
    </w:p>
    <w:p w14:paraId="71F77815" w14:textId="77777777" w:rsidR="00636682" w:rsidRPr="00A2410D" w:rsidRDefault="00636682" w:rsidP="00636682">
      <w:pPr>
        <w:ind w:firstLine="708"/>
        <w:jc w:val="both"/>
        <w:rPr>
          <w:sz w:val="24"/>
          <w:szCs w:val="24"/>
        </w:rPr>
      </w:pPr>
      <w:r w:rsidRPr="00A2410D">
        <w:rPr>
          <w:sz w:val="24"/>
          <w:szCs w:val="24"/>
        </w:rPr>
        <w:t xml:space="preserve">Seguindo as afirmações de Wilkinson </w:t>
      </w:r>
      <w:r w:rsidRPr="0042038B">
        <w:rPr>
          <w:i/>
          <w:sz w:val="24"/>
          <w:szCs w:val="24"/>
        </w:rPr>
        <w:t>et al</w:t>
      </w:r>
      <w:r w:rsidRPr="0042038B">
        <w:rPr>
          <w:sz w:val="24"/>
          <w:szCs w:val="24"/>
        </w:rPr>
        <w:t xml:space="preserve">. (2001), acredita-se que um dos fatores que possa explicar </w:t>
      </w:r>
      <w:r w:rsidRPr="00A2410D">
        <w:rPr>
          <w:sz w:val="24"/>
          <w:szCs w:val="24"/>
        </w:rPr>
        <w:t>razões possíveis para as variáveis ​ insignificantes é que algumas as variações intra-firmas ​​ao longo do tempo estão sendo capturadas pelos componentes de erro.</w:t>
      </w:r>
    </w:p>
    <w:p w14:paraId="3DC6A435" w14:textId="77777777" w:rsidR="00636682" w:rsidRPr="00A2410D" w:rsidRDefault="00636682" w:rsidP="00636682">
      <w:pPr>
        <w:ind w:firstLine="708"/>
        <w:jc w:val="both"/>
        <w:rPr>
          <w:sz w:val="24"/>
          <w:szCs w:val="24"/>
        </w:rPr>
      </w:pPr>
      <w:r w:rsidRPr="00A2410D">
        <w:rPr>
          <w:sz w:val="24"/>
          <w:szCs w:val="24"/>
        </w:rPr>
        <w:t>No modelo dinâmico, observou-se que a variável tamanho (TAM) relacionou-se positiva e significativamente com a ETR. O ROA também evidenciou relações significativas, mas tal como os modelos anteriores apresentou sinal negativo. Já as variáveis: ALAV, CDIV e INTC, no dinâmico não se demonstraram significativas.</w:t>
      </w:r>
    </w:p>
    <w:p w14:paraId="0896525C" w14:textId="55EAECEB" w:rsidR="00636682" w:rsidRPr="000A1C7A" w:rsidRDefault="00636682" w:rsidP="00636682">
      <w:pPr>
        <w:ind w:firstLine="708"/>
        <w:jc w:val="both"/>
        <w:rPr>
          <w:sz w:val="24"/>
          <w:szCs w:val="24"/>
        </w:rPr>
      </w:pPr>
      <w:r w:rsidRPr="00A2410D">
        <w:rPr>
          <w:sz w:val="24"/>
          <w:szCs w:val="24"/>
        </w:rPr>
        <w:t xml:space="preserve">O resultado encontrado com o TAM, identificou relação significativa e positiva com as ETRs, conforme evidenciado na pesquisa de Zimmerman (1983), Wang (1991), Omer, Molloy &amp; Ziebart (1993), Plesko (2003), Calvé, Labatut e Molina (2005), Paira </w:t>
      </w:r>
      <w:r w:rsidRPr="0042038B">
        <w:rPr>
          <w:i/>
          <w:sz w:val="24"/>
          <w:szCs w:val="24"/>
        </w:rPr>
        <w:t>et al</w:t>
      </w:r>
      <w:r w:rsidRPr="0042038B">
        <w:rPr>
          <w:sz w:val="24"/>
          <w:szCs w:val="24"/>
        </w:rPr>
        <w:t xml:space="preserve">. (2005) e Rohaya </w:t>
      </w:r>
      <w:r w:rsidRPr="0042038B">
        <w:rPr>
          <w:i/>
          <w:sz w:val="24"/>
          <w:szCs w:val="24"/>
        </w:rPr>
        <w:t>et al</w:t>
      </w:r>
      <w:r w:rsidRPr="0042038B">
        <w:rPr>
          <w:sz w:val="24"/>
          <w:szCs w:val="24"/>
        </w:rPr>
        <w:t xml:space="preserve">. (2010), Chen </w:t>
      </w:r>
      <w:r w:rsidRPr="0042038B">
        <w:rPr>
          <w:i/>
          <w:sz w:val="24"/>
          <w:szCs w:val="24"/>
        </w:rPr>
        <w:t>et al</w:t>
      </w:r>
      <w:r w:rsidRPr="0042038B">
        <w:rPr>
          <w:sz w:val="24"/>
          <w:szCs w:val="24"/>
        </w:rPr>
        <w:t>. (2010), Kraft (2014</w:t>
      </w:r>
      <w:r>
        <w:rPr>
          <w:sz w:val="24"/>
          <w:szCs w:val="24"/>
        </w:rPr>
        <w:t>)</w:t>
      </w:r>
      <w:r w:rsidRPr="0042038B">
        <w:rPr>
          <w:sz w:val="24"/>
          <w:szCs w:val="24"/>
        </w:rPr>
        <w:t xml:space="preserve"> e Fernández-Rodríguez e Martínez-Arias (2014). O estudo de Fernandez-Rodr</w:t>
      </w:r>
      <w:r>
        <w:rPr>
          <w:sz w:val="24"/>
          <w:szCs w:val="24"/>
        </w:rPr>
        <w:t>í</w:t>
      </w:r>
      <w:r w:rsidRPr="0042038B">
        <w:rPr>
          <w:sz w:val="24"/>
          <w:szCs w:val="24"/>
        </w:rPr>
        <w:t>guez e Martinez-Arias (2014) que confrontou fatores determinantes das ETR nos países BRIC, também evidenciou uma relação positiva no Brasil para a variável tamanho</w:t>
      </w:r>
      <w:r w:rsidR="00455FFE">
        <w:rPr>
          <w:sz w:val="24"/>
          <w:szCs w:val="24"/>
        </w:rPr>
        <w:t xml:space="preserve">, em apoio </w:t>
      </w:r>
      <w:r w:rsidRPr="00A2410D">
        <w:rPr>
          <w:sz w:val="24"/>
          <w:szCs w:val="24"/>
        </w:rPr>
        <w:t>com a hipótese dos custos políticos.</w:t>
      </w:r>
      <w:r>
        <w:rPr>
          <w:sz w:val="24"/>
          <w:szCs w:val="24"/>
        </w:rPr>
        <w:t xml:space="preserve"> </w:t>
      </w:r>
      <w:r w:rsidRPr="000A1C7A">
        <w:rPr>
          <w:sz w:val="24"/>
          <w:szCs w:val="24"/>
        </w:rPr>
        <w:t>Este resultado pode indicar que no Brasil, quanto maior a empresa, maior será sua ETR, devido a um controle do governo mais extensivo sobre lucros e impostos.</w:t>
      </w:r>
      <w:r w:rsidRPr="000A1C7A">
        <w:rPr>
          <w:sz w:val="24"/>
          <w:szCs w:val="24"/>
        </w:rPr>
        <w:tab/>
      </w:r>
    </w:p>
    <w:p w14:paraId="09E24361" w14:textId="77777777" w:rsidR="00636682" w:rsidRPr="00A2410D" w:rsidRDefault="00636682" w:rsidP="00636682">
      <w:pPr>
        <w:ind w:firstLine="708"/>
        <w:jc w:val="both"/>
        <w:rPr>
          <w:sz w:val="24"/>
          <w:szCs w:val="24"/>
        </w:rPr>
      </w:pPr>
      <w:r w:rsidRPr="0042038B">
        <w:rPr>
          <w:sz w:val="24"/>
          <w:szCs w:val="24"/>
        </w:rPr>
        <w:t xml:space="preserve">Estudos anteriores como de Limpaphayom (1998) e Wilkinson </w:t>
      </w:r>
      <w:r w:rsidRPr="0042038B">
        <w:rPr>
          <w:i/>
          <w:sz w:val="24"/>
          <w:szCs w:val="24"/>
        </w:rPr>
        <w:t>et al</w:t>
      </w:r>
      <w:r w:rsidRPr="0042038B">
        <w:rPr>
          <w:sz w:val="24"/>
          <w:szCs w:val="24"/>
        </w:rPr>
        <w:t xml:space="preserve">. (2001), Fernandez-Rodriguez &amp; Martinez-Arias, (2011) e Delgado </w:t>
      </w:r>
      <w:r w:rsidRPr="0042038B">
        <w:rPr>
          <w:i/>
          <w:sz w:val="24"/>
          <w:szCs w:val="24"/>
        </w:rPr>
        <w:t>et al</w:t>
      </w:r>
      <w:r w:rsidRPr="0042038B">
        <w:rPr>
          <w:sz w:val="24"/>
          <w:szCs w:val="24"/>
        </w:rPr>
        <w:t xml:space="preserve">. (2012), também não identificaram relações significativas entre a dívida e ETR. Sendo que estes dois últimos, evidenciaram </w:t>
      </w:r>
      <w:r w:rsidRPr="0042038B">
        <w:rPr>
          <w:sz w:val="24"/>
          <w:szCs w:val="24"/>
        </w:rPr>
        <w:lastRenderedPageBreak/>
        <w:t>relações não-lineares entre as variáveis</w:t>
      </w:r>
      <w:r w:rsidRPr="00A2410D">
        <w:rPr>
          <w:sz w:val="24"/>
          <w:szCs w:val="24"/>
        </w:rPr>
        <w:t xml:space="preserve"> como ALV e INTC. O Estudo de Sant’Ana &amp; Zonatto (2015) apresentou resultados mistos para os países da América Latina, não observando significância estatística para todas as variáveis determinantes de ETR investigadas (Tamanho, Intensidade de capital, intensidade de inventários, alavancagem e retorno sobre ativos) no Brasil e no Chile. Estes resultados destacam que os custos de dívidas, isoladamente, não são passiveis de impactar em menores ETRs, ou que empresas que possuem mais dívidas recorram a maiores atividades de planejamento fiscal.</w:t>
      </w:r>
    </w:p>
    <w:p w14:paraId="483F9D4E" w14:textId="77777777" w:rsidR="00636682" w:rsidRPr="00A2410D" w:rsidRDefault="00636682" w:rsidP="00636682">
      <w:pPr>
        <w:ind w:firstLine="708"/>
        <w:jc w:val="both"/>
        <w:rPr>
          <w:sz w:val="24"/>
          <w:szCs w:val="24"/>
        </w:rPr>
      </w:pPr>
      <w:r w:rsidRPr="00A2410D">
        <w:rPr>
          <w:sz w:val="24"/>
          <w:szCs w:val="24"/>
        </w:rPr>
        <w:t>Um fator que pode ter refletido no índice do custo da dívida, pode se referir ao procedimento de coleta de dados, devido ao fato do total de despesas de juros, ser extraído diretamente nas contas de resultados em conta sintética denominada “despesas financeiras”. Esta conta, pode conter outros elementos que podem não estar associados exclusivamente ao montante de juros com dívidas derivadas de financiamentos e empréstimos e por este fator pode ter implicado na sua não significância.</w:t>
      </w:r>
    </w:p>
    <w:p w14:paraId="4B829499" w14:textId="77777777" w:rsidR="00636682" w:rsidRPr="00A2410D" w:rsidRDefault="00636682" w:rsidP="00636682">
      <w:pPr>
        <w:jc w:val="both"/>
        <w:rPr>
          <w:sz w:val="24"/>
          <w:szCs w:val="24"/>
        </w:rPr>
      </w:pPr>
      <w:r w:rsidRPr="00A2410D">
        <w:rPr>
          <w:sz w:val="24"/>
          <w:szCs w:val="24"/>
        </w:rPr>
        <w:tab/>
        <w:t>A variável ALAV, tal qual o custo da dívida, não apresentou coeficientes e significância estatística relevantes nos modelos estáticos e dinâmicos, tal como no estudo de Chiou, Hsieh &amp; Lin (2014). De fato, não se confirmou o que Kraft (2014) aponta, que empresas mais endividadas apresentam menores ETRs, por recorrerem a maiores estratégias de planejamento fiscal, por receberem maiores incentivos para financiarem-se por meio da dívida.</w:t>
      </w:r>
    </w:p>
    <w:p w14:paraId="6B8B948F" w14:textId="77777777" w:rsidR="00636682" w:rsidRPr="00A2410D" w:rsidRDefault="00636682" w:rsidP="00636682">
      <w:pPr>
        <w:ind w:firstLine="708"/>
        <w:jc w:val="both"/>
        <w:rPr>
          <w:sz w:val="24"/>
          <w:szCs w:val="24"/>
        </w:rPr>
      </w:pPr>
      <w:r w:rsidRPr="00A2410D">
        <w:rPr>
          <w:sz w:val="24"/>
          <w:szCs w:val="24"/>
        </w:rPr>
        <w:t>Os achados relacionados ao custo da dívida e alavancagem podem indicar que empresas Brasileiras não costumam utilizar intensamente recursos de terceiros para financiar seus ativos com intuito de ter benefícios fiscais, como a dedução de juros. Tendo em vista que os juros cobrados no Brasil se destacam entre os mais altos do mundo. Além disso, quanto maior for o juro, maior serão as parcelas de empréstimos e financiamentos, o que leva a uma necessidade de se ampliar o prazo para liquidar a dívida, como consequência quanto maior o prazo, maior o montante de juros a serem pagos. Estes fatores fazem com que as empresas nacionais repensem suas captações de recursos de terceiros, principalmente com a finalidade que de esta opção seja mais vantajosa pela dedutibilidade tributária.</w:t>
      </w:r>
    </w:p>
    <w:p w14:paraId="64CF3020" w14:textId="77777777" w:rsidR="00636682" w:rsidRPr="00A2410D" w:rsidRDefault="00636682" w:rsidP="00636682">
      <w:pPr>
        <w:jc w:val="both"/>
        <w:rPr>
          <w:sz w:val="24"/>
          <w:szCs w:val="24"/>
        </w:rPr>
      </w:pPr>
      <w:r w:rsidRPr="00A2410D">
        <w:rPr>
          <w:sz w:val="24"/>
          <w:szCs w:val="24"/>
        </w:rPr>
        <w:tab/>
        <w:t xml:space="preserve">No que se refere a intensidade de capital, cuja variável também não demonstrou relevância estatística, outros estudos também não identificaram quaisquer relações com as determinações de ETRs, ou ainda evidenciaram relações não-lineares entre as variáveis, tais como Harris &amp; Feeny (2003), Fernández (2004), Liu &amp; Cao (2007), Fernandez-Rodriguez &amp; Martinez-Arias, (2011), Delgado </w:t>
      </w:r>
      <w:r w:rsidRPr="0042038B">
        <w:rPr>
          <w:i/>
          <w:sz w:val="24"/>
          <w:szCs w:val="24"/>
        </w:rPr>
        <w:t>et al</w:t>
      </w:r>
      <w:r w:rsidRPr="0042038B">
        <w:rPr>
          <w:sz w:val="24"/>
          <w:szCs w:val="24"/>
        </w:rPr>
        <w:t>. (2012) e Fernandez-Rodriguez e Martinez-Arias (2014</w:t>
      </w:r>
      <w:r w:rsidRPr="00A2410D">
        <w:rPr>
          <w:sz w:val="24"/>
          <w:szCs w:val="24"/>
        </w:rPr>
        <w:t xml:space="preserve">). </w:t>
      </w:r>
      <w:r w:rsidRPr="00770D10">
        <w:rPr>
          <w:sz w:val="24"/>
          <w:szCs w:val="24"/>
        </w:rPr>
        <w:t>Essas evidências não suportam a noção de que o maior investimento de capital e os maiores custos depreciáveis resultantes levarão a um menor ETR.</w:t>
      </w:r>
    </w:p>
    <w:p w14:paraId="7B763754" w14:textId="137EAA65" w:rsidR="00636682" w:rsidRPr="00A2410D" w:rsidRDefault="00636682" w:rsidP="00636682">
      <w:pPr>
        <w:jc w:val="both"/>
        <w:rPr>
          <w:sz w:val="24"/>
          <w:szCs w:val="24"/>
        </w:rPr>
      </w:pPr>
      <w:r w:rsidRPr="00A2410D">
        <w:rPr>
          <w:sz w:val="24"/>
          <w:szCs w:val="24"/>
        </w:rPr>
        <w:tab/>
        <w:t>Por fim</w:t>
      </w:r>
      <w:r>
        <w:rPr>
          <w:sz w:val="24"/>
          <w:szCs w:val="24"/>
        </w:rPr>
        <w:t xml:space="preserve">, </w:t>
      </w:r>
      <w:r w:rsidRPr="00A2410D">
        <w:rPr>
          <w:sz w:val="24"/>
          <w:szCs w:val="24"/>
        </w:rPr>
        <w:t>o modelo robusto identificou duas relações significativas: com a variável Depreciação de Ativos não Circulantes (DANC) e Rentabilidade Sobre Ativos (ROA).</w:t>
      </w:r>
      <w:r>
        <w:rPr>
          <w:sz w:val="24"/>
          <w:szCs w:val="24"/>
        </w:rPr>
        <w:t xml:space="preserve"> </w:t>
      </w:r>
      <w:r w:rsidRPr="00A2410D">
        <w:rPr>
          <w:sz w:val="24"/>
          <w:szCs w:val="24"/>
        </w:rPr>
        <w:t>A</w:t>
      </w:r>
      <w:bookmarkStart w:id="31" w:name="_Hlk503275809"/>
      <w:r>
        <w:rPr>
          <w:sz w:val="24"/>
          <w:szCs w:val="24"/>
        </w:rPr>
        <w:t xml:space="preserve"> variável </w:t>
      </w:r>
      <w:r w:rsidRPr="00A2410D">
        <w:rPr>
          <w:sz w:val="24"/>
          <w:szCs w:val="24"/>
        </w:rPr>
        <w:t xml:space="preserve">DANC </w:t>
      </w:r>
      <w:bookmarkEnd w:id="31"/>
      <w:r w:rsidRPr="00A2410D">
        <w:rPr>
          <w:sz w:val="24"/>
          <w:szCs w:val="24"/>
        </w:rPr>
        <w:t xml:space="preserve">demonstrou poder explicativo a um </w:t>
      </w:r>
      <w:r w:rsidRPr="00993FE6">
        <w:rPr>
          <w:i/>
          <w:sz w:val="24"/>
          <w:szCs w:val="24"/>
        </w:rPr>
        <w:t>p-value</w:t>
      </w:r>
      <w:r w:rsidRPr="00A2410D">
        <w:rPr>
          <w:sz w:val="24"/>
          <w:szCs w:val="24"/>
        </w:rPr>
        <w:t xml:space="preserve"> de 0,05. No entanto, não se confirmou a H5 a qual esperava uma influência negativa na ETR, e contrariamente, verificou-se uma relação positiva entre DANC e ETR. O estudo de Feeny </w:t>
      </w:r>
      <w:r w:rsidRPr="0042038B">
        <w:rPr>
          <w:i/>
          <w:sz w:val="24"/>
          <w:szCs w:val="24"/>
        </w:rPr>
        <w:t>et al</w:t>
      </w:r>
      <w:r w:rsidRPr="0042038B">
        <w:rPr>
          <w:sz w:val="24"/>
          <w:szCs w:val="24"/>
        </w:rPr>
        <w:t>. (2006), indicou que as ETRs mais elevadas associa</w:t>
      </w:r>
      <w:r w:rsidR="00AB7928">
        <w:rPr>
          <w:sz w:val="24"/>
          <w:szCs w:val="24"/>
        </w:rPr>
        <w:t>m-se</w:t>
      </w:r>
      <w:r w:rsidRPr="0042038B">
        <w:rPr>
          <w:sz w:val="24"/>
          <w:szCs w:val="24"/>
        </w:rPr>
        <w:t xml:space="preserve"> a uma maior depreciação e pagamentos de juros normaliza</w:t>
      </w:r>
      <w:r w:rsidRPr="00707342">
        <w:rPr>
          <w:sz w:val="24"/>
          <w:szCs w:val="24"/>
        </w:rPr>
        <w:t>dos, taxas de dívida a ativos e taxas de juros estrangeiras mais elevadas. Além disso, os autores destacam que a significação da depreciação com um sinal positivo é consistente com outros estudos, e o sinal pode ser just</w:t>
      </w:r>
      <w:r w:rsidRPr="00A2410D">
        <w:rPr>
          <w:sz w:val="24"/>
          <w:szCs w:val="24"/>
        </w:rPr>
        <w:t>ificado pelo fator de normalização diferente de demais estudos.</w:t>
      </w:r>
    </w:p>
    <w:p w14:paraId="01358D74" w14:textId="77777777" w:rsidR="00636682" w:rsidRPr="00A2410D" w:rsidRDefault="00636682" w:rsidP="00636682">
      <w:pPr>
        <w:ind w:firstLine="708"/>
        <w:jc w:val="both"/>
        <w:rPr>
          <w:sz w:val="24"/>
          <w:szCs w:val="24"/>
        </w:rPr>
      </w:pPr>
      <w:r w:rsidRPr="00A2410D">
        <w:rPr>
          <w:sz w:val="24"/>
          <w:szCs w:val="24"/>
        </w:rPr>
        <w:t xml:space="preserve">O ROA, foi explicada de maneira significativa em todos os modelos testados. No entanto não confirmou H6, pois diferente do previsto, foi negativamente relacionada com a ETR. Este achado vai ao encontro do estudo de Derashid e Zhang (2003), Rohaya, </w:t>
      </w:r>
      <w:r w:rsidRPr="0042038B">
        <w:rPr>
          <w:i/>
          <w:sz w:val="24"/>
          <w:szCs w:val="24"/>
        </w:rPr>
        <w:t>et al</w:t>
      </w:r>
      <w:r>
        <w:rPr>
          <w:sz w:val="24"/>
          <w:szCs w:val="24"/>
        </w:rPr>
        <w:t>.</w:t>
      </w:r>
      <w:r w:rsidRPr="0042038B">
        <w:rPr>
          <w:sz w:val="24"/>
          <w:szCs w:val="24"/>
        </w:rPr>
        <w:t xml:space="preserve"> (2008 e 2010), Mahenthiran &amp; Kasipillai (2011)</w:t>
      </w:r>
      <w:r w:rsidRPr="00707342">
        <w:rPr>
          <w:sz w:val="24"/>
          <w:szCs w:val="24"/>
        </w:rPr>
        <w:t>, Kraft (2014) e Chiou, Hsieh &amp; Lin (2014</w:t>
      </w:r>
      <w:r w:rsidRPr="00A2410D">
        <w:rPr>
          <w:sz w:val="24"/>
          <w:szCs w:val="24"/>
        </w:rPr>
        <w:t xml:space="preserve">). Não </w:t>
      </w:r>
      <w:r w:rsidRPr="00A2410D">
        <w:rPr>
          <w:sz w:val="24"/>
          <w:szCs w:val="24"/>
        </w:rPr>
        <w:lastRenderedPageBreak/>
        <w:t>confirmou os achados de o Fernandez-Rodriguez e Martinez-Arias (2014), dos quais encontram coeficientes positivos e significativo entre ROA e ETR no Brasil do período entre 2000 a 2009. E também não foi ao encontro do estudo de Sant’Ana &amp; Zonatto (2015), que não evidenciou relações significativas entre este determinante e a ETR para o Brasil.</w:t>
      </w:r>
    </w:p>
    <w:p w14:paraId="1818FA52" w14:textId="77777777" w:rsidR="00636682" w:rsidRPr="00A2410D" w:rsidRDefault="00636682" w:rsidP="00636682">
      <w:pPr>
        <w:jc w:val="both"/>
        <w:rPr>
          <w:sz w:val="24"/>
          <w:szCs w:val="24"/>
        </w:rPr>
      </w:pPr>
    </w:p>
    <w:p w14:paraId="1147D7F6" w14:textId="001323DD" w:rsidR="00636682" w:rsidRPr="000A1C7A" w:rsidRDefault="00636682" w:rsidP="00636682">
      <w:pPr>
        <w:pStyle w:val="Ttulo1"/>
        <w:spacing w:before="0" w:line="240" w:lineRule="auto"/>
        <w:rPr>
          <w:rFonts w:ascii="Times New Roman" w:hAnsi="Times New Roman" w:cs="Times New Roman"/>
          <w:b/>
          <w:color w:val="auto"/>
          <w:sz w:val="24"/>
          <w:szCs w:val="24"/>
        </w:rPr>
      </w:pPr>
      <w:r w:rsidRPr="00A2410D">
        <w:rPr>
          <w:rFonts w:ascii="Times New Roman" w:hAnsi="Times New Roman" w:cs="Times New Roman"/>
          <w:b/>
          <w:color w:val="auto"/>
          <w:sz w:val="24"/>
          <w:szCs w:val="24"/>
        </w:rPr>
        <w:t xml:space="preserve">5 </w:t>
      </w:r>
      <w:r w:rsidR="00EA4940" w:rsidRPr="00A2410D">
        <w:rPr>
          <w:rFonts w:ascii="Times New Roman" w:hAnsi="Times New Roman" w:cs="Times New Roman"/>
          <w:b/>
          <w:color w:val="auto"/>
          <w:sz w:val="24"/>
          <w:szCs w:val="24"/>
        </w:rPr>
        <w:t>Con</w:t>
      </w:r>
      <w:r w:rsidR="00EA4940">
        <w:rPr>
          <w:rFonts w:ascii="Times New Roman" w:hAnsi="Times New Roman" w:cs="Times New Roman"/>
          <w:b/>
          <w:color w:val="auto"/>
          <w:sz w:val="24"/>
          <w:szCs w:val="24"/>
        </w:rPr>
        <w:t>siderações Finais</w:t>
      </w:r>
    </w:p>
    <w:p w14:paraId="0C34A660" w14:textId="6CE9DD77" w:rsidR="00636682" w:rsidRPr="000A1C7A" w:rsidRDefault="00636682" w:rsidP="00636682">
      <w:pPr>
        <w:ind w:firstLine="708"/>
        <w:jc w:val="both"/>
        <w:rPr>
          <w:sz w:val="24"/>
          <w:szCs w:val="24"/>
        </w:rPr>
      </w:pPr>
      <w:r w:rsidRPr="00DD3C94">
        <w:rPr>
          <w:sz w:val="24"/>
          <w:szCs w:val="24"/>
        </w:rPr>
        <w:t xml:space="preserve">Essa pesquisa apresentou como objetivo a determinação dos fatores explicativos </w:t>
      </w:r>
      <w:r w:rsidR="00AB7928">
        <w:rPr>
          <w:sz w:val="24"/>
          <w:szCs w:val="24"/>
        </w:rPr>
        <w:t xml:space="preserve">das ETRs </w:t>
      </w:r>
      <w:r w:rsidRPr="00DD3C94">
        <w:rPr>
          <w:sz w:val="24"/>
          <w:szCs w:val="24"/>
        </w:rPr>
        <w:t>das empresas brasileiras no período de 2010 a 2016.</w:t>
      </w:r>
      <w:r w:rsidR="00AB7928">
        <w:rPr>
          <w:sz w:val="24"/>
          <w:szCs w:val="24"/>
        </w:rPr>
        <w:t xml:space="preserve"> Investigando ainda se estas empresas recorrem</w:t>
      </w:r>
      <w:r w:rsidR="00AB7928" w:rsidRPr="009825E2">
        <w:rPr>
          <w:sz w:val="24"/>
          <w:szCs w:val="24"/>
        </w:rPr>
        <w:t xml:space="preserve"> a atividades de planejamento</w:t>
      </w:r>
      <w:r w:rsidR="00AB7928">
        <w:rPr>
          <w:sz w:val="24"/>
          <w:szCs w:val="24"/>
        </w:rPr>
        <w:t xml:space="preserve"> tributário. F</w:t>
      </w:r>
      <w:r w:rsidRPr="0042038B">
        <w:rPr>
          <w:sz w:val="24"/>
          <w:szCs w:val="24"/>
        </w:rPr>
        <w:t xml:space="preserve">oram analisadas 980 observações </w:t>
      </w:r>
      <w:r w:rsidR="00AB7928">
        <w:rPr>
          <w:sz w:val="24"/>
          <w:szCs w:val="24"/>
        </w:rPr>
        <w:t xml:space="preserve">da </w:t>
      </w:r>
      <w:r w:rsidRPr="0042038B">
        <w:rPr>
          <w:sz w:val="24"/>
          <w:szCs w:val="24"/>
        </w:rPr>
        <w:t xml:space="preserve">base de dados </w:t>
      </w:r>
      <w:r w:rsidRPr="00707342">
        <w:rPr>
          <w:sz w:val="24"/>
          <w:szCs w:val="24"/>
        </w:rPr>
        <w:t>Econom</w:t>
      </w:r>
      <w:r>
        <w:rPr>
          <w:sz w:val="24"/>
          <w:szCs w:val="24"/>
        </w:rPr>
        <w:t>á</w:t>
      </w:r>
      <w:r w:rsidRPr="000A1C7A">
        <w:rPr>
          <w:sz w:val="24"/>
          <w:szCs w:val="24"/>
        </w:rPr>
        <w:t>tica</w:t>
      </w:r>
      <w:r w:rsidR="00AB7928">
        <w:rPr>
          <w:sz w:val="24"/>
          <w:szCs w:val="24"/>
        </w:rPr>
        <w:t xml:space="preserve">, com auxílio </w:t>
      </w:r>
      <w:r w:rsidRPr="000A1C7A">
        <w:rPr>
          <w:sz w:val="24"/>
          <w:szCs w:val="24"/>
        </w:rPr>
        <w:t>da técnica de análise de painel</w:t>
      </w:r>
      <w:r w:rsidR="00AB7928">
        <w:rPr>
          <w:sz w:val="24"/>
          <w:szCs w:val="24"/>
        </w:rPr>
        <w:t>. Foram</w:t>
      </w:r>
      <w:r w:rsidRPr="000A1C7A">
        <w:rPr>
          <w:sz w:val="24"/>
          <w:szCs w:val="24"/>
        </w:rPr>
        <w:t xml:space="preserve"> empregados procedimentos estáticos e dinâmicos </w:t>
      </w:r>
      <w:r w:rsidR="00AB7928">
        <w:rPr>
          <w:sz w:val="24"/>
          <w:szCs w:val="24"/>
        </w:rPr>
        <w:t>e</w:t>
      </w:r>
      <w:r w:rsidRPr="000A1C7A">
        <w:rPr>
          <w:sz w:val="24"/>
          <w:szCs w:val="24"/>
        </w:rPr>
        <w:t xml:space="preserve"> painéis não balanceados</w:t>
      </w:r>
      <w:r w:rsidR="00AB7928">
        <w:rPr>
          <w:sz w:val="24"/>
          <w:szCs w:val="24"/>
        </w:rPr>
        <w:t xml:space="preserve">. </w:t>
      </w:r>
    </w:p>
    <w:p w14:paraId="5ADF7894" w14:textId="1DD51FCA" w:rsidR="00636682" w:rsidRPr="00A2410D" w:rsidRDefault="00636682" w:rsidP="00636682">
      <w:pPr>
        <w:ind w:firstLine="709"/>
        <w:jc w:val="both"/>
        <w:rPr>
          <w:sz w:val="24"/>
          <w:szCs w:val="24"/>
        </w:rPr>
      </w:pPr>
      <w:r w:rsidRPr="00DD3C94">
        <w:rPr>
          <w:sz w:val="24"/>
          <w:szCs w:val="24"/>
        </w:rPr>
        <w:t>No</w:t>
      </w:r>
      <w:r w:rsidRPr="0042038B">
        <w:rPr>
          <w:sz w:val="24"/>
          <w:szCs w:val="24"/>
        </w:rPr>
        <w:t xml:space="preserve"> modelo estático (VCE-</w:t>
      </w:r>
      <w:r w:rsidRPr="004B193F">
        <w:rPr>
          <w:i/>
          <w:sz w:val="24"/>
          <w:szCs w:val="24"/>
        </w:rPr>
        <w:t>Robust</w:t>
      </w:r>
      <w:r w:rsidRPr="0042038B">
        <w:rPr>
          <w:sz w:val="24"/>
          <w:szCs w:val="24"/>
        </w:rPr>
        <w:t xml:space="preserve">) as variáveis depreciação do ativo não circulante </w:t>
      </w:r>
      <w:r w:rsidRPr="00707342">
        <w:rPr>
          <w:sz w:val="24"/>
          <w:szCs w:val="24"/>
        </w:rPr>
        <w:t>e rentabilidade do ativo foram estatisticamente significantes para explicar a taxa efetiva de imposto das empresas.</w:t>
      </w:r>
      <w:r w:rsidRPr="00A2410D">
        <w:rPr>
          <w:sz w:val="24"/>
          <w:szCs w:val="24"/>
        </w:rPr>
        <w:t xml:space="preserve"> No entanto, ambas variáveis apresentaram sinais inversos ao esperado</w:t>
      </w:r>
      <w:r>
        <w:rPr>
          <w:sz w:val="24"/>
          <w:szCs w:val="24"/>
        </w:rPr>
        <w:t>,</w:t>
      </w:r>
      <w:r w:rsidRPr="00A2410D">
        <w:rPr>
          <w:sz w:val="24"/>
          <w:szCs w:val="24"/>
        </w:rPr>
        <w:t xml:space="preserve"> </w:t>
      </w:r>
      <w:r>
        <w:rPr>
          <w:sz w:val="24"/>
          <w:szCs w:val="24"/>
        </w:rPr>
        <w:t>i</w:t>
      </w:r>
      <w:r w:rsidRPr="00A2410D">
        <w:rPr>
          <w:sz w:val="24"/>
          <w:szCs w:val="24"/>
        </w:rPr>
        <w:t xml:space="preserve">sso </w:t>
      </w:r>
      <w:r>
        <w:rPr>
          <w:sz w:val="24"/>
          <w:szCs w:val="24"/>
        </w:rPr>
        <w:t>p</w:t>
      </w:r>
      <w:r w:rsidRPr="00707342">
        <w:rPr>
          <w:sz w:val="24"/>
          <w:szCs w:val="24"/>
        </w:rPr>
        <w:t>ode ser just</w:t>
      </w:r>
      <w:r w:rsidRPr="00A2410D">
        <w:rPr>
          <w:sz w:val="24"/>
          <w:szCs w:val="24"/>
        </w:rPr>
        <w:t>ificado pelo fator de normalização diferente d</w:t>
      </w:r>
      <w:r>
        <w:rPr>
          <w:sz w:val="24"/>
          <w:szCs w:val="24"/>
        </w:rPr>
        <w:t xml:space="preserve">o estudo base, vale ressaltar que assim como </w:t>
      </w:r>
      <w:r w:rsidRPr="00A2410D">
        <w:rPr>
          <w:sz w:val="24"/>
          <w:szCs w:val="24"/>
        </w:rPr>
        <w:t xml:space="preserve">Feeny </w:t>
      </w:r>
      <w:r w:rsidRPr="0042038B">
        <w:rPr>
          <w:i/>
          <w:sz w:val="24"/>
          <w:szCs w:val="24"/>
        </w:rPr>
        <w:t>et al</w:t>
      </w:r>
      <w:r w:rsidRPr="0042038B">
        <w:rPr>
          <w:sz w:val="24"/>
          <w:szCs w:val="24"/>
        </w:rPr>
        <w:t>. (2006)</w:t>
      </w:r>
      <w:r>
        <w:rPr>
          <w:sz w:val="24"/>
          <w:szCs w:val="24"/>
        </w:rPr>
        <w:t xml:space="preserve"> os resultados para amostra estudada evidenciam que </w:t>
      </w:r>
      <w:r w:rsidRPr="0042038B">
        <w:rPr>
          <w:sz w:val="24"/>
          <w:szCs w:val="24"/>
        </w:rPr>
        <w:t xml:space="preserve">depreciação do ativo não circulante </w:t>
      </w:r>
      <w:r>
        <w:rPr>
          <w:sz w:val="24"/>
          <w:szCs w:val="24"/>
        </w:rPr>
        <w:t xml:space="preserve">é positiva e significante com a </w:t>
      </w:r>
      <w:r w:rsidRPr="0042038B">
        <w:rPr>
          <w:sz w:val="24"/>
          <w:szCs w:val="24"/>
        </w:rPr>
        <w:t>ETRs</w:t>
      </w:r>
      <w:r>
        <w:rPr>
          <w:sz w:val="24"/>
          <w:szCs w:val="24"/>
        </w:rPr>
        <w:t xml:space="preserve">, e </w:t>
      </w:r>
      <w:r w:rsidR="00AB7928">
        <w:rPr>
          <w:sz w:val="24"/>
          <w:szCs w:val="24"/>
        </w:rPr>
        <w:t>c</w:t>
      </w:r>
      <w:r>
        <w:rPr>
          <w:sz w:val="24"/>
          <w:szCs w:val="24"/>
        </w:rPr>
        <w:t xml:space="preserve">om relação a variável rentabilidade há congruência com os resultados de </w:t>
      </w:r>
      <w:r w:rsidRPr="0042038B">
        <w:rPr>
          <w:sz w:val="24"/>
          <w:szCs w:val="24"/>
        </w:rPr>
        <w:t>Mahenthiran &amp; Kasipillai (2011)</w:t>
      </w:r>
      <w:r w:rsidRPr="00707342">
        <w:rPr>
          <w:sz w:val="24"/>
          <w:szCs w:val="24"/>
        </w:rPr>
        <w:t>, Kraft (2014) e Chiou, Hsieh &amp; Lin (2014</w:t>
      </w:r>
      <w:r w:rsidRPr="00A2410D">
        <w:rPr>
          <w:sz w:val="24"/>
          <w:szCs w:val="24"/>
        </w:rPr>
        <w:t>)</w:t>
      </w:r>
      <w:r>
        <w:rPr>
          <w:sz w:val="24"/>
          <w:szCs w:val="24"/>
        </w:rPr>
        <w:t xml:space="preserve">.  </w:t>
      </w:r>
    </w:p>
    <w:p w14:paraId="4A21BF73" w14:textId="77777777" w:rsidR="00636682" w:rsidRPr="00707342" w:rsidRDefault="00636682" w:rsidP="00636682">
      <w:pPr>
        <w:ind w:firstLine="709"/>
        <w:jc w:val="both"/>
        <w:rPr>
          <w:sz w:val="24"/>
          <w:szCs w:val="24"/>
        </w:rPr>
      </w:pPr>
      <w:r w:rsidRPr="00DD3C94">
        <w:rPr>
          <w:sz w:val="24"/>
          <w:szCs w:val="24"/>
        </w:rPr>
        <w:t xml:space="preserve"> Já as variáveis, tamanho, alavancagem, custo da dívida, e intensidade de capital não apresentaram significância no modelo proposto</w:t>
      </w:r>
      <w:r w:rsidRPr="0042038B">
        <w:rPr>
          <w:sz w:val="24"/>
          <w:szCs w:val="24"/>
        </w:rPr>
        <w:t xml:space="preserve"> estático, indicando que podem ter outros elementos que podem de forma mais significativa estarem trazendo implicações a ETR.</w:t>
      </w:r>
    </w:p>
    <w:p w14:paraId="0BBA7805" w14:textId="77777777" w:rsidR="00636682" w:rsidRPr="00A2410D" w:rsidRDefault="00636682" w:rsidP="00636682">
      <w:pPr>
        <w:ind w:firstLine="709"/>
        <w:jc w:val="both"/>
        <w:rPr>
          <w:sz w:val="24"/>
          <w:szCs w:val="24"/>
        </w:rPr>
      </w:pPr>
      <w:r w:rsidRPr="00A2410D">
        <w:rPr>
          <w:sz w:val="24"/>
          <w:szCs w:val="24"/>
        </w:rPr>
        <w:t xml:space="preserve">No modelo dinâmico a variável defasada de taxa efetiva de imposto não foi significante para explicar a taxa no período atual e que o exercício fiscal estava apoiado ao período anterior. Este modelo apresentou as variáveis de tamanho e rentabilidade do ativo como sendo significantes para explicar a taxa efetiva de imposto em t-1.  No entanto o modelo deve ser observado com cautela por não ter se revelado significativo. </w:t>
      </w:r>
    </w:p>
    <w:p w14:paraId="0B9B181C" w14:textId="77777777" w:rsidR="00636682" w:rsidRPr="00A2410D" w:rsidRDefault="00636682" w:rsidP="00636682">
      <w:pPr>
        <w:ind w:firstLine="709"/>
        <w:jc w:val="both"/>
        <w:rPr>
          <w:sz w:val="24"/>
          <w:szCs w:val="24"/>
        </w:rPr>
      </w:pPr>
      <w:r w:rsidRPr="00A2410D">
        <w:rPr>
          <w:sz w:val="24"/>
          <w:szCs w:val="24"/>
        </w:rPr>
        <w:t>Como grande parte das variáveis exploradas resultantes deste estudo apresentaram sinais inversos ao esperado, mesmo com amparo de estudos anteriores, merece-se mais estudos com intuito de verificar fatores que podem ter implicações para os achados.</w:t>
      </w:r>
    </w:p>
    <w:p w14:paraId="57F897CD" w14:textId="77777777" w:rsidR="00636682" w:rsidRPr="00A2410D" w:rsidRDefault="00636682" w:rsidP="00636682">
      <w:pPr>
        <w:ind w:firstLine="709"/>
        <w:jc w:val="both"/>
        <w:rPr>
          <w:sz w:val="24"/>
          <w:szCs w:val="24"/>
        </w:rPr>
      </w:pPr>
      <w:r w:rsidRPr="00A2410D">
        <w:rPr>
          <w:sz w:val="24"/>
          <w:szCs w:val="24"/>
        </w:rPr>
        <w:t>Como limitação da pesquisa pode ser citado o fato de legislação brasileira permitir a compensação de prejuízos fiscais, podendo ter influenciado da determinação da taxa efetiva de impostos, e por consequência os resultados encontrados. Como possibilidade de pesquisas futuras, sugere-se o teste com outras variáveis e/ou com outras formas de mensuração para explicar o comportamento da taxa efetiva de imposto, além de ampliar o período analisado. Por fim, este trabalho adiciona evidencia sobre características das empresas relacionadas ao planejamento tributário</w:t>
      </w:r>
      <w:r w:rsidRPr="00A2410D">
        <w:t xml:space="preserve">. </w:t>
      </w:r>
    </w:p>
    <w:p w14:paraId="76E48510" w14:textId="77777777" w:rsidR="00636682" w:rsidRPr="00A2410D" w:rsidRDefault="00636682" w:rsidP="00636682">
      <w:pPr>
        <w:jc w:val="both"/>
        <w:rPr>
          <w:sz w:val="24"/>
          <w:szCs w:val="24"/>
        </w:rPr>
      </w:pPr>
    </w:p>
    <w:p w14:paraId="37D19EBD" w14:textId="778C5E13" w:rsidR="00636682" w:rsidRPr="00A2410D" w:rsidRDefault="00EA4940" w:rsidP="00636682">
      <w:pPr>
        <w:pStyle w:val="Ttulo1"/>
        <w:spacing w:before="0" w:line="240" w:lineRule="auto"/>
        <w:rPr>
          <w:rFonts w:ascii="Times New Roman" w:hAnsi="Times New Roman" w:cs="Times New Roman"/>
          <w:b/>
          <w:color w:val="auto"/>
          <w:sz w:val="24"/>
          <w:szCs w:val="24"/>
        </w:rPr>
      </w:pPr>
      <w:r w:rsidRPr="00A2410D">
        <w:rPr>
          <w:rFonts w:ascii="Times New Roman" w:hAnsi="Times New Roman" w:cs="Times New Roman"/>
          <w:b/>
          <w:color w:val="auto"/>
          <w:sz w:val="24"/>
          <w:szCs w:val="24"/>
        </w:rPr>
        <w:t xml:space="preserve">Referências </w:t>
      </w:r>
    </w:p>
    <w:p w14:paraId="7FC39019" w14:textId="77777777" w:rsidR="00636682" w:rsidRPr="00A2410D" w:rsidRDefault="00636682" w:rsidP="004B193F">
      <w:pPr>
        <w:jc w:val="both"/>
        <w:rPr>
          <w:sz w:val="24"/>
          <w:szCs w:val="24"/>
        </w:rPr>
      </w:pPr>
      <w:r w:rsidRPr="00A2410D">
        <w:rPr>
          <w:sz w:val="24"/>
          <w:szCs w:val="24"/>
        </w:rPr>
        <w:t xml:space="preserve">Assaf Neto, A. (2008). </w:t>
      </w:r>
      <w:r w:rsidRPr="00A2410D">
        <w:rPr>
          <w:i/>
          <w:sz w:val="24"/>
          <w:szCs w:val="24"/>
        </w:rPr>
        <w:t>Curso de Administração Financeira</w:t>
      </w:r>
      <w:r w:rsidRPr="00A2410D">
        <w:rPr>
          <w:sz w:val="24"/>
          <w:szCs w:val="24"/>
        </w:rPr>
        <w:t>.  São Paulo: Atlas.</w:t>
      </w:r>
    </w:p>
    <w:p w14:paraId="0C7C0E50" w14:textId="77777777" w:rsidR="00636682" w:rsidRPr="000A1C7A" w:rsidRDefault="00636682" w:rsidP="004B193F">
      <w:pPr>
        <w:jc w:val="both"/>
        <w:rPr>
          <w:sz w:val="24"/>
          <w:szCs w:val="24"/>
        </w:rPr>
      </w:pPr>
      <w:r w:rsidRPr="00A2410D">
        <w:rPr>
          <w:sz w:val="24"/>
          <w:szCs w:val="24"/>
        </w:rPr>
        <w:t>Calvé, J. I.</w:t>
      </w:r>
      <w:r>
        <w:rPr>
          <w:sz w:val="24"/>
          <w:szCs w:val="24"/>
        </w:rPr>
        <w:t>,</w:t>
      </w:r>
      <w:r w:rsidRPr="00A2410D">
        <w:rPr>
          <w:sz w:val="24"/>
          <w:szCs w:val="24"/>
        </w:rPr>
        <w:t xml:space="preserve"> Labatut, G. &amp; Molina, R. (2005). Variables económico-financieras que inciden sobre la presión fiscal soportada por las empresas de reducida dimensión: Efectos de la Reforma fiscal de 1995 en las empresas de la Comunidad Valenciana. </w:t>
      </w:r>
      <w:r w:rsidRPr="00A2410D">
        <w:rPr>
          <w:i/>
          <w:sz w:val="24"/>
          <w:szCs w:val="24"/>
        </w:rPr>
        <w:t>Revista Española de Financiación y Contabilidad</w:t>
      </w:r>
      <w:r>
        <w:rPr>
          <w:sz w:val="24"/>
          <w:szCs w:val="24"/>
        </w:rPr>
        <w:t>,</w:t>
      </w:r>
      <w:r w:rsidRPr="000A1C7A">
        <w:rPr>
          <w:sz w:val="24"/>
          <w:szCs w:val="24"/>
        </w:rPr>
        <w:t xml:space="preserve"> </w:t>
      </w:r>
      <w:r w:rsidRPr="00993FE6">
        <w:rPr>
          <w:i/>
          <w:sz w:val="24"/>
          <w:szCs w:val="24"/>
        </w:rPr>
        <w:t>34</w:t>
      </w:r>
      <w:r>
        <w:rPr>
          <w:sz w:val="24"/>
          <w:szCs w:val="24"/>
        </w:rPr>
        <w:t xml:space="preserve"> (</w:t>
      </w:r>
      <w:r w:rsidRPr="000A1C7A">
        <w:rPr>
          <w:sz w:val="24"/>
          <w:szCs w:val="24"/>
        </w:rPr>
        <w:t>127</w:t>
      </w:r>
      <w:r>
        <w:rPr>
          <w:sz w:val="24"/>
          <w:szCs w:val="24"/>
        </w:rPr>
        <w:t>)</w:t>
      </w:r>
      <w:r w:rsidRPr="000A1C7A">
        <w:rPr>
          <w:sz w:val="24"/>
          <w:szCs w:val="24"/>
        </w:rPr>
        <w:t>, 875-897.</w:t>
      </w:r>
    </w:p>
    <w:p w14:paraId="0E3DD707" w14:textId="77777777" w:rsidR="00636682" w:rsidRDefault="00636682" w:rsidP="004B193F">
      <w:pPr>
        <w:jc w:val="both"/>
        <w:rPr>
          <w:sz w:val="24"/>
          <w:szCs w:val="24"/>
        </w:rPr>
      </w:pPr>
      <w:r w:rsidRPr="00707342">
        <w:rPr>
          <w:sz w:val="24"/>
          <w:szCs w:val="24"/>
        </w:rPr>
        <w:t xml:space="preserve">Comitê de Pronunciamentos </w:t>
      </w:r>
      <w:r w:rsidRPr="00A2410D">
        <w:rPr>
          <w:sz w:val="24"/>
          <w:szCs w:val="24"/>
        </w:rPr>
        <w:t xml:space="preserve">Contábeis - Pronunciamento técnico CPC 32. </w:t>
      </w:r>
      <w:r w:rsidRPr="00A2410D">
        <w:rPr>
          <w:i/>
          <w:sz w:val="24"/>
          <w:szCs w:val="24"/>
        </w:rPr>
        <w:t>Tributos sobre o Lucro</w:t>
      </w:r>
      <w:r w:rsidRPr="00A2410D">
        <w:rPr>
          <w:sz w:val="24"/>
          <w:szCs w:val="24"/>
        </w:rPr>
        <w:t xml:space="preserve">. Recuperado em 20 de outubro, 2017, de: </w:t>
      </w:r>
      <w:hyperlink r:id="rId8" w:history="1">
        <w:r w:rsidRPr="004A248C">
          <w:rPr>
            <w:rStyle w:val="Hyperlink"/>
            <w:sz w:val="24"/>
            <w:szCs w:val="24"/>
          </w:rPr>
          <w:t>http://static.cpc.mediagroup.com.br/Documentos/340_CPC_32_rev%2010.pdf</w:t>
        </w:r>
      </w:hyperlink>
      <w:r w:rsidRPr="00A2410D">
        <w:rPr>
          <w:sz w:val="24"/>
          <w:szCs w:val="24"/>
        </w:rPr>
        <w:t>.</w:t>
      </w:r>
    </w:p>
    <w:p w14:paraId="756ED15A" w14:textId="77777777" w:rsidR="00636682" w:rsidRDefault="00636682" w:rsidP="004B193F">
      <w:pPr>
        <w:jc w:val="both"/>
        <w:rPr>
          <w:sz w:val="24"/>
          <w:szCs w:val="24"/>
        </w:rPr>
      </w:pPr>
      <w:r>
        <w:rPr>
          <w:sz w:val="24"/>
          <w:szCs w:val="24"/>
        </w:rPr>
        <w:lastRenderedPageBreak/>
        <w:t>Delgado, F.</w:t>
      </w:r>
      <w:r w:rsidRPr="00A128E1">
        <w:rPr>
          <w:sz w:val="24"/>
          <w:szCs w:val="24"/>
        </w:rPr>
        <w:t xml:space="preserve"> J</w:t>
      </w:r>
      <w:r>
        <w:rPr>
          <w:sz w:val="24"/>
          <w:szCs w:val="24"/>
        </w:rPr>
        <w:t xml:space="preserve">., Fernández-Rodrígues, E. &amp; Martínez-Arias, A. (2012). </w:t>
      </w:r>
      <w:r w:rsidRPr="00A128E1">
        <w:rPr>
          <w:sz w:val="24"/>
          <w:szCs w:val="24"/>
        </w:rPr>
        <w:t>Size</w:t>
      </w:r>
      <w:r>
        <w:rPr>
          <w:sz w:val="24"/>
          <w:szCs w:val="24"/>
        </w:rPr>
        <w:t xml:space="preserve"> </w:t>
      </w:r>
      <w:r w:rsidRPr="00A128E1">
        <w:rPr>
          <w:sz w:val="24"/>
          <w:szCs w:val="24"/>
        </w:rPr>
        <w:t>and other Determinants of Corporate</w:t>
      </w:r>
      <w:r>
        <w:rPr>
          <w:sz w:val="24"/>
          <w:szCs w:val="24"/>
        </w:rPr>
        <w:t xml:space="preserve"> </w:t>
      </w:r>
      <w:r w:rsidRPr="00A128E1">
        <w:rPr>
          <w:sz w:val="24"/>
          <w:szCs w:val="24"/>
        </w:rPr>
        <w:t>Effective Tax Rates in US Listed</w:t>
      </w:r>
      <w:r>
        <w:rPr>
          <w:sz w:val="24"/>
          <w:szCs w:val="24"/>
        </w:rPr>
        <w:t xml:space="preserve"> Companies</w:t>
      </w:r>
      <w:r w:rsidRPr="00A128E1">
        <w:rPr>
          <w:sz w:val="24"/>
          <w:szCs w:val="24"/>
        </w:rPr>
        <w:t xml:space="preserve">.  </w:t>
      </w:r>
      <w:r w:rsidRPr="00993FE6">
        <w:rPr>
          <w:i/>
          <w:sz w:val="24"/>
          <w:szCs w:val="24"/>
        </w:rPr>
        <w:t>International Research Journal of Finance and Economics</w:t>
      </w:r>
      <w:r>
        <w:rPr>
          <w:sz w:val="24"/>
          <w:szCs w:val="24"/>
        </w:rPr>
        <w:t xml:space="preserve">, </w:t>
      </w:r>
      <w:r w:rsidRPr="00A128E1">
        <w:rPr>
          <w:sz w:val="24"/>
          <w:szCs w:val="24"/>
        </w:rPr>
        <w:t>98</w:t>
      </w:r>
      <w:r>
        <w:rPr>
          <w:sz w:val="24"/>
          <w:szCs w:val="24"/>
        </w:rPr>
        <w:t xml:space="preserve">, </w:t>
      </w:r>
      <w:r w:rsidRPr="00A128E1">
        <w:rPr>
          <w:sz w:val="24"/>
          <w:szCs w:val="24"/>
        </w:rPr>
        <w:t>160-165.</w:t>
      </w:r>
    </w:p>
    <w:p w14:paraId="3762512C" w14:textId="77777777" w:rsidR="00636682" w:rsidRPr="00A128E1" w:rsidRDefault="00636682" w:rsidP="004B193F">
      <w:pPr>
        <w:jc w:val="both"/>
        <w:rPr>
          <w:sz w:val="24"/>
          <w:szCs w:val="24"/>
        </w:rPr>
      </w:pPr>
      <w:r w:rsidRPr="00A128E1">
        <w:rPr>
          <w:sz w:val="24"/>
          <w:szCs w:val="24"/>
        </w:rPr>
        <w:t xml:space="preserve">Delgado, </w:t>
      </w:r>
      <w:r>
        <w:rPr>
          <w:sz w:val="24"/>
          <w:szCs w:val="24"/>
        </w:rPr>
        <w:t xml:space="preserve">J.F., </w:t>
      </w:r>
      <w:r w:rsidRPr="00A128E1">
        <w:rPr>
          <w:sz w:val="24"/>
          <w:szCs w:val="24"/>
        </w:rPr>
        <w:t>Fernandez-Rodriguez,</w:t>
      </w:r>
      <w:r>
        <w:rPr>
          <w:sz w:val="24"/>
          <w:szCs w:val="24"/>
        </w:rPr>
        <w:t xml:space="preserve"> E.</w:t>
      </w:r>
      <w:r w:rsidRPr="00A128E1">
        <w:rPr>
          <w:sz w:val="24"/>
          <w:szCs w:val="24"/>
        </w:rPr>
        <w:t xml:space="preserve"> </w:t>
      </w:r>
      <w:r>
        <w:rPr>
          <w:sz w:val="24"/>
          <w:szCs w:val="24"/>
        </w:rPr>
        <w:t xml:space="preserve">&amp; </w:t>
      </w:r>
      <w:r w:rsidRPr="00A128E1">
        <w:rPr>
          <w:sz w:val="24"/>
          <w:szCs w:val="24"/>
        </w:rPr>
        <w:t>Martinez-Arias</w:t>
      </w:r>
      <w:r>
        <w:rPr>
          <w:sz w:val="24"/>
          <w:szCs w:val="24"/>
        </w:rPr>
        <w:t>, A.</w:t>
      </w:r>
      <w:r w:rsidRPr="00A128E1">
        <w:rPr>
          <w:sz w:val="24"/>
          <w:szCs w:val="24"/>
        </w:rPr>
        <w:t xml:space="preserve"> </w:t>
      </w:r>
      <w:r>
        <w:rPr>
          <w:sz w:val="24"/>
          <w:szCs w:val="24"/>
        </w:rPr>
        <w:t xml:space="preserve">(2014). </w:t>
      </w:r>
      <w:r w:rsidRPr="00A128E1">
        <w:rPr>
          <w:sz w:val="24"/>
          <w:szCs w:val="24"/>
        </w:rPr>
        <w:t>Effective Tax Rates in Corporate Taxation: a Quantile Regression for the EU</w:t>
      </w:r>
      <w:r>
        <w:rPr>
          <w:sz w:val="24"/>
          <w:szCs w:val="24"/>
        </w:rPr>
        <w:t>.</w:t>
      </w:r>
      <w:r w:rsidRPr="00A128E1">
        <w:rPr>
          <w:sz w:val="24"/>
          <w:szCs w:val="24"/>
        </w:rPr>
        <w:t xml:space="preserve"> </w:t>
      </w:r>
      <w:r w:rsidRPr="00993FE6">
        <w:rPr>
          <w:i/>
          <w:sz w:val="24"/>
          <w:szCs w:val="24"/>
        </w:rPr>
        <w:t>Inzinerine Ekonomika-Engineering Economics</w:t>
      </w:r>
      <w:r w:rsidRPr="00A128E1">
        <w:rPr>
          <w:sz w:val="24"/>
          <w:szCs w:val="24"/>
        </w:rPr>
        <w:t>, 25(5), 487–496</w:t>
      </w:r>
      <w:r>
        <w:rPr>
          <w:sz w:val="24"/>
          <w:szCs w:val="24"/>
        </w:rPr>
        <w:t>.</w:t>
      </w:r>
    </w:p>
    <w:p w14:paraId="51D0D8FA" w14:textId="77777777" w:rsidR="00636682" w:rsidRPr="000A1C7A" w:rsidRDefault="00636682" w:rsidP="004B193F">
      <w:pPr>
        <w:jc w:val="both"/>
        <w:rPr>
          <w:sz w:val="24"/>
          <w:szCs w:val="24"/>
        </w:rPr>
      </w:pPr>
      <w:r w:rsidRPr="00A2410D">
        <w:rPr>
          <w:sz w:val="24"/>
          <w:szCs w:val="24"/>
        </w:rPr>
        <w:t xml:space="preserve">Feeny, S., Gillmann, M. &amp; Harris, M.N. (2006). Econometric Accounting of the Australian Corporate Tax Rates: A Firm Panel Example. </w:t>
      </w:r>
      <w:r w:rsidRPr="00A2410D">
        <w:rPr>
          <w:i/>
          <w:sz w:val="24"/>
          <w:szCs w:val="24"/>
        </w:rPr>
        <w:t>Accounting Research Journal</w:t>
      </w:r>
      <w:r w:rsidRPr="00A2410D">
        <w:rPr>
          <w:sz w:val="24"/>
          <w:szCs w:val="24"/>
        </w:rPr>
        <w:t xml:space="preserve">, </w:t>
      </w:r>
      <w:r w:rsidRPr="00993FE6">
        <w:rPr>
          <w:i/>
          <w:sz w:val="24"/>
          <w:szCs w:val="24"/>
        </w:rPr>
        <w:t>19</w:t>
      </w:r>
      <w:r w:rsidRPr="000A1C7A">
        <w:rPr>
          <w:sz w:val="24"/>
          <w:szCs w:val="24"/>
        </w:rPr>
        <w:t xml:space="preserve"> (1), 64-73.</w:t>
      </w:r>
    </w:p>
    <w:p w14:paraId="5420E069" w14:textId="77777777" w:rsidR="00636682" w:rsidRPr="00A2410D" w:rsidRDefault="00636682" w:rsidP="004B193F">
      <w:pPr>
        <w:jc w:val="both"/>
        <w:rPr>
          <w:sz w:val="24"/>
          <w:szCs w:val="24"/>
        </w:rPr>
      </w:pPr>
      <w:r w:rsidRPr="00707342">
        <w:rPr>
          <w:sz w:val="24"/>
          <w:szCs w:val="24"/>
        </w:rPr>
        <w:t xml:space="preserve">Fernández Rodríguez, E. (2004). Los factores condicionantes de la presión fiscal empresarial española a partir de la información contable. Especial mención a las decisiones financieras. </w:t>
      </w:r>
      <w:r w:rsidRPr="00A2410D">
        <w:rPr>
          <w:i/>
          <w:sz w:val="24"/>
          <w:szCs w:val="24"/>
        </w:rPr>
        <w:t>Revista Española de Financiación y Contabilidad</w:t>
      </w:r>
      <w:r w:rsidRPr="00A2410D">
        <w:rPr>
          <w:sz w:val="24"/>
          <w:szCs w:val="24"/>
        </w:rPr>
        <w:t>, 120, 125-159.</w:t>
      </w:r>
    </w:p>
    <w:p w14:paraId="0C4E0413" w14:textId="77777777" w:rsidR="00636682" w:rsidRPr="00DD3C94" w:rsidRDefault="00636682" w:rsidP="004B193F">
      <w:pPr>
        <w:jc w:val="both"/>
        <w:rPr>
          <w:sz w:val="24"/>
          <w:szCs w:val="24"/>
        </w:rPr>
      </w:pPr>
      <w:r w:rsidRPr="00A2410D">
        <w:rPr>
          <w:sz w:val="24"/>
          <w:szCs w:val="24"/>
        </w:rPr>
        <w:t xml:space="preserve">Fernández Rodríguez, E. &amp; Martínez Arias, A. (2009). Factores determinantes de la presión fiscal de las empresas cotizadas en Estados Unidos y la Unión Europea a partir de la información contable. </w:t>
      </w:r>
      <w:r w:rsidRPr="00993FE6">
        <w:rPr>
          <w:i/>
          <w:sz w:val="24"/>
          <w:szCs w:val="24"/>
        </w:rPr>
        <w:t>Proceedings..</w:t>
      </w:r>
      <w:r>
        <w:rPr>
          <w:sz w:val="24"/>
          <w:szCs w:val="24"/>
        </w:rPr>
        <w:t xml:space="preserve"> </w:t>
      </w:r>
      <w:r w:rsidRPr="000A1C7A">
        <w:rPr>
          <w:sz w:val="24"/>
          <w:szCs w:val="24"/>
        </w:rPr>
        <w:t>VII Workshop de Investigación Empírica en Contabilidad Financiera,</w:t>
      </w:r>
      <w:r>
        <w:rPr>
          <w:sz w:val="24"/>
          <w:szCs w:val="24"/>
        </w:rPr>
        <w:t xml:space="preserve"> </w:t>
      </w:r>
      <w:r w:rsidRPr="00DD3C94">
        <w:rPr>
          <w:sz w:val="24"/>
          <w:szCs w:val="24"/>
        </w:rPr>
        <w:t>Cartagena.</w:t>
      </w:r>
    </w:p>
    <w:p w14:paraId="27FEFDE8" w14:textId="77777777" w:rsidR="00636682" w:rsidRPr="000A1C7A" w:rsidRDefault="00636682" w:rsidP="004B193F">
      <w:pPr>
        <w:rPr>
          <w:sz w:val="24"/>
          <w:szCs w:val="24"/>
        </w:rPr>
      </w:pPr>
      <w:r w:rsidRPr="00DD3C94">
        <w:rPr>
          <w:sz w:val="24"/>
          <w:szCs w:val="24"/>
        </w:rPr>
        <w:t>Fernández</w:t>
      </w:r>
      <w:r>
        <w:rPr>
          <w:sz w:val="24"/>
          <w:szCs w:val="24"/>
        </w:rPr>
        <w:t>-</w:t>
      </w:r>
      <w:r w:rsidRPr="00DD3C94">
        <w:rPr>
          <w:sz w:val="24"/>
          <w:szCs w:val="24"/>
        </w:rPr>
        <w:t xml:space="preserve">Rodríguez, E. &amp; Martínez Arias, A. </w:t>
      </w:r>
      <w:r w:rsidRPr="0042038B">
        <w:rPr>
          <w:sz w:val="24"/>
          <w:szCs w:val="24"/>
        </w:rPr>
        <w:t xml:space="preserve">(2011). Determinants of Effective Tax Rate: Evidence for USA and the EU. </w:t>
      </w:r>
      <w:r w:rsidRPr="00707342">
        <w:rPr>
          <w:i/>
          <w:sz w:val="24"/>
          <w:szCs w:val="24"/>
        </w:rPr>
        <w:t>Intertax</w:t>
      </w:r>
      <w:r w:rsidRPr="00707342">
        <w:rPr>
          <w:sz w:val="24"/>
          <w:szCs w:val="24"/>
        </w:rPr>
        <w:t xml:space="preserve">, </w:t>
      </w:r>
      <w:r w:rsidRPr="00993FE6">
        <w:rPr>
          <w:i/>
          <w:sz w:val="24"/>
          <w:szCs w:val="24"/>
        </w:rPr>
        <w:t>39</w:t>
      </w:r>
      <w:r w:rsidRPr="000A1C7A">
        <w:rPr>
          <w:sz w:val="24"/>
          <w:szCs w:val="24"/>
        </w:rPr>
        <w:t xml:space="preserve"> (8/9), 381-395.</w:t>
      </w:r>
    </w:p>
    <w:p w14:paraId="7C5F7F2D" w14:textId="77777777" w:rsidR="00636682" w:rsidRPr="00DD3C94" w:rsidRDefault="00636682" w:rsidP="004B193F">
      <w:pPr>
        <w:jc w:val="both"/>
        <w:rPr>
          <w:sz w:val="24"/>
          <w:szCs w:val="24"/>
        </w:rPr>
      </w:pPr>
      <w:r w:rsidRPr="00DD3C94">
        <w:rPr>
          <w:sz w:val="24"/>
          <w:szCs w:val="24"/>
        </w:rPr>
        <w:t>Fernández</w:t>
      </w:r>
      <w:r>
        <w:rPr>
          <w:sz w:val="24"/>
          <w:szCs w:val="24"/>
        </w:rPr>
        <w:t>-Rodríguez</w:t>
      </w:r>
      <w:r w:rsidRPr="00DD3C94">
        <w:rPr>
          <w:sz w:val="24"/>
          <w:szCs w:val="24"/>
        </w:rPr>
        <w:t>, E</w:t>
      </w:r>
      <w:r>
        <w:rPr>
          <w:sz w:val="24"/>
          <w:szCs w:val="24"/>
        </w:rPr>
        <w:t xml:space="preserve">. </w:t>
      </w:r>
      <w:r w:rsidRPr="00DD3C94">
        <w:rPr>
          <w:sz w:val="24"/>
          <w:szCs w:val="24"/>
        </w:rPr>
        <w:t>&amp; Martínez, A</w:t>
      </w:r>
      <w:r>
        <w:rPr>
          <w:sz w:val="24"/>
          <w:szCs w:val="24"/>
        </w:rPr>
        <w:t>.</w:t>
      </w:r>
      <w:r w:rsidRPr="00DD3C94">
        <w:rPr>
          <w:sz w:val="24"/>
          <w:szCs w:val="24"/>
        </w:rPr>
        <w:t xml:space="preserve"> (2014). </w:t>
      </w:r>
      <w:r w:rsidRPr="0042038B">
        <w:rPr>
          <w:sz w:val="24"/>
          <w:szCs w:val="24"/>
        </w:rPr>
        <w:t>Determinants of the Effective Tax Rate in the BRIC Countries</w:t>
      </w:r>
      <w:r w:rsidRPr="00707342">
        <w:rPr>
          <w:sz w:val="24"/>
          <w:szCs w:val="24"/>
        </w:rPr>
        <w:t xml:space="preserve">. </w:t>
      </w:r>
      <w:r w:rsidRPr="00707342">
        <w:rPr>
          <w:i/>
          <w:sz w:val="24"/>
          <w:szCs w:val="24"/>
        </w:rPr>
        <w:t>Emerging Markets Finance and Trade</w:t>
      </w:r>
      <w:r w:rsidRPr="00A2410D">
        <w:rPr>
          <w:sz w:val="24"/>
          <w:szCs w:val="24"/>
        </w:rPr>
        <w:t xml:space="preserve">, </w:t>
      </w:r>
      <w:r w:rsidRPr="00993FE6">
        <w:rPr>
          <w:i/>
          <w:sz w:val="24"/>
          <w:szCs w:val="24"/>
        </w:rPr>
        <w:t>50</w:t>
      </w:r>
      <w:r>
        <w:rPr>
          <w:sz w:val="24"/>
          <w:szCs w:val="24"/>
        </w:rPr>
        <w:t xml:space="preserve"> </w:t>
      </w:r>
      <w:r w:rsidRPr="000A1C7A">
        <w:rPr>
          <w:sz w:val="24"/>
          <w:szCs w:val="24"/>
        </w:rPr>
        <w:t xml:space="preserve">(3), </w:t>
      </w:r>
      <w:r w:rsidRPr="00DD3C94">
        <w:rPr>
          <w:sz w:val="24"/>
          <w:szCs w:val="24"/>
        </w:rPr>
        <w:t>214-228.</w:t>
      </w:r>
    </w:p>
    <w:p w14:paraId="769ECFA4" w14:textId="77777777" w:rsidR="00636682" w:rsidRDefault="00636682" w:rsidP="004B193F">
      <w:pPr>
        <w:jc w:val="both"/>
        <w:rPr>
          <w:sz w:val="24"/>
          <w:szCs w:val="24"/>
        </w:rPr>
      </w:pPr>
      <w:r w:rsidRPr="00A2410D">
        <w:rPr>
          <w:sz w:val="24"/>
          <w:szCs w:val="24"/>
        </w:rPr>
        <w:t>Fernández-Rodríguez, E &amp; Martínez-Arias, A.</w:t>
      </w:r>
      <w:r>
        <w:rPr>
          <w:sz w:val="24"/>
          <w:szCs w:val="24"/>
        </w:rPr>
        <w:t xml:space="preserve"> </w:t>
      </w:r>
      <w:r w:rsidRPr="000A1C7A">
        <w:rPr>
          <w:sz w:val="24"/>
          <w:szCs w:val="24"/>
        </w:rPr>
        <w:t xml:space="preserve">(2016). Determinantes de la presión </w:t>
      </w:r>
      <w:r w:rsidRPr="00DD3C94">
        <w:rPr>
          <w:sz w:val="24"/>
          <w:szCs w:val="24"/>
        </w:rPr>
        <w:t xml:space="preserve">físcal en las empresas mexicanas durante 1992 – 2009. </w:t>
      </w:r>
      <w:r w:rsidRPr="0042038B">
        <w:rPr>
          <w:i/>
          <w:sz w:val="24"/>
          <w:szCs w:val="24"/>
        </w:rPr>
        <w:t>Revista de Ciencias Sociales (RCS</w:t>
      </w:r>
      <w:r w:rsidRPr="00707342">
        <w:rPr>
          <w:sz w:val="24"/>
          <w:szCs w:val="24"/>
        </w:rPr>
        <w:t xml:space="preserve">), </w:t>
      </w:r>
      <w:r w:rsidRPr="00993FE6">
        <w:rPr>
          <w:i/>
          <w:sz w:val="24"/>
          <w:szCs w:val="24"/>
        </w:rPr>
        <w:t>22</w:t>
      </w:r>
      <w:r w:rsidRPr="000A1C7A">
        <w:rPr>
          <w:sz w:val="24"/>
          <w:szCs w:val="24"/>
        </w:rPr>
        <w:t xml:space="preserve"> (2), 24-35. </w:t>
      </w:r>
    </w:p>
    <w:p w14:paraId="4590AECE" w14:textId="77777777" w:rsidR="00636682" w:rsidRPr="000A1C7A" w:rsidRDefault="00636682" w:rsidP="004B193F">
      <w:pPr>
        <w:jc w:val="both"/>
        <w:rPr>
          <w:sz w:val="24"/>
          <w:szCs w:val="24"/>
        </w:rPr>
      </w:pPr>
      <w:r w:rsidRPr="001760E4">
        <w:rPr>
          <w:sz w:val="24"/>
          <w:szCs w:val="24"/>
        </w:rPr>
        <w:t xml:space="preserve">Formigoni, H., Antunes, M. T. P., &amp; Paulo, E. (2009). Diferença entre o Lucro Contábil e Lucro Tributável: uma análise sobre o Gerenciamento de Resultados Contábeis e Gerenciamento Tributário nas companhias abertas brasileiras. </w:t>
      </w:r>
      <w:r w:rsidRPr="00993FE6">
        <w:rPr>
          <w:i/>
          <w:sz w:val="24"/>
          <w:szCs w:val="24"/>
        </w:rPr>
        <w:t>Brazilian Business Review</w:t>
      </w:r>
      <w:r w:rsidRPr="001760E4">
        <w:rPr>
          <w:sz w:val="24"/>
          <w:szCs w:val="24"/>
        </w:rPr>
        <w:t>, 6(1), 44-61.</w:t>
      </w:r>
    </w:p>
    <w:p w14:paraId="5A8EE1C9" w14:textId="77777777" w:rsidR="00636682" w:rsidRPr="000A1C7A" w:rsidRDefault="00636682" w:rsidP="004B193F">
      <w:pPr>
        <w:jc w:val="both"/>
        <w:rPr>
          <w:sz w:val="24"/>
          <w:szCs w:val="24"/>
        </w:rPr>
      </w:pPr>
      <w:r>
        <w:rPr>
          <w:sz w:val="24"/>
          <w:szCs w:val="24"/>
        </w:rPr>
        <w:t xml:space="preserve">Gupta, S. &amp; Newberry, K. </w:t>
      </w:r>
      <w:r w:rsidRPr="00707342">
        <w:rPr>
          <w:sz w:val="24"/>
          <w:szCs w:val="24"/>
        </w:rPr>
        <w:t xml:space="preserve">(1997). Determinants of the Variability in Corporate Effective Tax Rates: Evidence from Longitudinal Data. </w:t>
      </w:r>
      <w:r w:rsidRPr="00707342">
        <w:rPr>
          <w:i/>
          <w:sz w:val="24"/>
          <w:szCs w:val="24"/>
        </w:rPr>
        <w:t>Journal of Accounting and Public Policy</w:t>
      </w:r>
      <w:r w:rsidRPr="00707342">
        <w:rPr>
          <w:sz w:val="24"/>
          <w:szCs w:val="24"/>
        </w:rPr>
        <w:t xml:space="preserve">, </w:t>
      </w:r>
      <w:r w:rsidRPr="00993FE6">
        <w:rPr>
          <w:i/>
          <w:sz w:val="24"/>
          <w:szCs w:val="24"/>
        </w:rPr>
        <w:t>16</w:t>
      </w:r>
      <w:r w:rsidRPr="000A1C7A">
        <w:rPr>
          <w:sz w:val="24"/>
          <w:szCs w:val="24"/>
        </w:rPr>
        <w:t>(1),1-34.</w:t>
      </w:r>
    </w:p>
    <w:p w14:paraId="3678CAC4" w14:textId="77777777" w:rsidR="00636682" w:rsidRPr="000A1C7A" w:rsidRDefault="00636682" w:rsidP="004B193F">
      <w:pPr>
        <w:jc w:val="both"/>
        <w:rPr>
          <w:sz w:val="24"/>
          <w:szCs w:val="24"/>
        </w:rPr>
      </w:pPr>
      <w:r w:rsidRPr="00DD3C94">
        <w:rPr>
          <w:sz w:val="24"/>
          <w:szCs w:val="24"/>
        </w:rPr>
        <w:t xml:space="preserve">Harris, M. &amp; Feeny, S. (2003). </w:t>
      </w:r>
      <w:r w:rsidRPr="00707342">
        <w:rPr>
          <w:sz w:val="24"/>
          <w:szCs w:val="24"/>
        </w:rPr>
        <w:t xml:space="preserve">Habit Persistence in Corporate Effective Tax Rates. </w:t>
      </w:r>
      <w:r w:rsidRPr="00A2410D">
        <w:rPr>
          <w:i/>
          <w:sz w:val="24"/>
          <w:szCs w:val="24"/>
        </w:rPr>
        <w:t>Applied Economics</w:t>
      </w:r>
      <w:r w:rsidRPr="00A2410D">
        <w:rPr>
          <w:sz w:val="24"/>
          <w:szCs w:val="24"/>
        </w:rPr>
        <w:t xml:space="preserve">, </w:t>
      </w:r>
      <w:r w:rsidRPr="00993FE6">
        <w:rPr>
          <w:i/>
          <w:sz w:val="24"/>
          <w:szCs w:val="24"/>
        </w:rPr>
        <w:t>35</w:t>
      </w:r>
      <w:r>
        <w:rPr>
          <w:sz w:val="24"/>
          <w:szCs w:val="24"/>
        </w:rPr>
        <w:t xml:space="preserve"> </w:t>
      </w:r>
      <w:r w:rsidRPr="000A1C7A">
        <w:rPr>
          <w:sz w:val="24"/>
          <w:szCs w:val="24"/>
        </w:rPr>
        <w:t>(8) 951-958.</w:t>
      </w:r>
    </w:p>
    <w:p w14:paraId="53078683" w14:textId="77777777" w:rsidR="00636682" w:rsidRPr="000A1C7A" w:rsidRDefault="00636682" w:rsidP="004B193F">
      <w:pPr>
        <w:jc w:val="both"/>
        <w:rPr>
          <w:sz w:val="24"/>
          <w:szCs w:val="24"/>
        </w:rPr>
      </w:pPr>
      <w:r w:rsidRPr="00707342">
        <w:rPr>
          <w:sz w:val="24"/>
          <w:szCs w:val="24"/>
        </w:rPr>
        <w:t xml:space="preserve">Harris, M.; Raviv, A. (1991). The theory of capital structure. </w:t>
      </w:r>
      <w:r w:rsidRPr="00707342">
        <w:rPr>
          <w:i/>
          <w:sz w:val="24"/>
          <w:szCs w:val="24"/>
        </w:rPr>
        <w:t xml:space="preserve">Journal of </w:t>
      </w:r>
      <w:r>
        <w:rPr>
          <w:i/>
          <w:sz w:val="24"/>
          <w:szCs w:val="24"/>
        </w:rPr>
        <w:t>Fi</w:t>
      </w:r>
      <w:r w:rsidRPr="000A1C7A">
        <w:rPr>
          <w:i/>
          <w:sz w:val="24"/>
          <w:szCs w:val="24"/>
        </w:rPr>
        <w:t>nance</w:t>
      </w:r>
      <w:r w:rsidRPr="000A1C7A">
        <w:rPr>
          <w:sz w:val="24"/>
          <w:szCs w:val="24"/>
        </w:rPr>
        <w:t>, 46, 297–354.</w:t>
      </w:r>
    </w:p>
    <w:p w14:paraId="62C02A1A" w14:textId="77777777" w:rsidR="00636682" w:rsidRPr="000A1C7A" w:rsidRDefault="00636682" w:rsidP="004B193F">
      <w:pPr>
        <w:jc w:val="both"/>
        <w:rPr>
          <w:sz w:val="24"/>
          <w:szCs w:val="24"/>
        </w:rPr>
      </w:pPr>
      <w:r w:rsidRPr="00DD3C94">
        <w:rPr>
          <w:sz w:val="24"/>
          <w:szCs w:val="24"/>
        </w:rPr>
        <w:t xml:space="preserve">Janssen, B. (2005). Corporate Effective Tax Rates in The Netherlands. Amsterdam. </w:t>
      </w:r>
      <w:r>
        <w:rPr>
          <w:i/>
          <w:sz w:val="24"/>
          <w:szCs w:val="24"/>
        </w:rPr>
        <w:t>The</w:t>
      </w:r>
      <w:r w:rsidRPr="000A1C7A">
        <w:rPr>
          <w:i/>
          <w:sz w:val="24"/>
          <w:szCs w:val="24"/>
        </w:rPr>
        <w:t xml:space="preserve"> Economist</w:t>
      </w:r>
      <w:r>
        <w:rPr>
          <w:sz w:val="24"/>
          <w:szCs w:val="24"/>
        </w:rPr>
        <w:t xml:space="preserve">, </w:t>
      </w:r>
      <w:r w:rsidRPr="00993FE6">
        <w:rPr>
          <w:i/>
          <w:sz w:val="24"/>
          <w:szCs w:val="24"/>
        </w:rPr>
        <w:t>153</w:t>
      </w:r>
      <w:r>
        <w:rPr>
          <w:sz w:val="24"/>
          <w:szCs w:val="24"/>
        </w:rPr>
        <w:t xml:space="preserve"> </w:t>
      </w:r>
      <w:r w:rsidRPr="000A1C7A">
        <w:rPr>
          <w:sz w:val="24"/>
          <w:szCs w:val="24"/>
        </w:rPr>
        <w:t>(1)</w:t>
      </w:r>
      <w:r>
        <w:rPr>
          <w:sz w:val="24"/>
          <w:szCs w:val="24"/>
        </w:rPr>
        <w:t>,</w:t>
      </w:r>
      <w:r w:rsidRPr="000A1C7A">
        <w:rPr>
          <w:sz w:val="24"/>
          <w:szCs w:val="24"/>
        </w:rPr>
        <w:t xml:space="preserve"> 47-66.</w:t>
      </w:r>
    </w:p>
    <w:p w14:paraId="011C1179" w14:textId="77777777" w:rsidR="00636682" w:rsidRPr="000A1C7A" w:rsidRDefault="00636682" w:rsidP="004B193F">
      <w:pPr>
        <w:jc w:val="both"/>
        <w:rPr>
          <w:sz w:val="24"/>
          <w:szCs w:val="24"/>
        </w:rPr>
      </w:pPr>
      <w:r w:rsidRPr="00707342">
        <w:rPr>
          <w:sz w:val="24"/>
          <w:szCs w:val="24"/>
        </w:rPr>
        <w:t>Kim, K. &amp; Limpaphayom, P. (1998). Taxes and Firm Size in Paci</w:t>
      </w:r>
      <w:r w:rsidRPr="00A2410D">
        <w:rPr>
          <w:sz w:val="24"/>
          <w:szCs w:val="24"/>
        </w:rPr>
        <w:t xml:space="preserve">fic-Basin Emerging Economies. </w:t>
      </w:r>
      <w:r w:rsidRPr="00A2410D">
        <w:rPr>
          <w:i/>
          <w:sz w:val="24"/>
          <w:szCs w:val="24"/>
        </w:rPr>
        <w:t>Journal of International Accounting, Auditing &amp; Taxation</w:t>
      </w:r>
      <w:r w:rsidRPr="00A2410D">
        <w:rPr>
          <w:sz w:val="24"/>
          <w:szCs w:val="24"/>
        </w:rPr>
        <w:t xml:space="preserve">, </w:t>
      </w:r>
      <w:r w:rsidRPr="00993FE6">
        <w:rPr>
          <w:i/>
          <w:sz w:val="24"/>
          <w:szCs w:val="24"/>
        </w:rPr>
        <w:t>7</w:t>
      </w:r>
      <w:r>
        <w:rPr>
          <w:i/>
          <w:sz w:val="24"/>
          <w:szCs w:val="24"/>
        </w:rPr>
        <w:t xml:space="preserve"> </w:t>
      </w:r>
      <w:r w:rsidRPr="000A1C7A">
        <w:rPr>
          <w:sz w:val="24"/>
          <w:szCs w:val="24"/>
        </w:rPr>
        <w:t>(1)</w:t>
      </w:r>
      <w:r>
        <w:rPr>
          <w:sz w:val="24"/>
          <w:szCs w:val="24"/>
        </w:rPr>
        <w:t>,</w:t>
      </w:r>
      <w:r w:rsidRPr="000A1C7A">
        <w:rPr>
          <w:sz w:val="24"/>
          <w:szCs w:val="24"/>
        </w:rPr>
        <w:t xml:space="preserve"> 47-68.</w:t>
      </w:r>
    </w:p>
    <w:p w14:paraId="2CD70342" w14:textId="77777777" w:rsidR="00636682" w:rsidRPr="000A1C7A" w:rsidRDefault="00636682" w:rsidP="004B193F">
      <w:pPr>
        <w:jc w:val="both"/>
        <w:rPr>
          <w:sz w:val="24"/>
          <w:szCs w:val="24"/>
        </w:rPr>
      </w:pPr>
      <w:r w:rsidRPr="00707342">
        <w:rPr>
          <w:sz w:val="24"/>
          <w:szCs w:val="24"/>
        </w:rPr>
        <w:t xml:space="preserve">Liu, X. &amp; Cao, S. (2007). Determinants of Corporate Effective Tax Rates. Evidence from Listed Companies in China. </w:t>
      </w:r>
      <w:r w:rsidRPr="00707342">
        <w:rPr>
          <w:i/>
          <w:sz w:val="24"/>
          <w:szCs w:val="24"/>
        </w:rPr>
        <w:t>The Chinese Economy</w:t>
      </w:r>
      <w:r w:rsidRPr="00A2410D">
        <w:rPr>
          <w:sz w:val="24"/>
          <w:szCs w:val="24"/>
        </w:rPr>
        <w:t xml:space="preserve">, </w:t>
      </w:r>
      <w:r w:rsidRPr="00993FE6">
        <w:rPr>
          <w:i/>
          <w:sz w:val="24"/>
          <w:szCs w:val="24"/>
        </w:rPr>
        <w:t>40</w:t>
      </w:r>
      <w:r>
        <w:rPr>
          <w:sz w:val="24"/>
          <w:szCs w:val="24"/>
        </w:rPr>
        <w:t xml:space="preserve"> </w:t>
      </w:r>
      <w:r w:rsidRPr="000A1C7A">
        <w:rPr>
          <w:sz w:val="24"/>
          <w:szCs w:val="24"/>
        </w:rPr>
        <w:t>(6), 49-67.</w:t>
      </w:r>
    </w:p>
    <w:p w14:paraId="4FA4CC93" w14:textId="77777777" w:rsidR="00636682" w:rsidRPr="000A1C7A" w:rsidRDefault="00636682" w:rsidP="004B193F">
      <w:pPr>
        <w:jc w:val="both"/>
        <w:rPr>
          <w:sz w:val="24"/>
          <w:szCs w:val="24"/>
        </w:rPr>
      </w:pPr>
      <w:r w:rsidRPr="00DD3C94">
        <w:rPr>
          <w:sz w:val="24"/>
          <w:szCs w:val="24"/>
        </w:rPr>
        <w:t xml:space="preserve">Kraft, A. (2014). What Really Affects German Firms' Effective Tax Rate? </w:t>
      </w:r>
      <w:r w:rsidRPr="00993FE6">
        <w:rPr>
          <w:i/>
          <w:sz w:val="24"/>
          <w:szCs w:val="24"/>
        </w:rPr>
        <w:t>International Journal of Financial Research</w:t>
      </w:r>
      <w:r w:rsidRPr="000A1C7A">
        <w:rPr>
          <w:sz w:val="24"/>
          <w:szCs w:val="24"/>
        </w:rPr>
        <w:t xml:space="preserve">, </w:t>
      </w:r>
      <w:r w:rsidRPr="00993FE6">
        <w:rPr>
          <w:i/>
          <w:sz w:val="24"/>
          <w:szCs w:val="24"/>
        </w:rPr>
        <w:t>5</w:t>
      </w:r>
      <w:r>
        <w:rPr>
          <w:sz w:val="24"/>
          <w:szCs w:val="24"/>
        </w:rPr>
        <w:t xml:space="preserve"> </w:t>
      </w:r>
      <w:r w:rsidRPr="000A1C7A">
        <w:rPr>
          <w:sz w:val="24"/>
          <w:szCs w:val="24"/>
        </w:rPr>
        <w:t>(3), 1-19.</w:t>
      </w:r>
    </w:p>
    <w:p w14:paraId="00490154" w14:textId="77777777" w:rsidR="00636682" w:rsidRPr="00A2410D" w:rsidRDefault="00636682" w:rsidP="004B193F">
      <w:pPr>
        <w:jc w:val="both"/>
        <w:rPr>
          <w:sz w:val="24"/>
          <w:szCs w:val="24"/>
        </w:rPr>
      </w:pPr>
      <w:r w:rsidRPr="00707342">
        <w:rPr>
          <w:sz w:val="24"/>
          <w:szCs w:val="24"/>
        </w:rPr>
        <w:t xml:space="preserve">Modigliani, F.&amp; Miller, M. H. (1963). Corporate income taxes and the cost of capital: a correction. </w:t>
      </w:r>
      <w:r w:rsidRPr="00A2410D">
        <w:rPr>
          <w:i/>
          <w:sz w:val="24"/>
          <w:szCs w:val="24"/>
        </w:rPr>
        <w:t>American Economic Review</w:t>
      </w:r>
      <w:r w:rsidRPr="00A2410D">
        <w:rPr>
          <w:sz w:val="24"/>
          <w:szCs w:val="24"/>
        </w:rPr>
        <w:t>, 53, 433-443.</w:t>
      </w:r>
    </w:p>
    <w:p w14:paraId="0BC4AE1D" w14:textId="77777777" w:rsidR="00636682" w:rsidRPr="000A1C7A" w:rsidRDefault="00636682" w:rsidP="004B193F">
      <w:pPr>
        <w:jc w:val="both"/>
        <w:rPr>
          <w:sz w:val="24"/>
          <w:szCs w:val="24"/>
        </w:rPr>
      </w:pPr>
      <w:r w:rsidRPr="00A2410D">
        <w:rPr>
          <w:sz w:val="24"/>
          <w:szCs w:val="24"/>
        </w:rPr>
        <w:t xml:space="preserve">Minnick, K., &amp; Noga, T. (2010). Do corporate governance characteristics influence tax management? </w:t>
      </w:r>
      <w:r w:rsidRPr="00A2410D">
        <w:rPr>
          <w:i/>
          <w:sz w:val="24"/>
          <w:szCs w:val="24"/>
        </w:rPr>
        <w:t>Journal of Corporate Finance</w:t>
      </w:r>
      <w:r w:rsidRPr="00A2410D">
        <w:rPr>
          <w:sz w:val="24"/>
          <w:szCs w:val="24"/>
        </w:rPr>
        <w:t xml:space="preserve">, </w:t>
      </w:r>
      <w:r w:rsidRPr="00993FE6">
        <w:rPr>
          <w:i/>
          <w:sz w:val="24"/>
          <w:szCs w:val="24"/>
        </w:rPr>
        <w:t>16</w:t>
      </w:r>
      <w:r>
        <w:rPr>
          <w:sz w:val="24"/>
          <w:szCs w:val="24"/>
        </w:rPr>
        <w:t xml:space="preserve"> </w:t>
      </w:r>
      <w:r w:rsidRPr="000A1C7A">
        <w:rPr>
          <w:sz w:val="24"/>
          <w:szCs w:val="24"/>
        </w:rPr>
        <w:t>(5), 703-718.</w:t>
      </w:r>
    </w:p>
    <w:p w14:paraId="135843AA" w14:textId="77777777" w:rsidR="00636682" w:rsidRPr="00A2410D" w:rsidRDefault="00636682" w:rsidP="004B193F">
      <w:pPr>
        <w:jc w:val="both"/>
        <w:rPr>
          <w:sz w:val="24"/>
          <w:szCs w:val="24"/>
        </w:rPr>
      </w:pPr>
      <w:r w:rsidRPr="00707342">
        <w:rPr>
          <w:sz w:val="24"/>
          <w:szCs w:val="24"/>
        </w:rPr>
        <w:t xml:space="preserve">Myers, S. C.  (1984). The Capital Structure Puzzle, </w:t>
      </w:r>
      <w:r w:rsidRPr="00A2410D">
        <w:rPr>
          <w:i/>
          <w:sz w:val="24"/>
          <w:szCs w:val="24"/>
        </w:rPr>
        <w:t>Journal of Finance</w:t>
      </w:r>
      <w:r w:rsidRPr="00A2410D">
        <w:rPr>
          <w:sz w:val="24"/>
          <w:szCs w:val="24"/>
        </w:rPr>
        <w:t>, 39, 575-592.</w:t>
      </w:r>
    </w:p>
    <w:p w14:paraId="3C288A4B" w14:textId="77777777" w:rsidR="00636682" w:rsidRPr="00DD3C94" w:rsidRDefault="00636682" w:rsidP="004B193F">
      <w:pPr>
        <w:jc w:val="both"/>
        <w:rPr>
          <w:sz w:val="24"/>
          <w:szCs w:val="24"/>
        </w:rPr>
      </w:pPr>
      <w:r w:rsidRPr="00A2410D">
        <w:rPr>
          <w:sz w:val="24"/>
          <w:szCs w:val="24"/>
        </w:rPr>
        <w:t xml:space="preserve">Myers, S. C. &amp; Majluf, N.S. (1984). Corporate Financing and Investment Decisions When Firms Have Information that Investors Do Not Have, </w:t>
      </w:r>
      <w:r>
        <w:rPr>
          <w:i/>
          <w:sz w:val="24"/>
          <w:szCs w:val="24"/>
        </w:rPr>
        <w:t>J.</w:t>
      </w:r>
      <w:r w:rsidRPr="00993FE6">
        <w:rPr>
          <w:i/>
          <w:sz w:val="24"/>
          <w:szCs w:val="24"/>
        </w:rPr>
        <w:t xml:space="preserve"> of Financial Economics</w:t>
      </w:r>
      <w:r>
        <w:rPr>
          <w:sz w:val="24"/>
          <w:szCs w:val="24"/>
        </w:rPr>
        <w:t>, 13,</w:t>
      </w:r>
      <w:r w:rsidRPr="000A1C7A">
        <w:rPr>
          <w:sz w:val="24"/>
          <w:szCs w:val="24"/>
        </w:rPr>
        <w:t>187-221.</w:t>
      </w:r>
    </w:p>
    <w:p w14:paraId="7A4E3D04" w14:textId="77777777" w:rsidR="00636682" w:rsidRPr="00DD3C94" w:rsidRDefault="00636682" w:rsidP="004B193F">
      <w:pPr>
        <w:jc w:val="both"/>
        <w:rPr>
          <w:sz w:val="24"/>
          <w:szCs w:val="24"/>
        </w:rPr>
      </w:pPr>
      <w:r w:rsidRPr="00A2410D">
        <w:rPr>
          <w:sz w:val="24"/>
          <w:szCs w:val="24"/>
        </w:rPr>
        <w:t>Omer, T. C., Molloy, K. &amp; Ziebart, D. (1993). An Investigation of the Firm Size-Effective Tax Rate Relation in the 1980s</w:t>
      </w:r>
      <w:r w:rsidRPr="00A2410D">
        <w:rPr>
          <w:i/>
          <w:sz w:val="24"/>
          <w:szCs w:val="24"/>
        </w:rPr>
        <w:t>. Journal of Accounting, Auditing and Finance</w:t>
      </w:r>
      <w:r w:rsidRPr="00A2410D">
        <w:rPr>
          <w:sz w:val="24"/>
          <w:szCs w:val="24"/>
        </w:rPr>
        <w:t xml:space="preserve">, </w:t>
      </w:r>
      <w:r w:rsidRPr="00993FE6">
        <w:rPr>
          <w:i/>
          <w:sz w:val="24"/>
          <w:szCs w:val="24"/>
        </w:rPr>
        <w:t>8</w:t>
      </w:r>
      <w:r w:rsidRPr="000A1C7A">
        <w:rPr>
          <w:sz w:val="24"/>
          <w:szCs w:val="24"/>
        </w:rPr>
        <w:t xml:space="preserve"> (2), 167-182.</w:t>
      </w:r>
    </w:p>
    <w:p w14:paraId="2687BBD7" w14:textId="77777777" w:rsidR="00636682" w:rsidRPr="000A1C7A" w:rsidRDefault="00636682" w:rsidP="004B193F">
      <w:pPr>
        <w:jc w:val="both"/>
        <w:rPr>
          <w:sz w:val="24"/>
          <w:szCs w:val="24"/>
        </w:rPr>
      </w:pPr>
      <w:r w:rsidRPr="00A2410D">
        <w:rPr>
          <w:sz w:val="24"/>
          <w:szCs w:val="24"/>
        </w:rPr>
        <w:lastRenderedPageBreak/>
        <w:t xml:space="preserve">Plesko, G. (2003). An Evaluation of Alternative Measures of Corporate Tax Rates. </w:t>
      </w:r>
      <w:r w:rsidRPr="00A2410D">
        <w:rPr>
          <w:i/>
          <w:sz w:val="24"/>
          <w:szCs w:val="24"/>
        </w:rPr>
        <w:t>Journal of Accounting and Economics</w:t>
      </w:r>
      <w:r w:rsidRPr="00A2410D">
        <w:rPr>
          <w:sz w:val="24"/>
          <w:szCs w:val="24"/>
        </w:rPr>
        <w:t xml:space="preserve">, </w:t>
      </w:r>
      <w:r w:rsidRPr="00993FE6">
        <w:rPr>
          <w:i/>
          <w:sz w:val="24"/>
          <w:szCs w:val="24"/>
        </w:rPr>
        <w:t>35</w:t>
      </w:r>
      <w:r>
        <w:rPr>
          <w:sz w:val="24"/>
          <w:szCs w:val="24"/>
        </w:rPr>
        <w:t xml:space="preserve"> </w:t>
      </w:r>
      <w:r w:rsidRPr="000A1C7A">
        <w:rPr>
          <w:sz w:val="24"/>
          <w:szCs w:val="24"/>
        </w:rPr>
        <w:t>(1), 201-226.</w:t>
      </w:r>
    </w:p>
    <w:p w14:paraId="403DE479" w14:textId="77777777" w:rsidR="00636682" w:rsidRPr="000A1C7A" w:rsidRDefault="00636682" w:rsidP="004B193F">
      <w:pPr>
        <w:jc w:val="both"/>
        <w:rPr>
          <w:sz w:val="24"/>
          <w:szCs w:val="24"/>
        </w:rPr>
      </w:pPr>
      <w:r w:rsidRPr="00A2410D">
        <w:rPr>
          <w:sz w:val="24"/>
          <w:szCs w:val="24"/>
        </w:rPr>
        <w:t xml:space="preserve">Phillips, J. (2003). Corporate tax planning effectiveness: the role of compensation based incentives. </w:t>
      </w:r>
      <w:r w:rsidRPr="00A2410D">
        <w:rPr>
          <w:i/>
          <w:sz w:val="24"/>
          <w:szCs w:val="24"/>
        </w:rPr>
        <w:t>The Accounting Review</w:t>
      </w:r>
      <w:r w:rsidRPr="00A2410D">
        <w:rPr>
          <w:sz w:val="24"/>
          <w:szCs w:val="24"/>
        </w:rPr>
        <w:t xml:space="preserve">, </w:t>
      </w:r>
      <w:r w:rsidRPr="00993FE6">
        <w:rPr>
          <w:i/>
          <w:sz w:val="24"/>
          <w:szCs w:val="24"/>
        </w:rPr>
        <w:t>78</w:t>
      </w:r>
      <w:r>
        <w:rPr>
          <w:sz w:val="24"/>
          <w:szCs w:val="24"/>
        </w:rPr>
        <w:t xml:space="preserve"> </w:t>
      </w:r>
      <w:r w:rsidRPr="000A1C7A">
        <w:rPr>
          <w:sz w:val="24"/>
          <w:szCs w:val="24"/>
        </w:rPr>
        <w:t>(3), 847-874.</w:t>
      </w:r>
    </w:p>
    <w:p w14:paraId="2172C6BB" w14:textId="77777777" w:rsidR="00636682" w:rsidRPr="000A1C7A" w:rsidRDefault="00636682" w:rsidP="004B193F">
      <w:pPr>
        <w:jc w:val="both"/>
        <w:rPr>
          <w:sz w:val="24"/>
          <w:szCs w:val="24"/>
        </w:rPr>
      </w:pPr>
      <w:r w:rsidRPr="00A2410D">
        <w:rPr>
          <w:sz w:val="24"/>
          <w:szCs w:val="24"/>
        </w:rPr>
        <w:t xml:space="preserve">Porcano, T. (1986). Corporate tax rates: progressive, proportional, or regressive. Journal of the </w:t>
      </w:r>
      <w:r w:rsidRPr="00A2410D">
        <w:rPr>
          <w:i/>
          <w:sz w:val="24"/>
          <w:szCs w:val="24"/>
        </w:rPr>
        <w:t>American Taxation Association</w:t>
      </w:r>
      <w:r w:rsidRPr="00A2410D">
        <w:rPr>
          <w:sz w:val="24"/>
          <w:szCs w:val="24"/>
        </w:rPr>
        <w:t xml:space="preserve">, </w:t>
      </w:r>
      <w:r w:rsidRPr="00993FE6">
        <w:rPr>
          <w:i/>
          <w:sz w:val="24"/>
          <w:szCs w:val="24"/>
        </w:rPr>
        <w:t>8</w:t>
      </w:r>
      <w:r>
        <w:rPr>
          <w:sz w:val="24"/>
          <w:szCs w:val="24"/>
        </w:rPr>
        <w:t xml:space="preserve"> </w:t>
      </w:r>
      <w:r w:rsidRPr="000A1C7A">
        <w:rPr>
          <w:sz w:val="24"/>
          <w:szCs w:val="24"/>
        </w:rPr>
        <w:t>(1), 17-31.</w:t>
      </w:r>
    </w:p>
    <w:p w14:paraId="4B3EC66E" w14:textId="77777777" w:rsidR="00636682" w:rsidRPr="000A1C7A" w:rsidRDefault="00636682" w:rsidP="004B193F">
      <w:pPr>
        <w:jc w:val="both"/>
        <w:rPr>
          <w:sz w:val="24"/>
          <w:szCs w:val="24"/>
        </w:rPr>
      </w:pPr>
      <w:r w:rsidRPr="00A2410D">
        <w:rPr>
          <w:sz w:val="24"/>
          <w:szCs w:val="24"/>
        </w:rPr>
        <w:t>Reis, L. G.; &amp; Nogueira, D. R.</w:t>
      </w:r>
      <w:r>
        <w:rPr>
          <w:sz w:val="24"/>
          <w:szCs w:val="24"/>
        </w:rPr>
        <w:t xml:space="preserve"> (2012).</w:t>
      </w:r>
      <w:r w:rsidRPr="000A1C7A">
        <w:rPr>
          <w:sz w:val="24"/>
          <w:szCs w:val="24"/>
        </w:rPr>
        <w:t xml:space="preserve"> Disclosure do Ativo Imobilizado: Análise das práticas pelas empresas do novo mercado considerando o CPC 27. </w:t>
      </w:r>
      <w:r w:rsidRPr="00993FE6">
        <w:rPr>
          <w:i/>
          <w:sz w:val="24"/>
          <w:szCs w:val="24"/>
        </w:rPr>
        <w:t>Revista de Estudos Contábeis</w:t>
      </w:r>
      <w:r w:rsidRPr="000A1C7A">
        <w:rPr>
          <w:sz w:val="24"/>
          <w:szCs w:val="24"/>
        </w:rPr>
        <w:t xml:space="preserve">, </w:t>
      </w:r>
      <w:r w:rsidRPr="00993FE6">
        <w:rPr>
          <w:i/>
          <w:sz w:val="24"/>
          <w:szCs w:val="24"/>
        </w:rPr>
        <w:t>3</w:t>
      </w:r>
      <w:r>
        <w:rPr>
          <w:sz w:val="24"/>
          <w:szCs w:val="24"/>
        </w:rPr>
        <w:t xml:space="preserve"> (</w:t>
      </w:r>
      <w:r w:rsidRPr="000A1C7A">
        <w:rPr>
          <w:sz w:val="24"/>
          <w:szCs w:val="24"/>
        </w:rPr>
        <w:t>4</w:t>
      </w:r>
      <w:r>
        <w:rPr>
          <w:sz w:val="24"/>
          <w:szCs w:val="24"/>
        </w:rPr>
        <w:t>).</w:t>
      </w:r>
    </w:p>
    <w:p w14:paraId="424F4347" w14:textId="77777777" w:rsidR="00636682" w:rsidRPr="00A2410D" w:rsidRDefault="00636682" w:rsidP="004B193F">
      <w:pPr>
        <w:jc w:val="both"/>
        <w:rPr>
          <w:sz w:val="24"/>
          <w:szCs w:val="24"/>
        </w:rPr>
      </w:pPr>
      <w:r w:rsidRPr="00A2410D">
        <w:rPr>
          <w:sz w:val="24"/>
          <w:szCs w:val="24"/>
        </w:rPr>
        <w:t xml:space="preserve">Richardson, G. &amp; Lanis, R. (2007). Determinants of the variability in corporate effective tax rates and tax reform: Evidence from Australia. </w:t>
      </w:r>
      <w:r w:rsidRPr="00A2410D">
        <w:rPr>
          <w:i/>
          <w:sz w:val="24"/>
          <w:szCs w:val="24"/>
        </w:rPr>
        <w:t>Journal of Accounting and Public Policy</w:t>
      </w:r>
      <w:r w:rsidRPr="00A2410D">
        <w:rPr>
          <w:sz w:val="24"/>
          <w:szCs w:val="24"/>
        </w:rPr>
        <w:t>, 26, 689-704.</w:t>
      </w:r>
    </w:p>
    <w:p w14:paraId="75D4C20C" w14:textId="77777777" w:rsidR="00636682" w:rsidRPr="000A1C7A" w:rsidRDefault="00636682" w:rsidP="004B193F">
      <w:pPr>
        <w:jc w:val="both"/>
        <w:rPr>
          <w:sz w:val="24"/>
          <w:szCs w:val="24"/>
        </w:rPr>
      </w:pPr>
      <w:bookmarkStart w:id="32" w:name="_Hlk499582847"/>
      <w:r w:rsidRPr="00A2410D">
        <w:rPr>
          <w:sz w:val="24"/>
          <w:szCs w:val="24"/>
        </w:rPr>
        <w:t>Rohaya, M.N.; Nor`Azam, M. &amp; Barjoyai, B. (2008</w:t>
      </w:r>
      <w:bookmarkEnd w:id="32"/>
      <w:r w:rsidRPr="00A2410D">
        <w:rPr>
          <w:sz w:val="24"/>
          <w:szCs w:val="24"/>
        </w:rPr>
        <w:t xml:space="preserve">). Corporate Effective Tax Rates: A Study On Malaysian Public Listed Companies. </w:t>
      </w:r>
      <w:r w:rsidRPr="00A2410D">
        <w:rPr>
          <w:i/>
          <w:sz w:val="24"/>
          <w:szCs w:val="24"/>
        </w:rPr>
        <w:t>Malaysian Accounting Review</w:t>
      </w:r>
      <w:r w:rsidRPr="00A2410D">
        <w:rPr>
          <w:sz w:val="24"/>
          <w:szCs w:val="24"/>
        </w:rPr>
        <w:t xml:space="preserve">, </w:t>
      </w:r>
      <w:r w:rsidRPr="00993FE6">
        <w:rPr>
          <w:i/>
          <w:sz w:val="24"/>
          <w:szCs w:val="24"/>
        </w:rPr>
        <w:t>7</w:t>
      </w:r>
      <w:r>
        <w:rPr>
          <w:sz w:val="24"/>
          <w:szCs w:val="24"/>
        </w:rPr>
        <w:t xml:space="preserve"> </w:t>
      </w:r>
      <w:r w:rsidRPr="000A1C7A">
        <w:rPr>
          <w:sz w:val="24"/>
          <w:szCs w:val="24"/>
        </w:rPr>
        <w:t>(1), 1-20.</w:t>
      </w:r>
    </w:p>
    <w:p w14:paraId="7E253C98" w14:textId="77777777" w:rsidR="00636682" w:rsidRPr="000A1C7A" w:rsidRDefault="00636682" w:rsidP="004B193F">
      <w:pPr>
        <w:jc w:val="both"/>
        <w:rPr>
          <w:sz w:val="24"/>
          <w:szCs w:val="24"/>
        </w:rPr>
      </w:pPr>
      <w:r w:rsidRPr="00A2410D">
        <w:rPr>
          <w:sz w:val="24"/>
          <w:szCs w:val="24"/>
        </w:rPr>
        <w:t xml:space="preserve">Rohaya, M. N; Nur, S. M. F. &amp; Nor`Azam, M. (2010).  Corporate Tax Planning: A Study On Corporate Effective Tax Rates of Malaysian Listed Companies. </w:t>
      </w:r>
      <w:r w:rsidRPr="00993FE6">
        <w:rPr>
          <w:i/>
          <w:sz w:val="24"/>
          <w:szCs w:val="24"/>
        </w:rPr>
        <w:t>International Journal of Trade, Economics and Finance</w:t>
      </w:r>
      <w:r w:rsidRPr="000A1C7A">
        <w:rPr>
          <w:sz w:val="24"/>
          <w:szCs w:val="24"/>
        </w:rPr>
        <w:t xml:space="preserve">, </w:t>
      </w:r>
      <w:r w:rsidRPr="00993FE6">
        <w:rPr>
          <w:i/>
          <w:sz w:val="24"/>
          <w:szCs w:val="24"/>
        </w:rPr>
        <w:t>1</w:t>
      </w:r>
      <w:r>
        <w:rPr>
          <w:sz w:val="24"/>
          <w:szCs w:val="24"/>
        </w:rPr>
        <w:t xml:space="preserve"> </w:t>
      </w:r>
      <w:r w:rsidRPr="000A1C7A">
        <w:rPr>
          <w:sz w:val="24"/>
          <w:szCs w:val="24"/>
        </w:rPr>
        <w:t>(2)</w:t>
      </w:r>
      <w:r>
        <w:rPr>
          <w:sz w:val="24"/>
          <w:szCs w:val="24"/>
        </w:rPr>
        <w:t xml:space="preserve">, </w:t>
      </w:r>
      <w:r w:rsidRPr="000A1C7A">
        <w:rPr>
          <w:sz w:val="24"/>
          <w:szCs w:val="24"/>
        </w:rPr>
        <w:t>189-193.</w:t>
      </w:r>
    </w:p>
    <w:p w14:paraId="75928555" w14:textId="77777777" w:rsidR="00636682" w:rsidRPr="00433E35" w:rsidRDefault="00636682" w:rsidP="004B193F">
      <w:pPr>
        <w:jc w:val="both"/>
        <w:rPr>
          <w:sz w:val="24"/>
          <w:szCs w:val="24"/>
        </w:rPr>
      </w:pPr>
      <w:r w:rsidRPr="00A2410D">
        <w:rPr>
          <w:sz w:val="24"/>
          <w:szCs w:val="24"/>
        </w:rPr>
        <w:t>Salihu, I.A; Obid, S.N.S. &amp; Annuar, H.A. (2013). Measures of Corporate Tax Avoidance: Empirical Evidence From an Emerging Economy.</w:t>
      </w:r>
      <w:r w:rsidRPr="00A2410D">
        <w:t xml:space="preserve"> </w:t>
      </w:r>
      <w:r w:rsidRPr="00A2410D">
        <w:rPr>
          <w:i/>
          <w:sz w:val="24"/>
          <w:szCs w:val="24"/>
        </w:rPr>
        <w:t>International Journal of Business and Society</w:t>
      </w:r>
      <w:r w:rsidRPr="00A2410D">
        <w:rPr>
          <w:sz w:val="24"/>
          <w:szCs w:val="24"/>
        </w:rPr>
        <w:t>, 14 (3), 412</w:t>
      </w:r>
      <w:r>
        <w:rPr>
          <w:sz w:val="24"/>
          <w:szCs w:val="24"/>
        </w:rPr>
        <w:t>-</w:t>
      </w:r>
      <w:r w:rsidRPr="00433E35">
        <w:rPr>
          <w:sz w:val="24"/>
          <w:szCs w:val="24"/>
        </w:rPr>
        <w:t>427.</w:t>
      </w:r>
    </w:p>
    <w:p w14:paraId="1112004C" w14:textId="77777777" w:rsidR="00636682" w:rsidRPr="00433E35" w:rsidRDefault="00636682" w:rsidP="004B193F">
      <w:pPr>
        <w:jc w:val="both"/>
        <w:rPr>
          <w:sz w:val="24"/>
          <w:szCs w:val="24"/>
        </w:rPr>
      </w:pPr>
      <w:r w:rsidRPr="001760E4">
        <w:rPr>
          <w:sz w:val="24"/>
          <w:szCs w:val="24"/>
        </w:rPr>
        <w:t xml:space="preserve">Sant’ana, C. F., &amp; Zonatto, V. C. S. (2015). Determinantes da Taxa de Imposto Efetiva de Empresas da América Latina. </w:t>
      </w:r>
      <w:r w:rsidRPr="00993FE6">
        <w:rPr>
          <w:i/>
          <w:sz w:val="24"/>
          <w:szCs w:val="24"/>
        </w:rPr>
        <w:t>Sociedade, Contabilidade e Gestão</w:t>
      </w:r>
      <w:r w:rsidRPr="001760E4">
        <w:rPr>
          <w:sz w:val="24"/>
          <w:szCs w:val="24"/>
        </w:rPr>
        <w:t>, 10(3), 173-191.</w:t>
      </w:r>
    </w:p>
    <w:p w14:paraId="7AA2252B" w14:textId="77777777" w:rsidR="00636682" w:rsidRPr="00433E35" w:rsidRDefault="00636682" w:rsidP="004B193F">
      <w:pPr>
        <w:jc w:val="both"/>
        <w:rPr>
          <w:sz w:val="24"/>
          <w:szCs w:val="24"/>
        </w:rPr>
      </w:pPr>
      <w:r w:rsidRPr="00A2410D">
        <w:rPr>
          <w:sz w:val="24"/>
          <w:szCs w:val="24"/>
        </w:rPr>
        <w:t xml:space="preserve">Secretaria da Receita Federal do Brasil. (2016). </w:t>
      </w:r>
      <w:r w:rsidRPr="00993FE6">
        <w:rPr>
          <w:i/>
          <w:sz w:val="24"/>
          <w:szCs w:val="24"/>
        </w:rPr>
        <w:t>Carga Tributária no Brasil</w:t>
      </w:r>
      <w:r>
        <w:rPr>
          <w:i/>
          <w:sz w:val="24"/>
          <w:szCs w:val="24"/>
        </w:rPr>
        <w:t>:</w:t>
      </w:r>
      <w:r w:rsidRPr="00993FE6">
        <w:rPr>
          <w:i/>
          <w:sz w:val="24"/>
          <w:szCs w:val="24"/>
        </w:rPr>
        <w:t xml:space="preserve"> </w:t>
      </w:r>
      <w:r>
        <w:rPr>
          <w:i/>
          <w:sz w:val="24"/>
          <w:szCs w:val="24"/>
        </w:rPr>
        <w:t>a</w:t>
      </w:r>
      <w:r w:rsidRPr="00993FE6">
        <w:rPr>
          <w:i/>
          <w:sz w:val="24"/>
          <w:szCs w:val="24"/>
        </w:rPr>
        <w:t>nálise por tributo e bases de incidência</w:t>
      </w:r>
      <w:r w:rsidRPr="00433E35">
        <w:rPr>
          <w:sz w:val="24"/>
          <w:szCs w:val="24"/>
        </w:rPr>
        <w:t xml:space="preserve">. Recuperado em 18 de setembro, 2017, de: </w:t>
      </w:r>
    </w:p>
    <w:p w14:paraId="3978E05A" w14:textId="77777777" w:rsidR="00636682" w:rsidRPr="000A1C7A" w:rsidRDefault="00350375" w:rsidP="004B193F">
      <w:pPr>
        <w:jc w:val="both"/>
        <w:rPr>
          <w:sz w:val="24"/>
          <w:szCs w:val="24"/>
        </w:rPr>
      </w:pPr>
      <w:hyperlink r:id="rId9" w:history="1">
        <w:r w:rsidR="00636682" w:rsidRPr="000A1C7A">
          <w:rPr>
            <w:rStyle w:val="Hyperlink"/>
            <w:sz w:val="24"/>
            <w:szCs w:val="24"/>
          </w:rPr>
          <w:t>http://idg.receita.fazenda.gov.br/dados/receitadata/estudos-e-tributarios-e-aduaneiros/estudos-e-estatisticas/carga-tributaria-no-brasil/ctb-2015.pdf</w:t>
        </w:r>
      </w:hyperlink>
    </w:p>
    <w:p w14:paraId="6D43AEBD" w14:textId="77777777" w:rsidR="00636682" w:rsidRPr="000A1C7A" w:rsidRDefault="00636682" w:rsidP="004B193F">
      <w:pPr>
        <w:jc w:val="both"/>
        <w:rPr>
          <w:sz w:val="24"/>
          <w:szCs w:val="24"/>
        </w:rPr>
      </w:pPr>
      <w:r w:rsidRPr="00433E35">
        <w:rPr>
          <w:sz w:val="24"/>
          <w:szCs w:val="24"/>
        </w:rPr>
        <w:t>Shevlin, T.</w:t>
      </w:r>
      <w:r>
        <w:rPr>
          <w:sz w:val="24"/>
          <w:szCs w:val="24"/>
        </w:rPr>
        <w:t xml:space="preserve"> </w:t>
      </w:r>
      <w:r w:rsidRPr="00433E35">
        <w:rPr>
          <w:sz w:val="24"/>
          <w:szCs w:val="24"/>
        </w:rPr>
        <w:t xml:space="preserve">J. (1999). </w:t>
      </w:r>
      <w:r w:rsidRPr="00993FE6">
        <w:rPr>
          <w:i/>
          <w:sz w:val="24"/>
          <w:szCs w:val="24"/>
        </w:rPr>
        <w:t>A Critique of Plesko's 'An Evaluation of Alternative Measures of Corporate Tax Rates'</w:t>
      </w:r>
      <w:r w:rsidRPr="00433E35">
        <w:rPr>
          <w:sz w:val="24"/>
          <w:szCs w:val="24"/>
        </w:rPr>
        <w:t xml:space="preserve">. Disponível em &lt; </w:t>
      </w:r>
      <w:hyperlink r:id="rId10" w:history="1">
        <w:r w:rsidRPr="000A1C7A">
          <w:rPr>
            <w:rStyle w:val="Hyperlink"/>
            <w:sz w:val="24"/>
            <w:szCs w:val="24"/>
          </w:rPr>
          <w:t>https://ssrn.com/abstract=190436</w:t>
        </w:r>
      </w:hyperlink>
      <w:r w:rsidRPr="000A1C7A">
        <w:rPr>
          <w:sz w:val="24"/>
          <w:szCs w:val="24"/>
        </w:rPr>
        <w:t xml:space="preserve">&gt; </w:t>
      </w:r>
    </w:p>
    <w:p w14:paraId="589384E4" w14:textId="77777777" w:rsidR="00636682" w:rsidRPr="000A1C7A" w:rsidRDefault="00636682" w:rsidP="004B193F">
      <w:pPr>
        <w:jc w:val="both"/>
        <w:rPr>
          <w:sz w:val="24"/>
          <w:szCs w:val="24"/>
        </w:rPr>
      </w:pPr>
      <w:r w:rsidRPr="00A2410D">
        <w:rPr>
          <w:sz w:val="24"/>
          <w:szCs w:val="24"/>
        </w:rPr>
        <w:t xml:space="preserve">Shackelford, D. A.; Shevlin, T. J. (2001). </w:t>
      </w:r>
      <w:r w:rsidRPr="00A2410D">
        <w:rPr>
          <w:bCs/>
          <w:sz w:val="24"/>
          <w:szCs w:val="24"/>
        </w:rPr>
        <w:t>Empirical Tax Research In Accounting.</w:t>
      </w:r>
      <w:r w:rsidRPr="00A2410D">
        <w:rPr>
          <w:sz w:val="24"/>
          <w:szCs w:val="24"/>
        </w:rPr>
        <w:t xml:space="preserve"> </w:t>
      </w:r>
      <w:r w:rsidRPr="00A2410D">
        <w:rPr>
          <w:bCs/>
          <w:i/>
          <w:sz w:val="24"/>
          <w:szCs w:val="24"/>
        </w:rPr>
        <w:t>Journal of Accounting and Economics</w:t>
      </w:r>
      <w:r w:rsidRPr="00A2410D">
        <w:rPr>
          <w:bCs/>
          <w:sz w:val="24"/>
          <w:szCs w:val="24"/>
        </w:rPr>
        <w:t xml:space="preserve">, </w:t>
      </w:r>
      <w:r w:rsidRPr="00993FE6">
        <w:rPr>
          <w:bCs/>
          <w:i/>
          <w:sz w:val="24"/>
          <w:szCs w:val="24"/>
        </w:rPr>
        <w:t>31</w:t>
      </w:r>
      <w:r>
        <w:rPr>
          <w:bCs/>
          <w:sz w:val="24"/>
          <w:szCs w:val="24"/>
        </w:rPr>
        <w:t xml:space="preserve"> </w:t>
      </w:r>
      <w:r w:rsidRPr="00433E35">
        <w:rPr>
          <w:bCs/>
          <w:sz w:val="24"/>
          <w:szCs w:val="24"/>
        </w:rPr>
        <w:t xml:space="preserve">(1–3), 2001, 321-387. </w:t>
      </w:r>
    </w:p>
    <w:p w14:paraId="2E5DFEF6" w14:textId="77777777" w:rsidR="00636682" w:rsidRPr="00DD3C94" w:rsidRDefault="00636682" w:rsidP="004B193F">
      <w:pPr>
        <w:jc w:val="both"/>
        <w:rPr>
          <w:sz w:val="24"/>
          <w:szCs w:val="24"/>
        </w:rPr>
      </w:pPr>
      <w:r>
        <w:rPr>
          <w:sz w:val="24"/>
          <w:szCs w:val="24"/>
        </w:rPr>
        <w:t>Stickney, C.</w:t>
      </w:r>
      <w:r w:rsidRPr="00A2410D">
        <w:rPr>
          <w:sz w:val="24"/>
          <w:szCs w:val="24"/>
        </w:rPr>
        <w:t xml:space="preserve">P. &amp; McGee, V.E. (1982). Effective Corporate Tax Rates. The Effect of Size, Capital Intensity, Leverage and </w:t>
      </w:r>
      <w:r>
        <w:rPr>
          <w:sz w:val="24"/>
          <w:szCs w:val="24"/>
        </w:rPr>
        <w:t>o</w:t>
      </w:r>
      <w:r w:rsidRPr="00DD3C94">
        <w:rPr>
          <w:sz w:val="24"/>
          <w:szCs w:val="24"/>
        </w:rPr>
        <w:t xml:space="preserve">ther </w:t>
      </w:r>
      <w:r>
        <w:rPr>
          <w:sz w:val="24"/>
          <w:szCs w:val="24"/>
        </w:rPr>
        <w:t>f</w:t>
      </w:r>
      <w:r w:rsidRPr="00DD3C94">
        <w:rPr>
          <w:sz w:val="24"/>
          <w:szCs w:val="24"/>
        </w:rPr>
        <w:t xml:space="preserve">actors. </w:t>
      </w:r>
      <w:r>
        <w:rPr>
          <w:i/>
          <w:sz w:val="24"/>
          <w:szCs w:val="24"/>
        </w:rPr>
        <w:t>Journal of A.</w:t>
      </w:r>
      <w:r w:rsidRPr="00DD3C94">
        <w:rPr>
          <w:i/>
          <w:sz w:val="24"/>
          <w:szCs w:val="24"/>
        </w:rPr>
        <w:t xml:space="preserve"> and Public Policy</w:t>
      </w:r>
      <w:r w:rsidRPr="00DD3C94">
        <w:rPr>
          <w:sz w:val="24"/>
          <w:szCs w:val="24"/>
        </w:rPr>
        <w:t>, 1, 125-152.</w:t>
      </w:r>
    </w:p>
    <w:p w14:paraId="670AFEED" w14:textId="77777777" w:rsidR="00636682" w:rsidRPr="00433E35" w:rsidRDefault="00636682" w:rsidP="004B193F">
      <w:pPr>
        <w:jc w:val="both"/>
        <w:rPr>
          <w:sz w:val="24"/>
          <w:szCs w:val="24"/>
        </w:rPr>
      </w:pPr>
      <w:r w:rsidRPr="00A2410D">
        <w:rPr>
          <w:sz w:val="24"/>
          <w:szCs w:val="24"/>
        </w:rPr>
        <w:t>Utzig, M.J.S.; Dal Magro, C.B.; Zanella, G.; Freitas, E.J. &amp; Dittadi, J.R. (2014)</w:t>
      </w:r>
      <w:r w:rsidRPr="00A2410D">
        <w:t>.</w:t>
      </w:r>
      <w:r>
        <w:t xml:space="preserve"> </w:t>
      </w:r>
      <w:r w:rsidRPr="000A1C7A">
        <w:rPr>
          <w:sz w:val="24"/>
          <w:szCs w:val="24"/>
        </w:rPr>
        <w:t>Taxa de Imposto Efetiva sobre a renda nas Empresas do Mercosu</w:t>
      </w:r>
      <w:r w:rsidRPr="00A2410D">
        <w:rPr>
          <w:sz w:val="24"/>
          <w:szCs w:val="24"/>
        </w:rPr>
        <w:t>l</w:t>
      </w:r>
      <w:r w:rsidRPr="00A2410D">
        <w:t xml:space="preserve">. </w:t>
      </w:r>
      <w:r w:rsidRPr="00A2410D">
        <w:rPr>
          <w:i/>
          <w:sz w:val="24"/>
          <w:szCs w:val="24"/>
        </w:rPr>
        <w:t>Revista de Contabilidade do Mestrado em Ciências Contábeis da UERJ</w:t>
      </w:r>
      <w:r w:rsidRPr="00A2410D">
        <w:rPr>
          <w:sz w:val="24"/>
          <w:szCs w:val="24"/>
        </w:rPr>
        <w:t xml:space="preserve">, </w:t>
      </w:r>
      <w:r w:rsidRPr="00993FE6">
        <w:rPr>
          <w:i/>
          <w:sz w:val="24"/>
          <w:szCs w:val="24"/>
        </w:rPr>
        <w:t>19</w:t>
      </w:r>
      <w:r>
        <w:rPr>
          <w:sz w:val="24"/>
          <w:szCs w:val="24"/>
        </w:rPr>
        <w:t xml:space="preserve"> </w:t>
      </w:r>
      <w:r w:rsidRPr="00433E35">
        <w:rPr>
          <w:sz w:val="24"/>
          <w:szCs w:val="24"/>
        </w:rPr>
        <w:t>(2), 40</w:t>
      </w:r>
      <w:r>
        <w:rPr>
          <w:sz w:val="24"/>
          <w:szCs w:val="24"/>
        </w:rPr>
        <w:t>-</w:t>
      </w:r>
      <w:r w:rsidRPr="00433E35">
        <w:rPr>
          <w:sz w:val="24"/>
          <w:szCs w:val="24"/>
        </w:rPr>
        <w:t>57.</w:t>
      </w:r>
    </w:p>
    <w:p w14:paraId="2BE2C8F4" w14:textId="77777777" w:rsidR="00636682" w:rsidRPr="001E32DF" w:rsidRDefault="00636682" w:rsidP="004B193F">
      <w:pPr>
        <w:jc w:val="both"/>
        <w:rPr>
          <w:sz w:val="24"/>
          <w:szCs w:val="24"/>
        </w:rPr>
      </w:pPr>
      <w:r w:rsidRPr="00A2410D">
        <w:rPr>
          <w:sz w:val="24"/>
          <w:szCs w:val="24"/>
        </w:rPr>
        <w:t xml:space="preserve">Wang, S. (1991). The Relation Between Firm Size and Effective Tax Rates: A Test of Firm Political Success. </w:t>
      </w:r>
      <w:r w:rsidRPr="00A2410D">
        <w:rPr>
          <w:i/>
          <w:sz w:val="24"/>
          <w:szCs w:val="24"/>
        </w:rPr>
        <w:t>Accounting Review</w:t>
      </w:r>
      <w:r w:rsidRPr="00A2410D">
        <w:rPr>
          <w:sz w:val="24"/>
          <w:szCs w:val="24"/>
        </w:rPr>
        <w:t xml:space="preserve">, </w:t>
      </w:r>
      <w:r w:rsidRPr="00993FE6">
        <w:rPr>
          <w:i/>
          <w:sz w:val="24"/>
          <w:szCs w:val="24"/>
        </w:rPr>
        <w:t>66</w:t>
      </w:r>
      <w:r w:rsidRPr="00433E35">
        <w:rPr>
          <w:sz w:val="24"/>
          <w:szCs w:val="24"/>
        </w:rPr>
        <w:t xml:space="preserve"> (1), 158-169</w:t>
      </w:r>
      <w:r w:rsidRPr="001E32DF">
        <w:rPr>
          <w:sz w:val="24"/>
          <w:szCs w:val="24"/>
        </w:rPr>
        <w:t>.</w:t>
      </w:r>
    </w:p>
    <w:p w14:paraId="3643FFF9" w14:textId="77777777" w:rsidR="00636682" w:rsidRPr="001E32DF" w:rsidRDefault="00636682" w:rsidP="004B193F">
      <w:pPr>
        <w:jc w:val="both"/>
        <w:rPr>
          <w:sz w:val="24"/>
          <w:szCs w:val="24"/>
        </w:rPr>
      </w:pPr>
      <w:r w:rsidRPr="00A2410D">
        <w:rPr>
          <w:sz w:val="24"/>
          <w:szCs w:val="24"/>
        </w:rPr>
        <w:t>Wang,</w:t>
      </w:r>
      <w:r>
        <w:rPr>
          <w:sz w:val="24"/>
          <w:szCs w:val="24"/>
        </w:rPr>
        <w:t xml:space="preserve"> </w:t>
      </w:r>
      <w:r w:rsidRPr="00DD3C94">
        <w:rPr>
          <w:sz w:val="24"/>
          <w:szCs w:val="24"/>
        </w:rPr>
        <w:t>Y. Campbell</w:t>
      </w:r>
      <w:r w:rsidRPr="00A2410D">
        <w:rPr>
          <w:sz w:val="24"/>
          <w:szCs w:val="24"/>
        </w:rPr>
        <w:t xml:space="preserve">, M. &amp; Johnson, D. (2014). Determinants of Effective Tax Rate of China Publicly Listed Companies. </w:t>
      </w:r>
      <w:r w:rsidRPr="00A2410D">
        <w:rPr>
          <w:i/>
          <w:sz w:val="24"/>
          <w:szCs w:val="24"/>
        </w:rPr>
        <w:t>International Management Review</w:t>
      </w:r>
      <w:r w:rsidRPr="00A2410D">
        <w:rPr>
          <w:sz w:val="24"/>
          <w:szCs w:val="24"/>
        </w:rPr>
        <w:t xml:space="preserve">, </w:t>
      </w:r>
      <w:r w:rsidRPr="00993FE6">
        <w:rPr>
          <w:i/>
          <w:sz w:val="24"/>
          <w:szCs w:val="24"/>
        </w:rPr>
        <w:t>10</w:t>
      </w:r>
      <w:r>
        <w:rPr>
          <w:sz w:val="24"/>
          <w:szCs w:val="24"/>
        </w:rPr>
        <w:t xml:space="preserve"> (1), 10-20.</w:t>
      </w:r>
    </w:p>
    <w:p w14:paraId="69BFCA4C" w14:textId="77777777" w:rsidR="00636682" w:rsidRPr="00A2410D" w:rsidRDefault="00636682" w:rsidP="004B193F">
      <w:pPr>
        <w:jc w:val="both"/>
        <w:rPr>
          <w:sz w:val="24"/>
          <w:szCs w:val="24"/>
        </w:rPr>
      </w:pPr>
      <w:r w:rsidRPr="00A2410D">
        <w:rPr>
          <w:sz w:val="24"/>
          <w:szCs w:val="24"/>
        </w:rPr>
        <w:t xml:space="preserve">Wernke, R. (2008). </w:t>
      </w:r>
      <w:r w:rsidRPr="00A2410D">
        <w:rPr>
          <w:i/>
          <w:sz w:val="24"/>
          <w:szCs w:val="24"/>
        </w:rPr>
        <w:t>Gestão Financeira</w:t>
      </w:r>
      <w:r w:rsidRPr="00A2410D">
        <w:rPr>
          <w:sz w:val="24"/>
          <w:szCs w:val="24"/>
        </w:rPr>
        <w:t>: Ênfase em Aplicações e Casos Nacionais. Rio de Janeiro: Saraiva.</w:t>
      </w:r>
    </w:p>
    <w:p w14:paraId="7DC0B373" w14:textId="77777777" w:rsidR="00636682" w:rsidRPr="001E32DF" w:rsidRDefault="00636682" w:rsidP="004B193F">
      <w:pPr>
        <w:jc w:val="both"/>
        <w:rPr>
          <w:sz w:val="24"/>
          <w:szCs w:val="24"/>
        </w:rPr>
      </w:pPr>
      <w:r w:rsidRPr="00A2410D">
        <w:rPr>
          <w:sz w:val="24"/>
          <w:szCs w:val="24"/>
        </w:rPr>
        <w:t xml:space="preserve">Wilkinson, B.; Cahan, S. &amp; Jones, G. (2001). Strategies and Dividend Imputation: The Effect of Foreign and Domestic Ownership on Average Effective Tax Rate. </w:t>
      </w:r>
      <w:r w:rsidRPr="00A2410D">
        <w:rPr>
          <w:i/>
          <w:sz w:val="24"/>
          <w:szCs w:val="24"/>
        </w:rPr>
        <w:t>Journal of</w:t>
      </w:r>
      <w:r>
        <w:rPr>
          <w:i/>
          <w:sz w:val="24"/>
          <w:szCs w:val="24"/>
        </w:rPr>
        <w:t xml:space="preserve"> </w:t>
      </w:r>
      <w:r w:rsidRPr="00DD3C94">
        <w:rPr>
          <w:i/>
          <w:sz w:val="24"/>
          <w:szCs w:val="24"/>
        </w:rPr>
        <w:t>International Accounting, Auditing &amp; Taxation</w:t>
      </w:r>
      <w:r w:rsidRPr="00DD3C94">
        <w:rPr>
          <w:sz w:val="24"/>
          <w:szCs w:val="24"/>
        </w:rPr>
        <w:t xml:space="preserve">, </w:t>
      </w:r>
      <w:r w:rsidRPr="00993FE6">
        <w:rPr>
          <w:i/>
          <w:sz w:val="24"/>
          <w:szCs w:val="24"/>
        </w:rPr>
        <w:t>10</w:t>
      </w:r>
      <w:r>
        <w:rPr>
          <w:sz w:val="24"/>
          <w:szCs w:val="24"/>
        </w:rPr>
        <w:t xml:space="preserve"> </w:t>
      </w:r>
      <w:r w:rsidRPr="001E32DF">
        <w:rPr>
          <w:sz w:val="24"/>
          <w:szCs w:val="24"/>
        </w:rPr>
        <w:t>(2), 157-175.</w:t>
      </w:r>
    </w:p>
    <w:p w14:paraId="13C9B411" w14:textId="3139BF3D" w:rsidR="00E6136F" w:rsidRDefault="00636682">
      <w:r w:rsidRPr="00A2410D">
        <w:rPr>
          <w:sz w:val="24"/>
          <w:szCs w:val="24"/>
        </w:rPr>
        <w:t xml:space="preserve">Zimmerman, J. L. (1983). Taxes and firm size. </w:t>
      </w:r>
      <w:r w:rsidRPr="00A2410D">
        <w:rPr>
          <w:i/>
          <w:sz w:val="24"/>
          <w:szCs w:val="24"/>
        </w:rPr>
        <w:t>Journal of Accounting and Economics</w:t>
      </w:r>
      <w:r w:rsidRPr="00A2410D">
        <w:rPr>
          <w:sz w:val="24"/>
          <w:szCs w:val="24"/>
        </w:rPr>
        <w:t xml:space="preserve">, </w:t>
      </w:r>
      <w:r w:rsidRPr="00993FE6">
        <w:rPr>
          <w:i/>
          <w:sz w:val="24"/>
          <w:szCs w:val="24"/>
        </w:rPr>
        <w:t>5</w:t>
      </w:r>
      <w:r w:rsidRPr="001E32DF">
        <w:rPr>
          <w:sz w:val="24"/>
          <w:szCs w:val="24"/>
        </w:rPr>
        <w:t xml:space="preserve"> (2), 119-149.</w:t>
      </w:r>
    </w:p>
    <w:p w14:paraId="3C0DBD21" w14:textId="77777777" w:rsidR="00E6136F" w:rsidRDefault="00E6136F"/>
    <w:p w14:paraId="761D635E" w14:textId="77777777" w:rsidR="00E6136F" w:rsidRDefault="00E6136F"/>
    <w:sectPr w:rsidR="00E6136F" w:rsidSect="00636682">
      <w:headerReference w:type="default" r:id="rId11"/>
      <w:footerReference w:type="default" r:id="rId12"/>
      <w:type w:val="continuous"/>
      <w:pgSz w:w="11900" w:h="16840"/>
      <w:pgMar w:top="1701" w:right="1134" w:bottom="1134" w:left="170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04FC5" w14:textId="77777777" w:rsidR="00350375" w:rsidRDefault="00350375" w:rsidP="008A5824">
      <w:r>
        <w:separator/>
      </w:r>
    </w:p>
  </w:endnote>
  <w:endnote w:type="continuationSeparator" w:id="0">
    <w:p w14:paraId="0809AF13" w14:textId="77777777" w:rsidR="00350375" w:rsidRDefault="00350375"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14:paraId="399C7471" w14:textId="46734ACA" w:rsidR="00C4466C" w:rsidRPr="00C04F45" w:rsidRDefault="00C4466C">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08AB0F1A" wp14:editId="256F1EBB">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120220">
          <w:rPr>
            <w:rFonts w:ascii="Times New Roman" w:hAnsi="Times New Roman" w:cs="Times New Roman"/>
            <w:noProof/>
          </w:rPr>
          <w:t>2</w:t>
        </w:r>
        <w:r w:rsidRPr="00C04F45">
          <w:rPr>
            <w:rFonts w:ascii="Times New Roman" w:hAnsi="Times New Roman" w:cs="Times New Roman"/>
          </w:rPr>
          <w:fldChar w:fldCharType="end"/>
        </w:r>
      </w:p>
    </w:sdtContent>
  </w:sdt>
  <w:p w14:paraId="422BD463" w14:textId="77777777" w:rsidR="00C4466C" w:rsidRDefault="00C4466C">
    <w:pPr>
      <w:pStyle w:val="Rodap"/>
      <w:rPr>
        <w:rFonts w:ascii="Times New Roman" w:hAnsi="Times New Roman" w:cs="Times New Roman"/>
      </w:rPr>
    </w:pPr>
  </w:p>
  <w:p w14:paraId="267FC2CB" w14:textId="77777777" w:rsidR="00C4466C" w:rsidRPr="00C04F45" w:rsidRDefault="00C4466C"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29D77" w14:textId="77777777" w:rsidR="00350375" w:rsidRDefault="00350375" w:rsidP="008A5824">
      <w:r>
        <w:separator/>
      </w:r>
    </w:p>
  </w:footnote>
  <w:footnote w:type="continuationSeparator" w:id="0">
    <w:p w14:paraId="38455610" w14:textId="77777777" w:rsidR="00350375" w:rsidRDefault="00350375"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1418" w14:textId="77777777" w:rsidR="00C4466C" w:rsidRPr="00E361F4" w:rsidRDefault="00C4466C" w:rsidP="00E361F4">
    <w:pPr>
      <w:pStyle w:val="Cabealho"/>
    </w:pPr>
    <w:r>
      <w:rPr>
        <w:noProof/>
        <w:lang w:eastAsia="pt-BR"/>
      </w:rPr>
      <w:drawing>
        <wp:inline distT="0" distB="0" distL="0" distR="0" wp14:anchorId="7E1C7274" wp14:editId="245FC23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3A66"/>
    <w:multiLevelType w:val="hybridMultilevel"/>
    <w:tmpl w:val="5D46DDE8"/>
    <w:lvl w:ilvl="0" w:tplc="F98ADE5E">
      <w:start w:val="1"/>
      <w:numFmt w:val="lowerLetter"/>
      <w:lvlText w:val="(%1)"/>
      <w:lvlJc w:val="left"/>
      <w:pPr>
        <w:ind w:left="1083" w:hanging="375"/>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36E44"/>
    <w:rsid w:val="00067126"/>
    <w:rsid w:val="00120220"/>
    <w:rsid w:val="0013040B"/>
    <w:rsid w:val="0016220D"/>
    <w:rsid w:val="001779B5"/>
    <w:rsid w:val="00180618"/>
    <w:rsid w:val="00187E6C"/>
    <w:rsid w:val="00194BA9"/>
    <w:rsid w:val="00196447"/>
    <w:rsid w:val="001A4423"/>
    <w:rsid w:val="001B31C1"/>
    <w:rsid w:val="001C328B"/>
    <w:rsid w:val="001D6E2A"/>
    <w:rsid w:val="001F6A6D"/>
    <w:rsid w:val="00210C8C"/>
    <w:rsid w:val="002B0015"/>
    <w:rsid w:val="002B2B78"/>
    <w:rsid w:val="00350375"/>
    <w:rsid w:val="0036377D"/>
    <w:rsid w:val="0038579D"/>
    <w:rsid w:val="003C6A50"/>
    <w:rsid w:val="004020EB"/>
    <w:rsid w:val="004357FF"/>
    <w:rsid w:val="00455FFE"/>
    <w:rsid w:val="004631FC"/>
    <w:rsid w:val="00463655"/>
    <w:rsid w:val="00473887"/>
    <w:rsid w:val="00491708"/>
    <w:rsid w:val="004B193F"/>
    <w:rsid w:val="004B6867"/>
    <w:rsid w:val="004F554D"/>
    <w:rsid w:val="00530B1A"/>
    <w:rsid w:val="005567E4"/>
    <w:rsid w:val="0056133E"/>
    <w:rsid w:val="006064A3"/>
    <w:rsid w:val="00620CAD"/>
    <w:rsid w:val="00621517"/>
    <w:rsid w:val="00631DCF"/>
    <w:rsid w:val="00636682"/>
    <w:rsid w:val="0066453C"/>
    <w:rsid w:val="00686527"/>
    <w:rsid w:val="006C6371"/>
    <w:rsid w:val="0072578D"/>
    <w:rsid w:val="00770D10"/>
    <w:rsid w:val="00860B20"/>
    <w:rsid w:val="008A5824"/>
    <w:rsid w:val="008D12C5"/>
    <w:rsid w:val="008D4F05"/>
    <w:rsid w:val="009825E2"/>
    <w:rsid w:val="009833D5"/>
    <w:rsid w:val="009D3A20"/>
    <w:rsid w:val="00A02F1C"/>
    <w:rsid w:val="00A52094"/>
    <w:rsid w:val="00A86ECF"/>
    <w:rsid w:val="00AB7928"/>
    <w:rsid w:val="00AC4490"/>
    <w:rsid w:val="00AE0CE5"/>
    <w:rsid w:val="00B32719"/>
    <w:rsid w:val="00B41CAF"/>
    <w:rsid w:val="00B9513B"/>
    <w:rsid w:val="00BD0F13"/>
    <w:rsid w:val="00C04F45"/>
    <w:rsid w:val="00C30374"/>
    <w:rsid w:val="00C4466C"/>
    <w:rsid w:val="00C45E72"/>
    <w:rsid w:val="00C85924"/>
    <w:rsid w:val="00CA2367"/>
    <w:rsid w:val="00CA25AA"/>
    <w:rsid w:val="00CC3874"/>
    <w:rsid w:val="00CE5296"/>
    <w:rsid w:val="00CF645C"/>
    <w:rsid w:val="00D91EAD"/>
    <w:rsid w:val="00D933D2"/>
    <w:rsid w:val="00DB1C59"/>
    <w:rsid w:val="00E361F4"/>
    <w:rsid w:val="00E6136F"/>
    <w:rsid w:val="00E9417D"/>
    <w:rsid w:val="00EA4940"/>
    <w:rsid w:val="00ED7A83"/>
    <w:rsid w:val="00F204A7"/>
    <w:rsid w:val="00FB6A53"/>
    <w:rsid w:val="00FC7A49"/>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FAADF2"/>
  <w15:docId w15:val="{69663AB8-8E6C-4626-AEC0-B26BFC19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636682"/>
    <w:pPr>
      <w:keepNext/>
      <w:keepLines/>
      <w:suppressAutoHyphens w:val="0"/>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har"/>
    <w:uiPriority w:val="9"/>
    <w:semiHidden/>
    <w:unhideWhenUsed/>
    <w:qFormat/>
    <w:rsid w:val="00636682"/>
    <w:pPr>
      <w:keepNext/>
      <w:keepLines/>
      <w:suppressAutoHyphens w:val="0"/>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9"/>
    <w:rsid w:val="0063668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636682"/>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63668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6682"/>
    <w:pPr>
      <w:autoSpaceDE w:val="0"/>
      <w:autoSpaceDN w:val="0"/>
      <w:adjustRightInd w:val="0"/>
    </w:pPr>
    <w:rPr>
      <w:rFonts w:ascii="Times New Roman" w:hAnsi="Times New Roman" w:cs="Times New Roman"/>
      <w:color w:val="000000"/>
    </w:rPr>
  </w:style>
  <w:style w:type="character" w:customStyle="1" w:styleId="MenoPendente1">
    <w:name w:val="Menção Pendente1"/>
    <w:basedOn w:val="Fontepargpadro"/>
    <w:uiPriority w:val="99"/>
    <w:semiHidden/>
    <w:unhideWhenUsed/>
    <w:rsid w:val="00636682"/>
    <w:rPr>
      <w:color w:val="808080"/>
      <w:shd w:val="clear" w:color="auto" w:fill="E6E6E6"/>
    </w:rPr>
  </w:style>
  <w:style w:type="character" w:styleId="Refdecomentrio">
    <w:name w:val="annotation reference"/>
    <w:basedOn w:val="Fontepargpadro"/>
    <w:uiPriority w:val="99"/>
    <w:semiHidden/>
    <w:unhideWhenUsed/>
    <w:rsid w:val="00636682"/>
    <w:rPr>
      <w:sz w:val="16"/>
      <w:szCs w:val="16"/>
    </w:rPr>
  </w:style>
  <w:style w:type="paragraph" w:styleId="Textodecomentrio">
    <w:name w:val="annotation text"/>
    <w:basedOn w:val="Normal"/>
    <w:link w:val="TextodecomentrioChar"/>
    <w:uiPriority w:val="99"/>
    <w:semiHidden/>
    <w:unhideWhenUsed/>
    <w:rsid w:val="00636682"/>
    <w:pPr>
      <w:suppressAutoHyphens w:val="0"/>
      <w:spacing w:after="16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636682"/>
    <w:rPr>
      <w:sz w:val="20"/>
      <w:szCs w:val="20"/>
    </w:rPr>
  </w:style>
  <w:style w:type="paragraph" w:styleId="Assuntodocomentrio">
    <w:name w:val="annotation subject"/>
    <w:basedOn w:val="Textodecomentrio"/>
    <w:next w:val="Textodecomentrio"/>
    <w:link w:val="AssuntodocomentrioChar"/>
    <w:uiPriority w:val="99"/>
    <w:semiHidden/>
    <w:unhideWhenUsed/>
    <w:rsid w:val="00636682"/>
    <w:rPr>
      <w:b/>
      <w:bCs/>
    </w:rPr>
  </w:style>
  <w:style w:type="character" w:customStyle="1" w:styleId="AssuntodocomentrioChar">
    <w:name w:val="Assunto do comentário Char"/>
    <w:basedOn w:val="TextodecomentrioChar"/>
    <w:link w:val="Assuntodocomentrio"/>
    <w:uiPriority w:val="99"/>
    <w:semiHidden/>
    <w:rsid w:val="00636682"/>
    <w:rPr>
      <w:b/>
      <w:bCs/>
      <w:sz w:val="20"/>
      <w:szCs w:val="20"/>
    </w:rPr>
  </w:style>
  <w:style w:type="table" w:styleId="TabelaSimples2">
    <w:name w:val="Plain Table 2"/>
    <w:basedOn w:val="Tabelanormal"/>
    <w:uiPriority w:val="42"/>
    <w:rsid w:val="00636682"/>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oPendente">
    <w:name w:val="Unresolved Mention"/>
    <w:basedOn w:val="Fontepargpadro"/>
    <w:uiPriority w:val="99"/>
    <w:semiHidden/>
    <w:unhideWhenUsed/>
    <w:rsid w:val="006366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22658">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370450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cpc.mediagroup.com.br/Documentos/340_CPC_32_rev%201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srn.com/abstract=190436" TargetMode="External"/><Relationship Id="rId4" Type="http://schemas.openxmlformats.org/officeDocument/2006/relationships/settings" Target="settings.xml"/><Relationship Id="rId9" Type="http://schemas.openxmlformats.org/officeDocument/2006/relationships/hyperlink" Target="http://idg.receita.fazenda.gov.br/dados/receitadata/estudos-e-tributarios-e-aduaneiros/estudos-e-estatisticas/carga-tributaria-no-brasil/ctb-2015.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19E9-E73C-4B53-AC07-CAB629E5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9364</Words>
  <Characters>50571</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Daniele Cristina Bernd</cp:lastModifiedBy>
  <cp:revision>7</cp:revision>
  <dcterms:created xsi:type="dcterms:W3CDTF">2018-04-23T13:34:00Z</dcterms:created>
  <dcterms:modified xsi:type="dcterms:W3CDTF">2018-04-23T15:55:00Z</dcterms:modified>
</cp:coreProperties>
</file>