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2DE08" w14:textId="77777777" w:rsidR="000E179F" w:rsidRDefault="000E179F" w:rsidP="000E179F">
      <w:pPr>
        <w:jc w:val="center"/>
        <w:rPr>
          <w:b/>
          <w:sz w:val="24"/>
          <w:szCs w:val="24"/>
        </w:rPr>
      </w:pPr>
    </w:p>
    <w:p w14:paraId="1A58EA13" w14:textId="0FF03376" w:rsidR="000E179F" w:rsidRPr="000E179F" w:rsidRDefault="000E179F" w:rsidP="000E179F">
      <w:pPr>
        <w:jc w:val="center"/>
        <w:rPr>
          <w:b/>
          <w:sz w:val="24"/>
          <w:szCs w:val="24"/>
        </w:rPr>
      </w:pPr>
      <w:r>
        <w:rPr>
          <w:b/>
          <w:sz w:val="24"/>
          <w:szCs w:val="24"/>
        </w:rPr>
        <w:t>Evidenciação Contábil de Entidades do Terceiro S</w:t>
      </w:r>
      <w:r w:rsidRPr="000E179F">
        <w:rPr>
          <w:b/>
          <w:sz w:val="24"/>
          <w:szCs w:val="24"/>
        </w:rPr>
        <w:t>etor:</w:t>
      </w:r>
    </w:p>
    <w:p w14:paraId="75261E3A" w14:textId="4A46A208" w:rsidR="000E179F" w:rsidRDefault="000E179F" w:rsidP="000E179F">
      <w:pPr>
        <w:jc w:val="center"/>
        <w:rPr>
          <w:b/>
          <w:sz w:val="24"/>
          <w:szCs w:val="24"/>
        </w:rPr>
      </w:pPr>
      <w:r>
        <w:rPr>
          <w:b/>
          <w:sz w:val="24"/>
          <w:szCs w:val="24"/>
        </w:rPr>
        <w:t>Análise da C</w:t>
      </w:r>
      <w:r w:rsidRPr="000E179F">
        <w:rPr>
          <w:b/>
          <w:sz w:val="24"/>
          <w:szCs w:val="24"/>
        </w:rPr>
        <w:t xml:space="preserve">onformidade </w:t>
      </w:r>
      <w:r>
        <w:rPr>
          <w:b/>
          <w:sz w:val="24"/>
          <w:szCs w:val="24"/>
        </w:rPr>
        <w:t>das Demonstrações Contábeis do Centro Cultural Escrava A</w:t>
      </w:r>
      <w:r w:rsidR="00EA0EA7">
        <w:rPr>
          <w:b/>
          <w:sz w:val="24"/>
          <w:szCs w:val="24"/>
        </w:rPr>
        <w:t>nastácia</w:t>
      </w:r>
    </w:p>
    <w:p w14:paraId="22A7AB53" w14:textId="1B4504F7" w:rsidR="009E6F05" w:rsidRDefault="009E6F05" w:rsidP="00EA0EA7">
      <w:pPr>
        <w:jc w:val="right"/>
        <w:rPr>
          <w:b/>
          <w:sz w:val="24"/>
          <w:szCs w:val="24"/>
        </w:rPr>
      </w:pPr>
    </w:p>
    <w:p w14:paraId="37A5F417" w14:textId="77777777" w:rsidR="00AD226E" w:rsidRPr="00EA0EA7" w:rsidRDefault="00AD226E" w:rsidP="00AD226E">
      <w:pPr>
        <w:jc w:val="right"/>
        <w:rPr>
          <w:b/>
          <w:sz w:val="24"/>
          <w:szCs w:val="24"/>
        </w:rPr>
      </w:pPr>
      <w:r w:rsidRPr="00EA0EA7">
        <w:rPr>
          <w:b/>
          <w:sz w:val="24"/>
          <w:szCs w:val="24"/>
        </w:rPr>
        <w:t>Amanda Manes Koch</w:t>
      </w:r>
    </w:p>
    <w:p w14:paraId="7491DCC9" w14:textId="77777777" w:rsidR="00AD226E" w:rsidRPr="00EA0EA7" w:rsidRDefault="00AD226E" w:rsidP="00AD226E">
      <w:pPr>
        <w:jc w:val="right"/>
        <w:rPr>
          <w:sz w:val="24"/>
          <w:szCs w:val="24"/>
        </w:rPr>
      </w:pPr>
      <w:r w:rsidRPr="00EA0EA7">
        <w:rPr>
          <w:sz w:val="24"/>
          <w:szCs w:val="24"/>
        </w:rPr>
        <w:t>Universidade Federal de Santa Catarina (UFSC)</w:t>
      </w:r>
    </w:p>
    <w:p w14:paraId="1AD00155" w14:textId="77777777" w:rsidR="00AD226E" w:rsidRPr="00EA0EA7" w:rsidRDefault="00AD226E" w:rsidP="00AD226E">
      <w:pPr>
        <w:jc w:val="right"/>
        <w:rPr>
          <w:sz w:val="24"/>
          <w:szCs w:val="24"/>
        </w:rPr>
      </w:pPr>
      <w:r w:rsidRPr="00EA0EA7">
        <w:rPr>
          <w:sz w:val="24"/>
          <w:szCs w:val="24"/>
        </w:rPr>
        <w:t>amandamaneskoch@hotmail.com</w:t>
      </w:r>
    </w:p>
    <w:p w14:paraId="38CFEC87" w14:textId="77777777" w:rsidR="00AD226E" w:rsidRPr="00EA0EA7" w:rsidRDefault="00AD226E" w:rsidP="00AD226E">
      <w:pPr>
        <w:jc w:val="right"/>
        <w:rPr>
          <w:b/>
          <w:sz w:val="24"/>
          <w:szCs w:val="24"/>
        </w:rPr>
      </w:pPr>
    </w:p>
    <w:p w14:paraId="1BB1B7EF" w14:textId="77777777" w:rsidR="00AD226E" w:rsidRPr="00EA0EA7" w:rsidRDefault="00AD226E" w:rsidP="00AD226E">
      <w:pPr>
        <w:jc w:val="right"/>
        <w:rPr>
          <w:b/>
          <w:sz w:val="24"/>
          <w:szCs w:val="24"/>
        </w:rPr>
      </w:pPr>
      <w:r w:rsidRPr="00EA0EA7">
        <w:rPr>
          <w:b/>
          <w:sz w:val="24"/>
          <w:szCs w:val="24"/>
        </w:rPr>
        <w:t>Elizabeth Guesser Leite</w:t>
      </w:r>
    </w:p>
    <w:p w14:paraId="0BEA0AD8" w14:textId="77777777" w:rsidR="00AD226E" w:rsidRPr="00EA0EA7" w:rsidRDefault="00AD226E" w:rsidP="00AD226E">
      <w:pPr>
        <w:jc w:val="right"/>
        <w:rPr>
          <w:sz w:val="24"/>
          <w:szCs w:val="24"/>
        </w:rPr>
      </w:pPr>
      <w:r w:rsidRPr="00EA0EA7">
        <w:rPr>
          <w:sz w:val="24"/>
          <w:szCs w:val="24"/>
        </w:rPr>
        <w:t>Universidade Federal de Santa Catarina (UFSC)</w:t>
      </w:r>
    </w:p>
    <w:p w14:paraId="2CAEAABB" w14:textId="77777777" w:rsidR="00AD226E" w:rsidRPr="00EA0EA7" w:rsidRDefault="00AD226E" w:rsidP="00AD226E">
      <w:pPr>
        <w:jc w:val="right"/>
        <w:rPr>
          <w:sz w:val="24"/>
          <w:szCs w:val="24"/>
        </w:rPr>
      </w:pPr>
      <w:r w:rsidRPr="00EA0EA7">
        <w:rPr>
          <w:sz w:val="24"/>
          <w:szCs w:val="24"/>
        </w:rPr>
        <w:t xml:space="preserve">beth_gleite@hotmail.com </w:t>
      </w:r>
    </w:p>
    <w:p w14:paraId="43D88C7E" w14:textId="77777777" w:rsidR="00AD226E" w:rsidRPr="00EA0EA7" w:rsidRDefault="00AD226E" w:rsidP="00AD226E">
      <w:pPr>
        <w:jc w:val="right"/>
        <w:rPr>
          <w:b/>
          <w:sz w:val="24"/>
          <w:szCs w:val="24"/>
        </w:rPr>
      </w:pPr>
    </w:p>
    <w:p w14:paraId="65929F54" w14:textId="77777777" w:rsidR="00AD226E" w:rsidRPr="00EA0EA7" w:rsidRDefault="00AD226E" w:rsidP="00AD226E">
      <w:pPr>
        <w:jc w:val="right"/>
        <w:rPr>
          <w:b/>
          <w:sz w:val="24"/>
          <w:szCs w:val="24"/>
        </w:rPr>
      </w:pPr>
      <w:r w:rsidRPr="00EA0EA7">
        <w:rPr>
          <w:b/>
          <w:sz w:val="24"/>
          <w:szCs w:val="24"/>
        </w:rPr>
        <w:t xml:space="preserve">Janaina </w:t>
      </w:r>
      <w:proofErr w:type="spellStart"/>
      <w:r w:rsidRPr="00EA0EA7">
        <w:rPr>
          <w:b/>
          <w:sz w:val="24"/>
          <w:szCs w:val="24"/>
        </w:rPr>
        <w:t>Comim</w:t>
      </w:r>
      <w:proofErr w:type="spellEnd"/>
    </w:p>
    <w:p w14:paraId="44F74663" w14:textId="77777777" w:rsidR="00AD226E" w:rsidRPr="00EA0EA7" w:rsidRDefault="00AD226E" w:rsidP="00AD226E">
      <w:pPr>
        <w:jc w:val="right"/>
        <w:rPr>
          <w:sz w:val="24"/>
          <w:szCs w:val="24"/>
        </w:rPr>
      </w:pPr>
      <w:r w:rsidRPr="00EA0EA7">
        <w:rPr>
          <w:sz w:val="24"/>
          <w:szCs w:val="24"/>
        </w:rPr>
        <w:t>Universidade Federal de Santa Catarina (UFSC)</w:t>
      </w:r>
    </w:p>
    <w:p w14:paraId="5D541AE1" w14:textId="77777777" w:rsidR="00AD226E" w:rsidRPr="00EA0EA7" w:rsidRDefault="00AD226E" w:rsidP="00AD226E">
      <w:pPr>
        <w:jc w:val="right"/>
        <w:rPr>
          <w:sz w:val="24"/>
          <w:szCs w:val="24"/>
        </w:rPr>
      </w:pPr>
      <w:r w:rsidRPr="00EA0EA7">
        <w:rPr>
          <w:sz w:val="24"/>
          <w:szCs w:val="24"/>
        </w:rPr>
        <w:t>comim.janaina@hotmail.com</w:t>
      </w:r>
    </w:p>
    <w:p w14:paraId="7E981E8C" w14:textId="77777777" w:rsidR="00AD226E" w:rsidRDefault="00AD226E" w:rsidP="00AD226E">
      <w:pPr>
        <w:jc w:val="right"/>
        <w:rPr>
          <w:b/>
          <w:sz w:val="24"/>
          <w:szCs w:val="24"/>
        </w:rPr>
      </w:pPr>
    </w:p>
    <w:p w14:paraId="2CD8E7E2" w14:textId="77777777" w:rsidR="00AD226E" w:rsidRDefault="00AD226E" w:rsidP="00AD226E">
      <w:pPr>
        <w:jc w:val="right"/>
        <w:rPr>
          <w:b/>
          <w:sz w:val="24"/>
          <w:szCs w:val="24"/>
        </w:rPr>
      </w:pPr>
      <w:r>
        <w:rPr>
          <w:b/>
          <w:sz w:val="24"/>
          <w:szCs w:val="24"/>
        </w:rPr>
        <w:t>Sandro Vieira Soares</w:t>
      </w:r>
    </w:p>
    <w:p w14:paraId="184488DE" w14:textId="77777777" w:rsidR="00AD226E" w:rsidRPr="00EA0EA7" w:rsidRDefault="00AD226E" w:rsidP="00AD226E">
      <w:pPr>
        <w:jc w:val="right"/>
        <w:rPr>
          <w:sz w:val="24"/>
          <w:szCs w:val="24"/>
        </w:rPr>
      </w:pPr>
      <w:r w:rsidRPr="00EA0EA7">
        <w:rPr>
          <w:sz w:val="24"/>
          <w:szCs w:val="24"/>
        </w:rPr>
        <w:t>Universidade do Sul de Santa Catarina (Unisul)</w:t>
      </w:r>
    </w:p>
    <w:p w14:paraId="41DC3339" w14:textId="27F3D289" w:rsidR="00AD226E" w:rsidRPr="0088367F" w:rsidRDefault="004C3305" w:rsidP="00AD226E">
      <w:pPr>
        <w:jc w:val="right"/>
        <w:rPr>
          <w:sz w:val="24"/>
          <w:szCs w:val="24"/>
        </w:rPr>
      </w:pPr>
      <w:hyperlink r:id="rId7" w:history="1">
        <w:r w:rsidR="00AD226E" w:rsidRPr="0088367F">
          <w:rPr>
            <w:rStyle w:val="Hyperlink"/>
            <w:color w:val="auto"/>
            <w:sz w:val="24"/>
            <w:szCs w:val="24"/>
            <w:u w:val="none"/>
          </w:rPr>
          <w:t>sandrovs@usp.br</w:t>
        </w:r>
      </w:hyperlink>
    </w:p>
    <w:p w14:paraId="0BB6ABBF" w14:textId="77777777" w:rsidR="00AD226E" w:rsidRPr="000E179F" w:rsidRDefault="00AD226E" w:rsidP="00AD226E">
      <w:pPr>
        <w:jc w:val="right"/>
        <w:rPr>
          <w:b/>
          <w:sz w:val="24"/>
          <w:szCs w:val="24"/>
        </w:rPr>
      </w:pPr>
    </w:p>
    <w:p w14:paraId="7579267E" w14:textId="1135A326" w:rsidR="000E179F" w:rsidRPr="000E179F" w:rsidRDefault="000E179F" w:rsidP="000E179F">
      <w:pPr>
        <w:jc w:val="both"/>
        <w:rPr>
          <w:b/>
          <w:sz w:val="24"/>
          <w:szCs w:val="24"/>
        </w:rPr>
      </w:pPr>
      <w:r w:rsidRPr="000E179F">
        <w:rPr>
          <w:b/>
          <w:sz w:val="24"/>
          <w:szCs w:val="24"/>
        </w:rPr>
        <w:t xml:space="preserve">Resumo: </w:t>
      </w:r>
      <w:r w:rsidRPr="000E179F">
        <w:rPr>
          <w:rStyle w:val="fontstyle01"/>
          <w:rFonts w:ascii="Times New Roman" w:eastAsiaTheme="majorEastAsia" w:hAnsi="Times New Roman"/>
          <w:color w:val="auto"/>
        </w:rPr>
        <w:t>O</w:t>
      </w:r>
      <w:r w:rsidRPr="000E179F">
        <w:rPr>
          <w:sz w:val="24"/>
          <w:szCs w:val="24"/>
        </w:rPr>
        <w:t xml:space="preserve"> terceiro setor consiste em organizações sem fins lucrativos não governamentais, que tem por objetivo gerar serviços de caráter público e social. Essas organizações podem ser caracterizadas como instituições de caridade, organizações religiosas ou comunitárias, sindicatos, entidades voltadas para as artes, associações profissionais e entidades sem fins lucrativos</w:t>
      </w:r>
      <w:r w:rsidRPr="000E179F">
        <w:rPr>
          <w:color w:val="FF0000"/>
          <w:sz w:val="24"/>
          <w:szCs w:val="24"/>
        </w:rPr>
        <w:t xml:space="preserve">. </w:t>
      </w:r>
      <w:r w:rsidRPr="000E179F">
        <w:rPr>
          <w:sz w:val="24"/>
          <w:szCs w:val="24"/>
        </w:rPr>
        <w:t>O Centro Cultural Escrava Anastácia (CCEA) é uma associação, tendo como finalidade o bem-estar dos seus associados pelo meio da formação de associações de recreações, esportes e clubes</w:t>
      </w:r>
      <w:r w:rsidR="001443BE" w:rsidRPr="001443BE">
        <w:rPr>
          <w:sz w:val="24"/>
          <w:szCs w:val="24"/>
        </w:rPr>
        <w:t>.</w:t>
      </w:r>
      <w:r w:rsidRPr="001443BE">
        <w:rPr>
          <w:sz w:val="24"/>
          <w:szCs w:val="24"/>
        </w:rPr>
        <w:t xml:space="preserve"> </w:t>
      </w:r>
      <w:r w:rsidRPr="000E179F">
        <w:rPr>
          <w:sz w:val="24"/>
          <w:szCs w:val="24"/>
        </w:rPr>
        <w:t xml:space="preserve">Este estudo busca analisar o grau de conformidade das demonstrações contábeis do Centro Cultural Escrava Anastácia com as normas contábeis aplicadas ao terceiro setor. A pesquisa caracteriza-se como um estudo de caso, tendo principalmente a pesquisa documental como base. Utilizou-se um </w:t>
      </w:r>
      <w:r w:rsidRPr="000E179F">
        <w:rPr>
          <w:i/>
          <w:sz w:val="24"/>
          <w:szCs w:val="24"/>
        </w:rPr>
        <w:t>checklist</w:t>
      </w:r>
      <w:r w:rsidRPr="000E179F">
        <w:rPr>
          <w:sz w:val="24"/>
          <w:szCs w:val="24"/>
        </w:rPr>
        <w:t xml:space="preserve"> adaptado como instrumento para constatar tal evidenciação, composto por aspectos que se referem a itens de verificação de conformidade. Os dados utilizados referem-se às demonstrações contábeis do ano de 2014 e 2015 da entidade, assim como seu estatuto social, e foram obtidos diretamente com o CCEA. Os resultados sugerem um nível geral de conformidade das demonstrações contábeis de aproximadamente 79,45% para o ano de 2015, confirmando a necessidade de aprimorar a evidenciação contábil utilizando as normas específicas relacionadas às associações</w:t>
      </w:r>
      <w:bookmarkStart w:id="0" w:name="_GoBack"/>
      <w:bookmarkEnd w:id="0"/>
      <w:r w:rsidRPr="000E179F">
        <w:rPr>
          <w:sz w:val="24"/>
          <w:szCs w:val="24"/>
        </w:rPr>
        <w:t xml:space="preserve">. </w:t>
      </w:r>
    </w:p>
    <w:p w14:paraId="43C69D65" w14:textId="77777777" w:rsidR="000E179F" w:rsidRPr="000E179F" w:rsidRDefault="000E179F" w:rsidP="000E179F">
      <w:pPr>
        <w:jc w:val="both"/>
        <w:rPr>
          <w:b/>
          <w:sz w:val="24"/>
          <w:szCs w:val="24"/>
        </w:rPr>
      </w:pPr>
    </w:p>
    <w:p w14:paraId="636A1EA1" w14:textId="7801792C" w:rsidR="002513A8" w:rsidRDefault="000E179F" w:rsidP="00932DD6">
      <w:pPr>
        <w:jc w:val="both"/>
        <w:rPr>
          <w:sz w:val="24"/>
          <w:szCs w:val="24"/>
        </w:rPr>
      </w:pPr>
      <w:r w:rsidRPr="000E179F">
        <w:rPr>
          <w:b/>
          <w:sz w:val="24"/>
          <w:szCs w:val="24"/>
        </w:rPr>
        <w:t xml:space="preserve">Palavras-chave: </w:t>
      </w:r>
      <w:r w:rsidRPr="000E179F">
        <w:rPr>
          <w:sz w:val="24"/>
          <w:szCs w:val="24"/>
        </w:rPr>
        <w:t>Terceiro Setor; Normas Contábeis; Evidenciação Contábil.</w:t>
      </w:r>
    </w:p>
    <w:p w14:paraId="6B927A14" w14:textId="457D209C" w:rsidR="00932DD6" w:rsidRDefault="00932DD6" w:rsidP="00932DD6">
      <w:pPr>
        <w:jc w:val="both"/>
        <w:rPr>
          <w:sz w:val="24"/>
          <w:szCs w:val="24"/>
        </w:rPr>
      </w:pPr>
    </w:p>
    <w:p w14:paraId="6C58C7C7" w14:textId="2D8C8E1D" w:rsidR="006066DE" w:rsidRPr="006066DE" w:rsidRDefault="006066DE" w:rsidP="00932DD6">
      <w:pPr>
        <w:jc w:val="both"/>
        <w:rPr>
          <w:sz w:val="24"/>
          <w:szCs w:val="24"/>
        </w:rPr>
      </w:pPr>
      <w:r>
        <w:rPr>
          <w:b/>
          <w:sz w:val="24"/>
          <w:szCs w:val="24"/>
        </w:rPr>
        <w:t xml:space="preserve">Linha Temática: </w:t>
      </w:r>
      <w:r>
        <w:rPr>
          <w:sz w:val="24"/>
          <w:szCs w:val="24"/>
        </w:rPr>
        <w:t>Contabilidade Pública Não Governamental (</w:t>
      </w:r>
      <w:proofErr w:type="spellStart"/>
      <w:r>
        <w:rPr>
          <w:sz w:val="24"/>
          <w:szCs w:val="24"/>
        </w:rPr>
        <w:t>OSCIPs</w:t>
      </w:r>
      <w:proofErr w:type="spellEnd"/>
      <w:r>
        <w:rPr>
          <w:sz w:val="24"/>
          <w:szCs w:val="24"/>
        </w:rPr>
        <w:t>)</w:t>
      </w:r>
    </w:p>
    <w:p w14:paraId="45AFC5E1" w14:textId="034729ED" w:rsidR="009E6F05" w:rsidRDefault="009E6F05" w:rsidP="00932DD6">
      <w:pPr>
        <w:jc w:val="both"/>
        <w:rPr>
          <w:sz w:val="24"/>
          <w:szCs w:val="24"/>
        </w:rPr>
      </w:pPr>
    </w:p>
    <w:p w14:paraId="5C200CC3" w14:textId="5496805D" w:rsidR="009E6F05" w:rsidRDefault="009E6F05" w:rsidP="00932DD6">
      <w:pPr>
        <w:jc w:val="both"/>
        <w:rPr>
          <w:sz w:val="24"/>
          <w:szCs w:val="24"/>
        </w:rPr>
      </w:pPr>
    </w:p>
    <w:p w14:paraId="14D1D0F1" w14:textId="6977E88A" w:rsidR="009E6F05" w:rsidRDefault="009E6F05" w:rsidP="00932DD6">
      <w:pPr>
        <w:jc w:val="both"/>
        <w:rPr>
          <w:sz w:val="24"/>
          <w:szCs w:val="24"/>
        </w:rPr>
      </w:pPr>
    </w:p>
    <w:p w14:paraId="3820F476" w14:textId="77777777" w:rsidR="006066DE" w:rsidRDefault="006066DE" w:rsidP="00932DD6">
      <w:pPr>
        <w:jc w:val="both"/>
        <w:rPr>
          <w:sz w:val="24"/>
          <w:szCs w:val="24"/>
        </w:rPr>
      </w:pPr>
    </w:p>
    <w:p w14:paraId="2BF665E1" w14:textId="26AF2655" w:rsidR="009E6F05" w:rsidRDefault="009E6F05" w:rsidP="00932DD6">
      <w:pPr>
        <w:jc w:val="both"/>
        <w:rPr>
          <w:sz w:val="24"/>
          <w:szCs w:val="24"/>
        </w:rPr>
      </w:pPr>
    </w:p>
    <w:p w14:paraId="285E4A32" w14:textId="4451264C" w:rsidR="009E6F05" w:rsidRDefault="009E6F05" w:rsidP="00932DD6">
      <w:pPr>
        <w:jc w:val="both"/>
        <w:rPr>
          <w:sz w:val="24"/>
          <w:szCs w:val="24"/>
        </w:rPr>
      </w:pPr>
    </w:p>
    <w:p w14:paraId="78370C0B" w14:textId="72D60B69" w:rsidR="009E6F05" w:rsidRDefault="009E6F05" w:rsidP="00932DD6">
      <w:pPr>
        <w:jc w:val="both"/>
        <w:rPr>
          <w:sz w:val="24"/>
          <w:szCs w:val="24"/>
        </w:rPr>
      </w:pPr>
    </w:p>
    <w:p w14:paraId="6C565B30" w14:textId="57F2A76D" w:rsidR="009E6F05" w:rsidRDefault="009E6F05" w:rsidP="00932DD6">
      <w:pPr>
        <w:jc w:val="both"/>
        <w:rPr>
          <w:sz w:val="24"/>
          <w:szCs w:val="24"/>
        </w:rPr>
      </w:pPr>
    </w:p>
    <w:p w14:paraId="6A133C7D" w14:textId="0486C950" w:rsidR="000E179F" w:rsidRDefault="005F1F95" w:rsidP="00316CC7">
      <w:pPr>
        <w:pStyle w:val="Ttulo1"/>
        <w:numPr>
          <w:ilvl w:val="0"/>
          <w:numId w:val="0"/>
        </w:numPr>
        <w:ind w:left="432" w:hanging="432"/>
        <w:rPr>
          <w:rFonts w:cs="Times New Roman"/>
          <w:szCs w:val="24"/>
        </w:rPr>
      </w:pPr>
      <w:r>
        <w:rPr>
          <w:rFonts w:cs="Times New Roman"/>
          <w:szCs w:val="24"/>
        </w:rPr>
        <w:lastRenderedPageBreak/>
        <w:t xml:space="preserve">1 </w:t>
      </w:r>
      <w:r w:rsidR="00A5087F" w:rsidRPr="000E179F">
        <w:rPr>
          <w:rFonts w:cs="Times New Roman"/>
          <w:szCs w:val="24"/>
        </w:rPr>
        <w:t>Introdução</w:t>
      </w:r>
    </w:p>
    <w:p w14:paraId="41E5C234" w14:textId="77777777" w:rsidR="00316CC7" w:rsidRPr="00316CC7" w:rsidRDefault="00316CC7" w:rsidP="00316CC7"/>
    <w:p w14:paraId="7F047E05" w14:textId="0E46679C" w:rsidR="000E179F" w:rsidRPr="000E179F" w:rsidRDefault="000E179F" w:rsidP="00E30F7B">
      <w:pPr>
        <w:ind w:firstLine="708"/>
        <w:jc w:val="both"/>
        <w:rPr>
          <w:sz w:val="24"/>
          <w:szCs w:val="24"/>
        </w:rPr>
      </w:pPr>
      <w:r w:rsidRPr="000E179F">
        <w:rPr>
          <w:rStyle w:val="fontstyle01"/>
          <w:rFonts w:ascii="Times New Roman" w:eastAsiaTheme="majorEastAsia" w:hAnsi="Times New Roman"/>
        </w:rPr>
        <w:t>O</w:t>
      </w:r>
      <w:r w:rsidRPr="000E179F">
        <w:rPr>
          <w:sz w:val="24"/>
          <w:szCs w:val="24"/>
        </w:rPr>
        <w:t xml:space="preserve"> terceiro setor consiste em organizações sem fins lucrativos não governamentais, que tem por objetivo gerar serviços de caráter público, onde o intuito é social e não econômico </w:t>
      </w:r>
      <w:r w:rsidRPr="005B31B1">
        <w:rPr>
          <w:sz w:val="24"/>
          <w:szCs w:val="24"/>
        </w:rPr>
        <w:t>(C</w:t>
      </w:r>
      <w:r w:rsidR="00B83E5C" w:rsidRPr="005B31B1">
        <w:rPr>
          <w:sz w:val="24"/>
          <w:szCs w:val="24"/>
        </w:rPr>
        <w:t>ardoso</w:t>
      </w:r>
      <w:r w:rsidRPr="005B31B1">
        <w:rPr>
          <w:sz w:val="24"/>
          <w:szCs w:val="24"/>
        </w:rPr>
        <w:t xml:space="preserve">, </w:t>
      </w:r>
      <w:r w:rsidRPr="00621DD6">
        <w:rPr>
          <w:rStyle w:val="fontstyle01"/>
          <w:rFonts w:ascii="Times New Roman" w:eastAsiaTheme="majorEastAsia" w:hAnsi="Times New Roman"/>
          <w:color w:val="auto"/>
        </w:rPr>
        <w:t>2010)</w:t>
      </w:r>
      <w:r w:rsidRPr="00784BCA">
        <w:rPr>
          <w:sz w:val="24"/>
          <w:szCs w:val="24"/>
        </w:rPr>
        <w:t xml:space="preserve">. </w:t>
      </w:r>
      <w:r w:rsidRPr="000E179F">
        <w:rPr>
          <w:sz w:val="24"/>
          <w:szCs w:val="24"/>
        </w:rPr>
        <w:t xml:space="preserve">As entidades sem fins lucrativos englobam as fundações, que são de finalidade pública e que não podem ser criadas para fins de interesses particulares; as associações, que são de finalidade coletiva; e as organizações religiosas, onde não existem sócios ou associados, e sim membros. </w:t>
      </w:r>
    </w:p>
    <w:p w14:paraId="6A637442" w14:textId="2D634D4E" w:rsidR="000E179F" w:rsidRPr="000E179F" w:rsidRDefault="000E179F" w:rsidP="00E30F7B">
      <w:pPr>
        <w:ind w:firstLine="708"/>
        <w:jc w:val="both"/>
        <w:rPr>
          <w:sz w:val="24"/>
          <w:szCs w:val="24"/>
        </w:rPr>
      </w:pPr>
      <w:r w:rsidRPr="00F97199">
        <w:rPr>
          <w:sz w:val="24"/>
          <w:szCs w:val="24"/>
        </w:rPr>
        <w:t>Chagas</w:t>
      </w:r>
      <w:r w:rsidR="005B31B1" w:rsidRPr="00F97199">
        <w:rPr>
          <w:sz w:val="24"/>
          <w:szCs w:val="24"/>
        </w:rPr>
        <w:t>, Araújo e Damascena</w:t>
      </w:r>
      <w:r w:rsidR="005B31B1" w:rsidRPr="00F97199">
        <w:rPr>
          <w:i/>
          <w:sz w:val="24"/>
          <w:szCs w:val="24"/>
        </w:rPr>
        <w:t xml:space="preserve"> </w:t>
      </w:r>
      <w:r w:rsidRPr="00F97199">
        <w:rPr>
          <w:sz w:val="24"/>
          <w:szCs w:val="24"/>
        </w:rPr>
        <w:t xml:space="preserve">(2011) </w:t>
      </w:r>
      <w:r w:rsidRPr="000E179F">
        <w:rPr>
          <w:sz w:val="24"/>
          <w:szCs w:val="24"/>
        </w:rPr>
        <w:t xml:space="preserve">diz que o patrimônio das entidades de Terceiro Setor é formado por recursos materiais, humanos e financeiros; que são utilizados para obtenção de resultado positivo (superávit) ou negativo (déficit), dependendo do gerenciamento dos </w:t>
      </w:r>
      <w:r w:rsidRPr="00784BCA">
        <w:rPr>
          <w:sz w:val="24"/>
          <w:szCs w:val="24"/>
        </w:rPr>
        <w:t xml:space="preserve">recursos. </w:t>
      </w:r>
      <w:r w:rsidRPr="00F97199">
        <w:rPr>
          <w:rStyle w:val="fontstyle01"/>
          <w:rFonts w:ascii="Times New Roman" w:eastAsiaTheme="majorEastAsia" w:hAnsi="Times New Roman"/>
          <w:color w:val="auto"/>
        </w:rPr>
        <w:t>Borges</w:t>
      </w:r>
      <w:r w:rsidR="005B31B1" w:rsidRPr="00F97199">
        <w:rPr>
          <w:rStyle w:val="fontstyle01"/>
          <w:rFonts w:ascii="Times New Roman" w:eastAsiaTheme="majorEastAsia" w:hAnsi="Times New Roman"/>
          <w:color w:val="auto"/>
        </w:rPr>
        <w:t>, Lopes, Mol e Borges</w:t>
      </w:r>
      <w:r w:rsidRPr="00F97199">
        <w:rPr>
          <w:rStyle w:val="fontstyle01"/>
          <w:rFonts w:ascii="Times New Roman" w:eastAsiaTheme="majorEastAsia" w:hAnsi="Times New Roman"/>
          <w:color w:val="auto"/>
        </w:rPr>
        <w:t xml:space="preserve"> (2012) destacam </w:t>
      </w:r>
      <w:r w:rsidRPr="000E179F">
        <w:rPr>
          <w:rStyle w:val="fontstyle01"/>
          <w:rFonts w:ascii="Times New Roman" w:eastAsiaTheme="majorEastAsia" w:hAnsi="Times New Roman"/>
        </w:rPr>
        <w:t>que o terceiro setor não busca atender necessidade de</w:t>
      </w:r>
      <w:r w:rsidRPr="000E179F">
        <w:rPr>
          <w:sz w:val="24"/>
          <w:szCs w:val="24"/>
        </w:rPr>
        <w:t xml:space="preserve"> </w:t>
      </w:r>
      <w:r w:rsidRPr="000E179F">
        <w:rPr>
          <w:rStyle w:val="fontstyle01"/>
          <w:rFonts w:ascii="Times New Roman" w:eastAsiaTheme="majorEastAsia" w:hAnsi="Times New Roman"/>
        </w:rPr>
        <w:t>indivíduos, mas sim de grupos.</w:t>
      </w:r>
    </w:p>
    <w:p w14:paraId="2551F9BC" w14:textId="55997CBB" w:rsidR="000E179F" w:rsidRPr="000E179F" w:rsidRDefault="000E179F" w:rsidP="00BC0476">
      <w:pPr>
        <w:ind w:firstLine="708"/>
        <w:jc w:val="both"/>
        <w:rPr>
          <w:b/>
          <w:sz w:val="24"/>
          <w:szCs w:val="24"/>
        </w:rPr>
      </w:pPr>
      <w:r w:rsidRPr="000E179F">
        <w:rPr>
          <w:sz w:val="24"/>
          <w:szCs w:val="24"/>
        </w:rPr>
        <w:t xml:space="preserve">Segundo </w:t>
      </w:r>
      <w:r w:rsidRPr="00F97199">
        <w:rPr>
          <w:sz w:val="24"/>
          <w:szCs w:val="24"/>
        </w:rPr>
        <w:t>Camelo</w:t>
      </w:r>
      <w:r w:rsidR="00FC28DC" w:rsidRPr="00F97199">
        <w:rPr>
          <w:sz w:val="24"/>
          <w:szCs w:val="24"/>
        </w:rPr>
        <w:t>, Camelo e Paulino</w:t>
      </w:r>
      <w:r w:rsidRPr="00F97199">
        <w:rPr>
          <w:sz w:val="24"/>
          <w:szCs w:val="24"/>
        </w:rPr>
        <w:t xml:space="preserve"> (2006</w:t>
      </w:r>
      <w:r w:rsidRPr="00784BCA">
        <w:rPr>
          <w:sz w:val="24"/>
          <w:szCs w:val="24"/>
        </w:rPr>
        <w:t xml:space="preserve">), o terceiro setor é composto por todas as organizações privadas, sem fins lucrativos, que recebem </w:t>
      </w:r>
      <w:r w:rsidRPr="000E179F">
        <w:rPr>
          <w:sz w:val="24"/>
          <w:szCs w:val="24"/>
        </w:rPr>
        <w:t>ou não</w:t>
      </w:r>
      <w:r w:rsidRPr="00BC0476">
        <w:rPr>
          <w:sz w:val="24"/>
          <w:szCs w:val="24"/>
        </w:rPr>
        <w:t xml:space="preserve"> recursos públicos</w:t>
      </w:r>
      <w:r w:rsidRPr="000E179F">
        <w:rPr>
          <w:sz w:val="24"/>
          <w:szCs w:val="24"/>
        </w:rPr>
        <w:t>, e</w:t>
      </w:r>
      <w:r w:rsidRPr="00BC0476">
        <w:rPr>
          <w:sz w:val="24"/>
          <w:szCs w:val="24"/>
        </w:rPr>
        <w:t xml:space="preserve"> que atendem a um grupo restrito ou à coletividade, </w:t>
      </w:r>
      <w:r w:rsidRPr="000E179F">
        <w:rPr>
          <w:sz w:val="24"/>
          <w:szCs w:val="24"/>
        </w:rPr>
        <w:t>buscando</w:t>
      </w:r>
      <w:r w:rsidRPr="00BC0476">
        <w:rPr>
          <w:sz w:val="24"/>
          <w:szCs w:val="24"/>
        </w:rPr>
        <w:t xml:space="preserve"> o bem-estar social</w:t>
      </w:r>
      <w:r w:rsidRPr="000E179F">
        <w:rPr>
          <w:sz w:val="24"/>
          <w:szCs w:val="24"/>
        </w:rPr>
        <w:t>.</w:t>
      </w:r>
      <w:r w:rsidRPr="00BC0476">
        <w:rPr>
          <w:sz w:val="24"/>
          <w:szCs w:val="24"/>
        </w:rPr>
        <w:t xml:space="preserve"> </w:t>
      </w:r>
      <w:r w:rsidRPr="000E179F">
        <w:rPr>
          <w:sz w:val="24"/>
          <w:szCs w:val="24"/>
        </w:rPr>
        <w:t xml:space="preserve">Seus </w:t>
      </w:r>
      <w:r w:rsidRPr="00BC0476">
        <w:rPr>
          <w:sz w:val="24"/>
          <w:szCs w:val="24"/>
        </w:rPr>
        <w:t xml:space="preserve">serviços </w:t>
      </w:r>
      <w:r w:rsidRPr="000E179F">
        <w:rPr>
          <w:sz w:val="24"/>
          <w:szCs w:val="24"/>
        </w:rPr>
        <w:t>podem ser cobrados</w:t>
      </w:r>
      <w:r w:rsidRPr="00BC0476">
        <w:rPr>
          <w:sz w:val="24"/>
          <w:szCs w:val="24"/>
        </w:rPr>
        <w:t xml:space="preserve">, </w:t>
      </w:r>
      <w:r w:rsidRPr="000E179F">
        <w:rPr>
          <w:sz w:val="24"/>
          <w:szCs w:val="24"/>
        </w:rPr>
        <w:t xml:space="preserve">contando </w:t>
      </w:r>
      <w:r w:rsidRPr="00BC0476">
        <w:rPr>
          <w:sz w:val="24"/>
          <w:szCs w:val="24"/>
        </w:rPr>
        <w:t xml:space="preserve">que reinvistam seus resultados na própria entidade, </w:t>
      </w:r>
      <w:r w:rsidRPr="000E179F">
        <w:rPr>
          <w:sz w:val="24"/>
          <w:szCs w:val="24"/>
        </w:rPr>
        <w:t>e não percam</w:t>
      </w:r>
      <w:r w:rsidRPr="00BC0476">
        <w:rPr>
          <w:sz w:val="24"/>
          <w:szCs w:val="24"/>
        </w:rPr>
        <w:t xml:space="preserve"> suas características</w:t>
      </w:r>
      <w:r w:rsidRPr="00BC0476">
        <w:rPr>
          <w:b/>
          <w:sz w:val="24"/>
          <w:szCs w:val="24"/>
        </w:rPr>
        <w:t>.</w:t>
      </w:r>
    </w:p>
    <w:p w14:paraId="54E6718B" w14:textId="11F9EA80" w:rsidR="000E179F" w:rsidRPr="000E179F" w:rsidRDefault="000E179F" w:rsidP="000E179F">
      <w:pPr>
        <w:ind w:firstLine="708"/>
        <w:jc w:val="both"/>
        <w:rPr>
          <w:sz w:val="24"/>
          <w:szCs w:val="24"/>
        </w:rPr>
      </w:pPr>
      <w:r w:rsidRPr="000E179F">
        <w:rPr>
          <w:sz w:val="24"/>
          <w:szCs w:val="24"/>
        </w:rPr>
        <w:t xml:space="preserve">Para </w:t>
      </w:r>
      <w:r w:rsidRPr="00784BCA">
        <w:rPr>
          <w:sz w:val="24"/>
          <w:szCs w:val="24"/>
        </w:rPr>
        <w:t xml:space="preserve">Cardoso (2010) são </w:t>
      </w:r>
      <w:r w:rsidRPr="000E179F">
        <w:rPr>
          <w:sz w:val="24"/>
          <w:szCs w:val="24"/>
        </w:rPr>
        <w:t xml:space="preserve">organizações do terceiro setor: instituições de caridade, organizações religiosas, organizações comunitárias, sindicatos, entidades voltadas para as artes, associações profissionais e entidades sem fins lucrativos. As organizações pertencentes ao Terceiro Setor podem ser definidas como ONGs, associações, cooperativas, institutos, fundações e entidades assistenciais, com atividades de atuações sobre o meio ambiente, cuidados com a criança, lazer, saúde, religião, emprego, direitos cívicos e outras atividades de inclusão social; afirmam os </w:t>
      </w:r>
      <w:r w:rsidRPr="00784BCA">
        <w:rPr>
          <w:sz w:val="24"/>
          <w:szCs w:val="24"/>
        </w:rPr>
        <w:t xml:space="preserve">autores </w:t>
      </w:r>
      <w:r w:rsidR="00B83E5C" w:rsidRPr="00784BCA">
        <w:rPr>
          <w:sz w:val="24"/>
          <w:szCs w:val="24"/>
        </w:rPr>
        <w:t>(</w:t>
      </w:r>
      <w:r w:rsidRPr="00FC28DC">
        <w:rPr>
          <w:sz w:val="24"/>
          <w:szCs w:val="24"/>
        </w:rPr>
        <w:t>E</w:t>
      </w:r>
      <w:r w:rsidR="00B83E5C" w:rsidRPr="00FC28DC">
        <w:rPr>
          <w:sz w:val="24"/>
          <w:szCs w:val="24"/>
        </w:rPr>
        <w:t xml:space="preserve">bsen &amp; </w:t>
      </w:r>
      <w:proofErr w:type="spellStart"/>
      <w:r w:rsidR="00B83E5C" w:rsidRPr="00FC28DC">
        <w:rPr>
          <w:sz w:val="24"/>
          <w:szCs w:val="24"/>
        </w:rPr>
        <w:t>Laffin</w:t>
      </w:r>
      <w:proofErr w:type="spellEnd"/>
      <w:r w:rsidR="00B83E5C" w:rsidRPr="00FC28DC">
        <w:rPr>
          <w:sz w:val="24"/>
          <w:szCs w:val="24"/>
        </w:rPr>
        <w:t>, 2004).</w:t>
      </w:r>
      <w:r w:rsidRPr="00FC28DC">
        <w:rPr>
          <w:sz w:val="24"/>
          <w:szCs w:val="24"/>
        </w:rPr>
        <w:t xml:space="preserve"> </w:t>
      </w:r>
    </w:p>
    <w:p w14:paraId="279ECFF1" w14:textId="282E93B7" w:rsidR="000E179F" w:rsidRPr="000E179F" w:rsidRDefault="000E179F" w:rsidP="000E179F">
      <w:pPr>
        <w:ind w:firstLine="709"/>
        <w:jc w:val="both"/>
        <w:rPr>
          <w:sz w:val="24"/>
          <w:szCs w:val="24"/>
        </w:rPr>
      </w:pPr>
      <w:r w:rsidRPr="000E179F">
        <w:rPr>
          <w:sz w:val="24"/>
          <w:szCs w:val="24"/>
        </w:rPr>
        <w:t xml:space="preserve">As entidades do terceiro setor são regulamentadas por normas contábeis, como a ITG 2002, a Lei nº 13.204 de 2015 e o Manual de Procedimentos para o Terceiro Setor. </w:t>
      </w:r>
      <w:r w:rsidRPr="00BC0476">
        <w:rPr>
          <w:sz w:val="24"/>
          <w:szCs w:val="24"/>
        </w:rPr>
        <w:t>Perante a</w:t>
      </w:r>
      <w:r w:rsidRPr="007E483E">
        <w:rPr>
          <w:sz w:val="24"/>
          <w:szCs w:val="24"/>
        </w:rPr>
        <w:t xml:space="preserve"> exigência legal da </w:t>
      </w:r>
      <w:r w:rsidRPr="00BC0476">
        <w:rPr>
          <w:sz w:val="24"/>
          <w:szCs w:val="24"/>
        </w:rPr>
        <w:t xml:space="preserve">elaboração </w:t>
      </w:r>
      <w:r w:rsidRPr="007E483E">
        <w:rPr>
          <w:sz w:val="24"/>
          <w:szCs w:val="24"/>
        </w:rPr>
        <w:t xml:space="preserve">das demonstrações contábeis </w:t>
      </w:r>
      <w:r w:rsidRPr="00BC0476">
        <w:rPr>
          <w:sz w:val="24"/>
          <w:szCs w:val="24"/>
        </w:rPr>
        <w:t>por essas organizações</w:t>
      </w:r>
      <w:r w:rsidRPr="007E483E">
        <w:rPr>
          <w:sz w:val="24"/>
          <w:szCs w:val="24"/>
        </w:rPr>
        <w:t xml:space="preserve">, surge o seguinte problema de pesquisa: </w:t>
      </w:r>
      <w:r w:rsidRPr="00BC0476">
        <w:rPr>
          <w:sz w:val="24"/>
          <w:szCs w:val="24"/>
        </w:rPr>
        <w:t>Qual o grau de conformidade das demonstrações contábeis do Centro Cultural Escrava Anastácia</w:t>
      </w:r>
      <w:r w:rsidRPr="000E179F">
        <w:rPr>
          <w:sz w:val="24"/>
          <w:szCs w:val="24"/>
        </w:rPr>
        <w:t xml:space="preserve"> (CCEA)</w:t>
      </w:r>
      <w:r w:rsidRPr="00BC0476">
        <w:rPr>
          <w:sz w:val="24"/>
          <w:szCs w:val="24"/>
        </w:rPr>
        <w:t xml:space="preserve"> com as normas contábeis?</w:t>
      </w:r>
      <w:r w:rsidRPr="000E179F">
        <w:rPr>
          <w:sz w:val="24"/>
          <w:szCs w:val="24"/>
        </w:rPr>
        <w:t xml:space="preserve">  </w:t>
      </w:r>
    </w:p>
    <w:p w14:paraId="0A91E155" w14:textId="18B91792" w:rsidR="000E179F" w:rsidRPr="000E179F" w:rsidRDefault="000E179F" w:rsidP="000E179F">
      <w:pPr>
        <w:pStyle w:val="NormalWeb"/>
        <w:shd w:val="clear" w:color="auto" w:fill="FFFFFF"/>
        <w:spacing w:before="0" w:beforeAutospacing="0" w:after="0" w:afterAutospacing="0"/>
        <w:ind w:firstLine="708"/>
        <w:jc w:val="both"/>
        <w:rPr>
          <w:sz w:val="24"/>
          <w:szCs w:val="24"/>
        </w:rPr>
      </w:pPr>
      <w:r w:rsidRPr="000E179F">
        <w:rPr>
          <w:sz w:val="24"/>
          <w:szCs w:val="24"/>
        </w:rPr>
        <w:t xml:space="preserve">O CCEA é uma das redes do Instituto Pe. Vilson </w:t>
      </w:r>
      <w:proofErr w:type="spellStart"/>
      <w:r w:rsidRPr="000E179F">
        <w:rPr>
          <w:sz w:val="24"/>
          <w:szCs w:val="24"/>
        </w:rPr>
        <w:t>Groh</w:t>
      </w:r>
      <w:proofErr w:type="spellEnd"/>
      <w:r w:rsidRPr="000E179F">
        <w:rPr>
          <w:sz w:val="24"/>
          <w:szCs w:val="24"/>
        </w:rPr>
        <w:t xml:space="preserve"> (IVG), que presta serviços de assessoramento, defesa e garantias de direito, e tem como marco referencial a Constituição Federal (CF). O instituto é liderado pelo próprio padre Vilson, o qual desenvolveu um trabalho que contribuiu com a inclusão social de milhares de crianças, adolescentes, jovens e adultos da região. Seu trabalho tem o intuito de ajudar instituições, criando sinergia entre as ações, reduzindo custos operacionais e fortalecendo a sustentabilidade de todos seus projetos. Segundo a Ata de Constituição disponibilizada pela associação, o IVG teve início em 21 de janeiro de 2011. </w:t>
      </w:r>
    </w:p>
    <w:p w14:paraId="197E3C0B" w14:textId="44133EDC" w:rsidR="000E179F" w:rsidRPr="000E179F" w:rsidRDefault="000E179F" w:rsidP="000E179F">
      <w:pPr>
        <w:pStyle w:val="NormalWeb"/>
        <w:shd w:val="clear" w:color="auto" w:fill="FFFFFF"/>
        <w:spacing w:before="0" w:beforeAutospacing="0" w:after="0" w:afterAutospacing="0"/>
        <w:ind w:firstLine="708"/>
        <w:jc w:val="both"/>
        <w:rPr>
          <w:sz w:val="24"/>
          <w:szCs w:val="24"/>
        </w:rPr>
      </w:pPr>
      <w:r w:rsidRPr="000E179F">
        <w:rPr>
          <w:sz w:val="24"/>
          <w:szCs w:val="24"/>
        </w:rPr>
        <w:t xml:space="preserve">Fazem parte do IVG sete organizações, a saber: Centro Cultural Escrava Anastácia (CCEA), Centro de Educação e Evangelização Popular (CEDEP), Associação dos Amigos da Casa de Criança e do Adolescente do Morro do Mocotó (ACAM), Centro Social Elisabeth </w:t>
      </w:r>
      <w:proofErr w:type="spellStart"/>
      <w:r w:rsidRPr="000E179F">
        <w:rPr>
          <w:sz w:val="24"/>
          <w:szCs w:val="24"/>
        </w:rPr>
        <w:t>Sarcam</w:t>
      </w:r>
      <w:proofErr w:type="spellEnd"/>
      <w:r w:rsidRPr="000E179F">
        <w:rPr>
          <w:sz w:val="24"/>
          <w:szCs w:val="24"/>
        </w:rPr>
        <w:t xml:space="preserve"> (CSES), Centro Educacional Marista São José (CEMSJ), Centro Social Marista Lúcia </w:t>
      </w:r>
      <w:proofErr w:type="spellStart"/>
      <w:r w:rsidRPr="000E179F">
        <w:rPr>
          <w:sz w:val="24"/>
          <w:szCs w:val="24"/>
        </w:rPr>
        <w:t>Mayvorne</w:t>
      </w:r>
      <w:proofErr w:type="spellEnd"/>
      <w:r w:rsidRPr="000E179F">
        <w:rPr>
          <w:sz w:val="24"/>
          <w:szCs w:val="24"/>
        </w:rPr>
        <w:t xml:space="preserve"> (CEMLM), e Associação João Paulo II (AJPII).</w:t>
      </w:r>
      <w:r w:rsidRPr="000E179F">
        <w:rPr>
          <w:color w:val="272727"/>
          <w:sz w:val="24"/>
          <w:szCs w:val="24"/>
        </w:rPr>
        <w:t xml:space="preserve"> </w:t>
      </w:r>
      <w:r w:rsidRPr="000E179F">
        <w:rPr>
          <w:sz w:val="24"/>
          <w:szCs w:val="24"/>
        </w:rPr>
        <w:t xml:space="preserve"> </w:t>
      </w:r>
    </w:p>
    <w:p w14:paraId="1AD23463" w14:textId="3CF93B72" w:rsidR="000E179F" w:rsidRPr="000E179F" w:rsidRDefault="000E179F" w:rsidP="000E179F">
      <w:pPr>
        <w:autoSpaceDE w:val="0"/>
        <w:autoSpaceDN w:val="0"/>
        <w:adjustRightInd w:val="0"/>
        <w:ind w:firstLine="708"/>
        <w:jc w:val="both"/>
        <w:rPr>
          <w:sz w:val="24"/>
          <w:szCs w:val="24"/>
        </w:rPr>
      </w:pPr>
      <w:r w:rsidRPr="000E179F">
        <w:rPr>
          <w:sz w:val="24"/>
          <w:szCs w:val="24"/>
        </w:rPr>
        <w:t xml:space="preserve">O foco principal deste trabalho é o CCEA, que foi criado em 1994 por um grupo de moradores da comunidade do Monte </w:t>
      </w:r>
      <w:proofErr w:type="spellStart"/>
      <w:r w:rsidRPr="000E179F">
        <w:rPr>
          <w:sz w:val="24"/>
          <w:szCs w:val="24"/>
        </w:rPr>
        <w:t>Serrat</w:t>
      </w:r>
      <w:proofErr w:type="spellEnd"/>
      <w:r w:rsidRPr="000E179F">
        <w:rPr>
          <w:sz w:val="24"/>
          <w:szCs w:val="24"/>
        </w:rPr>
        <w:t>, em Florianópolis. Tem como foco o aumento do nível da escolaridade e a qualificação social e profissional das crianças e jovens da comunidade. Atua na Grande Florianópolis, Joinville, Itapema e Lages. Vem desenvolvendo projetos desde sua criação, como Cursos Profissionalizantes, Casas de Acolhimento, e Programas como o do Jovem Aprendiz.</w:t>
      </w:r>
    </w:p>
    <w:p w14:paraId="0D306AE5" w14:textId="55D50A47" w:rsidR="000E179F" w:rsidRDefault="00EA0EA7" w:rsidP="000E179F">
      <w:pPr>
        <w:autoSpaceDE w:val="0"/>
        <w:autoSpaceDN w:val="0"/>
        <w:adjustRightInd w:val="0"/>
        <w:ind w:firstLine="708"/>
        <w:jc w:val="both"/>
        <w:rPr>
          <w:sz w:val="24"/>
          <w:szCs w:val="24"/>
        </w:rPr>
      </w:pPr>
      <w:r w:rsidRPr="00EA0EA7">
        <w:rPr>
          <w:sz w:val="24"/>
          <w:szCs w:val="24"/>
        </w:rPr>
        <w:lastRenderedPageBreak/>
        <w:t>Esta pesquisa se justifica devido à necessidade de transparecer a evidenciação de uma entidade de Terceiro Setor, servindo como instrumento de apoio para a gestão dessas entidades, permitindo cumprir a determinação das normas contábeis. Ele também se justifica devida a incipiência da área de Contabilidade do Terceiro Setor no Brasil dado que segundo Soares (2017) a pesquisa em contabilidade do terceiro setor representa apenas 1% de tudo que é pesquisado pela área e que segundo Soares et al (2017) há pouco mais de uma dezena de artigos sobre conformidade das demonstrações contábeis de entidades do terceiro setor às normas contábeis vigentes.</w:t>
      </w:r>
    </w:p>
    <w:p w14:paraId="36F70483" w14:textId="77777777" w:rsidR="005F1F95" w:rsidRPr="000E179F" w:rsidRDefault="005F1F95" w:rsidP="005F1F95">
      <w:pPr>
        <w:autoSpaceDE w:val="0"/>
        <w:autoSpaceDN w:val="0"/>
        <w:adjustRightInd w:val="0"/>
        <w:jc w:val="both"/>
        <w:rPr>
          <w:sz w:val="24"/>
          <w:szCs w:val="24"/>
        </w:rPr>
      </w:pPr>
    </w:p>
    <w:p w14:paraId="15819E1F" w14:textId="7590C2ED" w:rsidR="000E179F" w:rsidRPr="000E179F" w:rsidRDefault="005F1F95" w:rsidP="005F1F95">
      <w:pPr>
        <w:pStyle w:val="Ttulo1"/>
        <w:numPr>
          <w:ilvl w:val="0"/>
          <w:numId w:val="0"/>
        </w:numPr>
        <w:ind w:left="432" w:hanging="432"/>
        <w:rPr>
          <w:rFonts w:cs="Times New Roman"/>
          <w:szCs w:val="24"/>
        </w:rPr>
      </w:pPr>
      <w:r>
        <w:rPr>
          <w:rFonts w:cs="Times New Roman"/>
          <w:szCs w:val="24"/>
        </w:rPr>
        <w:t xml:space="preserve">2 </w:t>
      </w:r>
      <w:r w:rsidR="00A5087F" w:rsidRPr="000E179F">
        <w:rPr>
          <w:rFonts w:cs="Times New Roman"/>
          <w:szCs w:val="24"/>
        </w:rPr>
        <w:t xml:space="preserve">Revisão </w:t>
      </w:r>
      <w:r w:rsidR="00A5087F">
        <w:rPr>
          <w:rFonts w:cs="Times New Roman"/>
          <w:szCs w:val="24"/>
        </w:rPr>
        <w:t>d</w:t>
      </w:r>
      <w:r w:rsidR="00A5087F" w:rsidRPr="000E179F">
        <w:rPr>
          <w:rFonts w:cs="Times New Roman"/>
          <w:szCs w:val="24"/>
        </w:rPr>
        <w:t>e Literatura</w:t>
      </w:r>
    </w:p>
    <w:p w14:paraId="289BD751" w14:textId="77777777" w:rsidR="000E179F" w:rsidRPr="000E179F" w:rsidRDefault="000E179F" w:rsidP="0089009D">
      <w:pPr>
        <w:jc w:val="both"/>
        <w:rPr>
          <w:szCs w:val="24"/>
        </w:rPr>
      </w:pPr>
    </w:p>
    <w:p w14:paraId="7D9FFFE9" w14:textId="4FD1E8FA" w:rsidR="000E179F" w:rsidRPr="000E179F" w:rsidRDefault="000E179F" w:rsidP="00BC0476">
      <w:pPr>
        <w:suppressAutoHyphens w:val="0"/>
        <w:autoSpaceDE w:val="0"/>
        <w:autoSpaceDN w:val="0"/>
        <w:adjustRightInd w:val="0"/>
        <w:ind w:firstLine="708"/>
        <w:jc w:val="both"/>
        <w:rPr>
          <w:rFonts w:eastAsiaTheme="minorHAnsi"/>
          <w:szCs w:val="24"/>
          <w:lang w:eastAsia="en-US"/>
        </w:rPr>
      </w:pPr>
      <w:r w:rsidRPr="000E179F">
        <w:rPr>
          <w:sz w:val="24"/>
          <w:szCs w:val="24"/>
        </w:rPr>
        <w:t xml:space="preserve">Esta seção exibe a revisão de literatura do presente estudo, apresentando os seguintes temas: </w:t>
      </w:r>
      <w:r w:rsidRPr="000E179F">
        <w:rPr>
          <w:rFonts w:eastAsiaTheme="minorHAnsi"/>
          <w:sz w:val="24"/>
          <w:szCs w:val="24"/>
          <w:lang w:eastAsia="en-US"/>
        </w:rPr>
        <w:t>Evidenciação do Terceiro Setor, Lei nº 13.204</w:t>
      </w:r>
      <w:r w:rsidR="004606F1">
        <w:rPr>
          <w:rFonts w:eastAsiaTheme="minorHAnsi"/>
          <w:sz w:val="24"/>
          <w:szCs w:val="24"/>
          <w:lang w:eastAsia="en-US"/>
        </w:rPr>
        <w:t>/2015</w:t>
      </w:r>
      <w:r w:rsidRPr="000E179F">
        <w:rPr>
          <w:rFonts w:eastAsiaTheme="minorHAnsi"/>
          <w:sz w:val="24"/>
          <w:szCs w:val="24"/>
          <w:lang w:eastAsia="en-US"/>
        </w:rPr>
        <w:t xml:space="preserve"> e Marco Regulatório, Interpretação Técnica Geral 2002 e Estudos Anteriores.</w:t>
      </w:r>
    </w:p>
    <w:p w14:paraId="19C95FE0" w14:textId="4CCCF052" w:rsidR="000E179F" w:rsidRPr="000E179F" w:rsidRDefault="000E179F" w:rsidP="005F1F95">
      <w:pPr>
        <w:pStyle w:val="Ttulo2"/>
        <w:numPr>
          <w:ilvl w:val="1"/>
          <w:numId w:val="22"/>
        </w:numPr>
        <w:rPr>
          <w:rStyle w:val="apple-style-span"/>
          <w:rFonts w:cs="Times New Roman"/>
          <w:szCs w:val="24"/>
        </w:rPr>
      </w:pPr>
      <w:r w:rsidRPr="000E179F">
        <w:rPr>
          <w:rStyle w:val="apple-style-span"/>
          <w:rFonts w:cs="Times New Roman"/>
          <w:szCs w:val="24"/>
        </w:rPr>
        <w:t>Evidenciação do Terceiro Setor</w:t>
      </w:r>
    </w:p>
    <w:p w14:paraId="5D6FE2F9" w14:textId="77777777" w:rsidR="000E179F" w:rsidRPr="000E179F" w:rsidRDefault="000E179F" w:rsidP="00BC0476">
      <w:pPr>
        <w:jc w:val="both"/>
        <w:rPr>
          <w:szCs w:val="24"/>
        </w:rPr>
      </w:pPr>
    </w:p>
    <w:p w14:paraId="2863590E" w14:textId="1B90FBFD" w:rsidR="000E179F" w:rsidRPr="00FC28DC" w:rsidRDefault="000E179F" w:rsidP="00E30F7B">
      <w:pPr>
        <w:ind w:firstLine="576"/>
        <w:jc w:val="both"/>
        <w:rPr>
          <w:sz w:val="24"/>
          <w:szCs w:val="24"/>
        </w:rPr>
      </w:pPr>
      <w:r w:rsidRPr="000E179F">
        <w:rPr>
          <w:sz w:val="24"/>
          <w:szCs w:val="24"/>
        </w:rPr>
        <w:t xml:space="preserve">As entidades do Terceiro Setor não possuem fins lucrativos e objetivam o atendimento de necessidades públicas e coletivas, no sentido de auxiliar a geração do bem </w:t>
      </w:r>
      <w:r w:rsidRPr="00784BCA">
        <w:rPr>
          <w:sz w:val="24"/>
          <w:szCs w:val="24"/>
        </w:rPr>
        <w:t>comum (</w:t>
      </w:r>
      <w:r w:rsidR="004606F1" w:rsidRPr="00784BCA">
        <w:rPr>
          <w:sz w:val="24"/>
          <w:szCs w:val="24"/>
        </w:rPr>
        <w:t xml:space="preserve">Alves &amp; </w:t>
      </w:r>
      <w:proofErr w:type="spellStart"/>
      <w:r w:rsidR="004606F1" w:rsidRPr="00784BCA">
        <w:rPr>
          <w:sz w:val="24"/>
          <w:szCs w:val="24"/>
        </w:rPr>
        <w:t>Slomski</w:t>
      </w:r>
      <w:proofErr w:type="spellEnd"/>
      <w:r w:rsidR="004606F1" w:rsidRPr="00784BCA">
        <w:rPr>
          <w:sz w:val="24"/>
          <w:szCs w:val="24"/>
        </w:rPr>
        <w:t>, 2006).</w:t>
      </w:r>
      <w:r w:rsidRPr="00FC28DC">
        <w:rPr>
          <w:sz w:val="24"/>
          <w:szCs w:val="24"/>
        </w:rPr>
        <w:t xml:space="preserve"> </w:t>
      </w:r>
    </w:p>
    <w:p w14:paraId="065C2576" w14:textId="1520319D" w:rsidR="000E179F" w:rsidRPr="00F97199" w:rsidRDefault="000E179F" w:rsidP="000E179F">
      <w:pPr>
        <w:pStyle w:val="Default"/>
        <w:ind w:firstLine="708"/>
        <w:jc w:val="both"/>
        <w:rPr>
          <w:color w:val="auto"/>
        </w:rPr>
      </w:pPr>
      <w:r w:rsidRPr="00F97199">
        <w:rPr>
          <w:color w:val="auto"/>
        </w:rPr>
        <w:t>Piza</w:t>
      </w:r>
      <w:r w:rsidR="00FC28DC" w:rsidRPr="00F97199">
        <w:rPr>
          <w:color w:val="auto"/>
        </w:rPr>
        <w:t xml:space="preserve">, </w:t>
      </w:r>
      <w:proofErr w:type="spellStart"/>
      <w:r w:rsidR="00FC28DC" w:rsidRPr="00F97199">
        <w:rPr>
          <w:color w:val="auto"/>
        </w:rPr>
        <w:t>Parisi</w:t>
      </w:r>
      <w:proofErr w:type="spellEnd"/>
      <w:r w:rsidR="00FC28DC" w:rsidRPr="00F97199">
        <w:rPr>
          <w:color w:val="auto"/>
        </w:rPr>
        <w:t xml:space="preserve">, </w:t>
      </w:r>
      <w:proofErr w:type="spellStart"/>
      <w:r w:rsidR="00FC28DC" w:rsidRPr="00F97199">
        <w:rPr>
          <w:color w:val="auto"/>
        </w:rPr>
        <w:t>Megliori</w:t>
      </w:r>
      <w:proofErr w:type="spellEnd"/>
      <w:r w:rsidR="00FC28DC" w:rsidRPr="00F97199">
        <w:rPr>
          <w:color w:val="auto"/>
        </w:rPr>
        <w:t xml:space="preserve"> e </w:t>
      </w:r>
      <w:proofErr w:type="spellStart"/>
      <w:r w:rsidR="00FC28DC" w:rsidRPr="00F97199">
        <w:rPr>
          <w:color w:val="auto"/>
        </w:rPr>
        <w:t>Gallo</w:t>
      </w:r>
      <w:proofErr w:type="spellEnd"/>
      <w:r w:rsidRPr="00F97199">
        <w:rPr>
          <w:i/>
          <w:color w:val="auto"/>
        </w:rPr>
        <w:t>.</w:t>
      </w:r>
      <w:r w:rsidRPr="00F97199">
        <w:rPr>
          <w:color w:val="auto"/>
        </w:rPr>
        <w:t xml:space="preserve"> (2012) </w:t>
      </w:r>
      <w:r w:rsidRPr="000E179F">
        <w:t xml:space="preserve">apontam que, como o terceiro setor não possui foco lucrativo, mas sim foco social, sua continuidade depende dos recursos advindos de doações recebidas da sociedade. Esses recursos requerem uma prestação de contas adequada, que é fundamental para a transparência das informações a todos os seus financiadores </w:t>
      </w:r>
      <w:r w:rsidRPr="00F97199">
        <w:rPr>
          <w:color w:val="auto"/>
        </w:rPr>
        <w:t>(C</w:t>
      </w:r>
      <w:r w:rsidR="004606F1" w:rsidRPr="00F97199">
        <w:rPr>
          <w:color w:val="auto"/>
        </w:rPr>
        <w:t>unha &amp; Pereira, 2012).</w:t>
      </w:r>
    </w:p>
    <w:p w14:paraId="1815DC43" w14:textId="408A0793" w:rsidR="000E179F" w:rsidRPr="000E179F" w:rsidRDefault="000E179F" w:rsidP="000E179F">
      <w:pPr>
        <w:ind w:firstLine="708"/>
        <w:jc w:val="both"/>
        <w:rPr>
          <w:sz w:val="24"/>
          <w:szCs w:val="24"/>
        </w:rPr>
      </w:pPr>
      <w:r w:rsidRPr="000E179F">
        <w:rPr>
          <w:sz w:val="24"/>
          <w:szCs w:val="24"/>
        </w:rPr>
        <w:t xml:space="preserve">A divulgação e a evidenciação são fundamentais aos usuários que dependem de informações para a tomada de decisão, contribuindo na avaliação das opções disponíveis para a aplicação de </w:t>
      </w:r>
      <w:r w:rsidRPr="00784BCA">
        <w:rPr>
          <w:sz w:val="24"/>
          <w:szCs w:val="24"/>
        </w:rPr>
        <w:t>recursos (</w:t>
      </w:r>
      <w:proofErr w:type="spellStart"/>
      <w:r w:rsidRPr="00784BCA">
        <w:rPr>
          <w:sz w:val="24"/>
          <w:szCs w:val="24"/>
        </w:rPr>
        <w:t>B</w:t>
      </w:r>
      <w:r w:rsidR="004606F1" w:rsidRPr="00784BCA">
        <w:rPr>
          <w:sz w:val="24"/>
          <w:szCs w:val="24"/>
        </w:rPr>
        <w:t>ushman</w:t>
      </w:r>
      <w:proofErr w:type="spellEnd"/>
      <w:r w:rsidR="004606F1" w:rsidRPr="00784BCA">
        <w:rPr>
          <w:sz w:val="24"/>
          <w:szCs w:val="24"/>
        </w:rPr>
        <w:t xml:space="preserve"> &amp; Smith, 2003).</w:t>
      </w:r>
      <w:r w:rsidRPr="00BA4526">
        <w:rPr>
          <w:sz w:val="24"/>
          <w:szCs w:val="24"/>
        </w:rPr>
        <w:t xml:space="preserve"> Desse </w:t>
      </w:r>
      <w:r w:rsidRPr="000E179F">
        <w:rPr>
          <w:sz w:val="24"/>
          <w:szCs w:val="24"/>
        </w:rPr>
        <w:t xml:space="preserve">modo, é essencial que os dados de uma organização sejam disponibilizados de maneira transparente, para que sirvam como instrumento de análise por parte dos </w:t>
      </w:r>
      <w:r w:rsidRPr="00784BCA">
        <w:rPr>
          <w:sz w:val="24"/>
          <w:szCs w:val="24"/>
        </w:rPr>
        <w:t>interessados (</w:t>
      </w:r>
      <w:proofErr w:type="spellStart"/>
      <w:r w:rsidRPr="00784BCA">
        <w:rPr>
          <w:sz w:val="24"/>
          <w:szCs w:val="24"/>
        </w:rPr>
        <w:t>B</w:t>
      </w:r>
      <w:r w:rsidR="004606F1" w:rsidRPr="00784BCA">
        <w:rPr>
          <w:sz w:val="24"/>
          <w:szCs w:val="24"/>
        </w:rPr>
        <w:t>ushman</w:t>
      </w:r>
      <w:proofErr w:type="spellEnd"/>
      <w:r w:rsidR="00BA4526" w:rsidRPr="00F97199">
        <w:rPr>
          <w:sz w:val="24"/>
          <w:szCs w:val="24"/>
        </w:rPr>
        <w:t xml:space="preserve">, </w:t>
      </w:r>
      <w:proofErr w:type="spellStart"/>
      <w:r w:rsidR="00BA4526" w:rsidRPr="00F97199">
        <w:rPr>
          <w:sz w:val="24"/>
          <w:szCs w:val="24"/>
        </w:rPr>
        <w:t>Piotroski</w:t>
      </w:r>
      <w:proofErr w:type="spellEnd"/>
      <w:r w:rsidR="00BA4526" w:rsidRPr="00F97199">
        <w:rPr>
          <w:sz w:val="24"/>
          <w:szCs w:val="24"/>
        </w:rPr>
        <w:t xml:space="preserve"> &amp; Smith</w:t>
      </w:r>
      <w:r w:rsidR="004606F1" w:rsidRPr="00BA4526">
        <w:rPr>
          <w:i/>
          <w:sz w:val="24"/>
          <w:szCs w:val="24"/>
        </w:rPr>
        <w:t xml:space="preserve">., </w:t>
      </w:r>
      <w:r w:rsidR="004606F1" w:rsidRPr="00BA4526">
        <w:rPr>
          <w:sz w:val="24"/>
          <w:szCs w:val="24"/>
        </w:rPr>
        <w:t>2004)</w:t>
      </w:r>
      <w:r w:rsidR="004606F1" w:rsidRPr="00BA4526">
        <w:rPr>
          <w:i/>
          <w:sz w:val="24"/>
          <w:szCs w:val="24"/>
        </w:rPr>
        <w:t>.</w:t>
      </w:r>
      <w:r w:rsidRPr="00BA4526">
        <w:rPr>
          <w:sz w:val="24"/>
          <w:szCs w:val="24"/>
        </w:rPr>
        <w:t xml:space="preserve"> </w:t>
      </w:r>
    </w:p>
    <w:p w14:paraId="19AFB941" w14:textId="77777777" w:rsidR="000E179F" w:rsidRPr="00784BCA" w:rsidRDefault="000E179F" w:rsidP="000E179F">
      <w:pPr>
        <w:ind w:firstLine="708"/>
        <w:jc w:val="both"/>
        <w:rPr>
          <w:sz w:val="24"/>
          <w:szCs w:val="24"/>
        </w:rPr>
      </w:pPr>
      <w:r w:rsidRPr="00784BCA">
        <w:rPr>
          <w:sz w:val="24"/>
          <w:szCs w:val="24"/>
        </w:rPr>
        <w:t xml:space="preserve">Segundo </w:t>
      </w:r>
      <w:proofErr w:type="spellStart"/>
      <w:r w:rsidRPr="00784BCA">
        <w:rPr>
          <w:sz w:val="24"/>
          <w:szCs w:val="24"/>
        </w:rPr>
        <w:t>Zittei</w:t>
      </w:r>
      <w:proofErr w:type="spellEnd"/>
      <w:r w:rsidRPr="00784BCA">
        <w:rPr>
          <w:sz w:val="24"/>
          <w:szCs w:val="24"/>
        </w:rPr>
        <w:t xml:space="preserve">, </w:t>
      </w:r>
      <w:proofErr w:type="spellStart"/>
      <w:r w:rsidRPr="00784BCA">
        <w:rPr>
          <w:sz w:val="24"/>
          <w:szCs w:val="24"/>
        </w:rPr>
        <w:t>Politelo</w:t>
      </w:r>
      <w:proofErr w:type="spellEnd"/>
      <w:r w:rsidRPr="00784BCA">
        <w:rPr>
          <w:sz w:val="24"/>
          <w:szCs w:val="24"/>
        </w:rPr>
        <w:t xml:space="preserve"> e </w:t>
      </w:r>
      <w:proofErr w:type="spellStart"/>
      <w:r w:rsidRPr="00784BCA">
        <w:rPr>
          <w:sz w:val="24"/>
          <w:szCs w:val="24"/>
        </w:rPr>
        <w:t>Scarpin</w:t>
      </w:r>
      <w:proofErr w:type="spellEnd"/>
      <w:r w:rsidRPr="00784BCA">
        <w:rPr>
          <w:sz w:val="24"/>
          <w:szCs w:val="24"/>
        </w:rPr>
        <w:t xml:space="preserve"> (2016, p. 3),</w:t>
      </w:r>
    </w:p>
    <w:p w14:paraId="0562ADF6" w14:textId="77777777" w:rsidR="000E179F" w:rsidRPr="007E483E" w:rsidRDefault="000E179F" w:rsidP="000E179F">
      <w:pPr>
        <w:ind w:firstLine="708"/>
        <w:jc w:val="both"/>
      </w:pPr>
    </w:p>
    <w:p w14:paraId="35B86473" w14:textId="77777777" w:rsidR="000E179F" w:rsidRPr="007E483E" w:rsidRDefault="000E179F" w:rsidP="000E179F">
      <w:pPr>
        <w:ind w:left="2268"/>
        <w:jc w:val="both"/>
      </w:pPr>
      <w:r w:rsidRPr="007E483E">
        <w:t xml:space="preserve">Atenua-se a questão </w:t>
      </w:r>
      <w:proofErr w:type="gramStart"/>
      <w:r w:rsidRPr="007E483E">
        <w:t>da</w:t>
      </w:r>
      <w:proofErr w:type="gramEnd"/>
      <w:r w:rsidRPr="007E483E">
        <w:t xml:space="preserve"> importância das entidades sem fins lucrativos serem transparentes, o fato de a Lei 13.019/2014 estabelecer questões vinculadas à divulgação de informações dessas entidades por meio de prestação de contas bem como seguir diferentes premissas quanto ao uso e à aplicação de seus recursos. O interesse legal em estabelecer requisitos de prestação de contas revela a necessidade percebida de maior transparência pelo terceiro setor.</w:t>
      </w:r>
    </w:p>
    <w:p w14:paraId="7DF25E73" w14:textId="77777777" w:rsidR="000E179F" w:rsidRPr="000E179F" w:rsidRDefault="000E179F" w:rsidP="000E179F">
      <w:pPr>
        <w:ind w:left="2268"/>
        <w:jc w:val="both"/>
        <w:rPr>
          <w:sz w:val="24"/>
          <w:szCs w:val="24"/>
        </w:rPr>
      </w:pPr>
    </w:p>
    <w:p w14:paraId="561E5757" w14:textId="0A51619B" w:rsidR="000E179F" w:rsidRPr="00784BCA" w:rsidRDefault="000E179F" w:rsidP="000E179F">
      <w:pPr>
        <w:ind w:firstLine="708"/>
        <w:jc w:val="both"/>
        <w:rPr>
          <w:sz w:val="24"/>
          <w:szCs w:val="24"/>
        </w:rPr>
      </w:pPr>
      <w:r w:rsidRPr="000E179F">
        <w:rPr>
          <w:sz w:val="24"/>
          <w:szCs w:val="24"/>
        </w:rPr>
        <w:t xml:space="preserve">Os financiadores do terceiro setor são pessoas físicas e jurídicas que necessitam saber de que forma os seus recursos doados foram empregados. O governo também é um dos usuários das demonstrações contábeis dessas organizações, pois desonera estas entidades através de imunidades e isenções fiscais. Portanto, cobra informações porque precisa garantir que as entidades realmente não tenham fins lucrativos e também porque participa como financiador e/ou parceiro de projetos executados pelas organizações sociais.  Dessa forma, devem receber relatórios financeiros para avaliar não só a respeito do bom uso dos recursos cedidos, bem como a eficácia dos projetos </w:t>
      </w:r>
      <w:r w:rsidRPr="00784BCA">
        <w:rPr>
          <w:sz w:val="24"/>
          <w:szCs w:val="24"/>
        </w:rPr>
        <w:t xml:space="preserve">desenvolvidos </w:t>
      </w:r>
      <w:r w:rsidRPr="00F97199">
        <w:rPr>
          <w:sz w:val="24"/>
          <w:szCs w:val="24"/>
        </w:rPr>
        <w:t>(P</w:t>
      </w:r>
      <w:r w:rsidR="0089009D" w:rsidRPr="00F97199">
        <w:rPr>
          <w:sz w:val="24"/>
          <w:szCs w:val="24"/>
        </w:rPr>
        <w:t>iza</w:t>
      </w:r>
      <w:r w:rsidRPr="00F97199">
        <w:rPr>
          <w:sz w:val="24"/>
          <w:szCs w:val="24"/>
        </w:rPr>
        <w:t xml:space="preserve"> </w:t>
      </w:r>
      <w:r w:rsidR="000C2E58" w:rsidRPr="00F97199">
        <w:rPr>
          <w:i/>
          <w:sz w:val="24"/>
          <w:szCs w:val="24"/>
        </w:rPr>
        <w:t>et al.</w:t>
      </w:r>
      <w:r w:rsidRPr="00F97199">
        <w:rPr>
          <w:sz w:val="24"/>
          <w:szCs w:val="24"/>
        </w:rPr>
        <w:t>, 2012).</w:t>
      </w:r>
    </w:p>
    <w:p w14:paraId="65097E4B" w14:textId="175BC53E" w:rsidR="000E179F" w:rsidRPr="000E179F" w:rsidRDefault="000E179F" w:rsidP="000E179F">
      <w:pPr>
        <w:pStyle w:val="Default"/>
        <w:ind w:firstLine="709"/>
        <w:jc w:val="both"/>
        <w:rPr>
          <w:color w:val="auto"/>
        </w:rPr>
      </w:pPr>
      <w:r w:rsidRPr="000E179F">
        <w:t xml:space="preserve">O crescimento das entidades do terceiro setor mostra que o seu papel dentro da sociedade se torna cada vez mais relevante, principalmente, devido à ineficiência do Estado em cumprir com suas obrigações. Porém, estas entidades encontram dificuldades, geradas pela crescente desconfiança com que a sociedade as enxergam. Isso ocorre, sobretudo, devido à falta </w:t>
      </w:r>
      <w:r w:rsidRPr="000E179F">
        <w:lastRenderedPageBreak/>
        <w:t xml:space="preserve">de </w:t>
      </w:r>
      <w:r w:rsidRPr="000E179F">
        <w:rPr>
          <w:color w:val="auto"/>
        </w:rPr>
        <w:t xml:space="preserve">transparência dos recursos arrecadados e dos resultados alcançados por estas instituições </w:t>
      </w:r>
      <w:r w:rsidRPr="00784BCA">
        <w:rPr>
          <w:color w:val="auto"/>
        </w:rPr>
        <w:t>(A</w:t>
      </w:r>
      <w:r w:rsidR="0089009D" w:rsidRPr="00784BCA">
        <w:rPr>
          <w:color w:val="auto"/>
        </w:rPr>
        <w:t xml:space="preserve">ssis, Mello &amp; </w:t>
      </w:r>
      <w:proofErr w:type="spellStart"/>
      <w:r w:rsidR="0089009D" w:rsidRPr="00784BCA">
        <w:rPr>
          <w:color w:val="auto"/>
        </w:rPr>
        <w:t>Sl</w:t>
      </w:r>
      <w:r w:rsidR="0089009D" w:rsidRPr="00F97199">
        <w:rPr>
          <w:color w:val="auto"/>
        </w:rPr>
        <w:t>omski</w:t>
      </w:r>
      <w:proofErr w:type="spellEnd"/>
      <w:r w:rsidR="0089009D" w:rsidRPr="00F97199">
        <w:rPr>
          <w:color w:val="auto"/>
        </w:rPr>
        <w:t>, 2006).</w:t>
      </w:r>
    </w:p>
    <w:p w14:paraId="383EED58" w14:textId="400446B1" w:rsidR="000E179F" w:rsidRPr="000E179F" w:rsidRDefault="000E179F" w:rsidP="007356D7">
      <w:pPr>
        <w:suppressAutoHyphens w:val="0"/>
        <w:ind w:firstLine="708"/>
        <w:jc w:val="both"/>
        <w:rPr>
          <w:color w:val="0D0D0D" w:themeColor="text1" w:themeTint="F2"/>
          <w:sz w:val="24"/>
          <w:szCs w:val="24"/>
        </w:rPr>
      </w:pPr>
      <w:r w:rsidRPr="00784BCA">
        <w:rPr>
          <w:sz w:val="24"/>
          <w:szCs w:val="24"/>
        </w:rPr>
        <w:t>Conforme Carneiro</w:t>
      </w:r>
      <w:r w:rsidR="0066035E" w:rsidRPr="00F97199">
        <w:rPr>
          <w:sz w:val="24"/>
          <w:szCs w:val="24"/>
        </w:rPr>
        <w:t>, Oliveira e Torres</w:t>
      </w:r>
      <w:r w:rsidRPr="00784BCA">
        <w:rPr>
          <w:sz w:val="24"/>
          <w:szCs w:val="24"/>
        </w:rPr>
        <w:t xml:space="preserve"> (2011), a utilização </w:t>
      </w:r>
      <w:r w:rsidRPr="000E179F">
        <w:rPr>
          <w:sz w:val="24"/>
          <w:szCs w:val="24"/>
        </w:rPr>
        <w:t xml:space="preserve">da contabilidade favorece a divulgação de informações detalhadas à comunidade por meio das demonstrações contábeis e dos relatórios, contribuindo positivamente para a transparência da entidade, demonstrando quem </w:t>
      </w:r>
      <w:r w:rsidR="002513A8" w:rsidRPr="000E179F">
        <w:rPr>
          <w:sz w:val="24"/>
          <w:szCs w:val="24"/>
        </w:rPr>
        <w:t>é</w:t>
      </w:r>
      <w:r w:rsidRPr="000E179F">
        <w:rPr>
          <w:sz w:val="24"/>
          <w:szCs w:val="24"/>
        </w:rPr>
        <w:t xml:space="preserve"> e </w:t>
      </w:r>
      <w:r w:rsidRPr="000E179F">
        <w:rPr>
          <w:color w:val="0D0D0D" w:themeColor="text1" w:themeTint="F2"/>
          <w:sz w:val="24"/>
          <w:szCs w:val="24"/>
        </w:rPr>
        <w:t xml:space="preserve">quais os seus objetivos. </w:t>
      </w:r>
    </w:p>
    <w:p w14:paraId="61242A99" w14:textId="59DF9314" w:rsidR="000E179F" w:rsidRPr="000E179F" w:rsidRDefault="000E179F" w:rsidP="007356D7">
      <w:pPr>
        <w:suppressAutoHyphens w:val="0"/>
        <w:ind w:firstLine="576"/>
        <w:jc w:val="both"/>
        <w:rPr>
          <w:color w:val="0D0D0D" w:themeColor="text1" w:themeTint="F2"/>
          <w:sz w:val="24"/>
          <w:szCs w:val="24"/>
        </w:rPr>
      </w:pPr>
      <w:proofErr w:type="spellStart"/>
      <w:r w:rsidRPr="00F97199">
        <w:rPr>
          <w:sz w:val="24"/>
          <w:szCs w:val="24"/>
        </w:rPr>
        <w:t>Iudícibus</w:t>
      </w:r>
      <w:proofErr w:type="spellEnd"/>
      <w:r w:rsidRPr="00F97199">
        <w:rPr>
          <w:sz w:val="24"/>
          <w:szCs w:val="24"/>
        </w:rPr>
        <w:t xml:space="preserve"> (2010) salienta </w:t>
      </w:r>
      <w:r w:rsidRPr="000E179F">
        <w:rPr>
          <w:color w:val="0D0D0D" w:themeColor="text1" w:themeTint="F2"/>
          <w:sz w:val="24"/>
          <w:szCs w:val="24"/>
        </w:rPr>
        <w:t xml:space="preserve">que as informações contábeis divulgadas precisam ser ao mesmo tempo, adequadas, justas e plenas, pois a evidenciação tem o sentido de tornar as Demonstrações Contábeis significativas e de fácil entendimento. “A evidenciação é um compromisso inalienável da Contabilidade com seus usuários e com os próprios objetivos” </w:t>
      </w:r>
      <w:r w:rsidRPr="00F97199">
        <w:rPr>
          <w:sz w:val="24"/>
          <w:szCs w:val="24"/>
        </w:rPr>
        <w:t>(</w:t>
      </w:r>
      <w:proofErr w:type="spellStart"/>
      <w:r w:rsidRPr="00F97199">
        <w:rPr>
          <w:sz w:val="24"/>
          <w:szCs w:val="24"/>
        </w:rPr>
        <w:t>I</w:t>
      </w:r>
      <w:r w:rsidR="00F06D03" w:rsidRPr="00F97199">
        <w:rPr>
          <w:sz w:val="24"/>
          <w:szCs w:val="24"/>
        </w:rPr>
        <w:t>udícibus</w:t>
      </w:r>
      <w:proofErr w:type="spellEnd"/>
      <w:r w:rsidRPr="00F97199">
        <w:rPr>
          <w:sz w:val="24"/>
          <w:szCs w:val="24"/>
        </w:rPr>
        <w:t>, 2010, p. 115).</w:t>
      </w:r>
    </w:p>
    <w:p w14:paraId="18F2B908" w14:textId="553C34C0" w:rsidR="000E179F" w:rsidRPr="000E179F" w:rsidRDefault="000E179F" w:rsidP="005F1F95">
      <w:pPr>
        <w:pStyle w:val="Ttulo2"/>
        <w:numPr>
          <w:ilvl w:val="1"/>
          <w:numId w:val="22"/>
        </w:numPr>
        <w:rPr>
          <w:rFonts w:eastAsia="Times" w:cs="Times New Roman"/>
          <w:szCs w:val="24"/>
        </w:rPr>
      </w:pPr>
      <w:r w:rsidRPr="000E179F">
        <w:rPr>
          <w:rFonts w:eastAsia="Times" w:cs="Times New Roman"/>
          <w:szCs w:val="24"/>
        </w:rPr>
        <w:t>Lei nº 13.204/2015 e Marco Regulatório</w:t>
      </w:r>
    </w:p>
    <w:p w14:paraId="32B136BB" w14:textId="77777777" w:rsidR="000E179F" w:rsidRPr="000E179F" w:rsidRDefault="000E179F" w:rsidP="00BC0476">
      <w:pPr>
        <w:jc w:val="both"/>
        <w:rPr>
          <w:rFonts w:eastAsia="Times"/>
          <w:szCs w:val="24"/>
        </w:rPr>
      </w:pPr>
    </w:p>
    <w:p w14:paraId="538D8112" w14:textId="77777777" w:rsidR="000E179F" w:rsidRPr="000E179F" w:rsidRDefault="000E179F" w:rsidP="000E179F">
      <w:pPr>
        <w:ind w:firstLine="576"/>
        <w:jc w:val="both"/>
        <w:rPr>
          <w:rFonts w:eastAsia="Times"/>
          <w:sz w:val="24"/>
          <w:szCs w:val="24"/>
        </w:rPr>
      </w:pPr>
      <w:r w:rsidRPr="000E179F">
        <w:rPr>
          <w:rFonts w:eastAsia="Times"/>
          <w:sz w:val="24"/>
          <w:szCs w:val="24"/>
        </w:rPr>
        <w:t>A Lei nº 13.204, de 14 de dezembro de 2015, trata do Marco Regulatório das Organizações da Sociedade Civil (MROSC), o qual estabelece as regras das parcerias entre a administração pública e as organizações da sociedade civil (</w:t>
      </w:r>
      <w:proofErr w:type="spellStart"/>
      <w:r w:rsidRPr="000E179F">
        <w:rPr>
          <w:rFonts w:eastAsia="Times"/>
          <w:sz w:val="24"/>
          <w:szCs w:val="24"/>
        </w:rPr>
        <w:t>OSCs</w:t>
      </w:r>
      <w:proofErr w:type="spellEnd"/>
      <w:r w:rsidRPr="000E179F">
        <w:rPr>
          <w:rFonts w:eastAsia="Times"/>
          <w:sz w:val="24"/>
          <w:szCs w:val="24"/>
        </w:rPr>
        <w:t xml:space="preserve">). O Marco Regulatório das Organizações da Sociedade Civil (MROSC) trata de uma agenda política ampla, a qual tem como desafio aperfeiçoar o ambiente jurídico e institucional relacionado às </w:t>
      </w:r>
      <w:proofErr w:type="spellStart"/>
      <w:r w:rsidRPr="000E179F">
        <w:rPr>
          <w:rFonts w:eastAsia="Times"/>
          <w:sz w:val="24"/>
          <w:szCs w:val="24"/>
        </w:rPr>
        <w:t>OSCs</w:t>
      </w:r>
      <w:proofErr w:type="spellEnd"/>
      <w:r w:rsidRPr="000E179F">
        <w:rPr>
          <w:rFonts w:eastAsia="Times"/>
          <w:sz w:val="24"/>
          <w:szCs w:val="24"/>
        </w:rPr>
        <w:t xml:space="preserve"> e suas relações de parceria com o Estado.</w:t>
      </w:r>
    </w:p>
    <w:p w14:paraId="769D60E8" w14:textId="77777777" w:rsidR="000E179F" w:rsidRPr="000E179F" w:rsidRDefault="000E179F" w:rsidP="000E179F">
      <w:pPr>
        <w:ind w:firstLine="708"/>
        <w:jc w:val="both"/>
        <w:rPr>
          <w:rFonts w:eastAsia="Times"/>
          <w:sz w:val="24"/>
          <w:szCs w:val="24"/>
        </w:rPr>
      </w:pPr>
      <w:r w:rsidRPr="000E179F">
        <w:rPr>
          <w:rFonts w:eastAsia="Times"/>
          <w:sz w:val="24"/>
          <w:szCs w:val="24"/>
        </w:rPr>
        <w:t>Segundo Lei n° 13.204/2015:</w:t>
      </w:r>
    </w:p>
    <w:p w14:paraId="7F18D495" w14:textId="77777777" w:rsidR="002513A8" w:rsidRDefault="002513A8" w:rsidP="000E179F">
      <w:pPr>
        <w:ind w:left="2268"/>
        <w:contextualSpacing/>
        <w:jc w:val="both"/>
        <w:rPr>
          <w:color w:val="000000" w:themeColor="text1"/>
        </w:rPr>
      </w:pPr>
    </w:p>
    <w:p w14:paraId="05832978" w14:textId="1238181B" w:rsidR="000E179F" w:rsidRPr="000E179F" w:rsidRDefault="000E179F" w:rsidP="000E179F">
      <w:pPr>
        <w:ind w:left="2268"/>
        <w:contextualSpacing/>
        <w:jc w:val="both"/>
        <w:rPr>
          <w:color w:val="000000" w:themeColor="text1"/>
        </w:rPr>
      </w:pPr>
      <w:r w:rsidRPr="000E179F">
        <w:rPr>
          <w:color w:val="000000" w:themeColor="text1"/>
        </w:rPr>
        <w:t>Estabelece o regime jurídico das parcerias entre a administração pública e as organizações da sociedade civil, em regime de mútua cooperação, para a consecução de finalidades de interesse público e recíproco, mediante a execução de atividades ou de projetos previamente estabelecidos em planos de trabalho inseridos em termos de colaboração, em termos de fomento ou em acordos de cooperação; define diretrizes para a política de fomento, de colaboração e de cooperação com organizações da sociedade civil; e altera as Leis n</w:t>
      </w:r>
      <w:r w:rsidRPr="000E179F">
        <w:rPr>
          <w:color w:val="000000" w:themeColor="text1"/>
          <w:u w:val="single"/>
          <w:vertAlign w:val="superscript"/>
        </w:rPr>
        <w:t>os</w:t>
      </w:r>
      <w:r w:rsidRPr="000E179F">
        <w:rPr>
          <w:color w:val="000000" w:themeColor="text1"/>
        </w:rPr>
        <w:t> 8.429, de 2 de junho de 1992, e 9.790, de 23 de março de 1999.</w:t>
      </w:r>
    </w:p>
    <w:p w14:paraId="0D0173B1" w14:textId="77777777" w:rsidR="000E179F" w:rsidRPr="000E179F" w:rsidRDefault="000E179F" w:rsidP="000E179F">
      <w:pPr>
        <w:ind w:left="2268"/>
        <w:contextualSpacing/>
        <w:jc w:val="both"/>
        <w:rPr>
          <w:color w:val="000000" w:themeColor="text1"/>
          <w:sz w:val="24"/>
          <w:szCs w:val="24"/>
        </w:rPr>
      </w:pPr>
    </w:p>
    <w:p w14:paraId="70325B14" w14:textId="4BEBFFBB" w:rsidR="00BC76ED" w:rsidRPr="00BC0476" w:rsidRDefault="000E179F" w:rsidP="000E179F">
      <w:pPr>
        <w:ind w:firstLine="708"/>
        <w:jc w:val="both"/>
        <w:rPr>
          <w:sz w:val="24"/>
          <w:szCs w:val="24"/>
        </w:rPr>
      </w:pPr>
      <w:r w:rsidRPr="005B31B1">
        <w:rPr>
          <w:sz w:val="24"/>
          <w:szCs w:val="24"/>
        </w:rPr>
        <w:t xml:space="preserve">Segundo </w:t>
      </w:r>
      <w:r w:rsidRPr="00784BCA">
        <w:rPr>
          <w:sz w:val="24"/>
          <w:szCs w:val="24"/>
        </w:rPr>
        <w:t>Silva</w:t>
      </w:r>
      <w:r w:rsidR="0066035E">
        <w:rPr>
          <w:sz w:val="24"/>
          <w:szCs w:val="24"/>
        </w:rPr>
        <w:t xml:space="preserve">, Soares e Casagrande </w:t>
      </w:r>
      <w:r w:rsidRPr="005B31B1">
        <w:rPr>
          <w:sz w:val="24"/>
          <w:szCs w:val="24"/>
        </w:rPr>
        <w:t>(2016)</w:t>
      </w:r>
      <w:r w:rsidRPr="00784BCA">
        <w:rPr>
          <w:sz w:val="24"/>
          <w:szCs w:val="24"/>
        </w:rPr>
        <w:t xml:space="preserve">, um </w:t>
      </w:r>
      <w:r w:rsidRPr="000E179F">
        <w:rPr>
          <w:sz w:val="24"/>
          <w:szCs w:val="24"/>
        </w:rPr>
        <w:t>dos pontos considerados mais importantes, está relacionado à prestação de contas, onde serão avaliados os resultados da parceria, demonstrando se a entidade está ou não atendendo o público, o que passa a ser a variável mais importante na prestação de contas.</w:t>
      </w:r>
    </w:p>
    <w:p w14:paraId="0859AFF6" w14:textId="56414C08" w:rsidR="000E179F" w:rsidRPr="000E179F" w:rsidRDefault="000E179F" w:rsidP="000E179F">
      <w:pPr>
        <w:ind w:firstLine="708"/>
        <w:jc w:val="both"/>
        <w:rPr>
          <w:color w:val="000000"/>
          <w:sz w:val="24"/>
          <w:szCs w:val="24"/>
          <w:shd w:val="clear" w:color="auto" w:fill="FFFFFF"/>
        </w:rPr>
      </w:pPr>
      <w:r w:rsidRPr="000E179F">
        <w:rPr>
          <w:color w:val="000000"/>
          <w:sz w:val="24"/>
          <w:szCs w:val="24"/>
          <w:shd w:val="clear" w:color="auto" w:fill="FFFFFF"/>
        </w:rPr>
        <w:t>O Manual de Procedimentos para o Terceiro Setor foi idealizado pela Associação de Procuradores e Promotores de Justiça de Fundações e Entidades de Interesse Social (</w:t>
      </w:r>
      <w:proofErr w:type="spellStart"/>
      <w:r w:rsidRPr="000E179F">
        <w:rPr>
          <w:color w:val="000000"/>
          <w:sz w:val="24"/>
          <w:szCs w:val="24"/>
          <w:shd w:val="clear" w:color="auto" w:fill="FFFFFF"/>
        </w:rPr>
        <w:t>Profis</w:t>
      </w:r>
      <w:proofErr w:type="spellEnd"/>
      <w:r w:rsidRPr="000E179F">
        <w:rPr>
          <w:color w:val="000000"/>
          <w:sz w:val="24"/>
          <w:szCs w:val="24"/>
          <w:shd w:val="clear" w:color="auto" w:fill="FFFFFF"/>
        </w:rPr>
        <w:t>), Conselho Federal de Contabilidade (CFC) e a Fundação Brasileira de Contabilidade (FBC), tendo como finalidade cooperar com as entidades do Terceiro Setor no sentido de dar mais transparência às suas prestações de contas e registros contábeis.</w:t>
      </w:r>
    </w:p>
    <w:p w14:paraId="73C0336D" w14:textId="77777777" w:rsidR="000E179F" w:rsidRPr="000E179F" w:rsidRDefault="000E179F" w:rsidP="000E179F">
      <w:pPr>
        <w:ind w:firstLine="708"/>
        <w:jc w:val="both"/>
        <w:rPr>
          <w:sz w:val="24"/>
          <w:szCs w:val="24"/>
        </w:rPr>
      </w:pPr>
      <w:r w:rsidRPr="000E179F">
        <w:rPr>
          <w:sz w:val="24"/>
          <w:szCs w:val="24"/>
        </w:rPr>
        <w:t xml:space="preserve">O Manual está dividido em 11 capítulos, e este traz temas importantes, como detalhamento do Regime Tributário e formas de reconhecimento, conceitos básicos do sistema de controle interno e os trabalhos de auditoria das demonstrações contábeis. </w:t>
      </w:r>
    </w:p>
    <w:p w14:paraId="2F81CC3E" w14:textId="37BE7450" w:rsidR="000E179F" w:rsidRPr="000E179F" w:rsidRDefault="000E179F" w:rsidP="000E179F">
      <w:pPr>
        <w:ind w:firstLine="708"/>
        <w:jc w:val="both"/>
        <w:rPr>
          <w:sz w:val="24"/>
          <w:szCs w:val="24"/>
        </w:rPr>
      </w:pPr>
      <w:r w:rsidRPr="000E179F">
        <w:rPr>
          <w:sz w:val="24"/>
          <w:szCs w:val="24"/>
        </w:rPr>
        <w:t xml:space="preserve">Segundo </w:t>
      </w:r>
      <w:r w:rsidRPr="005B31B1">
        <w:rPr>
          <w:sz w:val="24"/>
          <w:szCs w:val="24"/>
        </w:rPr>
        <w:t>S</w:t>
      </w:r>
      <w:r w:rsidRPr="00784BCA">
        <w:rPr>
          <w:sz w:val="24"/>
          <w:szCs w:val="24"/>
        </w:rPr>
        <w:t>ilva</w:t>
      </w:r>
      <w:r w:rsidR="0066035E">
        <w:rPr>
          <w:sz w:val="24"/>
          <w:szCs w:val="24"/>
        </w:rPr>
        <w:t xml:space="preserve"> </w:t>
      </w:r>
      <w:r w:rsidR="0066035E">
        <w:rPr>
          <w:i/>
          <w:sz w:val="24"/>
          <w:szCs w:val="24"/>
        </w:rPr>
        <w:t>et al.</w:t>
      </w:r>
      <w:r w:rsidRPr="005B31B1">
        <w:rPr>
          <w:sz w:val="24"/>
          <w:szCs w:val="24"/>
        </w:rPr>
        <w:t xml:space="preserve"> (2016, p. 7), </w:t>
      </w:r>
    </w:p>
    <w:p w14:paraId="218532E1" w14:textId="77777777" w:rsidR="000E179F" w:rsidRPr="000E179F" w:rsidRDefault="000E179F" w:rsidP="000E179F">
      <w:pPr>
        <w:ind w:firstLine="708"/>
        <w:jc w:val="both"/>
        <w:rPr>
          <w:sz w:val="24"/>
          <w:szCs w:val="24"/>
        </w:rPr>
      </w:pPr>
    </w:p>
    <w:p w14:paraId="0DFD98BD" w14:textId="77777777" w:rsidR="000E179F" w:rsidRPr="000E179F" w:rsidRDefault="000E179F" w:rsidP="000E179F">
      <w:pPr>
        <w:ind w:left="2268"/>
        <w:jc w:val="both"/>
      </w:pPr>
      <w:r w:rsidRPr="000E179F">
        <w:t xml:space="preserve">O Manual aborda também as estruturas de funcionamento, os elementos para a prestação de contas, e o plano de contas no qual é apresentada a estrutura de alocação ou de endereços de contas a serem utilizadas por entidade econômica, para onde são direcionados os fluxos dos registros contábeis. Por fim, esta obra demonstra a identificação, a mensuração e o reconhecimento de transações gerais e específicas operacionalizadas pelas entidades e fornece ainda detalhes sobre as demonstrações contábeis, as quais contemplam o estado patrimonial de entidade em determinada data ou momento. Sendo assim, este Manual é ferramenta obrigatória para profissionais que pretendem trabalhar em entidades do Terceiro Setor. </w:t>
      </w:r>
    </w:p>
    <w:p w14:paraId="54D94A93" w14:textId="77777777" w:rsidR="000E179F" w:rsidRPr="000E179F" w:rsidRDefault="000E179F" w:rsidP="000E179F">
      <w:pPr>
        <w:ind w:left="2268"/>
        <w:contextualSpacing/>
        <w:jc w:val="both"/>
        <w:rPr>
          <w:rFonts w:eastAsia="Calibri"/>
          <w:sz w:val="24"/>
          <w:szCs w:val="24"/>
        </w:rPr>
      </w:pPr>
      <w:r w:rsidRPr="000E179F">
        <w:rPr>
          <w:rFonts w:eastAsia="Calibri"/>
          <w:sz w:val="24"/>
          <w:szCs w:val="24"/>
        </w:rPr>
        <w:lastRenderedPageBreak/>
        <w:t xml:space="preserve"> </w:t>
      </w:r>
    </w:p>
    <w:p w14:paraId="2F0EC0EC" w14:textId="716CD4FE" w:rsidR="000E179F" w:rsidRDefault="000E179F" w:rsidP="00BC0476">
      <w:pPr>
        <w:ind w:firstLine="709"/>
        <w:jc w:val="both"/>
        <w:rPr>
          <w:color w:val="000000"/>
          <w:sz w:val="24"/>
          <w:szCs w:val="24"/>
        </w:rPr>
      </w:pPr>
      <w:r w:rsidRPr="000E179F">
        <w:rPr>
          <w:color w:val="000000"/>
          <w:sz w:val="24"/>
          <w:szCs w:val="24"/>
        </w:rPr>
        <w:t>Desse modo, as demonstrações financeiras do CCEA serão analisadas com base na Lei 13.204 de 2015 (alteração da Lei 13.019 de 2014), no Manual de Procedimentos para o Terceiro Setor (MPTS), bem como na Interpretação Técnica Geral 2002.</w:t>
      </w:r>
    </w:p>
    <w:p w14:paraId="640BD734" w14:textId="77777777" w:rsidR="000E179F" w:rsidRPr="000E179F" w:rsidRDefault="000E179F" w:rsidP="005F1F95">
      <w:pPr>
        <w:pStyle w:val="Ttulo2"/>
        <w:numPr>
          <w:ilvl w:val="1"/>
          <w:numId w:val="22"/>
        </w:numPr>
        <w:rPr>
          <w:rFonts w:cs="Times New Roman"/>
          <w:szCs w:val="24"/>
        </w:rPr>
      </w:pPr>
      <w:r w:rsidRPr="000E179F">
        <w:rPr>
          <w:rFonts w:cs="Times New Roman"/>
          <w:szCs w:val="24"/>
        </w:rPr>
        <w:t>Interpretação Técnica Geral 2002</w:t>
      </w:r>
    </w:p>
    <w:p w14:paraId="354BCBF2" w14:textId="77777777" w:rsidR="000E179F" w:rsidRPr="000E179F" w:rsidRDefault="000E179F" w:rsidP="00BC0476">
      <w:pPr>
        <w:jc w:val="both"/>
        <w:rPr>
          <w:szCs w:val="24"/>
        </w:rPr>
      </w:pPr>
    </w:p>
    <w:p w14:paraId="37DBC587" w14:textId="77777777" w:rsidR="000E179F" w:rsidRPr="000E179F" w:rsidRDefault="000E179F" w:rsidP="000E179F">
      <w:pPr>
        <w:ind w:firstLine="576"/>
        <w:jc w:val="both"/>
        <w:rPr>
          <w:sz w:val="24"/>
          <w:szCs w:val="24"/>
        </w:rPr>
      </w:pPr>
      <w:r w:rsidRPr="000E179F">
        <w:rPr>
          <w:sz w:val="24"/>
          <w:szCs w:val="24"/>
        </w:rPr>
        <w:t xml:space="preserve">A Interpretação Técnica Geral 2002 </w:t>
      </w:r>
      <w:r w:rsidRPr="00784BCA">
        <w:rPr>
          <w:sz w:val="24"/>
          <w:szCs w:val="24"/>
        </w:rPr>
        <w:t xml:space="preserve">(ITG 2002, 2012) </w:t>
      </w:r>
      <w:r w:rsidRPr="000E179F">
        <w:rPr>
          <w:sz w:val="24"/>
          <w:szCs w:val="24"/>
        </w:rPr>
        <w:t>estabelece critérios e procedimentos específicos de avaliação, de reconhecimento das transações e variações patrimoniais, de estruturação das demonstrações contábeis e as informações principais a serem divulgadas em notas explicativas pela entidade sem fins lucrativos.</w:t>
      </w:r>
    </w:p>
    <w:p w14:paraId="053591E1" w14:textId="77777777" w:rsidR="000E179F" w:rsidRPr="000E179F" w:rsidRDefault="000E179F" w:rsidP="000E179F">
      <w:pPr>
        <w:ind w:firstLine="708"/>
        <w:jc w:val="both"/>
        <w:rPr>
          <w:sz w:val="24"/>
          <w:szCs w:val="24"/>
        </w:rPr>
      </w:pPr>
      <w:r w:rsidRPr="000E179F">
        <w:rPr>
          <w:sz w:val="24"/>
          <w:szCs w:val="24"/>
        </w:rPr>
        <w:t xml:space="preserve">Segundo a </w:t>
      </w:r>
      <w:r w:rsidRPr="00784BCA">
        <w:rPr>
          <w:sz w:val="24"/>
          <w:szCs w:val="24"/>
        </w:rPr>
        <w:t>ITG 2002 (2012),</w:t>
      </w:r>
    </w:p>
    <w:p w14:paraId="732A234D" w14:textId="77777777" w:rsidR="000E179F" w:rsidRPr="000E179F" w:rsidRDefault="000E179F" w:rsidP="000E179F">
      <w:pPr>
        <w:ind w:firstLine="708"/>
        <w:jc w:val="both"/>
        <w:rPr>
          <w:sz w:val="24"/>
          <w:szCs w:val="24"/>
        </w:rPr>
      </w:pPr>
    </w:p>
    <w:p w14:paraId="32993483" w14:textId="77777777" w:rsidR="000E179F" w:rsidRPr="000E179F" w:rsidRDefault="000E179F" w:rsidP="000E179F">
      <w:pPr>
        <w:ind w:left="2268"/>
        <w:jc w:val="both"/>
      </w:pPr>
      <w:r w:rsidRPr="000E179F">
        <w:t>Esta Interpretação aplica-se às pessoas jurídicas de direito privado sem finalidade de lucros, especialmente entidade imune, isenta de impostos e contribuições para a seguridade social, beneficente de assistência social e atendimento aos Ministérios que, direta ou indiretamente, têm relação com entidades sem finalidade de lucros e, ainda, Receita Federal do Brasil e demais órgãos federais, estaduais e municipais.</w:t>
      </w:r>
    </w:p>
    <w:p w14:paraId="3A806307" w14:textId="77777777" w:rsidR="000E179F" w:rsidRPr="000E179F" w:rsidRDefault="000E179F" w:rsidP="000E179F">
      <w:pPr>
        <w:ind w:left="2268"/>
        <w:jc w:val="both"/>
        <w:rPr>
          <w:sz w:val="24"/>
          <w:szCs w:val="24"/>
        </w:rPr>
      </w:pPr>
    </w:p>
    <w:p w14:paraId="6A63CA6C" w14:textId="77777777" w:rsidR="000E179F" w:rsidRPr="000E179F" w:rsidRDefault="000E179F" w:rsidP="000E179F">
      <w:pPr>
        <w:ind w:firstLine="708"/>
        <w:jc w:val="both"/>
        <w:rPr>
          <w:sz w:val="24"/>
          <w:szCs w:val="24"/>
        </w:rPr>
      </w:pPr>
      <w:r w:rsidRPr="000E179F">
        <w:rPr>
          <w:sz w:val="24"/>
          <w:szCs w:val="24"/>
        </w:rPr>
        <w:t xml:space="preserve">As demonstrações contábeis, que devem ser elaboradas pelas entidades do terceiro setor são o Balanço Patrimonial, a Demonstração do Resultado do Período, a Demonstração das Mutações do Patrimônio Líquido, a Demonstração dos Fluxos de Caixa e as Notas Explicativas. Além disso, a denominação da conta Capital deve ser substituída por Patrimônio Social, integrante do grupo Patrimônio Líquido e as palavras lucro ou prejuízo devem ser substituídas por superávit ou déficit do </w:t>
      </w:r>
      <w:r w:rsidRPr="00784BCA">
        <w:rPr>
          <w:sz w:val="24"/>
          <w:szCs w:val="24"/>
        </w:rPr>
        <w:t>período (ITG 2002, 2012).</w:t>
      </w:r>
    </w:p>
    <w:p w14:paraId="11598AFF" w14:textId="77777777" w:rsidR="000E179F" w:rsidRPr="00784BCA" w:rsidRDefault="000E179F" w:rsidP="0021606D">
      <w:pPr>
        <w:autoSpaceDE w:val="0"/>
        <w:autoSpaceDN w:val="0"/>
        <w:adjustRightInd w:val="0"/>
        <w:ind w:firstLine="708"/>
        <w:jc w:val="both"/>
        <w:rPr>
          <w:sz w:val="24"/>
          <w:szCs w:val="24"/>
        </w:rPr>
      </w:pPr>
      <w:r w:rsidRPr="000E179F">
        <w:rPr>
          <w:sz w:val="24"/>
          <w:szCs w:val="24"/>
        </w:rPr>
        <w:t xml:space="preserve">As informações relacionadas às gratuidades concedidas e serviços voluntários obtidos pela instituição deve ser destacada na Demonstração do Resultado do Período e divulgada nas Notas Explicativas. As doações recebidas devem ser registradas na Demonstração do Fluxo de Caixa como atividades operacionais. Além disso, as entidades podem usar contas de compensação para controlar as transações referentes a isenções, imunidade e gratuidades, sem prejuízo das informações divulgadas nas demonstrações </w:t>
      </w:r>
      <w:r w:rsidRPr="00784BCA">
        <w:rPr>
          <w:sz w:val="24"/>
          <w:szCs w:val="24"/>
        </w:rPr>
        <w:t>contábeis (ITG 2002, 2012).</w:t>
      </w:r>
    </w:p>
    <w:p w14:paraId="3336127C" w14:textId="77777777" w:rsidR="000E179F" w:rsidRPr="000E179F" w:rsidRDefault="000E179F" w:rsidP="0021606D">
      <w:pPr>
        <w:autoSpaceDE w:val="0"/>
        <w:autoSpaceDN w:val="0"/>
        <w:adjustRightInd w:val="0"/>
        <w:ind w:firstLine="708"/>
        <w:jc w:val="both"/>
        <w:rPr>
          <w:sz w:val="24"/>
          <w:szCs w:val="24"/>
        </w:rPr>
      </w:pPr>
      <w:r w:rsidRPr="000E179F">
        <w:rPr>
          <w:sz w:val="24"/>
          <w:szCs w:val="24"/>
        </w:rPr>
        <w:t xml:space="preserve">A </w:t>
      </w:r>
      <w:r w:rsidRPr="00784BCA">
        <w:rPr>
          <w:sz w:val="24"/>
          <w:szCs w:val="24"/>
        </w:rPr>
        <w:t xml:space="preserve">ITG 2002 (2012) estabelece </w:t>
      </w:r>
      <w:r w:rsidRPr="000E179F">
        <w:rPr>
          <w:sz w:val="24"/>
          <w:szCs w:val="24"/>
        </w:rPr>
        <w:t>as informações mínimas que devem estar contidas nas notas explicativas. Dentre as informações exigidas destaca-se: contexto operacional, objetivos sociais, critérios de apuração de receitas e despesas, renúncia fiscal, subvenções recebidas, recursos sujeitos a restrição ou vinculação e seguros contratados.</w:t>
      </w:r>
    </w:p>
    <w:p w14:paraId="3C6FDB37" w14:textId="77777777" w:rsidR="000E179F" w:rsidRPr="000E179F" w:rsidRDefault="000E179F" w:rsidP="000E179F">
      <w:pPr>
        <w:autoSpaceDE w:val="0"/>
        <w:autoSpaceDN w:val="0"/>
        <w:adjustRightInd w:val="0"/>
        <w:jc w:val="both"/>
        <w:rPr>
          <w:sz w:val="24"/>
          <w:szCs w:val="24"/>
        </w:rPr>
      </w:pPr>
      <w:r w:rsidRPr="000E179F">
        <w:rPr>
          <w:sz w:val="24"/>
          <w:szCs w:val="24"/>
        </w:rPr>
        <w:t xml:space="preserve">A apresentação das demonstrações contábeis acompanhadas de notas explicativas aumenta o nível de qualidade e de transparência das informações. Portanto, considera-se essencial a entidade elaborar e divulgar tais informações aos seus usuários. </w:t>
      </w:r>
    </w:p>
    <w:p w14:paraId="7FEFC166" w14:textId="77777777" w:rsidR="000E179F" w:rsidRPr="000E179F" w:rsidRDefault="000E179F" w:rsidP="005F1F95">
      <w:pPr>
        <w:pStyle w:val="Ttulo2"/>
        <w:numPr>
          <w:ilvl w:val="1"/>
          <w:numId w:val="22"/>
        </w:numPr>
        <w:rPr>
          <w:rFonts w:cs="Times New Roman"/>
          <w:szCs w:val="24"/>
        </w:rPr>
      </w:pPr>
      <w:r w:rsidRPr="000E179F">
        <w:rPr>
          <w:rFonts w:cs="Times New Roman"/>
          <w:szCs w:val="24"/>
        </w:rPr>
        <w:t>Estudos Anteriores</w:t>
      </w:r>
    </w:p>
    <w:p w14:paraId="2BDB5FBD" w14:textId="77777777" w:rsidR="000E179F" w:rsidRPr="001443BE" w:rsidRDefault="000E179F" w:rsidP="00BC0476">
      <w:pPr>
        <w:jc w:val="both"/>
        <w:rPr>
          <w:szCs w:val="24"/>
        </w:rPr>
      </w:pPr>
    </w:p>
    <w:p w14:paraId="19F4AEE7" w14:textId="2080F090" w:rsidR="000E179F" w:rsidRPr="00784BCA" w:rsidRDefault="000E179F" w:rsidP="000E179F">
      <w:pPr>
        <w:ind w:firstLine="576"/>
        <w:jc w:val="both"/>
        <w:rPr>
          <w:sz w:val="24"/>
          <w:szCs w:val="24"/>
        </w:rPr>
      </w:pPr>
      <w:r w:rsidRPr="000E179F">
        <w:rPr>
          <w:sz w:val="24"/>
          <w:szCs w:val="24"/>
        </w:rPr>
        <w:t xml:space="preserve">As entidades do terceiro setor, assim como as empresas privadas e os órgãos públicos, devem seguir práticas contábeis de acordo com as leis e regulamentos. Vários estudos têm buscado mostrar a importância da elaboração das demonstrações financeiras das entidades do terceiro setor, de acordo com as normas contábeis que ditam como devem ser essas </w:t>
      </w:r>
      <w:r w:rsidRPr="005B31B1">
        <w:rPr>
          <w:sz w:val="24"/>
          <w:szCs w:val="24"/>
        </w:rPr>
        <w:t xml:space="preserve">demonstrações </w:t>
      </w:r>
      <w:r w:rsidRPr="00784BCA">
        <w:rPr>
          <w:sz w:val="24"/>
          <w:szCs w:val="24"/>
        </w:rPr>
        <w:t>(S</w:t>
      </w:r>
      <w:r w:rsidR="00F06D03" w:rsidRPr="00F97199">
        <w:rPr>
          <w:sz w:val="24"/>
          <w:szCs w:val="24"/>
        </w:rPr>
        <w:t xml:space="preserve">ilva </w:t>
      </w:r>
      <w:r w:rsidR="00F06D03" w:rsidRPr="00F97199">
        <w:rPr>
          <w:i/>
          <w:sz w:val="24"/>
          <w:szCs w:val="24"/>
        </w:rPr>
        <w:t>et al</w:t>
      </w:r>
      <w:r w:rsidR="00F06D03" w:rsidRPr="00F97199">
        <w:rPr>
          <w:sz w:val="24"/>
          <w:szCs w:val="24"/>
        </w:rPr>
        <w:t>., 2016).</w:t>
      </w:r>
    </w:p>
    <w:p w14:paraId="5AE69435" w14:textId="77777777" w:rsidR="000E179F" w:rsidRPr="00BC0476" w:rsidRDefault="000E179F" w:rsidP="00BC0476">
      <w:pPr>
        <w:ind w:firstLine="709"/>
        <w:jc w:val="both"/>
        <w:rPr>
          <w:sz w:val="24"/>
          <w:szCs w:val="24"/>
          <w:shd w:val="clear" w:color="auto" w:fill="FFFFFF"/>
        </w:rPr>
      </w:pPr>
      <w:r w:rsidRPr="00440138">
        <w:rPr>
          <w:sz w:val="24"/>
          <w:szCs w:val="24"/>
        </w:rPr>
        <w:t xml:space="preserve">Borba, Pereira e Vieira (2007) </w:t>
      </w:r>
      <w:r w:rsidRPr="000E179F">
        <w:rPr>
          <w:sz w:val="24"/>
          <w:szCs w:val="24"/>
        </w:rPr>
        <w:t xml:space="preserve">buscaram em seu estudo </w:t>
      </w:r>
      <w:r w:rsidRPr="000E179F">
        <w:rPr>
          <w:sz w:val="24"/>
          <w:szCs w:val="24"/>
          <w:shd w:val="clear" w:color="auto" w:fill="FFFFFF"/>
        </w:rPr>
        <w:t xml:space="preserve">verificar se as elaborações das demonstrações contábeis das fundações privadas mantenedoras de universidades de Santa Catarina estão de acordo com as normas aplicáveis as Entidades sem Fins Lucrativos, e também procuraram verificar se estas demonstrações estão publicadas em seus </w:t>
      </w:r>
      <w:r w:rsidRPr="000E179F">
        <w:rPr>
          <w:i/>
          <w:sz w:val="24"/>
          <w:szCs w:val="24"/>
          <w:shd w:val="clear" w:color="auto" w:fill="FFFFFF"/>
        </w:rPr>
        <w:t>sites</w:t>
      </w:r>
      <w:r w:rsidRPr="000E179F">
        <w:rPr>
          <w:sz w:val="24"/>
          <w:szCs w:val="24"/>
          <w:shd w:val="clear" w:color="auto" w:fill="FFFFFF"/>
        </w:rPr>
        <w:t xml:space="preserve"> na internet.</w:t>
      </w:r>
      <w:r w:rsidRPr="000E179F">
        <w:rPr>
          <w:rStyle w:val="apple-converted-space"/>
          <w:sz w:val="24"/>
          <w:szCs w:val="24"/>
          <w:shd w:val="clear" w:color="auto" w:fill="FFFFFF"/>
        </w:rPr>
        <w:t xml:space="preserve"> Os autores concluíram que </w:t>
      </w:r>
      <w:r w:rsidRPr="000E179F">
        <w:rPr>
          <w:sz w:val="24"/>
          <w:szCs w:val="24"/>
          <w:shd w:val="clear" w:color="auto" w:fill="FFFFFF"/>
        </w:rPr>
        <w:t xml:space="preserve">as fundações estudadas não cumprem todas as determinações das </w:t>
      </w:r>
      <w:r w:rsidRPr="000E179F">
        <w:rPr>
          <w:sz w:val="24"/>
          <w:szCs w:val="24"/>
          <w:shd w:val="clear" w:color="auto" w:fill="FFFFFF"/>
        </w:rPr>
        <w:lastRenderedPageBreak/>
        <w:t xml:space="preserve">normas, e que mais da metade das fundações não apresentam as demonstrações contábeis em seus </w:t>
      </w:r>
      <w:r w:rsidRPr="000E179F">
        <w:rPr>
          <w:i/>
          <w:sz w:val="24"/>
          <w:szCs w:val="24"/>
          <w:shd w:val="clear" w:color="auto" w:fill="FFFFFF"/>
        </w:rPr>
        <w:t>sites</w:t>
      </w:r>
      <w:r w:rsidRPr="000E179F">
        <w:rPr>
          <w:sz w:val="24"/>
          <w:szCs w:val="24"/>
          <w:shd w:val="clear" w:color="auto" w:fill="FFFFFF"/>
        </w:rPr>
        <w:t>.</w:t>
      </w:r>
    </w:p>
    <w:p w14:paraId="5AD0893F" w14:textId="77777777" w:rsidR="000E179F" w:rsidRPr="000E179F" w:rsidRDefault="000E179F" w:rsidP="000E179F">
      <w:pPr>
        <w:ind w:firstLine="708"/>
        <w:jc w:val="both"/>
        <w:rPr>
          <w:sz w:val="24"/>
          <w:szCs w:val="24"/>
        </w:rPr>
      </w:pPr>
      <w:r w:rsidRPr="00784BCA">
        <w:rPr>
          <w:sz w:val="24"/>
          <w:szCs w:val="24"/>
        </w:rPr>
        <w:t xml:space="preserve">Silveira e Borba (2010) desenvolveram </w:t>
      </w:r>
      <w:r w:rsidRPr="000E179F">
        <w:rPr>
          <w:sz w:val="24"/>
          <w:szCs w:val="24"/>
        </w:rPr>
        <w:t>uma pesquisa que buscava analisar a conformidade das prestações de contas com as normas contábeis estabelecidas das fundações da área de educação e pesquisa de Santa Catarina. Com base nas normas contábeis, os autores produziram uma listagem de aspectos relacionados às fundações, que em seguida foi verificada as prestações de contas. Os dados usados eram do Ministério Público de Santa Catarina e o estudo foi elaborado com 39 fundações, nos anos de 2004, 2005 e 2006. Os resultados foram apresentados por tipo de evidenciação contábil analisado, os quais apresentaram um nível geral de conformidade das demonstrações contábeis de aproximadamente 67%. Esse índice aponta a necessidade do aprimoramento da transparência, bem como a conscientização das fundações sobre a utilização das normas específicas relacionadas ao terceiro setor.</w:t>
      </w:r>
    </w:p>
    <w:p w14:paraId="0D2E277B" w14:textId="40095270" w:rsidR="000E179F" w:rsidRPr="000E179F" w:rsidRDefault="000E179F" w:rsidP="000E179F">
      <w:pPr>
        <w:ind w:firstLine="708"/>
        <w:jc w:val="both"/>
        <w:rPr>
          <w:sz w:val="24"/>
          <w:szCs w:val="24"/>
        </w:rPr>
      </w:pPr>
      <w:r w:rsidRPr="00784BCA">
        <w:rPr>
          <w:sz w:val="24"/>
          <w:szCs w:val="24"/>
        </w:rPr>
        <w:t>Chagas</w:t>
      </w:r>
      <w:r w:rsidR="00440138" w:rsidRPr="00784BCA">
        <w:rPr>
          <w:sz w:val="24"/>
          <w:szCs w:val="24"/>
        </w:rPr>
        <w:t xml:space="preserve"> </w:t>
      </w:r>
      <w:r w:rsidR="00440138" w:rsidRPr="00784BCA">
        <w:rPr>
          <w:i/>
          <w:sz w:val="24"/>
          <w:szCs w:val="24"/>
        </w:rPr>
        <w:t>et al.</w:t>
      </w:r>
      <w:r w:rsidRPr="00784BCA">
        <w:rPr>
          <w:sz w:val="24"/>
          <w:szCs w:val="24"/>
        </w:rPr>
        <w:t xml:space="preserve"> (2011), </w:t>
      </w:r>
      <w:r w:rsidRPr="00784BCA">
        <w:rPr>
          <w:rFonts w:eastAsiaTheme="minorHAnsi"/>
          <w:sz w:val="24"/>
          <w:szCs w:val="24"/>
          <w:lang w:eastAsia="en-US"/>
        </w:rPr>
        <w:t xml:space="preserve">analisaram </w:t>
      </w:r>
      <w:r w:rsidRPr="000E179F">
        <w:rPr>
          <w:rFonts w:eastAsiaTheme="minorHAnsi"/>
          <w:sz w:val="24"/>
          <w:szCs w:val="24"/>
          <w:lang w:eastAsia="en-US"/>
        </w:rPr>
        <w:t xml:space="preserve">em seu estudo a forma de evidenciação das subvenções e assistências governamentais auferidas pelas </w:t>
      </w:r>
      <w:proofErr w:type="spellStart"/>
      <w:r w:rsidRPr="000E179F">
        <w:rPr>
          <w:rFonts w:eastAsiaTheme="minorHAnsi"/>
          <w:sz w:val="24"/>
          <w:szCs w:val="24"/>
          <w:lang w:eastAsia="en-US"/>
        </w:rPr>
        <w:t>OSCIPs</w:t>
      </w:r>
      <w:proofErr w:type="spellEnd"/>
      <w:r w:rsidRPr="000E179F">
        <w:rPr>
          <w:rFonts w:eastAsiaTheme="minorHAnsi"/>
          <w:sz w:val="24"/>
          <w:szCs w:val="24"/>
          <w:lang w:eastAsia="en-US"/>
        </w:rPr>
        <w:t xml:space="preserve"> estabelecidas nos Estados da Paraíba e Rio Grande do Norte em 2008. Como resultado, concluiu-se que as Demonstrações Contábeis evidenciam os recursos obtidos pelas entidades conforme estabelece o Pronunciamento Técnico CPC 07 e a Norma Brasileira de Contabilidade Técnica 19.4, devendo as assistências e subvenções governamentais serem evidenciadas na Demonstração do Resultado do Exercício, como receita ao longo do período, confrontada com a despesa que pretende compensar, e não creditada diretamente no Patrimônio Líquido.</w:t>
      </w:r>
    </w:p>
    <w:p w14:paraId="4F104FC4" w14:textId="77777777" w:rsidR="002513A8" w:rsidRDefault="000E179F" w:rsidP="002513A8">
      <w:pPr>
        <w:ind w:firstLine="708"/>
        <w:jc w:val="both"/>
        <w:rPr>
          <w:sz w:val="24"/>
          <w:szCs w:val="24"/>
          <w:shd w:val="clear" w:color="auto" w:fill="FFFFFF"/>
        </w:rPr>
      </w:pPr>
      <w:r w:rsidRPr="000E179F">
        <w:rPr>
          <w:sz w:val="24"/>
          <w:szCs w:val="24"/>
        </w:rPr>
        <w:t xml:space="preserve">O estudo realizado </w:t>
      </w:r>
      <w:r w:rsidRPr="00784BCA">
        <w:rPr>
          <w:sz w:val="24"/>
          <w:szCs w:val="24"/>
        </w:rPr>
        <w:t xml:space="preserve">por Piza </w:t>
      </w:r>
      <w:r w:rsidRPr="00784BCA">
        <w:rPr>
          <w:i/>
          <w:sz w:val="24"/>
          <w:szCs w:val="24"/>
        </w:rPr>
        <w:t>et al</w:t>
      </w:r>
      <w:r w:rsidRPr="00784BCA">
        <w:rPr>
          <w:sz w:val="24"/>
          <w:szCs w:val="24"/>
        </w:rPr>
        <w:t xml:space="preserve">. (2012) teve o intuito </w:t>
      </w:r>
      <w:r w:rsidRPr="000E179F">
        <w:rPr>
          <w:sz w:val="24"/>
          <w:szCs w:val="24"/>
        </w:rPr>
        <w:t xml:space="preserve">de investigar as práticas contábeis de entidades do terceiro setor de diversas fundações do estado de São Paulo. Foram analisadas seis organizações sem fins lucrativos de diversos tamanhos e atividades, realizadas no ano de 2010. </w:t>
      </w:r>
      <w:r w:rsidRPr="000E179F">
        <w:rPr>
          <w:sz w:val="24"/>
          <w:szCs w:val="24"/>
          <w:shd w:val="clear" w:color="auto" w:fill="FFFFFF"/>
        </w:rPr>
        <w:t>Os resultados da pesquisa apresentados pelos autores indicam que as normas brasileiras de contabilidade têm como foco as sociedades anônimas e pouco agregam para a mensuração e evidenciação das atividades das organizações sociais civis.</w:t>
      </w:r>
    </w:p>
    <w:p w14:paraId="582A2A82" w14:textId="3FD1000C" w:rsidR="000E179F" w:rsidRPr="000E179F" w:rsidRDefault="000E179F" w:rsidP="002513A8">
      <w:pPr>
        <w:ind w:firstLine="708"/>
        <w:jc w:val="both"/>
        <w:rPr>
          <w:sz w:val="24"/>
          <w:szCs w:val="24"/>
          <w:shd w:val="clear" w:color="auto" w:fill="FFFFFF"/>
        </w:rPr>
      </w:pPr>
      <w:r w:rsidRPr="00784BCA">
        <w:rPr>
          <w:sz w:val="24"/>
          <w:szCs w:val="24"/>
        </w:rPr>
        <w:t xml:space="preserve">Ramos e </w:t>
      </w:r>
      <w:proofErr w:type="spellStart"/>
      <w:r w:rsidRPr="00784BCA">
        <w:rPr>
          <w:sz w:val="24"/>
          <w:szCs w:val="24"/>
        </w:rPr>
        <w:t>Klann</w:t>
      </w:r>
      <w:proofErr w:type="spellEnd"/>
      <w:r w:rsidRPr="00784BCA">
        <w:rPr>
          <w:sz w:val="24"/>
          <w:szCs w:val="24"/>
        </w:rPr>
        <w:t xml:space="preserve"> (2015) verificaram</w:t>
      </w:r>
      <w:r w:rsidRPr="00784BCA">
        <w:rPr>
          <w:sz w:val="24"/>
          <w:szCs w:val="24"/>
          <w:shd w:val="clear" w:color="auto" w:fill="FFFFFF"/>
        </w:rPr>
        <w:t xml:space="preserve"> </w:t>
      </w:r>
      <w:r w:rsidRPr="000E179F">
        <w:rPr>
          <w:sz w:val="24"/>
          <w:szCs w:val="24"/>
          <w:shd w:val="clear" w:color="auto" w:fill="FFFFFF"/>
        </w:rPr>
        <w:t>a qualidade da informação contábil das organizações do terceiro setor no Brasil.</w:t>
      </w:r>
      <w:r w:rsidRPr="000E179F">
        <w:rPr>
          <w:rStyle w:val="apple-converted-space"/>
          <w:sz w:val="24"/>
          <w:szCs w:val="24"/>
          <w:shd w:val="clear" w:color="auto" w:fill="FFFFFF"/>
        </w:rPr>
        <w:t xml:space="preserve"> A análise dos dados se deu por meio de estatística descritiva, onde os resultados apresentaram um baixo nível </w:t>
      </w:r>
      <w:r w:rsidRPr="000E179F">
        <w:rPr>
          <w:sz w:val="24"/>
          <w:szCs w:val="24"/>
          <w:shd w:val="clear" w:color="auto" w:fill="FFFFFF"/>
        </w:rPr>
        <w:t>de qualidade das informações contábeis nas organizações sem fins lucrativos, quando comparadas a organizações com fins lucrativos. Concluíram com o estudo que as entidades da amostra apresentam baixo nível de qualidade da informação contábil.</w:t>
      </w:r>
    </w:p>
    <w:p w14:paraId="64ADAB85" w14:textId="7C7F009E" w:rsidR="000E179F" w:rsidRPr="000E179F" w:rsidRDefault="000E179F" w:rsidP="000E179F">
      <w:pPr>
        <w:ind w:firstLine="708"/>
        <w:jc w:val="both"/>
        <w:rPr>
          <w:sz w:val="24"/>
          <w:szCs w:val="24"/>
        </w:rPr>
      </w:pPr>
      <w:r w:rsidRPr="00784BCA">
        <w:rPr>
          <w:sz w:val="24"/>
          <w:szCs w:val="24"/>
          <w:shd w:val="clear" w:color="auto" w:fill="FFFFFF"/>
        </w:rPr>
        <w:t xml:space="preserve">Santos, </w:t>
      </w:r>
      <w:proofErr w:type="spellStart"/>
      <w:r w:rsidRPr="00784BCA">
        <w:rPr>
          <w:sz w:val="24"/>
          <w:szCs w:val="24"/>
          <w:shd w:val="clear" w:color="auto" w:fill="FFFFFF"/>
        </w:rPr>
        <w:t>Gaiot</w:t>
      </w:r>
      <w:proofErr w:type="spellEnd"/>
      <w:r w:rsidRPr="00784BCA">
        <w:rPr>
          <w:sz w:val="24"/>
          <w:szCs w:val="24"/>
          <w:shd w:val="clear" w:color="auto" w:fill="FFFFFF"/>
        </w:rPr>
        <w:t xml:space="preserve"> e </w:t>
      </w:r>
      <w:r w:rsidR="002D3B27">
        <w:rPr>
          <w:sz w:val="24"/>
          <w:szCs w:val="24"/>
          <w:shd w:val="clear" w:color="auto" w:fill="FFFFFF"/>
        </w:rPr>
        <w:t>Milani Filho (2015)</w:t>
      </w:r>
      <w:r w:rsidRPr="00784BCA">
        <w:rPr>
          <w:sz w:val="24"/>
          <w:szCs w:val="24"/>
          <w:shd w:val="clear" w:color="auto" w:fill="FFFFFF"/>
        </w:rPr>
        <w:t>, de</w:t>
      </w:r>
      <w:r w:rsidRPr="000E179F">
        <w:rPr>
          <w:sz w:val="24"/>
          <w:szCs w:val="24"/>
          <w:shd w:val="clear" w:color="auto" w:fill="FFFFFF"/>
        </w:rPr>
        <w:t xml:space="preserve">senvolveram uma pesquisa para </w:t>
      </w:r>
      <w:r w:rsidRPr="000E179F">
        <w:rPr>
          <w:sz w:val="24"/>
          <w:szCs w:val="24"/>
        </w:rPr>
        <w:t xml:space="preserve">apurar se há diferença estatística significativa no nível de divulgação informacional voluntária das Instituições de Ensino Superior. Essa análise se deu por meio de pesquisa descritiva e documental. Os resultados desse estudo indicaram que não há diferença significativa entre os níveis de </w:t>
      </w:r>
      <w:proofErr w:type="spellStart"/>
      <w:r w:rsidRPr="000E179F">
        <w:rPr>
          <w:i/>
          <w:sz w:val="24"/>
          <w:szCs w:val="24"/>
        </w:rPr>
        <w:t>disclosure</w:t>
      </w:r>
      <w:proofErr w:type="spellEnd"/>
      <w:r w:rsidRPr="000E179F">
        <w:rPr>
          <w:sz w:val="24"/>
          <w:szCs w:val="24"/>
        </w:rPr>
        <w:t xml:space="preserve"> dos grupos em questão, onde permite-se supor que a maioria das Instituições de Ensino Superior analisadas enfatizam mais o passado do que as perspectivas futuras.</w:t>
      </w:r>
    </w:p>
    <w:p w14:paraId="2E6DA260" w14:textId="4416979A" w:rsidR="000E179F" w:rsidRDefault="000E179F" w:rsidP="00BC0476">
      <w:pPr>
        <w:ind w:firstLine="709"/>
        <w:jc w:val="both"/>
        <w:rPr>
          <w:sz w:val="24"/>
          <w:szCs w:val="24"/>
        </w:rPr>
      </w:pPr>
      <w:proofErr w:type="spellStart"/>
      <w:r w:rsidRPr="00784BCA">
        <w:rPr>
          <w:sz w:val="24"/>
          <w:szCs w:val="24"/>
        </w:rPr>
        <w:t>Zittei</w:t>
      </w:r>
      <w:proofErr w:type="spellEnd"/>
      <w:r w:rsidR="00440138" w:rsidRPr="00F97199">
        <w:rPr>
          <w:sz w:val="24"/>
          <w:szCs w:val="24"/>
        </w:rPr>
        <w:t xml:space="preserve"> </w:t>
      </w:r>
      <w:r w:rsidR="00440138" w:rsidRPr="00F97199">
        <w:rPr>
          <w:i/>
          <w:sz w:val="24"/>
          <w:szCs w:val="24"/>
        </w:rPr>
        <w:t xml:space="preserve">et al. </w:t>
      </w:r>
      <w:r w:rsidRPr="00784BCA">
        <w:rPr>
          <w:sz w:val="24"/>
          <w:szCs w:val="24"/>
        </w:rPr>
        <w:t xml:space="preserve">(2016) identificaram </w:t>
      </w:r>
      <w:r w:rsidRPr="000E179F">
        <w:rPr>
          <w:sz w:val="24"/>
          <w:szCs w:val="24"/>
        </w:rPr>
        <w:t>o nível de evidenciação contábil das entidades do terceiro setor participantes do projeto de Desenvolvimento de Princípios de Transparência e Prestação de Contas em Organizações da Sociedade Civil – BID. A análise realizou-se por meio de pesquisa descritiva e documental, com abordagem quantitativa. O nível médio de evidenciação das entidades participantes do projeto analisado foi de 27%, um índice considerado baixo, que pode denotar a não percepção por essas entidades da importância da prestação de contas e transparência desse setor.</w:t>
      </w:r>
    </w:p>
    <w:p w14:paraId="150FD8E5" w14:textId="183C79AD" w:rsidR="00F342A9" w:rsidRDefault="00F342A9" w:rsidP="00BC0476">
      <w:pPr>
        <w:ind w:firstLine="709"/>
        <w:jc w:val="both"/>
        <w:rPr>
          <w:color w:val="000000"/>
          <w:sz w:val="24"/>
          <w:szCs w:val="24"/>
        </w:rPr>
      </w:pPr>
      <w:r>
        <w:rPr>
          <w:sz w:val="24"/>
          <w:szCs w:val="24"/>
        </w:rPr>
        <w:t xml:space="preserve">O estudo de </w:t>
      </w:r>
      <w:r w:rsidRPr="00F342A9">
        <w:rPr>
          <w:sz w:val="24"/>
          <w:szCs w:val="24"/>
        </w:rPr>
        <w:t>Andr</w:t>
      </w:r>
      <w:r>
        <w:rPr>
          <w:sz w:val="24"/>
          <w:szCs w:val="24"/>
        </w:rPr>
        <w:t xml:space="preserve">ade, Neves e Casagrande (2017), buscou analisar </w:t>
      </w:r>
      <w:r w:rsidRPr="00F342A9">
        <w:rPr>
          <w:color w:val="000000"/>
          <w:sz w:val="24"/>
          <w:szCs w:val="24"/>
        </w:rPr>
        <w:t xml:space="preserve">o grau de conformidade das demonstrações contábeis da </w:t>
      </w:r>
      <w:proofErr w:type="spellStart"/>
      <w:r w:rsidRPr="00F342A9">
        <w:rPr>
          <w:color w:val="000000"/>
          <w:sz w:val="24"/>
          <w:szCs w:val="24"/>
        </w:rPr>
        <w:t>Orionópolis</w:t>
      </w:r>
      <w:proofErr w:type="spellEnd"/>
      <w:r w:rsidRPr="00F342A9">
        <w:rPr>
          <w:color w:val="000000"/>
          <w:sz w:val="24"/>
          <w:szCs w:val="24"/>
        </w:rPr>
        <w:t xml:space="preserve"> Catarinense</w:t>
      </w:r>
      <w:r>
        <w:rPr>
          <w:color w:val="000000"/>
          <w:sz w:val="24"/>
          <w:szCs w:val="24"/>
        </w:rPr>
        <w:t xml:space="preserve">. </w:t>
      </w:r>
      <w:r w:rsidRPr="00F342A9">
        <w:rPr>
          <w:color w:val="000000"/>
          <w:sz w:val="24"/>
          <w:szCs w:val="24"/>
        </w:rPr>
        <w:t xml:space="preserve">A pesquisa se trata de um estudo de caso embasado em pesquisa documental, </w:t>
      </w:r>
      <w:r>
        <w:rPr>
          <w:color w:val="000000"/>
          <w:sz w:val="24"/>
          <w:szCs w:val="24"/>
        </w:rPr>
        <w:t xml:space="preserve">e os dados foram extraídos a partir das demonstrações contábeis e notas explicativas do período de 2013 a 2015, bem como do Estatuto </w:t>
      </w:r>
      <w:r>
        <w:rPr>
          <w:color w:val="000000"/>
          <w:sz w:val="24"/>
          <w:szCs w:val="24"/>
        </w:rPr>
        <w:lastRenderedPageBreak/>
        <w:t xml:space="preserve">Social da associação. </w:t>
      </w:r>
      <w:r w:rsidRPr="00F342A9">
        <w:rPr>
          <w:color w:val="000000"/>
          <w:sz w:val="24"/>
          <w:szCs w:val="24"/>
        </w:rPr>
        <w:t xml:space="preserve">Para </w:t>
      </w:r>
      <w:r>
        <w:rPr>
          <w:color w:val="000000"/>
          <w:sz w:val="24"/>
          <w:szCs w:val="24"/>
        </w:rPr>
        <w:t>constatar tal</w:t>
      </w:r>
      <w:r w:rsidRPr="00F342A9">
        <w:rPr>
          <w:color w:val="000000"/>
          <w:sz w:val="24"/>
          <w:szCs w:val="24"/>
        </w:rPr>
        <w:t xml:space="preserve"> evidenciação contábil, </w:t>
      </w:r>
      <w:r>
        <w:rPr>
          <w:color w:val="000000"/>
          <w:sz w:val="24"/>
          <w:szCs w:val="24"/>
        </w:rPr>
        <w:t>elaborou-se</w:t>
      </w:r>
      <w:r w:rsidRPr="00F342A9">
        <w:rPr>
          <w:color w:val="000000"/>
          <w:sz w:val="24"/>
          <w:szCs w:val="24"/>
        </w:rPr>
        <w:t xml:space="preserve"> </w:t>
      </w:r>
      <w:r w:rsidR="005F1F95">
        <w:rPr>
          <w:color w:val="000000"/>
          <w:sz w:val="24"/>
          <w:szCs w:val="24"/>
        </w:rPr>
        <w:t xml:space="preserve">um </w:t>
      </w:r>
      <w:r w:rsidR="005F1F95" w:rsidRPr="005F1F95">
        <w:rPr>
          <w:i/>
          <w:color w:val="000000"/>
          <w:sz w:val="24"/>
          <w:szCs w:val="24"/>
        </w:rPr>
        <w:t>checklist</w:t>
      </w:r>
      <w:r w:rsidRPr="005F1F95">
        <w:rPr>
          <w:i/>
          <w:color w:val="000000"/>
          <w:sz w:val="24"/>
          <w:szCs w:val="24"/>
        </w:rPr>
        <w:t xml:space="preserve"> </w:t>
      </w:r>
      <w:r w:rsidR="005F1F95">
        <w:rPr>
          <w:color w:val="000000"/>
          <w:sz w:val="24"/>
          <w:szCs w:val="24"/>
        </w:rPr>
        <w:t>fundamentado</w:t>
      </w:r>
      <w:r w:rsidRPr="00F342A9">
        <w:rPr>
          <w:color w:val="000000"/>
          <w:sz w:val="24"/>
          <w:szCs w:val="24"/>
        </w:rPr>
        <w:t xml:space="preserve"> nas normas contábeis</w:t>
      </w:r>
      <w:r w:rsidR="005F1F95">
        <w:rPr>
          <w:color w:val="000000"/>
          <w:sz w:val="24"/>
          <w:szCs w:val="24"/>
        </w:rPr>
        <w:t>, a fim de confrontar os determinados itens</w:t>
      </w:r>
      <w:r w:rsidRPr="00F342A9">
        <w:rPr>
          <w:color w:val="000000"/>
          <w:sz w:val="24"/>
          <w:szCs w:val="24"/>
        </w:rPr>
        <w:t xml:space="preserve"> com os documentos em análise.</w:t>
      </w:r>
    </w:p>
    <w:p w14:paraId="6314ACED" w14:textId="7F3A6408" w:rsidR="002D3B27" w:rsidRPr="00BC652F" w:rsidRDefault="00BC652F" w:rsidP="00BC652F">
      <w:pPr>
        <w:pStyle w:val="Default"/>
        <w:jc w:val="both"/>
      </w:pPr>
      <w:r>
        <w:tab/>
      </w:r>
      <w:r w:rsidR="002D3B27">
        <w:t xml:space="preserve">Philippe, Feliciano e Silva (2017), por sua vez, analisaram a conformidade das demonstrações contábeis com as normas contábeis vigentes das Fundações do Sistema </w:t>
      </w:r>
      <w:proofErr w:type="spellStart"/>
      <w:r w:rsidR="002D3B27">
        <w:t>Acafe</w:t>
      </w:r>
      <w:proofErr w:type="spellEnd"/>
      <w:r w:rsidR="002D3B27">
        <w:t xml:space="preserve">. A análise seu deu por meio de pesquisa exploratória e documental. </w:t>
      </w:r>
      <w:r>
        <w:t>Como meio de analisar a conformidade, utilizou-se</w:t>
      </w:r>
      <w:r w:rsidRPr="00F342A9">
        <w:t xml:space="preserve"> </w:t>
      </w:r>
      <w:r>
        <w:t xml:space="preserve">um </w:t>
      </w:r>
      <w:r w:rsidRPr="00BC652F">
        <w:rPr>
          <w:i/>
        </w:rPr>
        <w:t xml:space="preserve">checklist </w:t>
      </w:r>
      <w:r w:rsidRPr="00BC652F">
        <w:t xml:space="preserve">fundamentado nas normas contábeis. </w:t>
      </w:r>
    </w:p>
    <w:p w14:paraId="3EFAFE70" w14:textId="77777777" w:rsidR="000E179F" w:rsidRPr="000E179F" w:rsidRDefault="000E179F" w:rsidP="000E179F">
      <w:pPr>
        <w:ind w:firstLine="708"/>
        <w:jc w:val="both"/>
        <w:rPr>
          <w:sz w:val="24"/>
          <w:szCs w:val="24"/>
        </w:rPr>
      </w:pPr>
      <w:r w:rsidRPr="000E179F">
        <w:rPr>
          <w:sz w:val="24"/>
          <w:szCs w:val="24"/>
        </w:rPr>
        <w:t xml:space="preserve">As pesquisas apontam que o nível de </w:t>
      </w:r>
      <w:proofErr w:type="spellStart"/>
      <w:r w:rsidRPr="000E179F">
        <w:rPr>
          <w:i/>
          <w:sz w:val="24"/>
          <w:szCs w:val="24"/>
        </w:rPr>
        <w:t>disclosure</w:t>
      </w:r>
      <w:proofErr w:type="spellEnd"/>
      <w:r w:rsidRPr="000E179F">
        <w:rPr>
          <w:sz w:val="24"/>
          <w:szCs w:val="24"/>
        </w:rPr>
        <w:t xml:space="preserve"> das entidades é pequeno e o nível de atendimento às normas específicas é relativamente baixo. Com isso percebe-se que há grande mercado para contadores que se especializarem em Contabilidade para o Terceiro Setor atuarem.</w:t>
      </w:r>
    </w:p>
    <w:p w14:paraId="2E2B6F34" w14:textId="77777777" w:rsidR="00875484" w:rsidRPr="000E179F" w:rsidRDefault="00875484" w:rsidP="000E179F">
      <w:pPr>
        <w:jc w:val="both"/>
        <w:rPr>
          <w:sz w:val="24"/>
          <w:szCs w:val="24"/>
        </w:rPr>
      </w:pPr>
    </w:p>
    <w:p w14:paraId="1D2978FC" w14:textId="2B126F74" w:rsidR="000E179F" w:rsidRPr="00896BD9" w:rsidRDefault="005F1F95" w:rsidP="005F1F95">
      <w:pPr>
        <w:pStyle w:val="Ttulo1"/>
        <w:numPr>
          <w:ilvl w:val="0"/>
          <w:numId w:val="0"/>
        </w:numPr>
        <w:ind w:left="432" w:hanging="432"/>
      </w:pPr>
      <w:r w:rsidRPr="00896BD9">
        <w:t xml:space="preserve">3 </w:t>
      </w:r>
      <w:r w:rsidR="00A5087F" w:rsidRPr="00896BD9">
        <w:t>Metodologia</w:t>
      </w:r>
    </w:p>
    <w:p w14:paraId="5B13237A" w14:textId="77777777" w:rsidR="000E179F" w:rsidRPr="00896BD9" w:rsidRDefault="000E179F" w:rsidP="000E179F">
      <w:pPr>
        <w:jc w:val="both"/>
        <w:rPr>
          <w:sz w:val="24"/>
          <w:szCs w:val="24"/>
        </w:rPr>
      </w:pPr>
    </w:p>
    <w:p w14:paraId="5673B2BC" w14:textId="26580AF3" w:rsidR="000E179F" w:rsidRPr="00316CC7" w:rsidRDefault="000E179F" w:rsidP="000E179F">
      <w:pPr>
        <w:ind w:firstLine="708"/>
        <w:jc w:val="both"/>
        <w:rPr>
          <w:color w:val="FF0000"/>
          <w:sz w:val="24"/>
          <w:szCs w:val="24"/>
        </w:rPr>
      </w:pPr>
      <w:r w:rsidRPr="000E179F">
        <w:rPr>
          <w:sz w:val="24"/>
          <w:szCs w:val="24"/>
        </w:rPr>
        <w:t xml:space="preserve">A presente pesquisa caracteriza-se como um estudo de caso, por buscar o aprofundamento do conhecimento a respeito da evidenciação contábil de uma única organização </w:t>
      </w:r>
      <w:r w:rsidRPr="00784BCA">
        <w:rPr>
          <w:sz w:val="24"/>
          <w:szCs w:val="24"/>
        </w:rPr>
        <w:t>(G</w:t>
      </w:r>
      <w:r w:rsidR="00F06D03" w:rsidRPr="00784BCA">
        <w:rPr>
          <w:sz w:val="24"/>
          <w:szCs w:val="24"/>
        </w:rPr>
        <w:t>il</w:t>
      </w:r>
      <w:r w:rsidRPr="00784BCA">
        <w:rPr>
          <w:sz w:val="24"/>
          <w:szCs w:val="24"/>
        </w:rPr>
        <w:t xml:space="preserve">, 2010). Classifica-se como uma pesquisa documental pelo fato do </w:t>
      </w:r>
      <w:r w:rsidRPr="00440138">
        <w:rPr>
          <w:sz w:val="24"/>
          <w:szCs w:val="24"/>
        </w:rPr>
        <w:t>material consultado ser interno à organização, conforme Gil (2010).</w:t>
      </w:r>
    </w:p>
    <w:p w14:paraId="2F9CBE13" w14:textId="7B66FB0D" w:rsidR="000E179F" w:rsidRPr="000E179F" w:rsidRDefault="000E179F" w:rsidP="005F1F95">
      <w:pPr>
        <w:pStyle w:val="Ttulo2"/>
        <w:numPr>
          <w:ilvl w:val="1"/>
          <w:numId w:val="23"/>
        </w:numPr>
        <w:rPr>
          <w:rFonts w:cs="Times New Roman"/>
          <w:szCs w:val="24"/>
        </w:rPr>
      </w:pPr>
      <w:r w:rsidRPr="000E179F">
        <w:rPr>
          <w:rFonts w:cs="Times New Roman"/>
          <w:szCs w:val="24"/>
        </w:rPr>
        <w:t>Coleta e Análise dos Dados</w:t>
      </w:r>
    </w:p>
    <w:p w14:paraId="2B34A855" w14:textId="77777777" w:rsidR="000E179F" w:rsidRPr="001443BE" w:rsidRDefault="000E179F" w:rsidP="00BC0476">
      <w:pPr>
        <w:jc w:val="both"/>
        <w:rPr>
          <w:szCs w:val="24"/>
        </w:rPr>
      </w:pPr>
    </w:p>
    <w:p w14:paraId="1E2A9F05" w14:textId="77777777" w:rsidR="000E179F" w:rsidRPr="000E179F" w:rsidRDefault="000E179F" w:rsidP="000E179F">
      <w:pPr>
        <w:autoSpaceDE w:val="0"/>
        <w:autoSpaceDN w:val="0"/>
        <w:adjustRightInd w:val="0"/>
        <w:ind w:firstLine="708"/>
        <w:jc w:val="both"/>
        <w:rPr>
          <w:color w:val="000000"/>
          <w:sz w:val="24"/>
          <w:szCs w:val="24"/>
        </w:rPr>
      </w:pPr>
      <w:r w:rsidRPr="000E179F">
        <w:rPr>
          <w:color w:val="000000"/>
          <w:sz w:val="24"/>
          <w:szCs w:val="24"/>
        </w:rPr>
        <w:t xml:space="preserve">Os dados utilizados nas análises foram separados em dois níveis. O primeiro nível busca identificar o que as normas contábeis exigem das entidades do terceiro setor, por meio de uma lista de aspectos referentes a essas normas. Esses aspectos referem-se a itens de verificação identificados nas normas de Interpretação Técnica Geral 2002 </w:t>
      </w:r>
      <w:r w:rsidRPr="00784BCA">
        <w:rPr>
          <w:sz w:val="24"/>
          <w:szCs w:val="24"/>
        </w:rPr>
        <w:t xml:space="preserve">(ITG 2002); </w:t>
      </w:r>
      <w:r w:rsidRPr="000E179F">
        <w:rPr>
          <w:color w:val="000000"/>
          <w:sz w:val="24"/>
          <w:szCs w:val="24"/>
        </w:rPr>
        <w:t xml:space="preserve">Manual de Procedimentos para o Terceiro Setor (MPTS) e Lei 13.019 de 2014, alterada pela Lei 13.204 de 2015. </w:t>
      </w:r>
    </w:p>
    <w:p w14:paraId="642349FF" w14:textId="77777777" w:rsidR="000E179F" w:rsidRPr="000E179F" w:rsidRDefault="000E179F" w:rsidP="000E179F">
      <w:pPr>
        <w:autoSpaceDE w:val="0"/>
        <w:autoSpaceDN w:val="0"/>
        <w:adjustRightInd w:val="0"/>
        <w:ind w:firstLine="708"/>
        <w:jc w:val="both"/>
        <w:rPr>
          <w:sz w:val="24"/>
          <w:szCs w:val="24"/>
        </w:rPr>
      </w:pPr>
      <w:r w:rsidRPr="000E179F">
        <w:rPr>
          <w:color w:val="000000"/>
          <w:sz w:val="24"/>
          <w:szCs w:val="24"/>
        </w:rPr>
        <w:t>O segundo nível trata das demonstrações disponibilizadas pela entidade para análise, dentre as d</w:t>
      </w:r>
      <w:r w:rsidRPr="000E179F">
        <w:rPr>
          <w:sz w:val="24"/>
          <w:szCs w:val="24"/>
        </w:rPr>
        <w:t xml:space="preserve">emonstrações constam: Balanço Patrimonial; Demonstração do Fluxo de Caixa e Demonstração das Mutações do Patrimônio Líquido. Ressalta-se que as notas explicativas do ano de 2014 não foram cedidas pela associação, e por esse motivo, a análise das notas explicativas foi afetada negativamente. Também não se obteve as demonstrações e notas explicativas do ano de 2016, pois segundo a diretoria financeira, essas encontravam-se com algumas pendências. </w:t>
      </w:r>
    </w:p>
    <w:p w14:paraId="38DAAAE8" w14:textId="10505DE1" w:rsidR="000E179F" w:rsidRPr="000E179F" w:rsidRDefault="000E179F" w:rsidP="000E179F">
      <w:pPr>
        <w:suppressAutoHyphens w:val="0"/>
        <w:ind w:firstLine="708"/>
        <w:jc w:val="both"/>
        <w:rPr>
          <w:sz w:val="24"/>
          <w:szCs w:val="24"/>
        </w:rPr>
      </w:pPr>
      <w:r w:rsidRPr="000E179F">
        <w:rPr>
          <w:sz w:val="24"/>
          <w:szCs w:val="24"/>
        </w:rPr>
        <w:t>Para o segundo nível de análise foram atribuídas pontuações, atribuindo-se 1 (um) ponto nos casos em que foi constatada a evidenciação do item da lista de verificação, 0 (zero) pontos nos casos em que não foi constatada a evidenciação que a empresa deveria ter realizado, e NA (Não se Aplica) nos casos em que a organização não tem o dever de declarar certo item da lista em virtude de ter informado que não houve sua ocorrência. Por consequência, a soma dessas pontuações trará o nível de conformidade às normas do CCEA.</w:t>
      </w:r>
    </w:p>
    <w:p w14:paraId="37DB5601" w14:textId="77777777" w:rsidR="000E179F" w:rsidRPr="000E179F" w:rsidRDefault="000E179F" w:rsidP="000E179F">
      <w:pPr>
        <w:autoSpaceDE w:val="0"/>
        <w:autoSpaceDN w:val="0"/>
        <w:adjustRightInd w:val="0"/>
        <w:ind w:firstLine="708"/>
        <w:jc w:val="both"/>
        <w:rPr>
          <w:sz w:val="24"/>
          <w:szCs w:val="24"/>
        </w:rPr>
      </w:pPr>
      <w:r w:rsidRPr="000E179F">
        <w:rPr>
          <w:sz w:val="24"/>
          <w:szCs w:val="24"/>
        </w:rPr>
        <w:t>O cálculo do índice de adequação se deu a partir da fórmula:</w:t>
      </w:r>
    </w:p>
    <w:p w14:paraId="747F4864" w14:textId="77777777" w:rsidR="000E179F" w:rsidRPr="000E179F" w:rsidRDefault="000E179F" w:rsidP="000E179F">
      <w:pPr>
        <w:autoSpaceDE w:val="0"/>
        <w:autoSpaceDN w:val="0"/>
        <w:adjustRightInd w:val="0"/>
        <w:jc w:val="both"/>
        <w:rPr>
          <w:sz w:val="24"/>
          <w:szCs w:val="24"/>
        </w:rPr>
      </w:pPr>
    </w:p>
    <w:p w14:paraId="520910F9" w14:textId="77777777" w:rsidR="000E179F" w:rsidRPr="00BC0476" w:rsidRDefault="000E179F" w:rsidP="000E179F">
      <w:pPr>
        <w:autoSpaceDE w:val="0"/>
        <w:autoSpaceDN w:val="0"/>
        <w:adjustRightInd w:val="0"/>
        <w:jc w:val="both"/>
        <w:rPr>
          <w:sz w:val="24"/>
          <w:szCs w:val="24"/>
        </w:rPr>
      </w:pPr>
      <m:oMathPara>
        <m:oMath>
          <m:r>
            <m:rPr>
              <m:sty m:val="p"/>
            </m:rPr>
            <w:rPr>
              <w:rFonts w:ascii="Cambria Math" w:hAnsi="Cambria Math"/>
              <w:sz w:val="24"/>
              <w:szCs w:val="24"/>
            </w:rPr>
            <m:t xml:space="preserve">IA= </m:t>
          </m:r>
          <m:f>
            <m:fPr>
              <m:ctrlPr>
                <w:rPr>
                  <w:rFonts w:ascii="Cambria Math" w:hAnsi="Cambria Math"/>
                  <w:sz w:val="24"/>
                  <w:szCs w:val="24"/>
                </w:rPr>
              </m:ctrlPr>
            </m:fPr>
            <m:num>
              <m:r>
                <m:rPr>
                  <m:nor/>
                </m:rPr>
                <w:rPr>
                  <w:sz w:val="24"/>
                  <w:szCs w:val="24"/>
                </w:rPr>
                <m:t>A</m:t>
              </m:r>
            </m:num>
            <m:den>
              <m:r>
                <m:rPr>
                  <m:nor/>
                </m:rPr>
                <w:rPr>
                  <w:sz w:val="24"/>
                  <w:szCs w:val="24"/>
                </w:rPr>
                <m:t>Total - NI - NA</m:t>
              </m:r>
            </m:den>
          </m:f>
          <m:r>
            <m:rPr>
              <m:sty m:val="p"/>
            </m:rPr>
            <w:rPr>
              <w:rFonts w:ascii="Cambria Math" w:hAnsi="Cambria Math"/>
              <w:sz w:val="24"/>
              <w:szCs w:val="24"/>
            </w:rPr>
            <m:t>*100</m:t>
          </m:r>
        </m:oMath>
      </m:oMathPara>
    </w:p>
    <w:p w14:paraId="40DD08FB" w14:textId="77777777" w:rsidR="000E179F" w:rsidRPr="000E179F" w:rsidRDefault="000E179F" w:rsidP="000E179F">
      <w:pPr>
        <w:autoSpaceDE w:val="0"/>
        <w:autoSpaceDN w:val="0"/>
        <w:adjustRightInd w:val="0"/>
        <w:ind w:firstLine="708"/>
        <w:jc w:val="both"/>
        <w:rPr>
          <w:sz w:val="24"/>
          <w:szCs w:val="24"/>
        </w:rPr>
      </w:pPr>
    </w:p>
    <w:p w14:paraId="10BC411E" w14:textId="326A79A2" w:rsidR="000E179F" w:rsidRPr="000E179F" w:rsidRDefault="000E179F" w:rsidP="000E179F">
      <w:pPr>
        <w:autoSpaceDE w:val="0"/>
        <w:autoSpaceDN w:val="0"/>
        <w:adjustRightInd w:val="0"/>
        <w:ind w:firstLine="708"/>
        <w:jc w:val="both"/>
        <w:rPr>
          <w:sz w:val="24"/>
          <w:szCs w:val="24"/>
        </w:rPr>
      </w:pPr>
      <w:r w:rsidRPr="000E179F">
        <w:rPr>
          <w:sz w:val="24"/>
          <w:szCs w:val="24"/>
        </w:rPr>
        <w:t xml:space="preserve">Onde </w:t>
      </w:r>
      <w:r w:rsidRPr="000E179F">
        <w:rPr>
          <w:b/>
          <w:sz w:val="24"/>
          <w:szCs w:val="24"/>
        </w:rPr>
        <w:t>A</w:t>
      </w:r>
      <w:r w:rsidRPr="000E179F">
        <w:rPr>
          <w:sz w:val="24"/>
          <w:szCs w:val="24"/>
        </w:rPr>
        <w:t xml:space="preserve"> é a soma das respostas adequadas e, </w:t>
      </w:r>
      <w:r w:rsidRPr="000E179F">
        <w:rPr>
          <w:b/>
          <w:sz w:val="24"/>
          <w:szCs w:val="24"/>
        </w:rPr>
        <w:t xml:space="preserve">Total </w:t>
      </w:r>
      <w:r w:rsidRPr="00BC0476">
        <w:rPr>
          <w:b/>
          <w:sz w:val="24"/>
          <w:szCs w:val="24"/>
        </w:rPr>
        <w:t xml:space="preserve">– NI </w:t>
      </w:r>
      <w:r w:rsidRPr="000E179F">
        <w:rPr>
          <w:b/>
          <w:sz w:val="24"/>
          <w:szCs w:val="24"/>
        </w:rPr>
        <w:t>–</w:t>
      </w:r>
      <w:r w:rsidRPr="00BC0476">
        <w:rPr>
          <w:b/>
          <w:sz w:val="24"/>
          <w:szCs w:val="24"/>
        </w:rPr>
        <w:t xml:space="preserve"> NA</w:t>
      </w:r>
      <w:r w:rsidRPr="000E179F">
        <w:rPr>
          <w:b/>
          <w:sz w:val="24"/>
          <w:szCs w:val="24"/>
        </w:rPr>
        <w:t xml:space="preserve"> </w:t>
      </w:r>
      <w:r w:rsidRPr="00BC0476">
        <w:rPr>
          <w:sz w:val="24"/>
          <w:szCs w:val="24"/>
        </w:rPr>
        <w:t>é o t</w:t>
      </w:r>
      <w:r w:rsidRPr="000E179F">
        <w:rPr>
          <w:sz w:val="24"/>
          <w:szCs w:val="24"/>
        </w:rPr>
        <w:t xml:space="preserve">otal de itens do </w:t>
      </w:r>
      <w:r w:rsidRPr="000E179F">
        <w:rPr>
          <w:i/>
          <w:sz w:val="24"/>
          <w:szCs w:val="24"/>
        </w:rPr>
        <w:t xml:space="preserve">checklist </w:t>
      </w:r>
      <w:r w:rsidRPr="000E179F">
        <w:rPr>
          <w:sz w:val="24"/>
          <w:szCs w:val="24"/>
        </w:rPr>
        <w:t>(T) menos as respostas que não puderam ser identificadas (NI) ou não são aplicadas na determinada situação (NA). Esta divisão multiplicada por 100 resultará no Índice de Adequação (IA) às normas do Centro Cultural Escrava Anastácia (CCEA). A análise parte da expectativa de que as entidades apresentam na prestação de contas todos os dados relativos à sua contabilidade, praticando assim sua evidenciação contábil.</w:t>
      </w:r>
    </w:p>
    <w:p w14:paraId="211AE6E7" w14:textId="2B4C3F5A" w:rsidR="000E179F" w:rsidRPr="000E179F" w:rsidRDefault="005F1F95" w:rsidP="005F1F95">
      <w:pPr>
        <w:pStyle w:val="Ttulo1"/>
        <w:numPr>
          <w:ilvl w:val="0"/>
          <w:numId w:val="0"/>
        </w:numPr>
        <w:ind w:left="432" w:hanging="432"/>
        <w:rPr>
          <w:rFonts w:cs="Times New Roman"/>
          <w:szCs w:val="24"/>
        </w:rPr>
      </w:pPr>
      <w:r>
        <w:rPr>
          <w:rFonts w:cs="Times New Roman"/>
          <w:szCs w:val="24"/>
        </w:rPr>
        <w:lastRenderedPageBreak/>
        <w:t xml:space="preserve">4 </w:t>
      </w:r>
      <w:r w:rsidR="00A5087F">
        <w:rPr>
          <w:rFonts w:cs="Times New Roman"/>
          <w:szCs w:val="24"/>
        </w:rPr>
        <w:t>Descrição e</w:t>
      </w:r>
      <w:r w:rsidR="00A5087F" w:rsidRPr="000E179F">
        <w:rPr>
          <w:rFonts w:cs="Times New Roman"/>
          <w:szCs w:val="24"/>
        </w:rPr>
        <w:t xml:space="preserve"> Análise </w:t>
      </w:r>
      <w:r w:rsidR="00A5087F">
        <w:rPr>
          <w:rFonts w:cs="Times New Roman"/>
          <w:szCs w:val="24"/>
        </w:rPr>
        <w:t>d</w:t>
      </w:r>
      <w:r w:rsidR="00A5087F" w:rsidRPr="000E179F">
        <w:rPr>
          <w:rFonts w:cs="Times New Roman"/>
          <w:szCs w:val="24"/>
        </w:rPr>
        <w:t>os Resultados</w:t>
      </w:r>
    </w:p>
    <w:p w14:paraId="2018FEF1" w14:textId="77777777" w:rsidR="000E179F" w:rsidRPr="000E179F" w:rsidRDefault="000E179F" w:rsidP="000E179F">
      <w:pPr>
        <w:suppressAutoHyphens w:val="0"/>
        <w:jc w:val="both"/>
        <w:rPr>
          <w:b/>
          <w:color w:val="00B050"/>
          <w:sz w:val="24"/>
          <w:szCs w:val="24"/>
        </w:rPr>
      </w:pPr>
    </w:p>
    <w:p w14:paraId="79F920EA" w14:textId="38351E4E" w:rsidR="000E179F" w:rsidRPr="000E179F" w:rsidRDefault="000E179F" w:rsidP="000E179F">
      <w:pPr>
        <w:autoSpaceDE w:val="0"/>
        <w:autoSpaceDN w:val="0"/>
        <w:adjustRightInd w:val="0"/>
        <w:ind w:firstLine="708"/>
        <w:jc w:val="both"/>
        <w:rPr>
          <w:sz w:val="24"/>
          <w:szCs w:val="24"/>
        </w:rPr>
      </w:pPr>
      <w:r w:rsidRPr="000E179F">
        <w:rPr>
          <w:sz w:val="24"/>
          <w:szCs w:val="24"/>
        </w:rPr>
        <w:t xml:space="preserve">Segundo </w:t>
      </w:r>
      <w:r w:rsidRPr="00784BCA">
        <w:rPr>
          <w:sz w:val="24"/>
          <w:szCs w:val="24"/>
        </w:rPr>
        <w:t xml:space="preserve">França </w:t>
      </w:r>
      <w:r w:rsidRPr="00784BCA">
        <w:rPr>
          <w:i/>
          <w:sz w:val="24"/>
          <w:szCs w:val="24"/>
        </w:rPr>
        <w:t>et al</w:t>
      </w:r>
      <w:r w:rsidRPr="00784BCA">
        <w:rPr>
          <w:sz w:val="24"/>
          <w:szCs w:val="24"/>
        </w:rPr>
        <w:t xml:space="preserve"> (2015, p</w:t>
      </w:r>
      <w:r w:rsidR="00BC0476" w:rsidRPr="00784BCA">
        <w:rPr>
          <w:sz w:val="24"/>
          <w:szCs w:val="24"/>
        </w:rPr>
        <w:t>p</w:t>
      </w:r>
      <w:r w:rsidRPr="00784BCA">
        <w:rPr>
          <w:sz w:val="24"/>
          <w:szCs w:val="24"/>
        </w:rPr>
        <w:t xml:space="preserve">. 21-22), o ato </w:t>
      </w:r>
      <w:r w:rsidRPr="000E179F">
        <w:rPr>
          <w:sz w:val="24"/>
          <w:szCs w:val="24"/>
        </w:rPr>
        <w:t>constitutivo da associação deve dispor:</w:t>
      </w:r>
    </w:p>
    <w:p w14:paraId="6570A824" w14:textId="77777777" w:rsidR="000E179F" w:rsidRPr="000E179F" w:rsidRDefault="000E179F" w:rsidP="000E179F">
      <w:pPr>
        <w:autoSpaceDE w:val="0"/>
        <w:autoSpaceDN w:val="0"/>
        <w:adjustRightInd w:val="0"/>
        <w:ind w:firstLine="708"/>
        <w:jc w:val="both"/>
        <w:rPr>
          <w:sz w:val="24"/>
          <w:szCs w:val="24"/>
        </w:rPr>
      </w:pPr>
    </w:p>
    <w:p w14:paraId="2DEF6617" w14:textId="77777777" w:rsidR="000E179F" w:rsidRPr="000E179F" w:rsidRDefault="000E179F" w:rsidP="000E179F">
      <w:pPr>
        <w:autoSpaceDE w:val="0"/>
        <w:autoSpaceDN w:val="0"/>
        <w:adjustRightInd w:val="0"/>
        <w:ind w:left="2835"/>
        <w:jc w:val="both"/>
      </w:pPr>
      <w:r w:rsidRPr="000E179F">
        <w:t>a) a denominação, os fins e a sede da associação;</w:t>
      </w:r>
    </w:p>
    <w:p w14:paraId="542C413E" w14:textId="77777777" w:rsidR="000E179F" w:rsidRPr="000E179F" w:rsidRDefault="000E179F" w:rsidP="000E179F">
      <w:pPr>
        <w:autoSpaceDE w:val="0"/>
        <w:autoSpaceDN w:val="0"/>
        <w:adjustRightInd w:val="0"/>
        <w:ind w:left="2835"/>
        <w:jc w:val="both"/>
      </w:pPr>
      <w:r w:rsidRPr="000E179F">
        <w:t>b) os requisitos exigidos para admissão, demissão e exclusão dos associados;</w:t>
      </w:r>
    </w:p>
    <w:p w14:paraId="40CFCCE7" w14:textId="77777777" w:rsidR="000E179F" w:rsidRPr="000E179F" w:rsidRDefault="000E179F" w:rsidP="000E179F">
      <w:pPr>
        <w:autoSpaceDE w:val="0"/>
        <w:autoSpaceDN w:val="0"/>
        <w:adjustRightInd w:val="0"/>
        <w:ind w:left="2835"/>
        <w:jc w:val="both"/>
      </w:pPr>
      <w:r w:rsidRPr="000E179F">
        <w:t xml:space="preserve">c) os direitos e as obrigações do Manual de Procedimentos para o Terceiro Setor - Aspectos de Gestão e de Contabilidade para Entidades de Interesse Social 22 membros componentes; </w:t>
      </w:r>
      <w:r w:rsidRPr="000E179F">
        <w:tab/>
      </w:r>
    </w:p>
    <w:p w14:paraId="7EF48A8A" w14:textId="77777777" w:rsidR="000E179F" w:rsidRPr="000E179F" w:rsidRDefault="000E179F" w:rsidP="000E179F">
      <w:pPr>
        <w:autoSpaceDE w:val="0"/>
        <w:autoSpaceDN w:val="0"/>
        <w:adjustRightInd w:val="0"/>
        <w:ind w:left="2835"/>
        <w:jc w:val="both"/>
      </w:pPr>
      <w:r w:rsidRPr="000E179F">
        <w:t>d) as fontes de recursos financeiros para sua manutenção;</w:t>
      </w:r>
    </w:p>
    <w:p w14:paraId="0673BB0F" w14:textId="77777777" w:rsidR="000E179F" w:rsidRPr="000E179F" w:rsidRDefault="000E179F" w:rsidP="000E179F">
      <w:pPr>
        <w:autoSpaceDE w:val="0"/>
        <w:autoSpaceDN w:val="0"/>
        <w:adjustRightInd w:val="0"/>
        <w:ind w:left="2835"/>
        <w:jc w:val="both"/>
      </w:pPr>
      <w:r w:rsidRPr="000E179F">
        <w:t>e) o modo de constituição e funcionamento dos órgãos deliberativos;</w:t>
      </w:r>
    </w:p>
    <w:p w14:paraId="20DBE9B8" w14:textId="77777777" w:rsidR="000E179F" w:rsidRPr="000E179F" w:rsidRDefault="000E179F" w:rsidP="000E179F">
      <w:pPr>
        <w:autoSpaceDE w:val="0"/>
        <w:autoSpaceDN w:val="0"/>
        <w:adjustRightInd w:val="0"/>
        <w:ind w:left="2835"/>
        <w:jc w:val="both"/>
      </w:pPr>
      <w:r w:rsidRPr="000E179F">
        <w:t xml:space="preserve">f) a representação ativa e passiva da entidade em juízo e fora dele; </w:t>
      </w:r>
    </w:p>
    <w:p w14:paraId="2FA20552" w14:textId="77777777" w:rsidR="000E179F" w:rsidRPr="000E179F" w:rsidRDefault="000E179F" w:rsidP="000E179F">
      <w:pPr>
        <w:autoSpaceDE w:val="0"/>
        <w:autoSpaceDN w:val="0"/>
        <w:adjustRightInd w:val="0"/>
        <w:ind w:left="2835"/>
        <w:jc w:val="both"/>
      </w:pPr>
      <w:r w:rsidRPr="000E179F">
        <w:t>g) as condições de possibilidade de alteração do estatuto;</w:t>
      </w:r>
    </w:p>
    <w:p w14:paraId="75B2ED95" w14:textId="77777777" w:rsidR="000E179F" w:rsidRPr="000E179F" w:rsidRDefault="000E179F" w:rsidP="000E179F">
      <w:pPr>
        <w:autoSpaceDE w:val="0"/>
        <w:autoSpaceDN w:val="0"/>
        <w:adjustRightInd w:val="0"/>
        <w:ind w:left="2835"/>
        <w:jc w:val="both"/>
      </w:pPr>
      <w:r w:rsidRPr="000E179F">
        <w:t>h) a responsabilidade subsidiária dos associados pelas obrigações assumidas pela associação;</w:t>
      </w:r>
    </w:p>
    <w:p w14:paraId="6C516250" w14:textId="77777777" w:rsidR="000E179F" w:rsidRPr="000E179F" w:rsidRDefault="000E179F" w:rsidP="000E179F">
      <w:pPr>
        <w:autoSpaceDE w:val="0"/>
        <w:autoSpaceDN w:val="0"/>
        <w:adjustRightInd w:val="0"/>
        <w:ind w:left="2835"/>
        <w:jc w:val="both"/>
      </w:pPr>
      <w:r w:rsidRPr="000E179F">
        <w:t>i) as causas de dissolução da entidade, dispondo sobre o destino do patrimônio social.</w:t>
      </w:r>
    </w:p>
    <w:p w14:paraId="09359A91" w14:textId="77777777" w:rsidR="000E179F" w:rsidRPr="000E179F" w:rsidRDefault="000E179F" w:rsidP="000E179F">
      <w:pPr>
        <w:autoSpaceDE w:val="0"/>
        <w:autoSpaceDN w:val="0"/>
        <w:adjustRightInd w:val="0"/>
        <w:ind w:left="2835"/>
        <w:jc w:val="both"/>
        <w:rPr>
          <w:sz w:val="24"/>
          <w:szCs w:val="24"/>
        </w:rPr>
      </w:pPr>
    </w:p>
    <w:p w14:paraId="687757C2" w14:textId="77777777" w:rsidR="000E179F" w:rsidRPr="000E179F" w:rsidRDefault="000E179F" w:rsidP="000E179F">
      <w:pPr>
        <w:autoSpaceDE w:val="0"/>
        <w:autoSpaceDN w:val="0"/>
        <w:adjustRightInd w:val="0"/>
        <w:ind w:firstLine="708"/>
        <w:jc w:val="both"/>
        <w:rPr>
          <w:sz w:val="24"/>
          <w:szCs w:val="24"/>
        </w:rPr>
      </w:pPr>
      <w:r w:rsidRPr="000E179F">
        <w:rPr>
          <w:sz w:val="24"/>
          <w:szCs w:val="24"/>
        </w:rPr>
        <w:t>Na Tabela 1 são apresentados os itens extraídos das normas contábeis, que foram base para analisar a evidenciação da entidade em relação ao Estatuto Social do Centro Cultural Escrava Anastácia, assim como a respectiva pontuação da associação em cada item de conformidade.</w:t>
      </w:r>
    </w:p>
    <w:p w14:paraId="4B7B4636" w14:textId="77777777" w:rsidR="000E179F" w:rsidRPr="000E179F" w:rsidRDefault="000E179F" w:rsidP="00BC0476">
      <w:pPr>
        <w:jc w:val="both"/>
        <w:rPr>
          <w:b/>
          <w:sz w:val="24"/>
          <w:szCs w:val="24"/>
        </w:rPr>
      </w:pPr>
    </w:p>
    <w:p w14:paraId="53415796" w14:textId="77777777" w:rsidR="000E179F" w:rsidRPr="000E179F" w:rsidRDefault="000E179F" w:rsidP="000E179F">
      <w:pPr>
        <w:pStyle w:val="Legenda"/>
        <w:keepNext/>
        <w:spacing w:after="0"/>
        <w:jc w:val="both"/>
        <w:rPr>
          <w:rFonts w:ascii="Times New Roman" w:hAnsi="Times New Roman" w:cs="Times New Roman"/>
          <w:b w:val="0"/>
          <w:color w:val="auto"/>
          <w:sz w:val="20"/>
          <w:szCs w:val="20"/>
        </w:rPr>
      </w:pPr>
      <w:r w:rsidRPr="000E179F">
        <w:rPr>
          <w:rFonts w:ascii="Times New Roman" w:hAnsi="Times New Roman" w:cs="Times New Roman"/>
          <w:b w:val="0"/>
          <w:color w:val="auto"/>
          <w:sz w:val="20"/>
          <w:szCs w:val="20"/>
        </w:rPr>
        <w:t xml:space="preserve">Tabela </w:t>
      </w:r>
      <w:r w:rsidRPr="000E179F">
        <w:rPr>
          <w:rFonts w:ascii="Times New Roman" w:hAnsi="Times New Roman" w:cs="Times New Roman"/>
          <w:b w:val="0"/>
          <w:color w:val="auto"/>
          <w:sz w:val="20"/>
          <w:szCs w:val="20"/>
        </w:rPr>
        <w:fldChar w:fldCharType="begin"/>
      </w:r>
      <w:r w:rsidRPr="000E179F">
        <w:rPr>
          <w:rFonts w:ascii="Times New Roman" w:hAnsi="Times New Roman" w:cs="Times New Roman"/>
          <w:b w:val="0"/>
          <w:color w:val="auto"/>
          <w:sz w:val="20"/>
          <w:szCs w:val="20"/>
        </w:rPr>
        <w:instrText xml:space="preserve"> SEQ Tabela \* ARABIC </w:instrText>
      </w:r>
      <w:r w:rsidRPr="000E179F">
        <w:rPr>
          <w:rFonts w:ascii="Times New Roman" w:hAnsi="Times New Roman" w:cs="Times New Roman"/>
          <w:b w:val="0"/>
          <w:color w:val="auto"/>
          <w:sz w:val="20"/>
          <w:szCs w:val="20"/>
        </w:rPr>
        <w:fldChar w:fldCharType="separate"/>
      </w:r>
      <w:r w:rsidRPr="000E179F">
        <w:rPr>
          <w:rFonts w:ascii="Times New Roman" w:hAnsi="Times New Roman" w:cs="Times New Roman"/>
          <w:b w:val="0"/>
          <w:noProof/>
          <w:color w:val="auto"/>
          <w:sz w:val="20"/>
          <w:szCs w:val="20"/>
        </w:rPr>
        <w:t>1</w:t>
      </w:r>
      <w:r w:rsidRPr="000E179F">
        <w:rPr>
          <w:rFonts w:ascii="Times New Roman" w:hAnsi="Times New Roman" w:cs="Times New Roman"/>
          <w:b w:val="0"/>
          <w:color w:val="auto"/>
          <w:sz w:val="20"/>
          <w:szCs w:val="20"/>
        </w:rPr>
        <w:fldChar w:fldCharType="end"/>
      </w:r>
      <w:r w:rsidRPr="000E179F">
        <w:rPr>
          <w:rFonts w:ascii="Times New Roman" w:hAnsi="Times New Roman" w:cs="Times New Roman"/>
          <w:b w:val="0"/>
          <w:color w:val="auto"/>
          <w:sz w:val="20"/>
          <w:szCs w:val="20"/>
        </w:rPr>
        <w:t xml:space="preserve"> - Análise do Estatuto Social do CCEA </w:t>
      </w:r>
    </w:p>
    <w:tbl>
      <w:tblPr>
        <w:tblStyle w:val="SombreamentoClaro"/>
        <w:tblW w:w="5000" w:type="pct"/>
        <w:jc w:val="center"/>
        <w:tblBorders>
          <w:insideH w:val="single" w:sz="4" w:space="0" w:color="auto"/>
          <w:insideV w:val="single" w:sz="4" w:space="0" w:color="auto"/>
        </w:tblBorders>
        <w:tblLook w:val="04A0" w:firstRow="1" w:lastRow="0" w:firstColumn="1" w:lastColumn="0" w:noHBand="0" w:noVBand="1"/>
      </w:tblPr>
      <w:tblGrid>
        <w:gridCol w:w="7392"/>
        <w:gridCol w:w="1673"/>
      </w:tblGrid>
      <w:tr w:rsidR="000E179F" w:rsidRPr="000E179F" w14:paraId="58299B98" w14:textId="77777777" w:rsidTr="00A5087F">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4077" w:type="pct"/>
            <w:tcBorders>
              <w:top w:val="single" w:sz="12" w:space="0" w:color="auto"/>
              <w:bottom w:val="single" w:sz="12" w:space="0" w:color="auto"/>
            </w:tcBorders>
            <w:shd w:val="clear" w:color="auto" w:fill="auto"/>
            <w:vAlign w:val="center"/>
            <w:hideMark/>
          </w:tcPr>
          <w:p w14:paraId="0CCA0AC2" w14:textId="77777777" w:rsidR="000E179F" w:rsidRPr="000E179F" w:rsidRDefault="000E179F" w:rsidP="00A5087F">
            <w:pPr>
              <w:jc w:val="center"/>
              <w:rPr>
                <w:b w:val="0"/>
                <w:bCs w:val="0"/>
                <w:color w:val="auto"/>
              </w:rPr>
            </w:pPr>
            <w:bookmarkStart w:id="1" w:name="OLE_LINK1"/>
            <w:r w:rsidRPr="000E179F">
              <w:rPr>
                <w:color w:val="auto"/>
              </w:rPr>
              <w:t>Itens de Verificação de Conformidade - Estatuto Social</w:t>
            </w:r>
          </w:p>
        </w:tc>
        <w:tc>
          <w:tcPr>
            <w:tcW w:w="923" w:type="pct"/>
            <w:tcBorders>
              <w:top w:val="single" w:sz="12" w:space="0" w:color="auto"/>
              <w:bottom w:val="single" w:sz="12" w:space="0" w:color="auto"/>
            </w:tcBorders>
            <w:shd w:val="clear" w:color="auto" w:fill="auto"/>
            <w:noWrap/>
            <w:vAlign w:val="center"/>
            <w:hideMark/>
          </w:tcPr>
          <w:p w14:paraId="3E0B7238" w14:textId="77777777" w:rsidR="000E179F" w:rsidRPr="000E179F" w:rsidRDefault="000E179F" w:rsidP="00A5087F">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0E179F">
              <w:rPr>
                <w:color w:val="auto"/>
              </w:rPr>
              <w:t>Pontuação</w:t>
            </w:r>
          </w:p>
        </w:tc>
      </w:tr>
      <w:tr w:rsidR="000E179F" w:rsidRPr="000E179F" w14:paraId="430A9A74" w14:textId="77777777" w:rsidTr="00A5087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4077" w:type="pct"/>
            <w:tcBorders>
              <w:top w:val="single" w:sz="12" w:space="0" w:color="auto"/>
              <w:right w:val="single" w:sz="4" w:space="0" w:color="auto"/>
            </w:tcBorders>
            <w:shd w:val="clear" w:color="auto" w:fill="auto"/>
            <w:vAlign w:val="center"/>
            <w:hideMark/>
          </w:tcPr>
          <w:p w14:paraId="4F42FA79" w14:textId="77777777" w:rsidR="000E179F" w:rsidRPr="000E179F" w:rsidRDefault="000E179F" w:rsidP="000E179F">
            <w:pPr>
              <w:jc w:val="both"/>
              <w:rPr>
                <w:b w:val="0"/>
                <w:color w:val="auto"/>
              </w:rPr>
            </w:pPr>
            <w:r w:rsidRPr="000E179F">
              <w:rPr>
                <w:b w:val="0"/>
                <w:color w:val="auto"/>
              </w:rPr>
              <w:t>A denominação, a sede e o tempo de duração da fundação.</w:t>
            </w:r>
          </w:p>
        </w:tc>
        <w:tc>
          <w:tcPr>
            <w:tcW w:w="923" w:type="pct"/>
            <w:tcBorders>
              <w:top w:val="single" w:sz="12" w:space="0" w:color="auto"/>
              <w:left w:val="single" w:sz="4" w:space="0" w:color="auto"/>
            </w:tcBorders>
            <w:shd w:val="clear" w:color="auto" w:fill="auto"/>
            <w:noWrap/>
            <w:vAlign w:val="center"/>
            <w:hideMark/>
          </w:tcPr>
          <w:p w14:paraId="578FCF25" w14:textId="77777777" w:rsidR="000E179F" w:rsidRPr="000E179F" w:rsidRDefault="000E179F" w:rsidP="00A5087F">
            <w:pPr>
              <w:jc w:val="center"/>
              <w:cnfStyle w:val="000000100000" w:firstRow="0" w:lastRow="0" w:firstColumn="0" w:lastColumn="0" w:oddVBand="0" w:evenVBand="0" w:oddHBand="1" w:evenHBand="0" w:firstRowFirstColumn="0" w:firstRowLastColumn="0" w:lastRowFirstColumn="0" w:lastRowLastColumn="0"/>
              <w:rPr>
                <w:color w:val="auto"/>
              </w:rPr>
            </w:pPr>
            <w:r w:rsidRPr="000E179F">
              <w:rPr>
                <w:color w:val="auto"/>
              </w:rPr>
              <w:t>1</w:t>
            </w:r>
          </w:p>
        </w:tc>
      </w:tr>
      <w:tr w:rsidR="000E179F" w:rsidRPr="000E179F" w14:paraId="2F578AE3" w14:textId="77777777" w:rsidTr="00A5087F">
        <w:trPr>
          <w:trHeight w:val="227"/>
          <w:jc w:val="center"/>
        </w:trPr>
        <w:tc>
          <w:tcPr>
            <w:cnfStyle w:val="001000000000" w:firstRow="0" w:lastRow="0" w:firstColumn="1" w:lastColumn="0" w:oddVBand="0" w:evenVBand="0" w:oddHBand="0" w:evenHBand="0" w:firstRowFirstColumn="0" w:firstRowLastColumn="0" w:lastRowFirstColumn="0" w:lastRowLastColumn="0"/>
            <w:tcW w:w="4077" w:type="pct"/>
            <w:shd w:val="clear" w:color="auto" w:fill="auto"/>
            <w:vAlign w:val="center"/>
            <w:hideMark/>
          </w:tcPr>
          <w:p w14:paraId="08D43015" w14:textId="77777777" w:rsidR="000E179F" w:rsidRPr="000E179F" w:rsidRDefault="000E179F" w:rsidP="000E179F">
            <w:pPr>
              <w:jc w:val="both"/>
              <w:rPr>
                <w:b w:val="0"/>
                <w:color w:val="auto"/>
              </w:rPr>
            </w:pPr>
            <w:r w:rsidRPr="000E179F">
              <w:rPr>
                <w:b w:val="0"/>
                <w:color w:val="auto"/>
              </w:rPr>
              <w:t>A existência, ou não, de filiais.</w:t>
            </w:r>
          </w:p>
        </w:tc>
        <w:tc>
          <w:tcPr>
            <w:tcW w:w="923" w:type="pct"/>
            <w:shd w:val="clear" w:color="auto" w:fill="auto"/>
            <w:noWrap/>
            <w:vAlign w:val="center"/>
            <w:hideMark/>
          </w:tcPr>
          <w:p w14:paraId="4F45443C" w14:textId="77777777" w:rsidR="000E179F" w:rsidRPr="000E179F" w:rsidRDefault="000E179F" w:rsidP="00A5087F">
            <w:pPr>
              <w:jc w:val="center"/>
              <w:cnfStyle w:val="000000000000" w:firstRow="0" w:lastRow="0" w:firstColumn="0" w:lastColumn="0" w:oddVBand="0" w:evenVBand="0" w:oddHBand="0" w:evenHBand="0" w:firstRowFirstColumn="0" w:firstRowLastColumn="0" w:lastRowFirstColumn="0" w:lastRowLastColumn="0"/>
              <w:rPr>
                <w:color w:val="auto"/>
              </w:rPr>
            </w:pPr>
            <w:r w:rsidRPr="000E179F">
              <w:rPr>
                <w:color w:val="auto"/>
              </w:rPr>
              <w:t>1</w:t>
            </w:r>
          </w:p>
        </w:tc>
      </w:tr>
      <w:tr w:rsidR="000E179F" w:rsidRPr="000E179F" w14:paraId="42582BC2" w14:textId="77777777" w:rsidTr="00A5087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4077" w:type="pct"/>
            <w:tcBorders>
              <w:right w:val="single" w:sz="4" w:space="0" w:color="auto"/>
            </w:tcBorders>
            <w:shd w:val="clear" w:color="auto" w:fill="auto"/>
            <w:vAlign w:val="center"/>
            <w:hideMark/>
          </w:tcPr>
          <w:p w14:paraId="4C77FF2E" w14:textId="77777777" w:rsidR="000E179F" w:rsidRPr="000E179F" w:rsidRDefault="000E179F" w:rsidP="000E179F">
            <w:pPr>
              <w:jc w:val="both"/>
              <w:rPr>
                <w:b w:val="0"/>
                <w:color w:val="auto"/>
              </w:rPr>
            </w:pPr>
            <w:r w:rsidRPr="000E179F">
              <w:rPr>
                <w:b w:val="0"/>
                <w:color w:val="auto"/>
              </w:rPr>
              <w:t>As finalidades.</w:t>
            </w:r>
          </w:p>
        </w:tc>
        <w:tc>
          <w:tcPr>
            <w:tcW w:w="923" w:type="pct"/>
            <w:tcBorders>
              <w:left w:val="single" w:sz="4" w:space="0" w:color="auto"/>
            </w:tcBorders>
            <w:shd w:val="clear" w:color="auto" w:fill="auto"/>
            <w:noWrap/>
            <w:vAlign w:val="center"/>
            <w:hideMark/>
          </w:tcPr>
          <w:p w14:paraId="328563F3" w14:textId="77777777" w:rsidR="000E179F" w:rsidRPr="000E179F" w:rsidRDefault="000E179F" w:rsidP="00A5087F">
            <w:pPr>
              <w:jc w:val="center"/>
              <w:cnfStyle w:val="000000100000" w:firstRow="0" w:lastRow="0" w:firstColumn="0" w:lastColumn="0" w:oddVBand="0" w:evenVBand="0" w:oddHBand="1" w:evenHBand="0" w:firstRowFirstColumn="0" w:firstRowLastColumn="0" w:lastRowFirstColumn="0" w:lastRowLastColumn="0"/>
              <w:rPr>
                <w:color w:val="auto"/>
              </w:rPr>
            </w:pPr>
            <w:r w:rsidRPr="000E179F">
              <w:rPr>
                <w:color w:val="auto"/>
              </w:rPr>
              <w:t>1</w:t>
            </w:r>
          </w:p>
        </w:tc>
      </w:tr>
      <w:tr w:rsidR="000E179F" w:rsidRPr="000E179F" w14:paraId="0DB3999F" w14:textId="77777777" w:rsidTr="00A5087F">
        <w:trPr>
          <w:trHeight w:val="227"/>
          <w:jc w:val="center"/>
        </w:trPr>
        <w:tc>
          <w:tcPr>
            <w:cnfStyle w:val="001000000000" w:firstRow="0" w:lastRow="0" w:firstColumn="1" w:lastColumn="0" w:oddVBand="0" w:evenVBand="0" w:oddHBand="0" w:evenHBand="0" w:firstRowFirstColumn="0" w:firstRowLastColumn="0" w:lastRowFirstColumn="0" w:lastRowLastColumn="0"/>
            <w:tcW w:w="4077" w:type="pct"/>
            <w:shd w:val="clear" w:color="auto" w:fill="auto"/>
            <w:vAlign w:val="center"/>
            <w:hideMark/>
          </w:tcPr>
          <w:p w14:paraId="4B937A15" w14:textId="77777777" w:rsidR="000E179F" w:rsidRPr="000E179F" w:rsidRDefault="000E179F" w:rsidP="000E179F">
            <w:pPr>
              <w:jc w:val="both"/>
              <w:rPr>
                <w:b w:val="0"/>
                <w:color w:val="auto"/>
              </w:rPr>
            </w:pPr>
            <w:r w:rsidRPr="000E179F">
              <w:rPr>
                <w:b w:val="0"/>
                <w:color w:val="auto"/>
              </w:rPr>
              <w:t>As atividades que serão desenvolvidas.</w:t>
            </w:r>
          </w:p>
        </w:tc>
        <w:tc>
          <w:tcPr>
            <w:tcW w:w="923" w:type="pct"/>
            <w:shd w:val="clear" w:color="auto" w:fill="auto"/>
            <w:noWrap/>
            <w:vAlign w:val="center"/>
            <w:hideMark/>
          </w:tcPr>
          <w:p w14:paraId="73BF51D7" w14:textId="77777777" w:rsidR="000E179F" w:rsidRPr="000E179F" w:rsidRDefault="000E179F" w:rsidP="00A5087F">
            <w:pPr>
              <w:jc w:val="center"/>
              <w:cnfStyle w:val="000000000000" w:firstRow="0" w:lastRow="0" w:firstColumn="0" w:lastColumn="0" w:oddVBand="0" w:evenVBand="0" w:oddHBand="0" w:evenHBand="0" w:firstRowFirstColumn="0" w:firstRowLastColumn="0" w:lastRowFirstColumn="0" w:lastRowLastColumn="0"/>
              <w:rPr>
                <w:color w:val="auto"/>
              </w:rPr>
            </w:pPr>
            <w:r w:rsidRPr="000E179F">
              <w:rPr>
                <w:color w:val="auto"/>
              </w:rPr>
              <w:t>1</w:t>
            </w:r>
          </w:p>
        </w:tc>
      </w:tr>
      <w:tr w:rsidR="000E179F" w:rsidRPr="000E179F" w14:paraId="53B7B867" w14:textId="77777777" w:rsidTr="00A5087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4077" w:type="pct"/>
            <w:tcBorders>
              <w:right w:val="single" w:sz="4" w:space="0" w:color="auto"/>
            </w:tcBorders>
            <w:shd w:val="clear" w:color="auto" w:fill="auto"/>
            <w:vAlign w:val="center"/>
            <w:hideMark/>
          </w:tcPr>
          <w:p w14:paraId="3E192D9F" w14:textId="77777777" w:rsidR="000E179F" w:rsidRPr="000E179F" w:rsidRDefault="000E179F" w:rsidP="000E179F">
            <w:pPr>
              <w:jc w:val="both"/>
              <w:rPr>
                <w:b w:val="0"/>
                <w:color w:val="auto"/>
              </w:rPr>
            </w:pPr>
            <w:r w:rsidRPr="000E179F">
              <w:rPr>
                <w:b w:val="0"/>
                <w:color w:val="auto"/>
              </w:rPr>
              <w:t>O patrimônio.</w:t>
            </w:r>
          </w:p>
        </w:tc>
        <w:tc>
          <w:tcPr>
            <w:tcW w:w="923" w:type="pct"/>
            <w:tcBorders>
              <w:left w:val="single" w:sz="4" w:space="0" w:color="auto"/>
            </w:tcBorders>
            <w:shd w:val="clear" w:color="auto" w:fill="auto"/>
            <w:noWrap/>
            <w:vAlign w:val="center"/>
            <w:hideMark/>
          </w:tcPr>
          <w:p w14:paraId="66F803D4" w14:textId="77777777" w:rsidR="000E179F" w:rsidRPr="000E179F" w:rsidRDefault="000E179F" w:rsidP="00A5087F">
            <w:pPr>
              <w:jc w:val="center"/>
              <w:cnfStyle w:val="000000100000" w:firstRow="0" w:lastRow="0" w:firstColumn="0" w:lastColumn="0" w:oddVBand="0" w:evenVBand="0" w:oddHBand="1" w:evenHBand="0" w:firstRowFirstColumn="0" w:firstRowLastColumn="0" w:lastRowFirstColumn="0" w:lastRowLastColumn="0"/>
              <w:rPr>
                <w:color w:val="auto"/>
              </w:rPr>
            </w:pPr>
            <w:r w:rsidRPr="000E179F">
              <w:rPr>
                <w:color w:val="auto"/>
              </w:rPr>
              <w:t>1</w:t>
            </w:r>
          </w:p>
        </w:tc>
      </w:tr>
      <w:tr w:rsidR="000E179F" w:rsidRPr="000E179F" w14:paraId="167A87C6" w14:textId="77777777" w:rsidTr="00A5087F">
        <w:trPr>
          <w:trHeight w:val="227"/>
          <w:jc w:val="center"/>
        </w:trPr>
        <w:tc>
          <w:tcPr>
            <w:cnfStyle w:val="001000000000" w:firstRow="0" w:lastRow="0" w:firstColumn="1" w:lastColumn="0" w:oddVBand="0" w:evenVBand="0" w:oddHBand="0" w:evenHBand="0" w:firstRowFirstColumn="0" w:firstRowLastColumn="0" w:lastRowFirstColumn="0" w:lastRowLastColumn="0"/>
            <w:tcW w:w="4077" w:type="pct"/>
            <w:shd w:val="clear" w:color="auto" w:fill="auto"/>
            <w:vAlign w:val="center"/>
            <w:hideMark/>
          </w:tcPr>
          <w:p w14:paraId="4A2A1FD5" w14:textId="77777777" w:rsidR="000E179F" w:rsidRPr="000E179F" w:rsidRDefault="000E179F" w:rsidP="000E179F">
            <w:pPr>
              <w:jc w:val="both"/>
              <w:rPr>
                <w:b w:val="0"/>
                <w:color w:val="auto"/>
              </w:rPr>
            </w:pPr>
            <w:r w:rsidRPr="000E179F">
              <w:rPr>
                <w:b w:val="0"/>
                <w:color w:val="auto"/>
              </w:rPr>
              <w:t>A receita.</w:t>
            </w:r>
          </w:p>
        </w:tc>
        <w:tc>
          <w:tcPr>
            <w:tcW w:w="923" w:type="pct"/>
            <w:shd w:val="clear" w:color="auto" w:fill="auto"/>
            <w:noWrap/>
            <w:vAlign w:val="center"/>
            <w:hideMark/>
          </w:tcPr>
          <w:p w14:paraId="4D14151B" w14:textId="77777777" w:rsidR="000E179F" w:rsidRPr="000E179F" w:rsidRDefault="000E179F" w:rsidP="00A5087F">
            <w:pPr>
              <w:jc w:val="center"/>
              <w:cnfStyle w:val="000000000000" w:firstRow="0" w:lastRow="0" w:firstColumn="0" w:lastColumn="0" w:oddVBand="0" w:evenVBand="0" w:oddHBand="0" w:evenHBand="0" w:firstRowFirstColumn="0" w:firstRowLastColumn="0" w:lastRowFirstColumn="0" w:lastRowLastColumn="0"/>
              <w:rPr>
                <w:color w:val="auto"/>
              </w:rPr>
            </w:pPr>
            <w:r w:rsidRPr="000E179F">
              <w:rPr>
                <w:color w:val="auto"/>
              </w:rPr>
              <w:t>1</w:t>
            </w:r>
          </w:p>
        </w:tc>
      </w:tr>
      <w:tr w:rsidR="000E179F" w:rsidRPr="000E179F" w14:paraId="740E3FE2" w14:textId="77777777" w:rsidTr="00A5087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4077" w:type="pct"/>
            <w:tcBorders>
              <w:right w:val="single" w:sz="4" w:space="0" w:color="auto"/>
            </w:tcBorders>
            <w:shd w:val="clear" w:color="auto" w:fill="auto"/>
            <w:vAlign w:val="center"/>
            <w:hideMark/>
          </w:tcPr>
          <w:p w14:paraId="75B77E09" w14:textId="77777777" w:rsidR="000E179F" w:rsidRPr="000E179F" w:rsidRDefault="000E179F" w:rsidP="000E179F">
            <w:pPr>
              <w:jc w:val="both"/>
              <w:rPr>
                <w:b w:val="0"/>
                <w:color w:val="auto"/>
              </w:rPr>
            </w:pPr>
            <w:r w:rsidRPr="000E179F">
              <w:rPr>
                <w:b w:val="0"/>
                <w:color w:val="auto"/>
              </w:rPr>
              <w:t>A forma como a entidade será administrada.</w:t>
            </w:r>
          </w:p>
        </w:tc>
        <w:tc>
          <w:tcPr>
            <w:tcW w:w="923" w:type="pct"/>
            <w:tcBorders>
              <w:left w:val="single" w:sz="4" w:space="0" w:color="auto"/>
            </w:tcBorders>
            <w:shd w:val="clear" w:color="auto" w:fill="auto"/>
            <w:noWrap/>
            <w:vAlign w:val="center"/>
            <w:hideMark/>
          </w:tcPr>
          <w:p w14:paraId="1B6B0793" w14:textId="77777777" w:rsidR="000E179F" w:rsidRPr="000E179F" w:rsidRDefault="000E179F" w:rsidP="00A5087F">
            <w:pPr>
              <w:jc w:val="center"/>
              <w:cnfStyle w:val="000000100000" w:firstRow="0" w:lastRow="0" w:firstColumn="0" w:lastColumn="0" w:oddVBand="0" w:evenVBand="0" w:oddHBand="1" w:evenHBand="0" w:firstRowFirstColumn="0" w:firstRowLastColumn="0" w:lastRowFirstColumn="0" w:lastRowLastColumn="0"/>
              <w:rPr>
                <w:color w:val="auto"/>
              </w:rPr>
            </w:pPr>
            <w:r w:rsidRPr="000E179F">
              <w:rPr>
                <w:color w:val="auto"/>
              </w:rPr>
              <w:t>1</w:t>
            </w:r>
          </w:p>
        </w:tc>
      </w:tr>
      <w:tr w:rsidR="000E179F" w:rsidRPr="000E179F" w14:paraId="5DAC1083" w14:textId="77777777" w:rsidTr="00A5087F">
        <w:trPr>
          <w:trHeight w:val="227"/>
          <w:jc w:val="center"/>
        </w:trPr>
        <w:tc>
          <w:tcPr>
            <w:cnfStyle w:val="001000000000" w:firstRow="0" w:lastRow="0" w:firstColumn="1" w:lastColumn="0" w:oddVBand="0" w:evenVBand="0" w:oddHBand="0" w:evenHBand="0" w:firstRowFirstColumn="0" w:firstRowLastColumn="0" w:lastRowFirstColumn="0" w:lastRowLastColumn="0"/>
            <w:tcW w:w="4077" w:type="pct"/>
            <w:shd w:val="clear" w:color="auto" w:fill="auto"/>
            <w:vAlign w:val="center"/>
            <w:hideMark/>
          </w:tcPr>
          <w:p w14:paraId="61B5A4C1" w14:textId="77777777" w:rsidR="000E179F" w:rsidRPr="000E179F" w:rsidRDefault="000E179F" w:rsidP="000E179F">
            <w:pPr>
              <w:jc w:val="both"/>
              <w:rPr>
                <w:b w:val="0"/>
                <w:color w:val="FF0000"/>
              </w:rPr>
            </w:pPr>
            <w:r w:rsidRPr="000E179F">
              <w:rPr>
                <w:b w:val="0"/>
                <w:color w:val="auto"/>
              </w:rPr>
              <w:t>Os cargos que representarão a fundação, ativa e passivamente, judicial e extrajudicialmente.</w:t>
            </w:r>
          </w:p>
        </w:tc>
        <w:tc>
          <w:tcPr>
            <w:tcW w:w="923" w:type="pct"/>
            <w:shd w:val="clear" w:color="auto" w:fill="auto"/>
            <w:noWrap/>
            <w:vAlign w:val="center"/>
            <w:hideMark/>
          </w:tcPr>
          <w:p w14:paraId="107E706F" w14:textId="77777777" w:rsidR="000E179F" w:rsidRPr="000E179F" w:rsidRDefault="000E179F" w:rsidP="00A5087F">
            <w:pPr>
              <w:jc w:val="center"/>
              <w:cnfStyle w:val="000000000000" w:firstRow="0" w:lastRow="0" w:firstColumn="0" w:lastColumn="0" w:oddVBand="0" w:evenVBand="0" w:oddHBand="0" w:evenHBand="0" w:firstRowFirstColumn="0" w:firstRowLastColumn="0" w:lastRowFirstColumn="0" w:lastRowLastColumn="0"/>
              <w:rPr>
                <w:color w:val="FF0000"/>
              </w:rPr>
            </w:pPr>
            <w:r w:rsidRPr="000E179F">
              <w:rPr>
                <w:color w:val="auto"/>
              </w:rPr>
              <w:t>1</w:t>
            </w:r>
          </w:p>
        </w:tc>
      </w:tr>
      <w:tr w:rsidR="000E179F" w:rsidRPr="000E179F" w14:paraId="4AA94D99" w14:textId="77777777" w:rsidTr="00A5087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4077" w:type="pct"/>
            <w:tcBorders>
              <w:right w:val="single" w:sz="4" w:space="0" w:color="auto"/>
            </w:tcBorders>
            <w:shd w:val="clear" w:color="auto" w:fill="auto"/>
            <w:vAlign w:val="center"/>
            <w:hideMark/>
          </w:tcPr>
          <w:p w14:paraId="2D0268A7" w14:textId="77777777" w:rsidR="000E179F" w:rsidRPr="000E179F" w:rsidRDefault="000E179F" w:rsidP="000E179F">
            <w:pPr>
              <w:jc w:val="both"/>
              <w:rPr>
                <w:b w:val="0"/>
                <w:color w:val="auto"/>
              </w:rPr>
            </w:pPr>
            <w:r w:rsidRPr="000E179F">
              <w:rPr>
                <w:b w:val="0"/>
                <w:color w:val="auto"/>
              </w:rPr>
              <w:t>A maneira como podem ser promovidas alterações estatutárias.</w:t>
            </w:r>
          </w:p>
        </w:tc>
        <w:tc>
          <w:tcPr>
            <w:tcW w:w="923" w:type="pct"/>
            <w:tcBorders>
              <w:left w:val="single" w:sz="4" w:space="0" w:color="auto"/>
            </w:tcBorders>
            <w:shd w:val="clear" w:color="auto" w:fill="auto"/>
            <w:noWrap/>
            <w:vAlign w:val="center"/>
            <w:hideMark/>
          </w:tcPr>
          <w:p w14:paraId="50759A32" w14:textId="77777777" w:rsidR="000E179F" w:rsidRPr="000E179F" w:rsidRDefault="000E179F" w:rsidP="00A5087F">
            <w:pPr>
              <w:jc w:val="center"/>
              <w:cnfStyle w:val="000000100000" w:firstRow="0" w:lastRow="0" w:firstColumn="0" w:lastColumn="0" w:oddVBand="0" w:evenVBand="0" w:oddHBand="1" w:evenHBand="0" w:firstRowFirstColumn="0" w:firstRowLastColumn="0" w:lastRowFirstColumn="0" w:lastRowLastColumn="0"/>
              <w:rPr>
                <w:color w:val="auto"/>
              </w:rPr>
            </w:pPr>
            <w:r w:rsidRPr="000E179F">
              <w:rPr>
                <w:color w:val="auto"/>
              </w:rPr>
              <w:t>1</w:t>
            </w:r>
          </w:p>
        </w:tc>
      </w:tr>
      <w:tr w:rsidR="000E179F" w:rsidRPr="000E179F" w14:paraId="366E7F5A" w14:textId="77777777" w:rsidTr="00A5087F">
        <w:trPr>
          <w:trHeight w:val="227"/>
          <w:jc w:val="center"/>
        </w:trPr>
        <w:tc>
          <w:tcPr>
            <w:cnfStyle w:val="001000000000" w:firstRow="0" w:lastRow="0" w:firstColumn="1" w:lastColumn="0" w:oddVBand="0" w:evenVBand="0" w:oddHBand="0" w:evenHBand="0" w:firstRowFirstColumn="0" w:firstRowLastColumn="0" w:lastRowFirstColumn="0" w:lastRowLastColumn="0"/>
            <w:tcW w:w="4077" w:type="pct"/>
            <w:shd w:val="clear" w:color="auto" w:fill="auto"/>
            <w:vAlign w:val="center"/>
            <w:hideMark/>
          </w:tcPr>
          <w:p w14:paraId="5C12D3D3" w14:textId="77777777" w:rsidR="000E179F" w:rsidRPr="000E179F" w:rsidRDefault="000E179F" w:rsidP="000E179F">
            <w:pPr>
              <w:jc w:val="both"/>
              <w:rPr>
                <w:b w:val="0"/>
                <w:color w:val="auto"/>
              </w:rPr>
            </w:pPr>
            <w:r w:rsidRPr="000E179F">
              <w:rPr>
                <w:b w:val="0"/>
                <w:color w:val="auto"/>
              </w:rPr>
              <w:t>A maneira como a entidade pode ser extinta.</w:t>
            </w:r>
          </w:p>
        </w:tc>
        <w:tc>
          <w:tcPr>
            <w:tcW w:w="923" w:type="pct"/>
            <w:shd w:val="clear" w:color="auto" w:fill="auto"/>
            <w:noWrap/>
            <w:vAlign w:val="center"/>
            <w:hideMark/>
          </w:tcPr>
          <w:p w14:paraId="59553F69" w14:textId="77777777" w:rsidR="000E179F" w:rsidRPr="000E179F" w:rsidRDefault="000E179F" w:rsidP="00A5087F">
            <w:pPr>
              <w:jc w:val="center"/>
              <w:cnfStyle w:val="000000000000" w:firstRow="0" w:lastRow="0" w:firstColumn="0" w:lastColumn="0" w:oddVBand="0" w:evenVBand="0" w:oddHBand="0" w:evenHBand="0" w:firstRowFirstColumn="0" w:firstRowLastColumn="0" w:lastRowFirstColumn="0" w:lastRowLastColumn="0"/>
              <w:rPr>
                <w:color w:val="auto"/>
              </w:rPr>
            </w:pPr>
            <w:r w:rsidRPr="000E179F">
              <w:rPr>
                <w:color w:val="auto"/>
              </w:rPr>
              <w:t>1</w:t>
            </w:r>
          </w:p>
        </w:tc>
      </w:tr>
      <w:tr w:rsidR="000E179F" w:rsidRPr="000E179F" w14:paraId="54E519C2" w14:textId="77777777" w:rsidTr="00A5087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4077" w:type="pct"/>
            <w:tcBorders>
              <w:right w:val="single" w:sz="4" w:space="0" w:color="auto"/>
            </w:tcBorders>
            <w:shd w:val="clear" w:color="auto" w:fill="auto"/>
            <w:vAlign w:val="center"/>
            <w:hideMark/>
          </w:tcPr>
          <w:p w14:paraId="4818823A" w14:textId="77777777" w:rsidR="000E179F" w:rsidRPr="000E179F" w:rsidRDefault="000E179F" w:rsidP="000E179F">
            <w:pPr>
              <w:jc w:val="both"/>
              <w:rPr>
                <w:b w:val="0"/>
                <w:color w:val="auto"/>
              </w:rPr>
            </w:pPr>
            <w:r w:rsidRPr="000E179F">
              <w:rPr>
                <w:b w:val="0"/>
                <w:color w:val="auto"/>
              </w:rPr>
              <w:t>O exercício financeiro e orçamentário.</w:t>
            </w:r>
          </w:p>
        </w:tc>
        <w:tc>
          <w:tcPr>
            <w:tcW w:w="923" w:type="pct"/>
            <w:tcBorders>
              <w:left w:val="single" w:sz="4" w:space="0" w:color="auto"/>
            </w:tcBorders>
            <w:shd w:val="clear" w:color="auto" w:fill="auto"/>
            <w:noWrap/>
            <w:vAlign w:val="center"/>
            <w:hideMark/>
          </w:tcPr>
          <w:p w14:paraId="6F48BF70" w14:textId="77777777" w:rsidR="000E179F" w:rsidRPr="000E179F" w:rsidRDefault="000E179F" w:rsidP="00A5087F">
            <w:pPr>
              <w:jc w:val="center"/>
              <w:cnfStyle w:val="000000100000" w:firstRow="0" w:lastRow="0" w:firstColumn="0" w:lastColumn="0" w:oddVBand="0" w:evenVBand="0" w:oddHBand="1" w:evenHBand="0" w:firstRowFirstColumn="0" w:firstRowLastColumn="0" w:lastRowFirstColumn="0" w:lastRowLastColumn="0"/>
              <w:rPr>
                <w:color w:val="auto"/>
              </w:rPr>
            </w:pPr>
            <w:r w:rsidRPr="000E179F">
              <w:rPr>
                <w:color w:val="auto"/>
              </w:rPr>
              <w:t>0</w:t>
            </w:r>
          </w:p>
        </w:tc>
      </w:tr>
      <w:tr w:rsidR="000E179F" w:rsidRPr="000E179F" w14:paraId="35FFCFE0" w14:textId="77777777" w:rsidTr="00A5087F">
        <w:trPr>
          <w:trHeight w:val="227"/>
          <w:jc w:val="center"/>
        </w:trPr>
        <w:tc>
          <w:tcPr>
            <w:cnfStyle w:val="001000000000" w:firstRow="0" w:lastRow="0" w:firstColumn="1" w:lastColumn="0" w:oddVBand="0" w:evenVBand="0" w:oddHBand="0" w:evenHBand="0" w:firstRowFirstColumn="0" w:firstRowLastColumn="0" w:lastRowFirstColumn="0" w:lastRowLastColumn="0"/>
            <w:tcW w:w="4077" w:type="pct"/>
            <w:shd w:val="clear" w:color="auto" w:fill="auto"/>
            <w:vAlign w:val="center"/>
            <w:hideMark/>
          </w:tcPr>
          <w:p w14:paraId="7419FADE" w14:textId="77777777" w:rsidR="000E179F" w:rsidRPr="000E179F" w:rsidRDefault="000E179F" w:rsidP="000E179F">
            <w:pPr>
              <w:jc w:val="both"/>
              <w:rPr>
                <w:b w:val="0"/>
                <w:color w:val="auto"/>
              </w:rPr>
            </w:pPr>
            <w:r w:rsidRPr="000E179F">
              <w:rPr>
                <w:b w:val="0"/>
                <w:color w:val="auto"/>
              </w:rPr>
              <w:t>A prestação de contas.</w:t>
            </w:r>
          </w:p>
        </w:tc>
        <w:tc>
          <w:tcPr>
            <w:tcW w:w="923" w:type="pct"/>
            <w:shd w:val="clear" w:color="auto" w:fill="auto"/>
            <w:noWrap/>
            <w:vAlign w:val="center"/>
            <w:hideMark/>
          </w:tcPr>
          <w:p w14:paraId="23BA1D39" w14:textId="77777777" w:rsidR="000E179F" w:rsidRPr="000E179F" w:rsidRDefault="000E179F" w:rsidP="00A5087F">
            <w:pPr>
              <w:jc w:val="center"/>
              <w:cnfStyle w:val="000000000000" w:firstRow="0" w:lastRow="0" w:firstColumn="0" w:lastColumn="0" w:oddVBand="0" w:evenVBand="0" w:oddHBand="0" w:evenHBand="0" w:firstRowFirstColumn="0" w:firstRowLastColumn="0" w:lastRowFirstColumn="0" w:lastRowLastColumn="0"/>
              <w:rPr>
                <w:color w:val="auto"/>
              </w:rPr>
            </w:pPr>
            <w:r w:rsidRPr="000E179F">
              <w:rPr>
                <w:color w:val="auto"/>
              </w:rPr>
              <w:t>1</w:t>
            </w:r>
          </w:p>
        </w:tc>
      </w:tr>
      <w:tr w:rsidR="000E179F" w:rsidRPr="000E179F" w14:paraId="161A2F0B" w14:textId="77777777" w:rsidTr="00A5087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4077" w:type="pct"/>
            <w:tcBorders>
              <w:bottom w:val="single" w:sz="12" w:space="0" w:color="auto"/>
              <w:right w:val="single" w:sz="4" w:space="0" w:color="auto"/>
            </w:tcBorders>
            <w:shd w:val="clear" w:color="auto" w:fill="auto"/>
            <w:vAlign w:val="center"/>
            <w:hideMark/>
          </w:tcPr>
          <w:p w14:paraId="31D698BF" w14:textId="77777777" w:rsidR="000E179F" w:rsidRPr="000E179F" w:rsidRDefault="000E179F" w:rsidP="000E179F">
            <w:pPr>
              <w:jc w:val="both"/>
              <w:rPr>
                <w:b w:val="0"/>
                <w:color w:val="auto"/>
              </w:rPr>
            </w:pPr>
            <w:r w:rsidRPr="000E179F">
              <w:rPr>
                <w:b w:val="0"/>
                <w:color w:val="auto"/>
              </w:rPr>
              <w:t>A responsabilidade dos administradores e se estes respondem ou não, subsidiariamente, pelas obrigações sociais.</w:t>
            </w:r>
          </w:p>
        </w:tc>
        <w:tc>
          <w:tcPr>
            <w:tcW w:w="923" w:type="pct"/>
            <w:tcBorders>
              <w:left w:val="single" w:sz="4" w:space="0" w:color="auto"/>
              <w:bottom w:val="single" w:sz="12" w:space="0" w:color="auto"/>
            </w:tcBorders>
            <w:shd w:val="clear" w:color="auto" w:fill="auto"/>
            <w:noWrap/>
            <w:vAlign w:val="center"/>
            <w:hideMark/>
          </w:tcPr>
          <w:p w14:paraId="10AE9F19" w14:textId="77777777" w:rsidR="000E179F" w:rsidRPr="000E179F" w:rsidRDefault="000E179F" w:rsidP="00A5087F">
            <w:pPr>
              <w:jc w:val="center"/>
              <w:cnfStyle w:val="000000100000" w:firstRow="0" w:lastRow="0" w:firstColumn="0" w:lastColumn="0" w:oddVBand="0" w:evenVBand="0" w:oddHBand="1" w:evenHBand="0" w:firstRowFirstColumn="0" w:firstRowLastColumn="0" w:lastRowFirstColumn="0" w:lastRowLastColumn="0"/>
              <w:rPr>
                <w:color w:val="auto"/>
              </w:rPr>
            </w:pPr>
            <w:r w:rsidRPr="000E179F">
              <w:rPr>
                <w:color w:val="auto"/>
              </w:rPr>
              <w:t>1</w:t>
            </w:r>
          </w:p>
        </w:tc>
      </w:tr>
    </w:tbl>
    <w:bookmarkEnd w:id="1"/>
    <w:p w14:paraId="058B6BE0" w14:textId="742D41BC" w:rsidR="000E179F" w:rsidRPr="000E179F" w:rsidRDefault="000E179F" w:rsidP="000E179F">
      <w:pPr>
        <w:tabs>
          <w:tab w:val="left" w:pos="7050"/>
        </w:tabs>
        <w:jc w:val="both"/>
      </w:pPr>
      <w:r w:rsidRPr="000E179F">
        <w:t xml:space="preserve">Fonte: </w:t>
      </w:r>
      <w:r w:rsidRPr="000E179F">
        <w:rPr>
          <w:i/>
        </w:rPr>
        <w:t>Checklist</w:t>
      </w:r>
      <w:r w:rsidRPr="000E179F">
        <w:t xml:space="preserve"> adaptado de Silva</w:t>
      </w:r>
      <w:r w:rsidR="00026B8D">
        <w:t xml:space="preserve"> </w:t>
      </w:r>
      <w:r w:rsidR="00026B8D">
        <w:rPr>
          <w:i/>
        </w:rPr>
        <w:t>et al.</w:t>
      </w:r>
      <w:r w:rsidRPr="000E179F">
        <w:t xml:space="preserve"> (2016)</w:t>
      </w:r>
    </w:p>
    <w:p w14:paraId="50B630AA" w14:textId="77777777" w:rsidR="000E179F" w:rsidRPr="000E179F" w:rsidRDefault="000E179F" w:rsidP="000E179F">
      <w:pPr>
        <w:tabs>
          <w:tab w:val="left" w:pos="7050"/>
        </w:tabs>
        <w:jc w:val="both"/>
        <w:rPr>
          <w:sz w:val="24"/>
          <w:szCs w:val="24"/>
        </w:rPr>
      </w:pPr>
    </w:p>
    <w:p w14:paraId="7875BDC0" w14:textId="77777777" w:rsidR="000E179F" w:rsidRPr="000E179F" w:rsidRDefault="000E179F" w:rsidP="000E179F">
      <w:pPr>
        <w:ind w:firstLine="708"/>
        <w:jc w:val="both"/>
        <w:rPr>
          <w:color w:val="0D0D0D" w:themeColor="text1" w:themeTint="F2"/>
          <w:sz w:val="24"/>
          <w:szCs w:val="24"/>
        </w:rPr>
      </w:pPr>
      <w:r w:rsidRPr="000E179F">
        <w:rPr>
          <w:color w:val="0D0D0D" w:themeColor="text1" w:themeTint="F2"/>
          <w:sz w:val="24"/>
          <w:szCs w:val="24"/>
        </w:rPr>
        <w:t xml:space="preserve">Ao comparar os itens de verificação com as práticas adotadas pela associação, aponta-se que o Estatuto Social do CCEA apresenta 92,31% de evidenciação contábil. Este índice revela um elevado grau de conformidade, sendo constatada a evidenciação em praticamente todos os itens em questão, com exceção apenas do exercício financeiro e orçamentário. Observou-se que o Estatuto Social não apresentou informações suficientes e adequadas em relação a esse ponto. </w:t>
      </w:r>
    </w:p>
    <w:p w14:paraId="398C0A34" w14:textId="3C4C40D3" w:rsidR="00C55B4A" w:rsidRPr="00A86BB0" w:rsidRDefault="000E179F" w:rsidP="000E179F">
      <w:pPr>
        <w:ind w:firstLine="708"/>
        <w:jc w:val="both"/>
        <w:rPr>
          <w:sz w:val="24"/>
          <w:szCs w:val="24"/>
        </w:rPr>
      </w:pPr>
      <w:r w:rsidRPr="000E179F">
        <w:rPr>
          <w:sz w:val="24"/>
          <w:szCs w:val="24"/>
        </w:rPr>
        <w:t>Ao fazer uma comparação entre a UNISUL, fundação foco do estudo de Silva</w:t>
      </w:r>
      <w:r w:rsidR="006F01D6">
        <w:rPr>
          <w:sz w:val="24"/>
          <w:szCs w:val="24"/>
        </w:rPr>
        <w:t xml:space="preserve"> </w:t>
      </w:r>
      <w:r w:rsidR="006F01D6">
        <w:rPr>
          <w:i/>
          <w:sz w:val="24"/>
          <w:szCs w:val="24"/>
        </w:rPr>
        <w:t>et al.</w:t>
      </w:r>
      <w:r w:rsidRPr="000E179F">
        <w:rPr>
          <w:sz w:val="24"/>
          <w:szCs w:val="24"/>
        </w:rPr>
        <w:t xml:space="preserve"> (2016), com o CCEA, nota-se que em relação ao Estatuto Social, as duas entidades </w:t>
      </w:r>
      <w:r w:rsidRPr="00A86BB0">
        <w:rPr>
          <w:sz w:val="24"/>
          <w:szCs w:val="24"/>
        </w:rPr>
        <w:t>demonstraram um alto grau de evidenciação contábil. Em ambas entidades faltou apenas a evidenciação do exercício financeiro e orçamentário.</w:t>
      </w:r>
    </w:p>
    <w:p w14:paraId="545FA1B6" w14:textId="01897B3A" w:rsidR="00C55B4A" w:rsidRPr="00A86BB0" w:rsidRDefault="00C55B4A" w:rsidP="00C55B4A">
      <w:pPr>
        <w:ind w:firstLine="708"/>
        <w:jc w:val="both"/>
        <w:rPr>
          <w:sz w:val="24"/>
          <w:szCs w:val="24"/>
        </w:rPr>
      </w:pPr>
      <w:r w:rsidRPr="00A86BB0">
        <w:rPr>
          <w:sz w:val="24"/>
          <w:szCs w:val="24"/>
        </w:rPr>
        <w:t xml:space="preserve">Fazendo a comparação com o estudo de Philippe </w:t>
      </w:r>
      <w:r w:rsidRPr="00A86BB0">
        <w:rPr>
          <w:i/>
          <w:sz w:val="24"/>
          <w:szCs w:val="24"/>
        </w:rPr>
        <w:t>et al.</w:t>
      </w:r>
      <w:r w:rsidRPr="00A86BB0">
        <w:rPr>
          <w:sz w:val="24"/>
          <w:szCs w:val="24"/>
        </w:rPr>
        <w:t xml:space="preserve"> (2017), o qual </w:t>
      </w:r>
      <w:r w:rsidR="00E87119" w:rsidRPr="00A86BB0">
        <w:rPr>
          <w:sz w:val="24"/>
          <w:szCs w:val="24"/>
        </w:rPr>
        <w:t>demonstra</w:t>
      </w:r>
      <w:r w:rsidRPr="00A86BB0">
        <w:rPr>
          <w:sz w:val="24"/>
          <w:szCs w:val="24"/>
        </w:rPr>
        <w:t xml:space="preserve"> que a U</w:t>
      </w:r>
      <w:r w:rsidR="00E87119" w:rsidRPr="00A86BB0">
        <w:rPr>
          <w:sz w:val="24"/>
          <w:szCs w:val="24"/>
        </w:rPr>
        <w:t>niversidade do Contestado</w:t>
      </w:r>
      <w:r w:rsidRPr="00A86BB0">
        <w:rPr>
          <w:sz w:val="24"/>
          <w:szCs w:val="24"/>
        </w:rPr>
        <w:t xml:space="preserve"> obteve um grau de 100%</w:t>
      </w:r>
      <w:r w:rsidR="00E87119" w:rsidRPr="00A86BB0">
        <w:rPr>
          <w:sz w:val="24"/>
          <w:szCs w:val="24"/>
        </w:rPr>
        <w:t xml:space="preserve"> de conformidade</w:t>
      </w:r>
      <w:r w:rsidRPr="00A86BB0">
        <w:rPr>
          <w:sz w:val="24"/>
          <w:szCs w:val="24"/>
        </w:rPr>
        <w:t>,</w:t>
      </w:r>
      <w:r w:rsidR="00E87119" w:rsidRPr="00A86BB0">
        <w:rPr>
          <w:sz w:val="24"/>
          <w:szCs w:val="24"/>
        </w:rPr>
        <w:t xml:space="preserve"> diferente d</w:t>
      </w:r>
      <w:r w:rsidRPr="00A86BB0">
        <w:rPr>
          <w:sz w:val="24"/>
          <w:szCs w:val="24"/>
        </w:rPr>
        <w:t xml:space="preserve">as demais Fundações do sistema ACAFE. De acordo com </w:t>
      </w:r>
      <w:r w:rsidR="00E87119" w:rsidRPr="00A86BB0">
        <w:rPr>
          <w:sz w:val="24"/>
          <w:szCs w:val="24"/>
        </w:rPr>
        <w:t>t</w:t>
      </w:r>
      <w:r w:rsidRPr="00A86BB0">
        <w:rPr>
          <w:sz w:val="24"/>
          <w:szCs w:val="24"/>
        </w:rPr>
        <w:t>a</w:t>
      </w:r>
      <w:r w:rsidR="00E87119" w:rsidRPr="00A86BB0">
        <w:rPr>
          <w:sz w:val="24"/>
          <w:szCs w:val="24"/>
        </w:rPr>
        <w:t>l</w:t>
      </w:r>
      <w:r w:rsidRPr="00A86BB0">
        <w:rPr>
          <w:sz w:val="24"/>
          <w:szCs w:val="24"/>
        </w:rPr>
        <w:t xml:space="preserve"> pesquisa, </w:t>
      </w:r>
      <w:r w:rsidR="00E87119" w:rsidRPr="00A86BB0">
        <w:rPr>
          <w:sz w:val="24"/>
          <w:szCs w:val="24"/>
        </w:rPr>
        <w:t>o</w:t>
      </w:r>
      <w:r w:rsidRPr="00A86BB0">
        <w:rPr>
          <w:sz w:val="24"/>
          <w:szCs w:val="24"/>
        </w:rPr>
        <w:t xml:space="preserve"> grau</w:t>
      </w:r>
      <w:r w:rsidR="00E87119" w:rsidRPr="00A86BB0">
        <w:rPr>
          <w:sz w:val="24"/>
          <w:szCs w:val="24"/>
        </w:rPr>
        <w:t xml:space="preserve"> de conformidade da FURB </w:t>
      </w:r>
      <w:r w:rsidR="00E87119" w:rsidRPr="00A86BB0">
        <w:rPr>
          <w:sz w:val="24"/>
          <w:szCs w:val="24"/>
        </w:rPr>
        <w:lastRenderedPageBreak/>
        <w:t>é inferior a 70%. Nota-se assim que o CCEA apresenta um alto grau de conformidade comparado a maioria das Fundações analisadas no estudo citado.</w:t>
      </w:r>
    </w:p>
    <w:p w14:paraId="2E65D188" w14:textId="7124FE36" w:rsidR="000E179F" w:rsidRDefault="000E179F" w:rsidP="000E179F">
      <w:pPr>
        <w:ind w:firstLine="708"/>
        <w:jc w:val="both"/>
        <w:rPr>
          <w:sz w:val="24"/>
          <w:szCs w:val="24"/>
        </w:rPr>
      </w:pPr>
      <w:r w:rsidRPr="000E179F">
        <w:rPr>
          <w:color w:val="0D0D0D" w:themeColor="text1" w:themeTint="F2"/>
          <w:sz w:val="24"/>
          <w:szCs w:val="24"/>
        </w:rPr>
        <w:t xml:space="preserve">Procurou-se verificar também o índice de conformidade da associação em relação as suas Demonstrações Contábeis. O </w:t>
      </w:r>
      <w:r w:rsidRPr="000E179F">
        <w:rPr>
          <w:i/>
          <w:color w:val="0D0D0D" w:themeColor="text1" w:themeTint="F2"/>
          <w:sz w:val="24"/>
          <w:szCs w:val="24"/>
        </w:rPr>
        <w:t xml:space="preserve">checklist </w:t>
      </w:r>
      <w:r w:rsidRPr="000E179F">
        <w:rPr>
          <w:color w:val="0D0D0D" w:themeColor="text1" w:themeTint="F2"/>
          <w:sz w:val="24"/>
          <w:szCs w:val="24"/>
        </w:rPr>
        <w:t xml:space="preserve">é formado por dezenove itens de verificação, que </w:t>
      </w:r>
      <w:r w:rsidRPr="000E179F">
        <w:rPr>
          <w:sz w:val="24"/>
          <w:szCs w:val="24"/>
        </w:rPr>
        <w:t xml:space="preserve">podem ser observados na Tabela 2, bem como a pontuação da organização em cada um desses itens referentes ao exercício de 2014 e 2015. Destaca-se que o primeiro item não foi identificado devido à falta de notas explicativas referentes ao ano de 2014, assim como o item que trata das informações de gratuidades concedidas e serviços voluntários. Já o item que se refere a dotação inicial disponibilizada pelo instituidor ou fundador, enquadra-se apenas nos casos de fundação, e por isso, não se aplica a associação. </w:t>
      </w:r>
    </w:p>
    <w:p w14:paraId="7DC63269" w14:textId="58F2730C" w:rsidR="007E483E" w:rsidRDefault="007E483E" w:rsidP="0021606D">
      <w:pPr>
        <w:jc w:val="both"/>
        <w:rPr>
          <w:sz w:val="24"/>
          <w:szCs w:val="24"/>
        </w:rPr>
      </w:pPr>
    </w:p>
    <w:p w14:paraId="5AC0A546" w14:textId="77777777" w:rsidR="007E483E" w:rsidRDefault="007E483E" w:rsidP="007E483E">
      <w:pPr>
        <w:pStyle w:val="Legenda"/>
        <w:keepNext/>
        <w:spacing w:after="0"/>
        <w:jc w:val="both"/>
        <w:rPr>
          <w:rFonts w:ascii="Times New Roman" w:hAnsi="Times New Roman" w:cs="Times New Roman"/>
          <w:b w:val="0"/>
          <w:color w:val="000000" w:themeColor="text1"/>
          <w:sz w:val="20"/>
          <w:szCs w:val="20"/>
        </w:rPr>
      </w:pPr>
      <w:r w:rsidRPr="007E483E">
        <w:rPr>
          <w:rFonts w:ascii="Times New Roman" w:hAnsi="Times New Roman" w:cs="Times New Roman"/>
          <w:b w:val="0"/>
          <w:color w:val="000000" w:themeColor="text1"/>
          <w:sz w:val="20"/>
          <w:szCs w:val="20"/>
        </w:rPr>
        <w:t xml:space="preserve">Tabela </w:t>
      </w:r>
      <w:r w:rsidRPr="007E483E">
        <w:rPr>
          <w:rFonts w:ascii="Times New Roman" w:hAnsi="Times New Roman" w:cs="Times New Roman"/>
          <w:b w:val="0"/>
          <w:color w:val="000000" w:themeColor="text1"/>
          <w:sz w:val="20"/>
          <w:szCs w:val="20"/>
        </w:rPr>
        <w:fldChar w:fldCharType="begin"/>
      </w:r>
      <w:r w:rsidRPr="007E483E">
        <w:rPr>
          <w:rFonts w:ascii="Times New Roman" w:hAnsi="Times New Roman" w:cs="Times New Roman"/>
          <w:b w:val="0"/>
          <w:color w:val="000000" w:themeColor="text1"/>
          <w:sz w:val="20"/>
          <w:szCs w:val="20"/>
        </w:rPr>
        <w:instrText xml:space="preserve"> SEQ Tabela \* ARABIC </w:instrText>
      </w:r>
      <w:r w:rsidRPr="007E483E">
        <w:rPr>
          <w:rFonts w:ascii="Times New Roman" w:hAnsi="Times New Roman" w:cs="Times New Roman"/>
          <w:b w:val="0"/>
          <w:color w:val="000000" w:themeColor="text1"/>
          <w:sz w:val="20"/>
          <w:szCs w:val="20"/>
        </w:rPr>
        <w:fldChar w:fldCharType="separate"/>
      </w:r>
      <w:r w:rsidRPr="007E483E">
        <w:rPr>
          <w:rFonts w:ascii="Times New Roman" w:hAnsi="Times New Roman" w:cs="Times New Roman"/>
          <w:b w:val="0"/>
          <w:noProof/>
          <w:color w:val="000000" w:themeColor="text1"/>
          <w:sz w:val="20"/>
          <w:szCs w:val="20"/>
        </w:rPr>
        <w:t>2</w:t>
      </w:r>
      <w:r w:rsidRPr="007E483E">
        <w:rPr>
          <w:rFonts w:ascii="Times New Roman" w:hAnsi="Times New Roman" w:cs="Times New Roman"/>
          <w:b w:val="0"/>
          <w:color w:val="000000" w:themeColor="text1"/>
          <w:sz w:val="20"/>
          <w:szCs w:val="20"/>
        </w:rPr>
        <w:fldChar w:fldCharType="end"/>
      </w:r>
      <w:r w:rsidRPr="007E483E">
        <w:rPr>
          <w:rFonts w:ascii="Times New Roman" w:hAnsi="Times New Roman" w:cs="Times New Roman"/>
          <w:b w:val="0"/>
          <w:color w:val="000000" w:themeColor="text1"/>
          <w:sz w:val="20"/>
          <w:szCs w:val="20"/>
        </w:rPr>
        <w:t xml:space="preserve"> - Análise das Demonstrações do CCEA</w:t>
      </w:r>
    </w:p>
    <w:tbl>
      <w:tblPr>
        <w:tblStyle w:val="Tabelacomgrade"/>
        <w:tblW w:w="0" w:type="auto"/>
        <w:tblBorders>
          <w:left w:val="none" w:sz="0" w:space="0" w:color="auto"/>
          <w:right w:val="none" w:sz="0" w:space="0" w:color="auto"/>
        </w:tblBorders>
        <w:tblLayout w:type="fixed"/>
        <w:tblLook w:val="04A0" w:firstRow="1" w:lastRow="0" w:firstColumn="1" w:lastColumn="0" w:noHBand="0" w:noVBand="1"/>
      </w:tblPr>
      <w:tblGrid>
        <w:gridCol w:w="6204"/>
        <w:gridCol w:w="1275"/>
        <w:gridCol w:w="1241"/>
      </w:tblGrid>
      <w:tr w:rsidR="00D818DC" w:rsidRPr="00D818DC" w14:paraId="35083A3A" w14:textId="77777777" w:rsidTr="00A5087F">
        <w:trPr>
          <w:trHeight w:val="141"/>
        </w:trPr>
        <w:tc>
          <w:tcPr>
            <w:tcW w:w="6204" w:type="dxa"/>
            <w:vAlign w:val="center"/>
          </w:tcPr>
          <w:p w14:paraId="787E853B" w14:textId="77777777" w:rsidR="00D818DC" w:rsidRPr="00D818DC" w:rsidRDefault="00D818DC" w:rsidP="00D818DC">
            <w:pPr>
              <w:jc w:val="both"/>
              <w:rPr>
                <w:b/>
              </w:rPr>
            </w:pPr>
            <w:r w:rsidRPr="00D818DC">
              <w:rPr>
                <w:b/>
              </w:rPr>
              <w:t>Itens de Verificação de Conformidade - Demonstrações Contábeis</w:t>
            </w:r>
          </w:p>
        </w:tc>
        <w:tc>
          <w:tcPr>
            <w:tcW w:w="1275" w:type="dxa"/>
            <w:vAlign w:val="center"/>
          </w:tcPr>
          <w:p w14:paraId="28CA233E" w14:textId="77777777" w:rsidR="00D818DC" w:rsidRPr="00D818DC" w:rsidRDefault="00D818DC" w:rsidP="00A5087F">
            <w:pPr>
              <w:jc w:val="center"/>
              <w:rPr>
                <w:b/>
              </w:rPr>
            </w:pPr>
            <w:r w:rsidRPr="00D818DC">
              <w:rPr>
                <w:b/>
              </w:rPr>
              <w:t>Pontuação</w:t>
            </w:r>
          </w:p>
          <w:p w14:paraId="6DB6D045" w14:textId="77777777" w:rsidR="00D818DC" w:rsidRPr="00D818DC" w:rsidRDefault="00D818DC" w:rsidP="00A5087F">
            <w:pPr>
              <w:jc w:val="center"/>
              <w:rPr>
                <w:b/>
              </w:rPr>
            </w:pPr>
            <w:r w:rsidRPr="00D818DC">
              <w:rPr>
                <w:b/>
              </w:rPr>
              <w:t>2014</w:t>
            </w:r>
          </w:p>
        </w:tc>
        <w:tc>
          <w:tcPr>
            <w:tcW w:w="1241" w:type="dxa"/>
            <w:vAlign w:val="center"/>
          </w:tcPr>
          <w:p w14:paraId="1960E39A" w14:textId="77777777" w:rsidR="00D818DC" w:rsidRPr="00D818DC" w:rsidRDefault="00D818DC" w:rsidP="00A5087F">
            <w:pPr>
              <w:jc w:val="center"/>
              <w:rPr>
                <w:b/>
              </w:rPr>
            </w:pPr>
            <w:r w:rsidRPr="00D818DC">
              <w:rPr>
                <w:b/>
              </w:rPr>
              <w:t>Pontuação 2015</w:t>
            </w:r>
          </w:p>
        </w:tc>
      </w:tr>
      <w:tr w:rsidR="00D818DC" w:rsidRPr="00D818DC" w14:paraId="6D7D9C34" w14:textId="77777777" w:rsidTr="00A5087F">
        <w:tc>
          <w:tcPr>
            <w:tcW w:w="6204" w:type="dxa"/>
            <w:vAlign w:val="center"/>
          </w:tcPr>
          <w:p w14:paraId="17AE8E27" w14:textId="77777777" w:rsidR="00D818DC" w:rsidRPr="00D818DC" w:rsidRDefault="00D818DC" w:rsidP="00D818DC">
            <w:pPr>
              <w:jc w:val="both"/>
            </w:pPr>
            <w:r w:rsidRPr="00D818DC">
              <w:t>Reconhecimento de receitas usa regime de competência?</w:t>
            </w:r>
          </w:p>
        </w:tc>
        <w:tc>
          <w:tcPr>
            <w:tcW w:w="1275" w:type="dxa"/>
            <w:vAlign w:val="center"/>
          </w:tcPr>
          <w:p w14:paraId="1E9021CC" w14:textId="77777777" w:rsidR="00D818DC" w:rsidRPr="00D818DC" w:rsidRDefault="00D818DC" w:rsidP="00A5087F">
            <w:pPr>
              <w:jc w:val="center"/>
            </w:pPr>
            <w:r w:rsidRPr="00D818DC">
              <w:t>NI</w:t>
            </w:r>
          </w:p>
        </w:tc>
        <w:tc>
          <w:tcPr>
            <w:tcW w:w="1241" w:type="dxa"/>
            <w:vAlign w:val="center"/>
          </w:tcPr>
          <w:p w14:paraId="1A6D485B" w14:textId="77777777" w:rsidR="00D818DC" w:rsidRPr="00D818DC" w:rsidRDefault="00D818DC" w:rsidP="00A5087F">
            <w:pPr>
              <w:jc w:val="center"/>
            </w:pPr>
            <w:r w:rsidRPr="00D818DC">
              <w:t>1</w:t>
            </w:r>
          </w:p>
        </w:tc>
      </w:tr>
      <w:tr w:rsidR="00D818DC" w:rsidRPr="00D818DC" w14:paraId="0CABB574" w14:textId="77777777" w:rsidTr="00A5087F">
        <w:tc>
          <w:tcPr>
            <w:tcW w:w="6204" w:type="dxa"/>
            <w:vAlign w:val="center"/>
          </w:tcPr>
          <w:p w14:paraId="06DE6C3B" w14:textId="77777777" w:rsidR="00D818DC" w:rsidRPr="00D818DC" w:rsidRDefault="00D818DC" w:rsidP="00D818DC">
            <w:pPr>
              <w:jc w:val="both"/>
            </w:pPr>
            <w:r w:rsidRPr="00D818DC">
              <w:t>Os registros contábeis evidenciam as contas de receitas e despesas, com e sem gratuidade, superávit ou déficit, de forma segregada, identificáveis por tipo de atividade, tais como educação, saúde, assistência social e demais atividades?</w:t>
            </w:r>
          </w:p>
        </w:tc>
        <w:tc>
          <w:tcPr>
            <w:tcW w:w="1275" w:type="dxa"/>
            <w:vAlign w:val="center"/>
          </w:tcPr>
          <w:p w14:paraId="1DEAD84C" w14:textId="77777777" w:rsidR="00D818DC" w:rsidRPr="00D818DC" w:rsidRDefault="00D818DC" w:rsidP="00A5087F">
            <w:pPr>
              <w:jc w:val="center"/>
            </w:pPr>
            <w:r w:rsidRPr="00D818DC">
              <w:t>1</w:t>
            </w:r>
          </w:p>
        </w:tc>
        <w:tc>
          <w:tcPr>
            <w:tcW w:w="1241" w:type="dxa"/>
            <w:vAlign w:val="center"/>
          </w:tcPr>
          <w:p w14:paraId="55788C50" w14:textId="77777777" w:rsidR="00D818DC" w:rsidRPr="00D818DC" w:rsidRDefault="00D818DC" w:rsidP="00A5087F">
            <w:pPr>
              <w:jc w:val="center"/>
            </w:pPr>
            <w:r w:rsidRPr="00D818DC">
              <w:t>1</w:t>
            </w:r>
          </w:p>
        </w:tc>
      </w:tr>
      <w:tr w:rsidR="00D818DC" w:rsidRPr="00D818DC" w14:paraId="6738E8D5" w14:textId="77777777" w:rsidTr="00A5087F">
        <w:tc>
          <w:tcPr>
            <w:tcW w:w="6204" w:type="dxa"/>
            <w:vAlign w:val="center"/>
          </w:tcPr>
          <w:p w14:paraId="325CD532" w14:textId="77777777" w:rsidR="00D818DC" w:rsidRPr="00D818DC" w:rsidRDefault="00D818DC" w:rsidP="00D818DC">
            <w:pPr>
              <w:jc w:val="both"/>
            </w:pPr>
            <w:r w:rsidRPr="00D818DC">
              <w:t>As receitas decorrentes de doação, contribuição, convênio, parceria, auxílio e subvenção por meio de convênio, editais, contratos, termos de parceira e outros instrumentos, para aplicação específica, mediante constituição, ou não, de fundos, e as respectivas despesas são registradas em contas próprias, inclusive as patrimoniais, segregadas das demais contas da entidade?</w:t>
            </w:r>
          </w:p>
        </w:tc>
        <w:tc>
          <w:tcPr>
            <w:tcW w:w="1275" w:type="dxa"/>
            <w:vAlign w:val="center"/>
          </w:tcPr>
          <w:p w14:paraId="2E6B9F87" w14:textId="77777777" w:rsidR="00D818DC" w:rsidRPr="00D818DC" w:rsidRDefault="00D818DC" w:rsidP="00A5087F">
            <w:pPr>
              <w:jc w:val="center"/>
            </w:pPr>
            <w:r w:rsidRPr="00D818DC">
              <w:t>1</w:t>
            </w:r>
          </w:p>
        </w:tc>
        <w:tc>
          <w:tcPr>
            <w:tcW w:w="1241" w:type="dxa"/>
            <w:vAlign w:val="center"/>
          </w:tcPr>
          <w:p w14:paraId="71D3D901" w14:textId="77777777" w:rsidR="00D818DC" w:rsidRPr="00D818DC" w:rsidRDefault="00D818DC" w:rsidP="00A5087F">
            <w:pPr>
              <w:jc w:val="center"/>
            </w:pPr>
            <w:r w:rsidRPr="00D818DC">
              <w:t>1</w:t>
            </w:r>
          </w:p>
        </w:tc>
      </w:tr>
      <w:tr w:rsidR="00D818DC" w:rsidRPr="00D818DC" w14:paraId="2FEB0508" w14:textId="77777777" w:rsidTr="00A5087F">
        <w:tc>
          <w:tcPr>
            <w:tcW w:w="6204" w:type="dxa"/>
            <w:vAlign w:val="center"/>
          </w:tcPr>
          <w:p w14:paraId="0D491BC2" w14:textId="77777777" w:rsidR="00D818DC" w:rsidRPr="00D818DC" w:rsidRDefault="00D818DC" w:rsidP="00D818DC">
            <w:pPr>
              <w:jc w:val="both"/>
            </w:pPr>
            <w:r w:rsidRPr="00D818DC">
              <w:t>Os benefícios concedidos pela entidade sem finalidade de lucros a título de gratuidade são reconhecidos de forma segregada, destacando-se aqueles que devem ser utilizados em prestações de contas nos órgãos governamentais?</w:t>
            </w:r>
          </w:p>
        </w:tc>
        <w:tc>
          <w:tcPr>
            <w:tcW w:w="1275" w:type="dxa"/>
            <w:vAlign w:val="center"/>
          </w:tcPr>
          <w:p w14:paraId="48BA95ED" w14:textId="77777777" w:rsidR="00D818DC" w:rsidRPr="00D818DC" w:rsidRDefault="00D818DC" w:rsidP="00A5087F">
            <w:pPr>
              <w:jc w:val="center"/>
            </w:pPr>
            <w:r w:rsidRPr="00D818DC">
              <w:t>1</w:t>
            </w:r>
          </w:p>
        </w:tc>
        <w:tc>
          <w:tcPr>
            <w:tcW w:w="1241" w:type="dxa"/>
            <w:vAlign w:val="center"/>
          </w:tcPr>
          <w:p w14:paraId="391684A2" w14:textId="77777777" w:rsidR="00D818DC" w:rsidRPr="00D818DC" w:rsidRDefault="00D818DC" w:rsidP="00A5087F">
            <w:pPr>
              <w:jc w:val="center"/>
            </w:pPr>
            <w:r w:rsidRPr="00D818DC">
              <w:t>1</w:t>
            </w:r>
          </w:p>
        </w:tc>
      </w:tr>
      <w:tr w:rsidR="00D818DC" w:rsidRPr="00D818DC" w14:paraId="71E39614" w14:textId="77777777" w:rsidTr="00A5087F">
        <w:tc>
          <w:tcPr>
            <w:tcW w:w="6204" w:type="dxa"/>
            <w:vAlign w:val="center"/>
          </w:tcPr>
          <w:p w14:paraId="662CD700" w14:textId="77777777" w:rsidR="00D818DC" w:rsidRPr="00D818DC" w:rsidRDefault="00D818DC" w:rsidP="00D818DC">
            <w:pPr>
              <w:jc w:val="both"/>
            </w:pPr>
            <w:r w:rsidRPr="00D818DC">
              <w:t>A entidade sem finalidade de lucros constitui provisão em montante suficiente para cobrir as perdas esperadas sobre créditos a receber, com base em estimativa de seus prováveis valores de realização e baixar os valores prescritos, incobráveis e anistiados?</w:t>
            </w:r>
          </w:p>
        </w:tc>
        <w:tc>
          <w:tcPr>
            <w:tcW w:w="1275" w:type="dxa"/>
            <w:vAlign w:val="center"/>
          </w:tcPr>
          <w:p w14:paraId="614105B2" w14:textId="77777777" w:rsidR="00D818DC" w:rsidRPr="00D818DC" w:rsidRDefault="00D818DC" w:rsidP="00A5087F">
            <w:pPr>
              <w:jc w:val="center"/>
            </w:pPr>
            <w:r w:rsidRPr="00D818DC">
              <w:t>0</w:t>
            </w:r>
          </w:p>
        </w:tc>
        <w:tc>
          <w:tcPr>
            <w:tcW w:w="1241" w:type="dxa"/>
            <w:vAlign w:val="center"/>
          </w:tcPr>
          <w:p w14:paraId="168470AF" w14:textId="77777777" w:rsidR="00D818DC" w:rsidRPr="00D818DC" w:rsidRDefault="00D818DC" w:rsidP="00A5087F">
            <w:pPr>
              <w:jc w:val="center"/>
            </w:pPr>
            <w:r w:rsidRPr="00D818DC">
              <w:t>0</w:t>
            </w:r>
          </w:p>
        </w:tc>
      </w:tr>
      <w:tr w:rsidR="00D818DC" w:rsidRPr="00D818DC" w14:paraId="154FEDE3" w14:textId="77777777" w:rsidTr="00A5087F">
        <w:tc>
          <w:tcPr>
            <w:tcW w:w="6204" w:type="dxa"/>
            <w:vAlign w:val="center"/>
          </w:tcPr>
          <w:p w14:paraId="4301796C" w14:textId="77777777" w:rsidR="00D818DC" w:rsidRPr="00D818DC" w:rsidRDefault="00D818DC" w:rsidP="00D818DC">
            <w:pPr>
              <w:jc w:val="both"/>
            </w:pPr>
            <w:r w:rsidRPr="00D818DC">
              <w:t>O valor do superávit ou déficit é incorporado ao Patrimônio Social?</w:t>
            </w:r>
          </w:p>
        </w:tc>
        <w:tc>
          <w:tcPr>
            <w:tcW w:w="1275" w:type="dxa"/>
            <w:vAlign w:val="center"/>
          </w:tcPr>
          <w:p w14:paraId="2A9BFD53" w14:textId="77777777" w:rsidR="00D818DC" w:rsidRPr="00D818DC" w:rsidRDefault="00D818DC" w:rsidP="00A5087F">
            <w:pPr>
              <w:jc w:val="center"/>
            </w:pPr>
            <w:r w:rsidRPr="00D818DC">
              <w:t>0</w:t>
            </w:r>
          </w:p>
        </w:tc>
        <w:tc>
          <w:tcPr>
            <w:tcW w:w="1241" w:type="dxa"/>
            <w:vAlign w:val="center"/>
          </w:tcPr>
          <w:p w14:paraId="3D5231DE" w14:textId="77777777" w:rsidR="00D818DC" w:rsidRPr="00D818DC" w:rsidRDefault="00D818DC" w:rsidP="00A5087F">
            <w:pPr>
              <w:jc w:val="center"/>
            </w:pPr>
            <w:r w:rsidRPr="00D818DC">
              <w:t>1</w:t>
            </w:r>
          </w:p>
        </w:tc>
      </w:tr>
      <w:tr w:rsidR="00D818DC" w:rsidRPr="00D818DC" w14:paraId="688DC68E" w14:textId="77777777" w:rsidTr="00A5087F">
        <w:tc>
          <w:tcPr>
            <w:tcW w:w="6204" w:type="dxa"/>
            <w:vAlign w:val="center"/>
          </w:tcPr>
          <w:p w14:paraId="3665E7F2" w14:textId="77777777" w:rsidR="00D818DC" w:rsidRPr="00D818DC" w:rsidRDefault="00D818DC" w:rsidP="00D818DC">
            <w:pPr>
              <w:jc w:val="both"/>
            </w:pPr>
            <w:r w:rsidRPr="00D818DC">
              <w:t>O benefício concedido como gratuidade por meio da prestação de serviços é reconhecido pelo valor efetivamente praticado?</w:t>
            </w:r>
          </w:p>
        </w:tc>
        <w:tc>
          <w:tcPr>
            <w:tcW w:w="1275" w:type="dxa"/>
            <w:vAlign w:val="center"/>
          </w:tcPr>
          <w:p w14:paraId="7E7FF784" w14:textId="77777777" w:rsidR="00D818DC" w:rsidRPr="00D818DC" w:rsidRDefault="00D818DC" w:rsidP="00A5087F">
            <w:pPr>
              <w:jc w:val="center"/>
            </w:pPr>
            <w:r w:rsidRPr="00D818DC">
              <w:t>1</w:t>
            </w:r>
          </w:p>
        </w:tc>
        <w:tc>
          <w:tcPr>
            <w:tcW w:w="1241" w:type="dxa"/>
            <w:vAlign w:val="center"/>
          </w:tcPr>
          <w:p w14:paraId="0E478389" w14:textId="77777777" w:rsidR="00D818DC" w:rsidRPr="00D818DC" w:rsidRDefault="00D818DC" w:rsidP="00A5087F">
            <w:pPr>
              <w:jc w:val="center"/>
            </w:pPr>
            <w:r w:rsidRPr="00D818DC">
              <w:t>1</w:t>
            </w:r>
          </w:p>
        </w:tc>
      </w:tr>
      <w:tr w:rsidR="00D818DC" w:rsidRPr="00D818DC" w14:paraId="51110F91" w14:textId="77777777" w:rsidTr="00A5087F">
        <w:tc>
          <w:tcPr>
            <w:tcW w:w="6204" w:type="dxa"/>
            <w:vAlign w:val="center"/>
          </w:tcPr>
          <w:p w14:paraId="220720BC" w14:textId="77777777" w:rsidR="00D818DC" w:rsidRPr="00D818DC" w:rsidRDefault="00D818DC" w:rsidP="00D818DC">
            <w:pPr>
              <w:jc w:val="both"/>
            </w:pPr>
            <w:r w:rsidRPr="00D818DC">
              <w:t xml:space="preserve">Os registros contábeis são segregados de forma que permitam a apuração das informações para prestação de contas exigidas por entidades governamentais, </w:t>
            </w:r>
            <w:proofErr w:type="spellStart"/>
            <w:r w:rsidRPr="00D818DC">
              <w:t>aportadores</w:t>
            </w:r>
            <w:proofErr w:type="spellEnd"/>
            <w:r w:rsidRPr="00D818DC">
              <w:t>, reguladores e usuários em geral?</w:t>
            </w:r>
          </w:p>
        </w:tc>
        <w:tc>
          <w:tcPr>
            <w:tcW w:w="1275" w:type="dxa"/>
            <w:vAlign w:val="center"/>
          </w:tcPr>
          <w:p w14:paraId="067F9C66" w14:textId="77777777" w:rsidR="00D818DC" w:rsidRPr="00D818DC" w:rsidRDefault="00D818DC" w:rsidP="00A5087F">
            <w:pPr>
              <w:jc w:val="center"/>
            </w:pPr>
            <w:r w:rsidRPr="00D818DC">
              <w:t>1</w:t>
            </w:r>
          </w:p>
        </w:tc>
        <w:tc>
          <w:tcPr>
            <w:tcW w:w="1241" w:type="dxa"/>
            <w:vAlign w:val="center"/>
          </w:tcPr>
          <w:p w14:paraId="689FAF32" w14:textId="77777777" w:rsidR="00D818DC" w:rsidRPr="00D818DC" w:rsidRDefault="00D818DC" w:rsidP="00A5087F">
            <w:pPr>
              <w:jc w:val="center"/>
            </w:pPr>
            <w:r w:rsidRPr="00D818DC">
              <w:t>1</w:t>
            </w:r>
          </w:p>
        </w:tc>
      </w:tr>
      <w:tr w:rsidR="00D818DC" w:rsidRPr="00D818DC" w14:paraId="38EC1D96" w14:textId="77777777" w:rsidTr="00A5087F">
        <w:tc>
          <w:tcPr>
            <w:tcW w:w="6204" w:type="dxa"/>
            <w:vAlign w:val="center"/>
          </w:tcPr>
          <w:p w14:paraId="168F17ED" w14:textId="77777777" w:rsidR="00D818DC" w:rsidRPr="00D818DC" w:rsidRDefault="00D818DC" w:rsidP="00D818DC">
            <w:pPr>
              <w:jc w:val="both"/>
            </w:pPr>
            <w:r w:rsidRPr="00D818DC">
              <w:t>A dotação inicial disponibilizada pelo instituidor/fundador em ativo monetário ou não monetário, no caso das fundações, foi considerada doação patrimonial e reconhecida em conta do patrimônio social?</w:t>
            </w:r>
          </w:p>
        </w:tc>
        <w:tc>
          <w:tcPr>
            <w:tcW w:w="1275" w:type="dxa"/>
            <w:vAlign w:val="center"/>
          </w:tcPr>
          <w:p w14:paraId="0A95A84E" w14:textId="77777777" w:rsidR="00D818DC" w:rsidRPr="00D818DC" w:rsidRDefault="00D818DC" w:rsidP="00A5087F">
            <w:pPr>
              <w:jc w:val="center"/>
            </w:pPr>
            <w:r w:rsidRPr="00D818DC">
              <w:t>NA</w:t>
            </w:r>
          </w:p>
        </w:tc>
        <w:tc>
          <w:tcPr>
            <w:tcW w:w="1241" w:type="dxa"/>
            <w:vAlign w:val="center"/>
          </w:tcPr>
          <w:p w14:paraId="2A667D92" w14:textId="77777777" w:rsidR="00D818DC" w:rsidRPr="00D818DC" w:rsidRDefault="00D818DC" w:rsidP="00A5087F">
            <w:pPr>
              <w:jc w:val="center"/>
            </w:pPr>
            <w:r w:rsidRPr="00D818DC">
              <w:t>NA</w:t>
            </w:r>
          </w:p>
        </w:tc>
      </w:tr>
      <w:tr w:rsidR="00D818DC" w:rsidRPr="00D818DC" w14:paraId="73667564" w14:textId="77777777" w:rsidTr="00A5087F">
        <w:tc>
          <w:tcPr>
            <w:tcW w:w="6204" w:type="dxa"/>
            <w:vAlign w:val="center"/>
          </w:tcPr>
          <w:p w14:paraId="5537CB46" w14:textId="77777777" w:rsidR="00D818DC" w:rsidRPr="00D818DC" w:rsidRDefault="00D818DC" w:rsidP="00D818DC">
            <w:pPr>
              <w:jc w:val="both"/>
            </w:pPr>
            <w:r w:rsidRPr="00D818DC">
              <w:t>O trabalho voluntário, inclusive de membros integrantes dos órgãos da administração, no exercício de suas funções, é reconhecido pelo valor justo da prestação do serviço como se tivesse ocorrido o desembolso financeiro?</w:t>
            </w:r>
          </w:p>
        </w:tc>
        <w:tc>
          <w:tcPr>
            <w:tcW w:w="1275" w:type="dxa"/>
            <w:vAlign w:val="center"/>
          </w:tcPr>
          <w:p w14:paraId="587E16B8" w14:textId="77777777" w:rsidR="00D818DC" w:rsidRPr="00D818DC" w:rsidRDefault="00D818DC" w:rsidP="00A5087F">
            <w:pPr>
              <w:jc w:val="center"/>
            </w:pPr>
            <w:r w:rsidRPr="00D818DC">
              <w:t>1</w:t>
            </w:r>
          </w:p>
        </w:tc>
        <w:tc>
          <w:tcPr>
            <w:tcW w:w="1241" w:type="dxa"/>
            <w:vAlign w:val="center"/>
          </w:tcPr>
          <w:p w14:paraId="783A65F6" w14:textId="77777777" w:rsidR="00D818DC" w:rsidRPr="00D818DC" w:rsidRDefault="00D818DC" w:rsidP="00A5087F">
            <w:pPr>
              <w:jc w:val="center"/>
            </w:pPr>
            <w:r w:rsidRPr="00D818DC">
              <w:t>1</w:t>
            </w:r>
          </w:p>
        </w:tc>
      </w:tr>
      <w:tr w:rsidR="00D818DC" w:rsidRPr="00D818DC" w14:paraId="24238002" w14:textId="77777777" w:rsidTr="00A5087F">
        <w:tc>
          <w:tcPr>
            <w:tcW w:w="6204" w:type="dxa"/>
            <w:vAlign w:val="center"/>
          </w:tcPr>
          <w:p w14:paraId="3CB2743D" w14:textId="77777777" w:rsidR="00D818DC" w:rsidRPr="00D818DC" w:rsidRDefault="00D818DC" w:rsidP="00D818DC">
            <w:pPr>
              <w:jc w:val="both"/>
            </w:pPr>
            <w:r w:rsidRPr="00D818DC">
              <w:t>A organização elabora Balanço Patrimonial?</w:t>
            </w:r>
          </w:p>
        </w:tc>
        <w:tc>
          <w:tcPr>
            <w:tcW w:w="1275" w:type="dxa"/>
            <w:vAlign w:val="center"/>
          </w:tcPr>
          <w:p w14:paraId="25222C31" w14:textId="77777777" w:rsidR="00D818DC" w:rsidRPr="00D818DC" w:rsidRDefault="00D818DC" w:rsidP="00A5087F">
            <w:pPr>
              <w:jc w:val="center"/>
            </w:pPr>
            <w:r w:rsidRPr="00D818DC">
              <w:t>1</w:t>
            </w:r>
          </w:p>
        </w:tc>
        <w:tc>
          <w:tcPr>
            <w:tcW w:w="1241" w:type="dxa"/>
            <w:vAlign w:val="center"/>
          </w:tcPr>
          <w:p w14:paraId="2B061A16" w14:textId="77777777" w:rsidR="00D818DC" w:rsidRPr="00D818DC" w:rsidRDefault="00D818DC" w:rsidP="00A5087F">
            <w:pPr>
              <w:jc w:val="center"/>
            </w:pPr>
            <w:r w:rsidRPr="00D818DC">
              <w:t>1</w:t>
            </w:r>
          </w:p>
        </w:tc>
      </w:tr>
      <w:tr w:rsidR="00D818DC" w:rsidRPr="00D818DC" w14:paraId="14CE7ACB" w14:textId="77777777" w:rsidTr="00A5087F">
        <w:tc>
          <w:tcPr>
            <w:tcW w:w="6204" w:type="dxa"/>
            <w:vAlign w:val="center"/>
          </w:tcPr>
          <w:p w14:paraId="00F2812E" w14:textId="77777777" w:rsidR="00D818DC" w:rsidRPr="00D818DC" w:rsidRDefault="00D818DC" w:rsidP="00D818DC">
            <w:pPr>
              <w:jc w:val="both"/>
            </w:pPr>
            <w:r w:rsidRPr="00D818DC">
              <w:t>A organização elabora Demonstração do Resultado do Período?</w:t>
            </w:r>
            <w:r w:rsidRPr="00D818DC">
              <w:tab/>
            </w:r>
          </w:p>
        </w:tc>
        <w:tc>
          <w:tcPr>
            <w:tcW w:w="1275" w:type="dxa"/>
            <w:vAlign w:val="center"/>
          </w:tcPr>
          <w:p w14:paraId="72527AE1" w14:textId="77777777" w:rsidR="00D818DC" w:rsidRPr="00D818DC" w:rsidRDefault="00D818DC" w:rsidP="00A5087F">
            <w:pPr>
              <w:jc w:val="center"/>
            </w:pPr>
            <w:r w:rsidRPr="00D818DC">
              <w:t>1</w:t>
            </w:r>
          </w:p>
        </w:tc>
        <w:tc>
          <w:tcPr>
            <w:tcW w:w="1241" w:type="dxa"/>
            <w:vAlign w:val="center"/>
          </w:tcPr>
          <w:p w14:paraId="6140FA48" w14:textId="77777777" w:rsidR="00D818DC" w:rsidRPr="00D818DC" w:rsidRDefault="00D818DC" w:rsidP="00A5087F">
            <w:pPr>
              <w:jc w:val="center"/>
            </w:pPr>
            <w:r w:rsidRPr="00D818DC">
              <w:t>1</w:t>
            </w:r>
          </w:p>
        </w:tc>
      </w:tr>
      <w:tr w:rsidR="00D818DC" w:rsidRPr="00D818DC" w14:paraId="7DF2147E" w14:textId="77777777" w:rsidTr="00A5087F">
        <w:tc>
          <w:tcPr>
            <w:tcW w:w="6204" w:type="dxa"/>
            <w:vAlign w:val="center"/>
          </w:tcPr>
          <w:p w14:paraId="50498108" w14:textId="77777777" w:rsidR="00D818DC" w:rsidRPr="00D818DC" w:rsidRDefault="00D818DC" w:rsidP="00D818DC">
            <w:pPr>
              <w:jc w:val="both"/>
            </w:pPr>
            <w:r w:rsidRPr="00D818DC">
              <w:t>A organização elabora Demonstração das Mutações do Patrimônio Líquido?</w:t>
            </w:r>
          </w:p>
        </w:tc>
        <w:tc>
          <w:tcPr>
            <w:tcW w:w="1275" w:type="dxa"/>
            <w:vAlign w:val="center"/>
          </w:tcPr>
          <w:p w14:paraId="2EE7EE18" w14:textId="77777777" w:rsidR="00D818DC" w:rsidRPr="00D818DC" w:rsidRDefault="00D818DC" w:rsidP="00A5087F">
            <w:pPr>
              <w:jc w:val="center"/>
            </w:pPr>
            <w:r w:rsidRPr="00D818DC">
              <w:t>1</w:t>
            </w:r>
          </w:p>
        </w:tc>
        <w:tc>
          <w:tcPr>
            <w:tcW w:w="1241" w:type="dxa"/>
            <w:vAlign w:val="center"/>
          </w:tcPr>
          <w:p w14:paraId="12A5CE90" w14:textId="77777777" w:rsidR="00D818DC" w:rsidRPr="00D818DC" w:rsidRDefault="00D818DC" w:rsidP="00A5087F">
            <w:pPr>
              <w:jc w:val="center"/>
            </w:pPr>
            <w:r w:rsidRPr="00D818DC">
              <w:t>1</w:t>
            </w:r>
          </w:p>
        </w:tc>
      </w:tr>
      <w:tr w:rsidR="00D818DC" w:rsidRPr="00D818DC" w14:paraId="11DF68A4" w14:textId="77777777" w:rsidTr="00A5087F">
        <w:tc>
          <w:tcPr>
            <w:tcW w:w="6204" w:type="dxa"/>
            <w:vAlign w:val="center"/>
          </w:tcPr>
          <w:p w14:paraId="4B093017" w14:textId="77777777" w:rsidR="00D818DC" w:rsidRPr="00D818DC" w:rsidRDefault="00D818DC" w:rsidP="00D818DC">
            <w:pPr>
              <w:jc w:val="both"/>
            </w:pPr>
            <w:r w:rsidRPr="00D818DC">
              <w:t>A organização elabora Demonstração dos Fluxos de Caixa?</w:t>
            </w:r>
          </w:p>
        </w:tc>
        <w:tc>
          <w:tcPr>
            <w:tcW w:w="1275" w:type="dxa"/>
            <w:vAlign w:val="center"/>
          </w:tcPr>
          <w:p w14:paraId="3A86C82F" w14:textId="77777777" w:rsidR="00D818DC" w:rsidRPr="00D818DC" w:rsidRDefault="00D818DC" w:rsidP="00A5087F">
            <w:pPr>
              <w:jc w:val="center"/>
            </w:pPr>
            <w:r w:rsidRPr="00D818DC">
              <w:t>1</w:t>
            </w:r>
          </w:p>
        </w:tc>
        <w:tc>
          <w:tcPr>
            <w:tcW w:w="1241" w:type="dxa"/>
            <w:vAlign w:val="center"/>
          </w:tcPr>
          <w:p w14:paraId="5FBA8724" w14:textId="77777777" w:rsidR="00D818DC" w:rsidRPr="00D818DC" w:rsidRDefault="00D818DC" w:rsidP="00A5087F">
            <w:pPr>
              <w:jc w:val="center"/>
            </w:pPr>
            <w:r w:rsidRPr="00D818DC">
              <w:t>1</w:t>
            </w:r>
          </w:p>
        </w:tc>
      </w:tr>
      <w:tr w:rsidR="00D818DC" w:rsidRPr="00D818DC" w14:paraId="66D621D7" w14:textId="77777777" w:rsidTr="00A5087F">
        <w:tc>
          <w:tcPr>
            <w:tcW w:w="6204" w:type="dxa"/>
            <w:vAlign w:val="center"/>
          </w:tcPr>
          <w:p w14:paraId="42BE1905" w14:textId="77777777" w:rsidR="00D818DC" w:rsidRPr="00D818DC" w:rsidRDefault="00D818DC" w:rsidP="00D818DC">
            <w:pPr>
              <w:jc w:val="both"/>
            </w:pPr>
            <w:r w:rsidRPr="00D818DC">
              <w:t>A organização elabora Notas Explicativas?</w:t>
            </w:r>
            <w:r w:rsidRPr="00D818DC">
              <w:tab/>
            </w:r>
          </w:p>
        </w:tc>
        <w:tc>
          <w:tcPr>
            <w:tcW w:w="1275" w:type="dxa"/>
            <w:vAlign w:val="center"/>
          </w:tcPr>
          <w:p w14:paraId="11D2AC90" w14:textId="77777777" w:rsidR="00D818DC" w:rsidRPr="00D818DC" w:rsidRDefault="00D818DC" w:rsidP="00A5087F">
            <w:pPr>
              <w:jc w:val="center"/>
            </w:pPr>
            <w:r w:rsidRPr="00D818DC">
              <w:t>NI</w:t>
            </w:r>
          </w:p>
        </w:tc>
        <w:tc>
          <w:tcPr>
            <w:tcW w:w="1241" w:type="dxa"/>
            <w:vAlign w:val="center"/>
          </w:tcPr>
          <w:p w14:paraId="5A32B853" w14:textId="77777777" w:rsidR="00D818DC" w:rsidRPr="00D818DC" w:rsidRDefault="00D818DC" w:rsidP="00A5087F">
            <w:pPr>
              <w:jc w:val="center"/>
            </w:pPr>
            <w:r w:rsidRPr="00D818DC">
              <w:t>1</w:t>
            </w:r>
          </w:p>
        </w:tc>
      </w:tr>
      <w:tr w:rsidR="00D818DC" w:rsidRPr="00D818DC" w14:paraId="3E519254" w14:textId="77777777" w:rsidTr="00A5087F">
        <w:tc>
          <w:tcPr>
            <w:tcW w:w="6204" w:type="dxa"/>
            <w:vAlign w:val="center"/>
          </w:tcPr>
          <w:p w14:paraId="3FDD1F34" w14:textId="77777777" w:rsidR="00D818DC" w:rsidRPr="00D818DC" w:rsidRDefault="00D818DC" w:rsidP="00D818DC">
            <w:pPr>
              <w:jc w:val="both"/>
            </w:pPr>
            <w:r w:rsidRPr="00D818DC">
              <w:t>No Balanço Patrimonial, a denominação da conta Capital foi substituída por Patrimônio Social?</w:t>
            </w:r>
          </w:p>
        </w:tc>
        <w:tc>
          <w:tcPr>
            <w:tcW w:w="1275" w:type="dxa"/>
            <w:vAlign w:val="center"/>
          </w:tcPr>
          <w:p w14:paraId="2102EF86" w14:textId="77777777" w:rsidR="00D818DC" w:rsidRPr="00D818DC" w:rsidRDefault="00D818DC" w:rsidP="00A5087F">
            <w:pPr>
              <w:jc w:val="center"/>
            </w:pPr>
            <w:r w:rsidRPr="00D818DC">
              <w:t>1</w:t>
            </w:r>
          </w:p>
        </w:tc>
        <w:tc>
          <w:tcPr>
            <w:tcW w:w="1241" w:type="dxa"/>
            <w:vAlign w:val="center"/>
          </w:tcPr>
          <w:p w14:paraId="08ABB529" w14:textId="77777777" w:rsidR="00D818DC" w:rsidRPr="00D818DC" w:rsidRDefault="00D818DC" w:rsidP="00A5087F">
            <w:pPr>
              <w:jc w:val="center"/>
            </w:pPr>
            <w:r w:rsidRPr="00D818DC">
              <w:t>1</w:t>
            </w:r>
          </w:p>
        </w:tc>
      </w:tr>
      <w:tr w:rsidR="00D818DC" w:rsidRPr="00D818DC" w14:paraId="29F8A993" w14:textId="77777777" w:rsidTr="00A5087F">
        <w:tc>
          <w:tcPr>
            <w:tcW w:w="6204" w:type="dxa"/>
            <w:vAlign w:val="center"/>
          </w:tcPr>
          <w:p w14:paraId="5A676F57" w14:textId="77777777" w:rsidR="00D818DC" w:rsidRPr="00D818DC" w:rsidRDefault="00D818DC" w:rsidP="00D818DC">
            <w:pPr>
              <w:jc w:val="both"/>
            </w:pPr>
            <w:r w:rsidRPr="00D818DC">
              <w:t>No Balanço Patrimonial e nas Demonstrações do Resultado do Período, das Mutações do Patrimônio Líquido e dos Fluxos de Caixa, as palavras lucro ou prejuízo foram substituídos por superávit ou déficit do período?</w:t>
            </w:r>
          </w:p>
        </w:tc>
        <w:tc>
          <w:tcPr>
            <w:tcW w:w="1275" w:type="dxa"/>
            <w:vAlign w:val="center"/>
          </w:tcPr>
          <w:p w14:paraId="4D2739BE" w14:textId="77777777" w:rsidR="00D818DC" w:rsidRPr="00D818DC" w:rsidRDefault="00D818DC" w:rsidP="00A5087F">
            <w:pPr>
              <w:jc w:val="center"/>
            </w:pPr>
            <w:r w:rsidRPr="00D818DC">
              <w:t>1</w:t>
            </w:r>
          </w:p>
        </w:tc>
        <w:tc>
          <w:tcPr>
            <w:tcW w:w="1241" w:type="dxa"/>
            <w:vAlign w:val="center"/>
          </w:tcPr>
          <w:p w14:paraId="74DEFF65" w14:textId="77777777" w:rsidR="00D818DC" w:rsidRPr="00D818DC" w:rsidRDefault="00D818DC" w:rsidP="00A5087F">
            <w:pPr>
              <w:jc w:val="center"/>
            </w:pPr>
            <w:r w:rsidRPr="00D818DC">
              <w:t>1</w:t>
            </w:r>
          </w:p>
        </w:tc>
      </w:tr>
      <w:tr w:rsidR="00D818DC" w:rsidRPr="00D818DC" w14:paraId="5CFB5060" w14:textId="77777777" w:rsidTr="00A5087F">
        <w:tc>
          <w:tcPr>
            <w:tcW w:w="6204" w:type="dxa"/>
            <w:vAlign w:val="center"/>
          </w:tcPr>
          <w:p w14:paraId="438E24D3" w14:textId="77777777" w:rsidR="00D818DC" w:rsidRPr="00D818DC" w:rsidRDefault="00D818DC" w:rsidP="00D818DC">
            <w:pPr>
              <w:jc w:val="both"/>
            </w:pPr>
            <w:r w:rsidRPr="00D818DC">
              <w:lastRenderedPageBreak/>
              <w:t>Na Demonstração do Resultado do Período, são destacadas as informações de gratuidade concedidas e serviços voluntários obtidos, e divulgadas em notas explicativas por tipo de atividade?</w:t>
            </w:r>
          </w:p>
        </w:tc>
        <w:tc>
          <w:tcPr>
            <w:tcW w:w="1275" w:type="dxa"/>
            <w:vAlign w:val="center"/>
          </w:tcPr>
          <w:p w14:paraId="3F2783E0" w14:textId="77777777" w:rsidR="00D818DC" w:rsidRPr="00D818DC" w:rsidRDefault="00D818DC" w:rsidP="00A5087F">
            <w:pPr>
              <w:jc w:val="center"/>
            </w:pPr>
            <w:r w:rsidRPr="00D818DC">
              <w:t>NI</w:t>
            </w:r>
          </w:p>
        </w:tc>
        <w:tc>
          <w:tcPr>
            <w:tcW w:w="1241" w:type="dxa"/>
            <w:vAlign w:val="center"/>
          </w:tcPr>
          <w:p w14:paraId="69FAFE51" w14:textId="77777777" w:rsidR="00D818DC" w:rsidRPr="00D818DC" w:rsidRDefault="00D818DC" w:rsidP="00A5087F">
            <w:pPr>
              <w:jc w:val="center"/>
            </w:pPr>
            <w:r w:rsidRPr="00D818DC">
              <w:t>1</w:t>
            </w:r>
          </w:p>
        </w:tc>
      </w:tr>
      <w:tr w:rsidR="00D818DC" w:rsidRPr="00D818DC" w14:paraId="13F9CECA" w14:textId="77777777" w:rsidTr="00A5087F">
        <w:tc>
          <w:tcPr>
            <w:tcW w:w="6204" w:type="dxa"/>
            <w:vAlign w:val="center"/>
          </w:tcPr>
          <w:p w14:paraId="304762BF" w14:textId="77777777" w:rsidR="00D818DC" w:rsidRPr="00D818DC" w:rsidRDefault="00D818DC" w:rsidP="00D818DC">
            <w:pPr>
              <w:jc w:val="both"/>
            </w:pPr>
            <w:r w:rsidRPr="00D818DC">
              <w:t>Na Demonstração dos Fluxos de Caixa, as doações são classificadas nos fluxos das atividades operacionais?</w:t>
            </w:r>
          </w:p>
        </w:tc>
        <w:tc>
          <w:tcPr>
            <w:tcW w:w="1275" w:type="dxa"/>
            <w:vAlign w:val="center"/>
          </w:tcPr>
          <w:p w14:paraId="3DA3F422" w14:textId="77777777" w:rsidR="00D818DC" w:rsidRPr="00D818DC" w:rsidRDefault="00D818DC" w:rsidP="00A5087F">
            <w:pPr>
              <w:jc w:val="center"/>
            </w:pPr>
            <w:r w:rsidRPr="00D818DC">
              <w:t>0</w:t>
            </w:r>
          </w:p>
        </w:tc>
        <w:tc>
          <w:tcPr>
            <w:tcW w:w="1241" w:type="dxa"/>
            <w:vAlign w:val="center"/>
          </w:tcPr>
          <w:p w14:paraId="55D97F69" w14:textId="77777777" w:rsidR="00D818DC" w:rsidRPr="00D818DC" w:rsidRDefault="00D818DC" w:rsidP="00A5087F">
            <w:pPr>
              <w:jc w:val="center"/>
            </w:pPr>
            <w:r w:rsidRPr="00D818DC">
              <w:t>0</w:t>
            </w:r>
          </w:p>
        </w:tc>
      </w:tr>
    </w:tbl>
    <w:p w14:paraId="3DB5F27A" w14:textId="073FADEE" w:rsidR="007E483E" w:rsidRPr="007E483E" w:rsidRDefault="007E483E" w:rsidP="007E483E">
      <w:pPr>
        <w:tabs>
          <w:tab w:val="left" w:pos="7050"/>
        </w:tabs>
        <w:jc w:val="both"/>
      </w:pPr>
      <w:r w:rsidRPr="007E483E">
        <w:t xml:space="preserve">Fonte: </w:t>
      </w:r>
      <w:r w:rsidRPr="007E483E">
        <w:rPr>
          <w:i/>
        </w:rPr>
        <w:t>Checklist</w:t>
      </w:r>
      <w:r w:rsidRPr="007E483E">
        <w:t xml:space="preserve"> adaptado de Silva</w:t>
      </w:r>
      <w:r w:rsidR="00026B8D">
        <w:t xml:space="preserve"> </w:t>
      </w:r>
      <w:r w:rsidR="00026B8D">
        <w:rPr>
          <w:i/>
        </w:rPr>
        <w:t>et al.</w:t>
      </w:r>
      <w:r w:rsidRPr="007E483E">
        <w:t xml:space="preserve"> (2016)</w:t>
      </w:r>
    </w:p>
    <w:p w14:paraId="082407BE" w14:textId="77777777" w:rsidR="007E483E" w:rsidRPr="000E179F" w:rsidRDefault="007E483E" w:rsidP="007E483E">
      <w:pPr>
        <w:tabs>
          <w:tab w:val="left" w:pos="7050"/>
        </w:tabs>
        <w:jc w:val="both"/>
        <w:rPr>
          <w:sz w:val="24"/>
          <w:szCs w:val="24"/>
        </w:rPr>
      </w:pPr>
    </w:p>
    <w:p w14:paraId="6949BA32" w14:textId="77777777" w:rsidR="007E483E" w:rsidRPr="000E179F" w:rsidRDefault="007E483E" w:rsidP="007E483E">
      <w:pPr>
        <w:ind w:firstLine="708"/>
        <w:jc w:val="both"/>
        <w:rPr>
          <w:sz w:val="24"/>
          <w:szCs w:val="24"/>
        </w:rPr>
      </w:pPr>
      <w:r w:rsidRPr="000E179F">
        <w:rPr>
          <w:sz w:val="24"/>
          <w:szCs w:val="24"/>
        </w:rPr>
        <w:t xml:space="preserve">A associação estudada elabora todas as demonstrações exigidas pelas normas contábeis, que incluem o Balanço Patrimonial, a Demonstração do Resultado do Período, a Demonstração das Mutações do Patrimônio Social, a Demonstração do Fluxo de Caixa e as notas explicativas. Importante destacar que o CCEA apresenta o capital da entidade com a nomenclatura de patrimônio social, e o resultado do período com a nomenclatura superávit ou déficit, dependendo do exercício. Dessa forma está de acordo com a Interpretação Técnica Geral 2002. </w:t>
      </w:r>
    </w:p>
    <w:p w14:paraId="692BE52A" w14:textId="77777777" w:rsidR="000E179F" w:rsidRPr="000E179F" w:rsidRDefault="000E179F" w:rsidP="000E179F">
      <w:pPr>
        <w:ind w:firstLine="708"/>
        <w:jc w:val="both"/>
        <w:rPr>
          <w:sz w:val="24"/>
          <w:szCs w:val="24"/>
        </w:rPr>
      </w:pPr>
      <w:r w:rsidRPr="000E179F">
        <w:rPr>
          <w:sz w:val="24"/>
          <w:szCs w:val="24"/>
        </w:rPr>
        <w:t xml:space="preserve">A associação estudada elabora todas as demonstrações exigidas pelas normas contábeis, que incluem o Balanço Patrimonial, a Demonstração do Resultado do Período, a Demonstração das Mutações do Patrimônio Social, a Demonstração do Fluxo de Caixa e as notas explicativas. Importante destacar que o CCEA apresenta o capital da entidade com a nomenclatura de patrimônio social, e o resultado do período com a nomenclatura superávit ou déficit, dependendo do exercício. Dessa forma está de acordo com a Interpretação Técnica Geral 2002. </w:t>
      </w:r>
    </w:p>
    <w:p w14:paraId="54037019" w14:textId="77777777" w:rsidR="000E179F" w:rsidRPr="000E179F" w:rsidRDefault="000E179F" w:rsidP="000E179F">
      <w:pPr>
        <w:ind w:firstLine="708"/>
        <w:jc w:val="both"/>
        <w:rPr>
          <w:sz w:val="24"/>
          <w:szCs w:val="24"/>
        </w:rPr>
      </w:pPr>
      <w:r w:rsidRPr="000E179F">
        <w:rPr>
          <w:color w:val="0D0D0D" w:themeColor="text1" w:themeTint="F2"/>
          <w:sz w:val="24"/>
          <w:szCs w:val="24"/>
        </w:rPr>
        <w:t xml:space="preserve">De acordo com os dados da Tabela 2, aponta-se que o nível de evidenciação das demonstrações contábeis da associação analisada em relação às normas contábeis no ano de </w:t>
      </w:r>
      <w:r w:rsidRPr="000E179F">
        <w:rPr>
          <w:sz w:val="24"/>
          <w:szCs w:val="24"/>
        </w:rPr>
        <w:t>2015 é de 88,89% e em 2014 é de 80%. Percebe-se uma melhora no nível de evidenciação da entidade entre os exercícios estudados.</w:t>
      </w:r>
    </w:p>
    <w:p w14:paraId="22F041E1" w14:textId="77777777" w:rsidR="000E179F" w:rsidRPr="000E179F" w:rsidRDefault="000E179F" w:rsidP="000E179F">
      <w:pPr>
        <w:ind w:firstLine="708"/>
        <w:jc w:val="both"/>
        <w:rPr>
          <w:color w:val="000000" w:themeColor="text1"/>
          <w:sz w:val="24"/>
          <w:szCs w:val="24"/>
        </w:rPr>
      </w:pPr>
      <w:r w:rsidRPr="000E179F">
        <w:rPr>
          <w:sz w:val="24"/>
          <w:szCs w:val="24"/>
        </w:rPr>
        <w:t xml:space="preserve">A análise das demonstrações revela que a entidade não obteve adequação em cinco e dois e itens em 2014 e 2015 respectivamente. </w:t>
      </w:r>
      <w:r w:rsidRPr="000E179F">
        <w:rPr>
          <w:color w:val="000000" w:themeColor="text1"/>
          <w:sz w:val="24"/>
          <w:szCs w:val="24"/>
        </w:rPr>
        <w:t xml:space="preserve">Não foi possível identificar se as doações foram classificadas como atividades operacionais nos dois exercícios; porém, nota-se que as mesmas não foram incluídas nas atividades de financiamento e de investimento. </w:t>
      </w:r>
    </w:p>
    <w:p w14:paraId="761C238F" w14:textId="77777777" w:rsidR="000E179F" w:rsidRPr="000E179F" w:rsidRDefault="000E179F" w:rsidP="000E179F">
      <w:pPr>
        <w:ind w:firstLine="708"/>
        <w:jc w:val="both"/>
        <w:rPr>
          <w:sz w:val="24"/>
          <w:szCs w:val="24"/>
        </w:rPr>
      </w:pPr>
      <w:r w:rsidRPr="000E179F">
        <w:rPr>
          <w:color w:val="000000" w:themeColor="text1"/>
          <w:sz w:val="24"/>
          <w:szCs w:val="24"/>
        </w:rPr>
        <w:t xml:space="preserve">Em relação a constituição de provisão em montante suficiente para cobrir </w:t>
      </w:r>
      <w:r w:rsidRPr="000E179F">
        <w:rPr>
          <w:sz w:val="24"/>
          <w:szCs w:val="24"/>
        </w:rPr>
        <w:t>as perdas esperadas sobre créditos a receber, observou-se que a entidade apresentou déficit nos dois anos e não constituiu essa provisão. Portanto, conclui-se que não houve conformidade com as normas direcionadas ao terceiro setor.</w:t>
      </w:r>
    </w:p>
    <w:p w14:paraId="308D2873" w14:textId="77777777" w:rsidR="000E179F" w:rsidRPr="000E179F" w:rsidRDefault="000E179F" w:rsidP="000E179F">
      <w:pPr>
        <w:ind w:firstLine="708"/>
        <w:jc w:val="both"/>
        <w:rPr>
          <w:sz w:val="24"/>
          <w:szCs w:val="24"/>
        </w:rPr>
      </w:pPr>
      <w:r w:rsidRPr="000E179F">
        <w:rPr>
          <w:sz w:val="24"/>
          <w:szCs w:val="24"/>
        </w:rPr>
        <w:t>Verificou-se também que a associação não incorporou o déficit do período de 2014 ao Patrimônio Social, pois as contas são apresentadas separadamente no Patrimônio Líquido e a subconta Déficit Acumulado está zerada.</w:t>
      </w:r>
    </w:p>
    <w:p w14:paraId="3255953A" w14:textId="6D4F46E5" w:rsidR="000E179F" w:rsidRDefault="000E179F" w:rsidP="000E179F">
      <w:pPr>
        <w:ind w:firstLine="708"/>
        <w:jc w:val="both"/>
        <w:rPr>
          <w:sz w:val="24"/>
          <w:szCs w:val="24"/>
        </w:rPr>
      </w:pPr>
      <w:r w:rsidRPr="000E179F">
        <w:rPr>
          <w:sz w:val="24"/>
          <w:szCs w:val="24"/>
        </w:rPr>
        <w:t>Em relação a conformidade das demonstrações contábeis, a UNISUL apresentou um nível de evidenciação no ano de 2014 de 76,47%. Já o CCEA exibiu um grau de conformidade com as normas contábeis de 80% em 2014 e de 88,89% em 2015. Assim, percebe-se que o CCEA apresentou um índice de conformidade maior que a UNISUL.</w:t>
      </w:r>
    </w:p>
    <w:p w14:paraId="155FA70C" w14:textId="51E2B83B" w:rsidR="007905DF" w:rsidRPr="002857F9" w:rsidRDefault="00F31295" w:rsidP="00F31295">
      <w:pPr>
        <w:pStyle w:val="Default"/>
        <w:jc w:val="both"/>
        <w:rPr>
          <w:rFonts w:ascii="Arial" w:hAnsi="Arial" w:cs="Arial"/>
          <w:sz w:val="20"/>
          <w:szCs w:val="20"/>
        </w:rPr>
      </w:pPr>
      <w:r>
        <w:tab/>
      </w:r>
      <w:r w:rsidR="007905DF" w:rsidRPr="00F31295">
        <w:t xml:space="preserve">Ao fazer a comparação com as Fundações do Sistema </w:t>
      </w:r>
      <w:proofErr w:type="spellStart"/>
      <w:r w:rsidR="007905DF" w:rsidRPr="00F31295">
        <w:t>Acafe</w:t>
      </w:r>
      <w:proofErr w:type="spellEnd"/>
      <w:r w:rsidR="007905DF" w:rsidRPr="00F31295">
        <w:t xml:space="preserve">, foco do estudo de Philippe </w:t>
      </w:r>
      <w:r w:rsidR="007905DF" w:rsidRPr="00F31295">
        <w:rPr>
          <w:i/>
        </w:rPr>
        <w:t>et al.</w:t>
      </w:r>
      <w:r w:rsidR="007905DF" w:rsidRPr="00F31295">
        <w:t xml:space="preserve"> (2017), percebe-se que </w:t>
      </w:r>
      <w:r>
        <w:t>as F</w:t>
      </w:r>
      <w:r w:rsidR="007905DF" w:rsidRPr="00F31295">
        <w:t>undaç</w:t>
      </w:r>
      <w:r>
        <w:t>ões apresentam</w:t>
      </w:r>
      <w:r w:rsidR="007905DF" w:rsidRPr="00F31295">
        <w:t xml:space="preserve"> </w:t>
      </w:r>
      <w:r>
        <w:t>uma variação em relação ao</w:t>
      </w:r>
      <w:r w:rsidR="007905DF" w:rsidRPr="00F31295">
        <w:t xml:space="preserve"> grau de </w:t>
      </w:r>
      <w:r w:rsidR="007905DF" w:rsidRPr="002857F9">
        <w:t>conformidade das demonstrações cont</w:t>
      </w:r>
      <w:r w:rsidRPr="002857F9">
        <w:t>ábeis</w:t>
      </w:r>
      <w:r w:rsidR="002857F9" w:rsidRPr="002857F9">
        <w:t>. A Universidade Regional de Blumenau e Universidade do Extremo Sul Catarinense apresentaram 38,89% e 50,00%, respectivamente. A</w:t>
      </w:r>
      <w:r w:rsidRPr="002857F9">
        <w:t>penas</w:t>
      </w:r>
      <w:r w:rsidR="002857F9">
        <w:t xml:space="preserve"> uma destacou</w:t>
      </w:r>
      <w:r w:rsidR="007905DF" w:rsidRPr="002857F9">
        <w:t>-se com 88,89% (</w:t>
      </w:r>
      <w:r w:rsidRPr="002857F9">
        <w:t>Universidade do Alto Vale do Itajaí). Comparada a essa Fundação, o CCEA apresenta o mesmo percentual.</w:t>
      </w:r>
      <w:r>
        <w:t xml:space="preserve"> </w:t>
      </w:r>
    </w:p>
    <w:p w14:paraId="184A968F" w14:textId="6FF7EA7A" w:rsidR="000E179F" w:rsidRPr="00784BCA" w:rsidRDefault="000E179F" w:rsidP="000E179F">
      <w:pPr>
        <w:autoSpaceDE w:val="0"/>
        <w:autoSpaceDN w:val="0"/>
        <w:adjustRightInd w:val="0"/>
        <w:ind w:firstLine="708"/>
        <w:jc w:val="both"/>
        <w:rPr>
          <w:sz w:val="24"/>
          <w:szCs w:val="24"/>
        </w:rPr>
      </w:pPr>
      <w:r w:rsidRPr="000E179F">
        <w:rPr>
          <w:sz w:val="24"/>
          <w:szCs w:val="24"/>
        </w:rPr>
        <w:t xml:space="preserve">Para finalizar o estudo sobre a evidenciação do Centro Cultural Escrava Anastácia, analisou-se também as notas explicativas da entidade. Considera-se relevante verificar as notas explicativas, visto que essas apresentam informações complementares sobre as atividades e transações da associação e integram as demonstrações contábeis </w:t>
      </w:r>
      <w:r w:rsidRPr="00784BCA">
        <w:rPr>
          <w:sz w:val="24"/>
          <w:szCs w:val="24"/>
        </w:rPr>
        <w:t>(</w:t>
      </w:r>
      <w:proofErr w:type="spellStart"/>
      <w:r w:rsidRPr="00784BCA">
        <w:rPr>
          <w:sz w:val="24"/>
          <w:szCs w:val="24"/>
        </w:rPr>
        <w:t>M</w:t>
      </w:r>
      <w:r w:rsidR="00440138" w:rsidRPr="00784BCA">
        <w:rPr>
          <w:sz w:val="24"/>
          <w:szCs w:val="24"/>
        </w:rPr>
        <w:t>uraro</w:t>
      </w:r>
      <w:proofErr w:type="spellEnd"/>
      <w:r w:rsidR="00440138" w:rsidRPr="00784BCA">
        <w:rPr>
          <w:sz w:val="24"/>
          <w:szCs w:val="24"/>
        </w:rPr>
        <w:t xml:space="preserve">, Rota &amp; </w:t>
      </w:r>
      <w:proofErr w:type="spellStart"/>
      <w:r w:rsidR="00440138" w:rsidRPr="00784BCA">
        <w:rPr>
          <w:sz w:val="24"/>
          <w:szCs w:val="24"/>
        </w:rPr>
        <w:t>Romanssini</w:t>
      </w:r>
      <w:proofErr w:type="spellEnd"/>
      <w:r w:rsidRPr="00784BCA">
        <w:rPr>
          <w:sz w:val="24"/>
          <w:szCs w:val="24"/>
        </w:rPr>
        <w:t>, 2015).</w:t>
      </w:r>
    </w:p>
    <w:p w14:paraId="007EA02E" w14:textId="14EB4A60" w:rsidR="000E179F" w:rsidRPr="000E179F" w:rsidRDefault="000E179F" w:rsidP="000E179F">
      <w:pPr>
        <w:ind w:firstLine="708"/>
        <w:jc w:val="both"/>
        <w:rPr>
          <w:sz w:val="24"/>
          <w:szCs w:val="24"/>
        </w:rPr>
      </w:pPr>
      <w:proofErr w:type="spellStart"/>
      <w:r w:rsidRPr="00784BCA">
        <w:rPr>
          <w:sz w:val="24"/>
          <w:szCs w:val="24"/>
        </w:rPr>
        <w:t>Muraro</w:t>
      </w:r>
      <w:proofErr w:type="spellEnd"/>
      <w:r w:rsidR="00440138" w:rsidRPr="00784BCA">
        <w:rPr>
          <w:sz w:val="24"/>
          <w:szCs w:val="24"/>
        </w:rPr>
        <w:t xml:space="preserve"> </w:t>
      </w:r>
      <w:r w:rsidR="00440138" w:rsidRPr="00784BCA">
        <w:rPr>
          <w:i/>
          <w:sz w:val="24"/>
          <w:szCs w:val="24"/>
        </w:rPr>
        <w:t>et al.</w:t>
      </w:r>
      <w:r w:rsidRPr="00784BCA">
        <w:rPr>
          <w:sz w:val="24"/>
          <w:szCs w:val="24"/>
        </w:rPr>
        <w:t xml:space="preserve"> (2015) afirma</w:t>
      </w:r>
      <w:r w:rsidRPr="000E179F">
        <w:rPr>
          <w:sz w:val="24"/>
          <w:szCs w:val="24"/>
        </w:rPr>
        <w:t xml:space="preserve">m que “A ITG 2002 estabelece as informações mínimas a serem divulgadas nas notas explicativas”, que estão inclusas nos itens de verificação referentes </w:t>
      </w:r>
      <w:r w:rsidRPr="000E179F">
        <w:rPr>
          <w:sz w:val="24"/>
          <w:szCs w:val="24"/>
        </w:rPr>
        <w:lastRenderedPageBreak/>
        <w:t xml:space="preserve">a elas. Buscou-se avaliar a conformidade das notas explicativas divulgadas pela entidade em comparação com os itens do </w:t>
      </w:r>
      <w:r w:rsidRPr="000E179F">
        <w:rPr>
          <w:i/>
          <w:sz w:val="24"/>
          <w:szCs w:val="24"/>
        </w:rPr>
        <w:t>checklist.</w:t>
      </w:r>
      <w:r w:rsidRPr="000E179F">
        <w:rPr>
          <w:sz w:val="24"/>
          <w:szCs w:val="24"/>
        </w:rPr>
        <w:t xml:space="preserve"> Na Tabela 3 podem-se visualizar os resultados obtidos.</w:t>
      </w:r>
    </w:p>
    <w:p w14:paraId="14D3A8FB" w14:textId="77777777" w:rsidR="000E179F" w:rsidRPr="000E179F" w:rsidRDefault="000E179F" w:rsidP="000E179F">
      <w:pPr>
        <w:ind w:firstLine="708"/>
        <w:jc w:val="both"/>
        <w:rPr>
          <w:sz w:val="24"/>
          <w:szCs w:val="24"/>
        </w:rPr>
      </w:pPr>
    </w:p>
    <w:p w14:paraId="1706555E" w14:textId="77777777" w:rsidR="000E179F" w:rsidRPr="000E179F" w:rsidRDefault="000E179F" w:rsidP="000E179F">
      <w:pPr>
        <w:pStyle w:val="Legenda"/>
        <w:keepNext/>
        <w:spacing w:after="0"/>
        <w:jc w:val="both"/>
        <w:rPr>
          <w:rFonts w:ascii="Times New Roman" w:hAnsi="Times New Roman" w:cs="Times New Roman"/>
          <w:b w:val="0"/>
          <w:color w:val="auto"/>
          <w:sz w:val="20"/>
          <w:szCs w:val="20"/>
        </w:rPr>
      </w:pPr>
      <w:r w:rsidRPr="000E179F">
        <w:rPr>
          <w:rFonts w:ascii="Times New Roman" w:hAnsi="Times New Roman" w:cs="Times New Roman"/>
          <w:b w:val="0"/>
          <w:color w:val="auto"/>
          <w:sz w:val="20"/>
          <w:szCs w:val="20"/>
        </w:rPr>
        <w:t xml:space="preserve">Tabela </w:t>
      </w:r>
      <w:r w:rsidRPr="000E179F">
        <w:rPr>
          <w:rFonts w:ascii="Times New Roman" w:hAnsi="Times New Roman" w:cs="Times New Roman"/>
          <w:b w:val="0"/>
          <w:color w:val="auto"/>
          <w:sz w:val="20"/>
          <w:szCs w:val="20"/>
        </w:rPr>
        <w:fldChar w:fldCharType="begin"/>
      </w:r>
      <w:r w:rsidRPr="000E179F">
        <w:rPr>
          <w:rFonts w:ascii="Times New Roman" w:hAnsi="Times New Roman" w:cs="Times New Roman"/>
          <w:b w:val="0"/>
          <w:color w:val="auto"/>
          <w:sz w:val="20"/>
          <w:szCs w:val="20"/>
        </w:rPr>
        <w:instrText xml:space="preserve"> SEQ Tabela \* ARABIC </w:instrText>
      </w:r>
      <w:r w:rsidRPr="000E179F">
        <w:rPr>
          <w:rFonts w:ascii="Times New Roman" w:hAnsi="Times New Roman" w:cs="Times New Roman"/>
          <w:b w:val="0"/>
          <w:color w:val="auto"/>
          <w:sz w:val="20"/>
          <w:szCs w:val="20"/>
        </w:rPr>
        <w:fldChar w:fldCharType="separate"/>
      </w:r>
      <w:r w:rsidRPr="000E179F">
        <w:rPr>
          <w:rFonts w:ascii="Times New Roman" w:hAnsi="Times New Roman" w:cs="Times New Roman"/>
          <w:b w:val="0"/>
          <w:noProof/>
          <w:color w:val="auto"/>
          <w:sz w:val="20"/>
          <w:szCs w:val="20"/>
        </w:rPr>
        <w:t>3</w:t>
      </w:r>
      <w:r w:rsidRPr="000E179F">
        <w:rPr>
          <w:rFonts w:ascii="Times New Roman" w:hAnsi="Times New Roman" w:cs="Times New Roman"/>
          <w:b w:val="0"/>
          <w:color w:val="auto"/>
          <w:sz w:val="20"/>
          <w:szCs w:val="20"/>
        </w:rPr>
        <w:fldChar w:fldCharType="end"/>
      </w:r>
      <w:r w:rsidRPr="000E179F">
        <w:rPr>
          <w:rFonts w:ascii="Times New Roman" w:hAnsi="Times New Roman" w:cs="Times New Roman"/>
          <w:b w:val="0"/>
          <w:color w:val="auto"/>
          <w:sz w:val="20"/>
          <w:szCs w:val="20"/>
        </w:rPr>
        <w:t xml:space="preserve"> - Análise das Notas Explicativas do CCEA</w:t>
      </w:r>
    </w:p>
    <w:tbl>
      <w:tblPr>
        <w:tblStyle w:val="SombreamentoClaro"/>
        <w:tblW w:w="0" w:type="auto"/>
        <w:jc w:val="center"/>
        <w:tblBorders>
          <w:insideH w:val="single" w:sz="2" w:space="0" w:color="auto"/>
          <w:insideV w:val="single" w:sz="2" w:space="0" w:color="auto"/>
        </w:tblBorders>
        <w:tblLook w:val="04A0" w:firstRow="1" w:lastRow="0" w:firstColumn="1" w:lastColumn="0" w:noHBand="0" w:noVBand="1"/>
      </w:tblPr>
      <w:tblGrid>
        <w:gridCol w:w="7949"/>
        <w:gridCol w:w="1116"/>
      </w:tblGrid>
      <w:tr w:rsidR="000E179F" w:rsidRPr="000E179F" w14:paraId="526D327E" w14:textId="77777777" w:rsidTr="00A5087F">
        <w:trPr>
          <w:cnfStyle w:val="100000000000" w:firstRow="1" w:lastRow="0" w:firstColumn="0" w:lastColumn="0" w:oddVBand="0" w:evenVBand="0" w:oddHBand="0" w:evenHBand="0" w:firstRowFirstColumn="0" w:firstRowLastColumn="0" w:lastRowFirstColumn="0" w:lastRowLastColumn="0"/>
          <w:trHeight w:val="227"/>
          <w:tblHeade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shd w:val="clear" w:color="auto" w:fill="auto"/>
            <w:vAlign w:val="center"/>
            <w:hideMark/>
          </w:tcPr>
          <w:p w14:paraId="6905AE42" w14:textId="77777777" w:rsidR="000E179F" w:rsidRPr="000E179F" w:rsidRDefault="000E179F" w:rsidP="00A5087F">
            <w:pPr>
              <w:jc w:val="center"/>
              <w:rPr>
                <w:b w:val="0"/>
                <w:bCs w:val="0"/>
                <w:color w:val="auto"/>
              </w:rPr>
            </w:pPr>
            <w:r w:rsidRPr="000E179F">
              <w:rPr>
                <w:color w:val="auto"/>
              </w:rPr>
              <w:t>Itens de Verificação de Conformidade - Notas Explicativas</w:t>
            </w:r>
          </w:p>
        </w:tc>
        <w:tc>
          <w:tcPr>
            <w:tcW w:w="0" w:type="auto"/>
            <w:tcBorders>
              <w:top w:val="single" w:sz="12" w:space="0" w:color="auto"/>
              <w:bottom w:val="single" w:sz="12" w:space="0" w:color="auto"/>
            </w:tcBorders>
            <w:shd w:val="clear" w:color="auto" w:fill="auto"/>
            <w:noWrap/>
            <w:vAlign w:val="center"/>
            <w:hideMark/>
          </w:tcPr>
          <w:p w14:paraId="19FAF787" w14:textId="77777777" w:rsidR="000E179F" w:rsidRPr="000E179F" w:rsidRDefault="000E179F" w:rsidP="00A5087F">
            <w:pPr>
              <w:jc w:val="center"/>
              <w:cnfStyle w:val="100000000000" w:firstRow="1" w:lastRow="0" w:firstColumn="0" w:lastColumn="0" w:oddVBand="0" w:evenVBand="0" w:oddHBand="0" w:evenHBand="0" w:firstRowFirstColumn="0" w:firstRowLastColumn="0" w:lastRowFirstColumn="0" w:lastRowLastColumn="0"/>
              <w:rPr>
                <w:color w:val="auto"/>
              </w:rPr>
            </w:pPr>
            <w:r w:rsidRPr="000E179F">
              <w:rPr>
                <w:color w:val="auto"/>
              </w:rPr>
              <w:t>Pontuação</w:t>
            </w:r>
          </w:p>
          <w:p w14:paraId="4BF6B43C" w14:textId="77777777" w:rsidR="000E179F" w:rsidRPr="000E179F" w:rsidRDefault="000E179F" w:rsidP="00A5087F">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0E179F">
              <w:rPr>
                <w:color w:val="auto"/>
              </w:rPr>
              <w:t>2015</w:t>
            </w:r>
          </w:p>
        </w:tc>
      </w:tr>
      <w:tr w:rsidR="000E179F" w:rsidRPr="000E179F" w14:paraId="01E1850D" w14:textId="77777777" w:rsidTr="00A5087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right w:val="single" w:sz="4" w:space="0" w:color="auto"/>
            </w:tcBorders>
            <w:shd w:val="clear" w:color="auto" w:fill="auto"/>
            <w:vAlign w:val="center"/>
            <w:hideMark/>
          </w:tcPr>
          <w:p w14:paraId="4236FDAA" w14:textId="77777777" w:rsidR="000E179F" w:rsidRPr="000E179F" w:rsidRDefault="000E179F" w:rsidP="000E179F">
            <w:pPr>
              <w:jc w:val="both"/>
              <w:rPr>
                <w:b w:val="0"/>
                <w:color w:val="auto"/>
              </w:rPr>
            </w:pPr>
            <w:r w:rsidRPr="000E179F">
              <w:rPr>
                <w:b w:val="0"/>
                <w:color w:val="auto"/>
              </w:rPr>
              <w:t>Contexto operacional da entidade, incluindo a natureza social e econômica e os objetivos sociais.</w:t>
            </w:r>
          </w:p>
        </w:tc>
        <w:tc>
          <w:tcPr>
            <w:tcW w:w="0" w:type="auto"/>
            <w:tcBorders>
              <w:top w:val="single" w:sz="12" w:space="0" w:color="auto"/>
              <w:left w:val="single" w:sz="4" w:space="0" w:color="auto"/>
            </w:tcBorders>
            <w:shd w:val="clear" w:color="auto" w:fill="auto"/>
            <w:noWrap/>
            <w:vAlign w:val="center"/>
            <w:hideMark/>
          </w:tcPr>
          <w:p w14:paraId="52AE4031" w14:textId="77777777" w:rsidR="000E179F" w:rsidRPr="000E179F" w:rsidRDefault="000E179F" w:rsidP="00A5087F">
            <w:pPr>
              <w:jc w:val="center"/>
              <w:cnfStyle w:val="000000100000" w:firstRow="0" w:lastRow="0" w:firstColumn="0" w:lastColumn="0" w:oddVBand="0" w:evenVBand="0" w:oddHBand="1" w:evenHBand="0" w:firstRowFirstColumn="0" w:firstRowLastColumn="0" w:lastRowFirstColumn="0" w:lastRowLastColumn="0"/>
              <w:rPr>
                <w:color w:val="auto"/>
              </w:rPr>
            </w:pPr>
            <w:r w:rsidRPr="000E179F">
              <w:rPr>
                <w:color w:val="auto"/>
              </w:rPr>
              <w:t>1</w:t>
            </w:r>
          </w:p>
        </w:tc>
      </w:tr>
      <w:tr w:rsidR="000E179F" w:rsidRPr="000E179F" w14:paraId="30BDCF53" w14:textId="77777777" w:rsidTr="00A5087F">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auto"/>
            <w:vAlign w:val="center"/>
            <w:hideMark/>
          </w:tcPr>
          <w:p w14:paraId="43B9F0C1" w14:textId="77777777" w:rsidR="000E179F" w:rsidRPr="000E179F" w:rsidRDefault="000E179F" w:rsidP="000E179F">
            <w:pPr>
              <w:jc w:val="both"/>
              <w:rPr>
                <w:b w:val="0"/>
                <w:color w:val="auto"/>
              </w:rPr>
            </w:pPr>
            <w:r w:rsidRPr="000E179F">
              <w:rPr>
                <w:b w:val="0"/>
                <w:color w:val="auto"/>
              </w:rPr>
              <w:t>Os critérios de apuração da receita e da despesa, especialmente com gratuidade, doação, subvenção, contribuição e aplicação de recursos.</w:t>
            </w:r>
          </w:p>
        </w:tc>
        <w:tc>
          <w:tcPr>
            <w:tcW w:w="0" w:type="auto"/>
            <w:tcBorders>
              <w:left w:val="single" w:sz="4" w:space="0" w:color="auto"/>
            </w:tcBorders>
            <w:shd w:val="clear" w:color="auto" w:fill="auto"/>
            <w:noWrap/>
            <w:vAlign w:val="center"/>
            <w:hideMark/>
          </w:tcPr>
          <w:p w14:paraId="4F55FC53" w14:textId="77777777" w:rsidR="000E179F" w:rsidRPr="000E179F" w:rsidRDefault="000E179F" w:rsidP="00A5087F">
            <w:pPr>
              <w:jc w:val="center"/>
              <w:cnfStyle w:val="000000000000" w:firstRow="0" w:lastRow="0" w:firstColumn="0" w:lastColumn="0" w:oddVBand="0" w:evenVBand="0" w:oddHBand="0" w:evenHBand="0" w:firstRowFirstColumn="0" w:firstRowLastColumn="0" w:lastRowFirstColumn="0" w:lastRowLastColumn="0"/>
              <w:rPr>
                <w:color w:val="auto"/>
              </w:rPr>
            </w:pPr>
            <w:r w:rsidRPr="000E179F">
              <w:rPr>
                <w:color w:val="auto"/>
              </w:rPr>
              <w:t>1</w:t>
            </w:r>
          </w:p>
        </w:tc>
      </w:tr>
      <w:tr w:rsidR="000E179F" w:rsidRPr="000E179F" w14:paraId="3BE2F784" w14:textId="77777777" w:rsidTr="00A5087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auto"/>
            <w:vAlign w:val="center"/>
            <w:hideMark/>
          </w:tcPr>
          <w:p w14:paraId="7CC76E74" w14:textId="77777777" w:rsidR="000E179F" w:rsidRPr="000E179F" w:rsidRDefault="000E179F" w:rsidP="000E179F">
            <w:pPr>
              <w:jc w:val="both"/>
              <w:rPr>
                <w:b w:val="0"/>
                <w:color w:val="auto"/>
              </w:rPr>
            </w:pPr>
            <w:r w:rsidRPr="000E179F">
              <w:rPr>
                <w:b w:val="0"/>
                <w:color w:val="auto"/>
              </w:rPr>
              <w:t>Relação dos tributos objeto de renúncia fiscal.</w:t>
            </w:r>
          </w:p>
        </w:tc>
        <w:tc>
          <w:tcPr>
            <w:tcW w:w="0" w:type="auto"/>
            <w:tcBorders>
              <w:left w:val="single" w:sz="4" w:space="0" w:color="auto"/>
            </w:tcBorders>
            <w:shd w:val="clear" w:color="auto" w:fill="auto"/>
            <w:noWrap/>
            <w:vAlign w:val="center"/>
            <w:hideMark/>
          </w:tcPr>
          <w:p w14:paraId="09E5470A" w14:textId="77777777" w:rsidR="000E179F" w:rsidRPr="000E179F" w:rsidRDefault="000E179F" w:rsidP="00A5087F">
            <w:pPr>
              <w:jc w:val="center"/>
              <w:cnfStyle w:val="000000100000" w:firstRow="0" w:lastRow="0" w:firstColumn="0" w:lastColumn="0" w:oddVBand="0" w:evenVBand="0" w:oddHBand="1" w:evenHBand="0" w:firstRowFirstColumn="0" w:firstRowLastColumn="0" w:lastRowFirstColumn="0" w:lastRowLastColumn="0"/>
              <w:rPr>
                <w:color w:val="auto"/>
              </w:rPr>
            </w:pPr>
            <w:r w:rsidRPr="000E179F">
              <w:rPr>
                <w:color w:val="auto"/>
              </w:rPr>
              <w:t>1</w:t>
            </w:r>
          </w:p>
        </w:tc>
      </w:tr>
      <w:tr w:rsidR="000E179F" w:rsidRPr="000E179F" w14:paraId="76FA804D" w14:textId="77777777" w:rsidTr="00A5087F">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auto"/>
            <w:vAlign w:val="center"/>
            <w:hideMark/>
          </w:tcPr>
          <w:p w14:paraId="0D3E553A" w14:textId="77777777" w:rsidR="000E179F" w:rsidRPr="000E179F" w:rsidRDefault="000E179F" w:rsidP="000E179F">
            <w:pPr>
              <w:jc w:val="both"/>
              <w:rPr>
                <w:b w:val="0"/>
                <w:color w:val="auto"/>
              </w:rPr>
            </w:pPr>
            <w:r w:rsidRPr="000E179F">
              <w:rPr>
                <w:b w:val="0"/>
                <w:color w:val="auto"/>
              </w:rPr>
              <w:t>As subvenções recebidas pela entidade, a aplicação dos recursos e as responsabilidades decorrentes dessas subvenções.</w:t>
            </w:r>
          </w:p>
        </w:tc>
        <w:tc>
          <w:tcPr>
            <w:tcW w:w="0" w:type="auto"/>
            <w:tcBorders>
              <w:left w:val="single" w:sz="4" w:space="0" w:color="auto"/>
            </w:tcBorders>
            <w:shd w:val="clear" w:color="auto" w:fill="auto"/>
            <w:noWrap/>
            <w:vAlign w:val="center"/>
            <w:hideMark/>
          </w:tcPr>
          <w:p w14:paraId="2B58567B" w14:textId="77777777" w:rsidR="000E179F" w:rsidRPr="000E179F" w:rsidRDefault="000E179F" w:rsidP="00A5087F">
            <w:pPr>
              <w:jc w:val="center"/>
              <w:cnfStyle w:val="000000000000" w:firstRow="0" w:lastRow="0" w:firstColumn="0" w:lastColumn="0" w:oddVBand="0" w:evenVBand="0" w:oddHBand="0" w:evenHBand="0" w:firstRowFirstColumn="0" w:firstRowLastColumn="0" w:lastRowFirstColumn="0" w:lastRowLastColumn="0"/>
              <w:rPr>
                <w:color w:val="auto"/>
              </w:rPr>
            </w:pPr>
            <w:r w:rsidRPr="000E179F">
              <w:rPr>
                <w:color w:val="auto"/>
              </w:rPr>
              <w:t>0</w:t>
            </w:r>
          </w:p>
        </w:tc>
      </w:tr>
      <w:tr w:rsidR="000E179F" w:rsidRPr="000E179F" w14:paraId="78E16B42" w14:textId="77777777" w:rsidTr="00A5087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auto"/>
            <w:vAlign w:val="center"/>
            <w:hideMark/>
          </w:tcPr>
          <w:p w14:paraId="0318FF17" w14:textId="77777777" w:rsidR="000E179F" w:rsidRPr="000E179F" w:rsidRDefault="000E179F" w:rsidP="000E179F">
            <w:pPr>
              <w:jc w:val="both"/>
              <w:rPr>
                <w:b w:val="0"/>
                <w:color w:val="auto"/>
              </w:rPr>
            </w:pPr>
            <w:r w:rsidRPr="000E179F">
              <w:rPr>
                <w:b w:val="0"/>
                <w:color w:val="auto"/>
              </w:rPr>
              <w:t>Os recursos de aplicação restrita e as responsabilidades decorrentes de tais recursos.</w:t>
            </w:r>
          </w:p>
        </w:tc>
        <w:tc>
          <w:tcPr>
            <w:tcW w:w="0" w:type="auto"/>
            <w:tcBorders>
              <w:left w:val="single" w:sz="4" w:space="0" w:color="auto"/>
            </w:tcBorders>
            <w:shd w:val="clear" w:color="auto" w:fill="auto"/>
            <w:noWrap/>
            <w:vAlign w:val="center"/>
            <w:hideMark/>
          </w:tcPr>
          <w:p w14:paraId="70FEC53B" w14:textId="77777777" w:rsidR="000E179F" w:rsidRPr="000E179F" w:rsidRDefault="000E179F" w:rsidP="00A5087F">
            <w:pPr>
              <w:jc w:val="center"/>
              <w:cnfStyle w:val="000000100000" w:firstRow="0" w:lastRow="0" w:firstColumn="0" w:lastColumn="0" w:oddVBand="0" w:evenVBand="0" w:oddHBand="1" w:evenHBand="0" w:firstRowFirstColumn="0" w:firstRowLastColumn="0" w:lastRowFirstColumn="0" w:lastRowLastColumn="0"/>
              <w:rPr>
                <w:color w:val="auto"/>
              </w:rPr>
            </w:pPr>
            <w:r w:rsidRPr="000E179F">
              <w:rPr>
                <w:color w:val="auto"/>
              </w:rPr>
              <w:t>0</w:t>
            </w:r>
          </w:p>
        </w:tc>
      </w:tr>
      <w:tr w:rsidR="000E179F" w:rsidRPr="000E179F" w14:paraId="4ED5DC26" w14:textId="77777777" w:rsidTr="00A5087F">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auto"/>
            <w:vAlign w:val="center"/>
            <w:hideMark/>
          </w:tcPr>
          <w:p w14:paraId="7ADCB96F" w14:textId="77777777" w:rsidR="000E179F" w:rsidRPr="000E179F" w:rsidRDefault="000E179F" w:rsidP="000E179F">
            <w:pPr>
              <w:jc w:val="both"/>
              <w:rPr>
                <w:b w:val="0"/>
                <w:color w:val="auto"/>
              </w:rPr>
            </w:pPr>
            <w:r w:rsidRPr="000E179F">
              <w:rPr>
                <w:b w:val="0"/>
                <w:color w:val="auto"/>
              </w:rPr>
              <w:t>Os recursos sujeitos a restrição ou vinculação por parte do doador.</w:t>
            </w:r>
          </w:p>
        </w:tc>
        <w:tc>
          <w:tcPr>
            <w:tcW w:w="0" w:type="auto"/>
            <w:tcBorders>
              <w:left w:val="single" w:sz="4" w:space="0" w:color="auto"/>
            </w:tcBorders>
            <w:shd w:val="clear" w:color="auto" w:fill="auto"/>
            <w:noWrap/>
            <w:vAlign w:val="center"/>
            <w:hideMark/>
          </w:tcPr>
          <w:p w14:paraId="00C2DE46" w14:textId="77777777" w:rsidR="000E179F" w:rsidRPr="000E179F" w:rsidRDefault="000E179F" w:rsidP="00A5087F">
            <w:pPr>
              <w:jc w:val="center"/>
              <w:cnfStyle w:val="000000000000" w:firstRow="0" w:lastRow="0" w:firstColumn="0" w:lastColumn="0" w:oddVBand="0" w:evenVBand="0" w:oddHBand="0" w:evenHBand="0" w:firstRowFirstColumn="0" w:firstRowLastColumn="0" w:lastRowFirstColumn="0" w:lastRowLastColumn="0"/>
              <w:rPr>
                <w:color w:val="auto"/>
              </w:rPr>
            </w:pPr>
            <w:r w:rsidRPr="000E179F">
              <w:rPr>
                <w:color w:val="auto"/>
              </w:rPr>
              <w:t>0</w:t>
            </w:r>
          </w:p>
        </w:tc>
      </w:tr>
      <w:tr w:rsidR="000E179F" w:rsidRPr="000E179F" w14:paraId="5A0D6889" w14:textId="77777777" w:rsidTr="00A5087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auto"/>
            <w:vAlign w:val="center"/>
            <w:hideMark/>
          </w:tcPr>
          <w:p w14:paraId="7D6B8AE6" w14:textId="77777777" w:rsidR="000E179F" w:rsidRPr="000E179F" w:rsidRDefault="000E179F" w:rsidP="000E179F">
            <w:pPr>
              <w:jc w:val="both"/>
              <w:rPr>
                <w:b w:val="0"/>
                <w:color w:val="auto"/>
              </w:rPr>
            </w:pPr>
            <w:r w:rsidRPr="000E179F">
              <w:rPr>
                <w:b w:val="0"/>
                <w:color w:val="auto"/>
              </w:rPr>
              <w:t>Eventos subsequentes à data do encerramento do exercício que tenham, ou possam vir a ter, efeito relevante sobre a situação financeira e os resultados futuros da entidade.</w:t>
            </w:r>
          </w:p>
        </w:tc>
        <w:tc>
          <w:tcPr>
            <w:tcW w:w="0" w:type="auto"/>
            <w:tcBorders>
              <w:left w:val="single" w:sz="4" w:space="0" w:color="auto"/>
            </w:tcBorders>
            <w:shd w:val="clear" w:color="auto" w:fill="auto"/>
            <w:noWrap/>
            <w:vAlign w:val="center"/>
            <w:hideMark/>
          </w:tcPr>
          <w:p w14:paraId="21BC90D8" w14:textId="77777777" w:rsidR="000E179F" w:rsidRPr="000E179F" w:rsidRDefault="000E179F" w:rsidP="00A5087F">
            <w:pPr>
              <w:jc w:val="center"/>
              <w:cnfStyle w:val="000000100000" w:firstRow="0" w:lastRow="0" w:firstColumn="0" w:lastColumn="0" w:oddVBand="0" w:evenVBand="0" w:oddHBand="1" w:evenHBand="0" w:firstRowFirstColumn="0" w:firstRowLastColumn="0" w:lastRowFirstColumn="0" w:lastRowLastColumn="0"/>
              <w:rPr>
                <w:color w:val="auto"/>
              </w:rPr>
            </w:pPr>
            <w:r w:rsidRPr="000E179F">
              <w:rPr>
                <w:color w:val="auto"/>
              </w:rPr>
              <w:t>1</w:t>
            </w:r>
          </w:p>
        </w:tc>
      </w:tr>
      <w:tr w:rsidR="000E179F" w:rsidRPr="000E179F" w14:paraId="41A6C72C" w14:textId="77777777" w:rsidTr="00A5087F">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auto"/>
            <w:vAlign w:val="center"/>
            <w:hideMark/>
          </w:tcPr>
          <w:p w14:paraId="4F704734" w14:textId="77777777" w:rsidR="000E179F" w:rsidRPr="000E179F" w:rsidRDefault="000E179F" w:rsidP="000E179F">
            <w:pPr>
              <w:jc w:val="both"/>
              <w:rPr>
                <w:b w:val="0"/>
                <w:color w:val="auto"/>
              </w:rPr>
            </w:pPr>
            <w:r w:rsidRPr="000E179F">
              <w:rPr>
                <w:b w:val="0"/>
                <w:color w:val="auto"/>
              </w:rPr>
              <w:t>As taxas de juros, as datas de vencimento e as garantias das obrigações em longo prazo.</w:t>
            </w:r>
          </w:p>
        </w:tc>
        <w:tc>
          <w:tcPr>
            <w:tcW w:w="0" w:type="auto"/>
            <w:tcBorders>
              <w:left w:val="single" w:sz="4" w:space="0" w:color="auto"/>
            </w:tcBorders>
            <w:shd w:val="clear" w:color="auto" w:fill="auto"/>
            <w:noWrap/>
            <w:vAlign w:val="center"/>
            <w:hideMark/>
          </w:tcPr>
          <w:p w14:paraId="21688443" w14:textId="77777777" w:rsidR="000E179F" w:rsidRPr="000E179F" w:rsidRDefault="000E179F" w:rsidP="00A5087F">
            <w:pPr>
              <w:jc w:val="center"/>
              <w:cnfStyle w:val="000000000000" w:firstRow="0" w:lastRow="0" w:firstColumn="0" w:lastColumn="0" w:oddVBand="0" w:evenVBand="0" w:oddHBand="0" w:evenHBand="0" w:firstRowFirstColumn="0" w:firstRowLastColumn="0" w:lastRowFirstColumn="0" w:lastRowLastColumn="0"/>
              <w:rPr>
                <w:color w:val="auto"/>
              </w:rPr>
            </w:pPr>
            <w:r w:rsidRPr="000E179F">
              <w:rPr>
                <w:color w:val="auto"/>
              </w:rPr>
              <w:t>0</w:t>
            </w:r>
          </w:p>
        </w:tc>
      </w:tr>
      <w:tr w:rsidR="000E179F" w:rsidRPr="000E179F" w14:paraId="60924678" w14:textId="77777777" w:rsidTr="00A5087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auto"/>
            <w:vAlign w:val="center"/>
            <w:hideMark/>
          </w:tcPr>
          <w:p w14:paraId="3633ABBE" w14:textId="77777777" w:rsidR="000E179F" w:rsidRPr="000E179F" w:rsidRDefault="000E179F" w:rsidP="000E179F">
            <w:pPr>
              <w:jc w:val="both"/>
              <w:rPr>
                <w:b w:val="0"/>
                <w:color w:val="auto"/>
              </w:rPr>
            </w:pPr>
            <w:r w:rsidRPr="000E179F">
              <w:rPr>
                <w:b w:val="0"/>
                <w:color w:val="auto"/>
              </w:rPr>
              <w:t>Informações sobre os seguros contratados.</w:t>
            </w:r>
          </w:p>
        </w:tc>
        <w:tc>
          <w:tcPr>
            <w:tcW w:w="0" w:type="auto"/>
            <w:tcBorders>
              <w:left w:val="single" w:sz="4" w:space="0" w:color="auto"/>
            </w:tcBorders>
            <w:shd w:val="clear" w:color="auto" w:fill="auto"/>
            <w:noWrap/>
            <w:vAlign w:val="center"/>
            <w:hideMark/>
          </w:tcPr>
          <w:p w14:paraId="775059CF" w14:textId="77777777" w:rsidR="000E179F" w:rsidRPr="000E179F" w:rsidRDefault="000E179F" w:rsidP="00A5087F">
            <w:pPr>
              <w:jc w:val="center"/>
              <w:cnfStyle w:val="000000100000" w:firstRow="0" w:lastRow="0" w:firstColumn="0" w:lastColumn="0" w:oddVBand="0" w:evenVBand="0" w:oddHBand="1" w:evenHBand="0" w:firstRowFirstColumn="0" w:firstRowLastColumn="0" w:lastRowFirstColumn="0" w:lastRowLastColumn="0"/>
              <w:rPr>
                <w:color w:val="auto"/>
              </w:rPr>
            </w:pPr>
            <w:r w:rsidRPr="000E179F">
              <w:rPr>
                <w:color w:val="auto"/>
              </w:rPr>
              <w:t>1</w:t>
            </w:r>
          </w:p>
        </w:tc>
      </w:tr>
      <w:tr w:rsidR="000E179F" w:rsidRPr="000E179F" w14:paraId="67898B91" w14:textId="77777777" w:rsidTr="00A5087F">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auto"/>
            <w:vAlign w:val="center"/>
            <w:hideMark/>
          </w:tcPr>
          <w:p w14:paraId="66A65590" w14:textId="77777777" w:rsidR="000E179F" w:rsidRPr="000E179F" w:rsidRDefault="000E179F" w:rsidP="000E179F">
            <w:pPr>
              <w:jc w:val="both"/>
              <w:rPr>
                <w:b w:val="0"/>
                <w:color w:val="auto"/>
              </w:rPr>
            </w:pPr>
            <w:r w:rsidRPr="000E179F">
              <w:rPr>
                <w:b w:val="0"/>
                <w:color w:val="auto"/>
              </w:rPr>
              <w:t>A entidade deve evidenciar as demonstrações contábeis e financeiras de acordo com os parâmetros estabelecidos pela Lei 11.638/07 e suas alterações.</w:t>
            </w:r>
          </w:p>
        </w:tc>
        <w:tc>
          <w:tcPr>
            <w:tcW w:w="0" w:type="auto"/>
            <w:tcBorders>
              <w:left w:val="single" w:sz="4" w:space="0" w:color="auto"/>
            </w:tcBorders>
            <w:shd w:val="clear" w:color="auto" w:fill="auto"/>
            <w:noWrap/>
            <w:vAlign w:val="center"/>
            <w:hideMark/>
          </w:tcPr>
          <w:p w14:paraId="162D6BB4" w14:textId="77777777" w:rsidR="000E179F" w:rsidRPr="000E179F" w:rsidRDefault="000E179F" w:rsidP="00A5087F">
            <w:pPr>
              <w:jc w:val="center"/>
              <w:cnfStyle w:val="000000000000" w:firstRow="0" w:lastRow="0" w:firstColumn="0" w:lastColumn="0" w:oddVBand="0" w:evenVBand="0" w:oddHBand="0" w:evenHBand="0" w:firstRowFirstColumn="0" w:firstRowLastColumn="0" w:lastRowFirstColumn="0" w:lastRowLastColumn="0"/>
              <w:rPr>
                <w:color w:val="auto"/>
              </w:rPr>
            </w:pPr>
            <w:r w:rsidRPr="000E179F">
              <w:rPr>
                <w:color w:val="auto"/>
              </w:rPr>
              <w:t>1</w:t>
            </w:r>
          </w:p>
        </w:tc>
      </w:tr>
      <w:tr w:rsidR="000E179F" w:rsidRPr="000E179F" w14:paraId="73EB261F" w14:textId="77777777" w:rsidTr="00A5087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auto"/>
            <w:vAlign w:val="center"/>
            <w:hideMark/>
          </w:tcPr>
          <w:p w14:paraId="22BC15D7" w14:textId="77777777" w:rsidR="000E179F" w:rsidRPr="000E179F" w:rsidRDefault="000E179F" w:rsidP="000E179F">
            <w:pPr>
              <w:jc w:val="both"/>
              <w:rPr>
                <w:b w:val="0"/>
                <w:color w:val="auto"/>
              </w:rPr>
            </w:pPr>
            <w:r w:rsidRPr="000E179F">
              <w:rPr>
                <w:b w:val="0"/>
                <w:color w:val="auto"/>
              </w:rPr>
              <w:t>Os critérios e procedimentos do registro contábil de depreciação, amortização e exaustão do ativo imobilizado, devendo ser observado a obrigatoriedade do reconhecimento com base em estimativa de sua vida útil.</w:t>
            </w:r>
          </w:p>
        </w:tc>
        <w:tc>
          <w:tcPr>
            <w:tcW w:w="0" w:type="auto"/>
            <w:tcBorders>
              <w:left w:val="single" w:sz="4" w:space="0" w:color="auto"/>
            </w:tcBorders>
            <w:shd w:val="clear" w:color="auto" w:fill="auto"/>
            <w:noWrap/>
            <w:vAlign w:val="center"/>
            <w:hideMark/>
          </w:tcPr>
          <w:p w14:paraId="249E9C9E" w14:textId="77777777" w:rsidR="000E179F" w:rsidRPr="000E179F" w:rsidRDefault="000E179F" w:rsidP="00A5087F">
            <w:pPr>
              <w:jc w:val="center"/>
              <w:cnfStyle w:val="000000100000" w:firstRow="0" w:lastRow="0" w:firstColumn="0" w:lastColumn="0" w:oddVBand="0" w:evenVBand="0" w:oddHBand="1" w:evenHBand="0" w:firstRowFirstColumn="0" w:firstRowLastColumn="0" w:lastRowFirstColumn="0" w:lastRowLastColumn="0"/>
              <w:rPr>
                <w:color w:val="auto"/>
              </w:rPr>
            </w:pPr>
            <w:r w:rsidRPr="000E179F">
              <w:rPr>
                <w:color w:val="auto"/>
              </w:rPr>
              <w:t>1</w:t>
            </w:r>
          </w:p>
        </w:tc>
      </w:tr>
      <w:tr w:rsidR="000E179F" w:rsidRPr="000E179F" w14:paraId="2FEBF02E" w14:textId="77777777" w:rsidTr="00A5087F">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auto"/>
            <w:vAlign w:val="center"/>
            <w:hideMark/>
          </w:tcPr>
          <w:p w14:paraId="1F227377" w14:textId="77777777" w:rsidR="000E179F" w:rsidRPr="000E179F" w:rsidRDefault="000E179F" w:rsidP="000E179F">
            <w:pPr>
              <w:jc w:val="both"/>
              <w:rPr>
                <w:b w:val="0"/>
                <w:color w:val="auto"/>
              </w:rPr>
            </w:pPr>
            <w:r w:rsidRPr="000E179F">
              <w:rPr>
                <w:b w:val="0"/>
                <w:color w:val="auto"/>
              </w:rPr>
              <w:t>Segregar os atendimentos com recursos próprios dos demais atendimentos realizados pela entidade.</w:t>
            </w:r>
          </w:p>
        </w:tc>
        <w:tc>
          <w:tcPr>
            <w:tcW w:w="0" w:type="auto"/>
            <w:tcBorders>
              <w:left w:val="single" w:sz="4" w:space="0" w:color="auto"/>
            </w:tcBorders>
            <w:shd w:val="clear" w:color="auto" w:fill="auto"/>
            <w:noWrap/>
            <w:vAlign w:val="center"/>
            <w:hideMark/>
          </w:tcPr>
          <w:p w14:paraId="07B46DFB" w14:textId="77777777" w:rsidR="000E179F" w:rsidRPr="000E179F" w:rsidRDefault="000E179F" w:rsidP="00A5087F">
            <w:pPr>
              <w:jc w:val="center"/>
              <w:cnfStyle w:val="000000000000" w:firstRow="0" w:lastRow="0" w:firstColumn="0" w:lastColumn="0" w:oddVBand="0" w:evenVBand="0" w:oddHBand="0" w:evenHBand="0" w:firstRowFirstColumn="0" w:firstRowLastColumn="0" w:lastRowFirstColumn="0" w:lastRowLastColumn="0"/>
              <w:rPr>
                <w:color w:val="auto"/>
              </w:rPr>
            </w:pPr>
            <w:r w:rsidRPr="000E179F">
              <w:rPr>
                <w:color w:val="auto"/>
              </w:rPr>
              <w:t>0</w:t>
            </w:r>
          </w:p>
        </w:tc>
      </w:tr>
      <w:tr w:rsidR="000E179F" w:rsidRPr="000E179F" w14:paraId="358F158B" w14:textId="77777777" w:rsidTr="00A5087F">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auto"/>
            <w:vAlign w:val="center"/>
            <w:hideMark/>
          </w:tcPr>
          <w:p w14:paraId="0969DED2" w14:textId="77777777" w:rsidR="000E179F" w:rsidRPr="000E179F" w:rsidRDefault="000E179F" w:rsidP="000E179F">
            <w:pPr>
              <w:jc w:val="both"/>
              <w:rPr>
                <w:b w:val="0"/>
                <w:color w:val="auto"/>
              </w:rPr>
            </w:pPr>
            <w:r w:rsidRPr="000E179F">
              <w:rPr>
                <w:b w:val="0"/>
                <w:color w:val="auto"/>
              </w:rPr>
              <w:t>Todas as gratuidades praticadas devem ser registradas de forma segregada, destacando aquelas que devem ser utilizadas na prestação de contas nos órgãos governamentais, apresentando dados quantitativos, ou seja, valores dos benefícios, número de atendidos, número de atendimentos, número de bolsistas com valores e percentuais representativos.</w:t>
            </w:r>
          </w:p>
        </w:tc>
        <w:tc>
          <w:tcPr>
            <w:tcW w:w="0" w:type="auto"/>
            <w:tcBorders>
              <w:left w:val="single" w:sz="4" w:space="0" w:color="auto"/>
            </w:tcBorders>
            <w:shd w:val="clear" w:color="auto" w:fill="auto"/>
            <w:noWrap/>
            <w:vAlign w:val="center"/>
            <w:hideMark/>
          </w:tcPr>
          <w:p w14:paraId="3D95C40E" w14:textId="77777777" w:rsidR="000E179F" w:rsidRPr="000E179F" w:rsidRDefault="000E179F" w:rsidP="00A5087F">
            <w:pPr>
              <w:jc w:val="center"/>
              <w:cnfStyle w:val="000000100000" w:firstRow="0" w:lastRow="0" w:firstColumn="0" w:lastColumn="0" w:oddVBand="0" w:evenVBand="0" w:oddHBand="1" w:evenHBand="0" w:firstRowFirstColumn="0" w:firstRowLastColumn="0" w:lastRowFirstColumn="0" w:lastRowLastColumn="0"/>
              <w:rPr>
                <w:color w:val="auto"/>
              </w:rPr>
            </w:pPr>
            <w:r w:rsidRPr="000E179F">
              <w:rPr>
                <w:color w:val="auto"/>
              </w:rPr>
              <w:t>0</w:t>
            </w:r>
          </w:p>
        </w:tc>
      </w:tr>
      <w:tr w:rsidR="000E179F" w:rsidRPr="000E179F" w14:paraId="6C90772F" w14:textId="77777777" w:rsidTr="00A5087F">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right w:val="single" w:sz="4" w:space="0" w:color="auto"/>
            </w:tcBorders>
            <w:shd w:val="clear" w:color="auto" w:fill="auto"/>
            <w:vAlign w:val="center"/>
            <w:hideMark/>
          </w:tcPr>
          <w:p w14:paraId="4D3A41C6" w14:textId="77777777" w:rsidR="000E179F" w:rsidRPr="000E179F" w:rsidRDefault="000E179F" w:rsidP="000E179F">
            <w:pPr>
              <w:jc w:val="both"/>
              <w:rPr>
                <w:b w:val="0"/>
                <w:color w:val="auto"/>
              </w:rPr>
            </w:pPr>
            <w:r w:rsidRPr="000E179F">
              <w:rPr>
                <w:b w:val="0"/>
                <w:color w:val="auto"/>
              </w:rPr>
              <w:t>A entidade deve demonstrar, comparativamente, o custo e o valor reconhecido quando este valor não cobrir os custos dos serviços prestados.</w:t>
            </w:r>
          </w:p>
        </w:tc>
        <w:tc>
          <w:tcPr>
            <w:tcW w:w="0" w:type="auto"/>
            <w:tcBorders>
              <w:left w:val="single" w:sz="4" w:space="0" w:color="auto"/>
              <w:bottom w:val="single" w:sz="12" w:space="0" w:color="auto"/>
            </w:tcBorders>
            <w:shd w:val="clear" w:color="auto" w:fill="auto"/>
            <w:noWrap/>
            <w:vAlign w:val="center"/>
            <w:hideMark/>
          </w:tcPr>
          <w:p w14:paraId="4EFA1F52" w14:textId="77777777" w:rsidR="000E179F" w:rsidRPr="000E179F" w:rsidRDefault="000E179F" w:rsidP="00A5087F">
            <w:pPr>
              <w:jc w:val="center"/>
              <w:cnfStyle w:val="000000000000" w:firstRow="0" w:lastRow="0" w:firstColumn="0" w:lastColumn="0" w:oddVBand="0" w:evenVBand="0" w:oddHBand="0" w:evenHBand="0" w:firstRowFirstColumn="0" w:firstRowLastColumn="0" w:lastRowFirstColumn="0" w:lastRowLastColumn="0"/>
              <w:rPr>
                <w:color w:val="auto"/>
              </w:rPr>
            </w:pPr>
            <w:r w:rsidRPr="000E179F">
              <w:rPr>
                <w:color w:val="auto"/>
              </w:rPr>
              <w:t>1</w:t>
            </w:r>
          </w:p>
        </w:tc>
      </w:tr>
    </w:tbl>
    <w:p w14:paraId="7D394393" w14:textId="219108B0" w:rsidR="000E179F" w:rsidRPr="000E179F" w:rsidRDefault="000E179F" w:rsidP="000E179F">
      <w:pPr>
        <w:tabs>
          <w:tab w:val="left" w:pos="7050"/>
        </w:tabs>
        <w:jc w:val="both"/>
      </w:pPr>
      <w:r w:rsidRPr="000E179F">
        <w:t xml:space="preserve">Fonte: </w:t>
      </w:r>
      <w:r w:rsidRPr="000E179F">
        <w:rPr>
          <w:i/>
        </w:rPr>
        <w:t>Checklist</w:t>
      </w:r>
      <w:r w:rsidRPr="000E179F">
        <w:t xml:space="preserve"> adaptado de Silva</w:t>
      </w:r>
      <w:r w:rsidR="00026B8D">
        <w:t xml:space="preserve"> </w:t>
      </w:r>
      <w:r w:rsidR="00026B8D">
        <w:rPr>
          <w:i/>
        </w:rPr>
        <w:t>et al.</w:t>
      </w:r>
      <w:r w:rsidRPr="000E179F">
        <w:t xml:space="preserve"> (2016)</w:t>
      </w:r>
    </w:p>
    <w:p w14:paraId="18E26833" w14:textId="77777777" w:rsidR="000E179F" w:rsidRPr="000E179F" w:rsidRDefault="000E179F" w:rsidP="000E179F">
      <w:pPr>
        <w:jc w:val="both"/>
        <w:rPr>
          <w:b/>
          <w:sz w:val="24"/>
          <w:szCs w:val="24"/>
        </w:rPr>
      </w:pPr>
    </w:p>
    <w:p w14:paraId="40C42180" w14:textId="77777777" w:rsidR="000E179F" w:rsidRPr="000E179F" w:rsidRDefault="000E179F" w:rsidP="000E179F">
      <w:pPr>
        <w:ind w:firstLine="708"/>
        <w:jc w:val="both"/>
        <w:rPr>
          <w:sz w:val="24"/>
          <w:szCs w:val="24"/>
        </w:rPr>
      </w:pPr>
      <w:r w:rsidRPr="000E179F">
        <w:rPr>
          <w:sz w:val="24"/>
          <w:szCs w:val="24"/>
        </w:rPr>
        <w:t>A partir dos resultados apresentados sobre as notas explicativas do CCEA pode-se observar que o grau de conformidade da mesma com as normas contábeis é de apenas 57,14%. Em relação ao ano de 2014, não foi possível realizar a análise pois as notas explicativas não foram disponibilizadas.</w:t>
      </w:r>
    </w:p>
    <w:p w14:paraId="3F461573" w14:textId="77777777" w:rsidR="000E179F" w:rsidRPr="000E179F" w:rsidRDefault="000E179F" w:rsidP="000E179F">
      <w:pPr>
        <w:ind w:firstLine="708"/>
        <w:jc w:val="both"/>
        <w:rPr>
          <w:sz w:val="24"/>
          <w:szCs w:val="24"/>
        </w:rPr>
      </w:pPr>
      <w:r w:rsidRPr="000E179F">
        <w:rPr>
          <w:sz w:val="24"/>
          <w:szCs w:val="24"/>
        </w:rPr>
        <w:t xml:space="preserve">Constatou-se que a associação não evidenciou 6 (seis) dos 14 itens analisados, atribuindo pontuação “zero” quanto a sua adequação. </w:t>
      </w:r>
    </w:p>
    <w:p w14:paraId="7EB1B078" w14:textId="77777777" w:rsidR="000E179F" w:rsidRPr="000E179F" w:rsidRDefault="000E179F" w:rsidP="000E179F">
      <w:pPr>
        <w:ind w:firstLine="708"/>
        <w:jc w:val="both"/>
        <w:rPr>
          <w:sz w:val="24"/>
          <w:szCs w:val="24"/>
        </w:rPr>
      </w:pPr>
      <w:r w:rsidRPr="000E179F">
        <w:rPr>
          <w:sz w:val="24"/>
          <w:szCs w:val="24"/>
        </w:rPr>
        <w:t>Não foram fornecidas informações a respeito das aplicações dos recursos e das reponsabilidades decorrentes das subvenções nas notas explicativas, assim como sobre os recursos de aplicação restrita e a vinculação por parte do doador.</w:t>
      </w:r>
    </w:p>
    <w:p w14:paraId="01CBE7AE" w14:textId="77777777" w:rsidR="000E179F" w:rsidRPr="000E179F" w:rsidRDefault="000E179F" w:rsidP="000E179F">
      <w:pPr>
        <w:ind w:firstLine="708"/>
        <w:jc w:val="both"/>
        <w:rPr>
          <w:sz w:val="24"/>
          <w:szCs w:val="24"/>
        </w:rPr>
      </w:pPr>
      <w:r w:rsidRPr="000E179F">
        <w:rPr>
          <w:sz w:val="24"/>
          <w:szCs w:val="24"/>
        </w:rPr>
        <w:t>Verificou-se também que não foram constatadas informações acerca das taxas de juros, das datas de vencimento e das garantias das obrigações em longo prazo, apesar do Passivo ser constituído também por obrigações a serem quitadas a longo prazo.</w:t>
      </w:r>
    </w:p>
    <w:p w14:paraId="0683A9E6" w14:textId="77777777" w:rsidR="000E179F" w:rsidRPr="000E179F" w:rsidRDefault="000E179F" w:rsidP="000E179F">
      <w:pPr>
        <w:ind w:firstLine="708"/>
        <w:jc w:val="both"/>
        <w:rPr>
          <w:sz w:val="24"/>
          <w:szCs w:val="24"/>
        </w:rPr>
      </w:pPr>
      <w:r w:rsidRPr="000E179F">
        <w:rPr>
          <w:sz w:val="24"/>
          <w:szCs w:val="24"/>
        </w:rPr>
        <w:t>Além disso, não disponibilizou informações sobre a segregação dos atendimentos com recursos próprios dos demais atendimentos realizados pela entidade. Contudo, na Demonstração do Resultado do Período essa separação está evidenciada de forma correta.</w:t>
      </w:r>
    </w:p>
    <w:p w14:paraId="04198C11" w14:textId="77777777" w:rsidR="000E179F" w:rsidRPr="000E179F" w:rsidRDefault="000E179F" w:rsidP="000E179F">
      <w:pPr>
        <w:ind w:firstLine="708"/>
        <w:jc w:val="both"/>
        <w:rPr>
          <w:sz w:val="24"/>
          <w:szCs w:val="24"/>
        </w:rPr>
      </w:pPr>
      <w:r w:rsidRPr="000E179F">
        <w:rPr>
          <w:sz w:val="24"/>
          <w:szCs w:val="24"/>
        </w:rPr>
        <w:t>Por fim, em relação à apresentação de dados quantitativos das gratuidades praticadas, que também foi atribuído com pontuação de não adequação, observa-se que foram evidenciados somente os valores desses benefícios, não apresentado as demais informações exigidas pelas normas como o número de atendidos e o número de atendimentos, por exemplo.</w:t>
      </w:r>
    </w:p>
    <w:p w14:paraId="631F126D" w14:textId="4C32BED3" w:rsidR="000E179F" w:rsidRDefault="000E179F" w:rsidP="000E179F">
      <w:pPr>
        <w:ind w:firstLine="708"/>
        <w:jc w:val="both"/>
        <w:rPr>
          <w:sz w:val="24"/>
          <w:szCs w:val="24"/>
        </w:rPr>
      </w:pPr>
      <w:r w:rsidRPr="000E179F">
        <w:rPr>
          <w:sz w:val="24"/>
          <w:szCs w:val="24"/>
        </w:rPr>
        <w:t xml:space="preserve">Tratando-se das notas explicativas, a UNISUL apresentou um nível de evidenciação de 88,89% no ano de 2014, sendo maior que a do CCEA, que obteve um índice de apenas 57,14% </w:t>
      </w:r>
      <w:r w:rsidRPr="000E179F">
        <w:rPr>
          <w:sz w:val="24"/>
          <w:szCs w:val="24"/>
        </w:rPr>
        <w:lastRenderedPageBreak/>
        <w:t>no ano de 2015. A UNISUL não apresentou informações de cinco itens, dos 14 analisados, enquanto o CCEA deixou de apresentar seis itens.</w:t>
      </w:r>
    </w:p>
    <w:p w14:paraId="7A0F2461" w14:textId="0A7CE4B6" w:rsidR="00CC613B" w:rsidRPr="00CC613B" w:rsidRDefault="00466F22" w:rsidP="00CC613B">
      <w:pPr>
        <w:pStyle w:val="Default"/>
        <w:jc w:val="both"/>
        <w:rPr>
          <w:rFonts w:ascii="Arial" w:hAnsi="Arial" w:cs="Arial"/>
          <w:sz w:val="20"/>
          <w:szCs w:val="20"/>
        </w:rPr>
      </w:pPr>
      <w:r>
        <w:tab/>
        <w:t>E</w:t>
      </w:r>
      <w:r w:rsidRPr="00466F22">
        <w:t>m relação ao grau de conformidade das Notas Explicativas,</w:t>
      </w:r>
      <w:r>
        <w:t xml:space="preserve"> c</w:t>
      </w:r>
      <w:r w:rsidRPr="00466F22">
        <w:t xml:space="preserve">omparado ao estudo de Philippe </w:t>
      </w:r>
      <w:r w:rsidRPr="00466F22">
        <w:rPr>
          <w:i/>
        </w:rPr>
        <w:t>et al.</w:t>
      </w:r>
      <w:r w:rsidRPr="00466F22">
        <w:t xml:space="preserve"> (2017), a </w:t>
      </w:r>
      <w:r w:rsidRPr="00341FBB">
        <w:t>Fundação que obteve o maior percentual foi a Universidade da Região de Joinville, com 76,92%. O CCEA apresentou um grau de conformidade de 57,14%</w:t>
      </w:r>
      <w:r w:rsidR="00CC613B" w:rsidRPr="00341FBB">
        <w:t xml:space="preserve">, ficando superior apenas ao das Fundações da Universidade do Alto Vale do Itajaí e Universidade do Planalto Catarinense, as quais apresentaram 53,85% </w:t>
      </w:r>
      <w:r w:rsidR="00341FBB" w:rsidRPr="00341FBB">
        <w:t xml:space="preserve">de </w:t>
      </w:r>
      <w:r w:rsidR="00CC613B" w:rsidRPr="00341FBB">
        <w:t>grau de conformidade.</w:t>
      </w:r>
    </w:p>
    <w:p w14:paraId="3A12BB44" w14:textId="77777777" w:rsidR="000E179F" w:rsidRPr="000E179F" w:rsidRDefault="000E179F" w:rsidP="000E179F">
      <w:pPr>
        <w:ind w:firstLine="708"/>
        <w:jc w:val="both"/>
        <w:rPr>
          <w:sz w:val="24"/>
          <w:szCs w:val="24"/>
        </w:rPr>
      </w:pPr>
      <w:r w:rsidRPr="000E179F">
        <w:rPr>
          <w:sz w:val="24"/>
          <w:szCs w:val="24"/>
        </w:rPr>
        <w:t>Considerando que a listagem de aspectos analisados não contempla todos os aspectos sugeridos pela norma, ressalta-se que nem todos os itens foram verificados no presente estudo. Portanto, infere-se que o índice de conformidade apresentado no estudo não abrange a totalidade. Porém, tratando-se dos itens observados, o nível geral de evidenciação das demonstrações contábeis foi de 79,45% em 2015.</w:t>
      </w:r>
    </w:p>
    <w:p w14:paraId="7BA6E037" w14:textId="77777777" w:rsidR="000E179F" w:rsidRPr="000E179F" w:rsidRDefault="000E179F" w:rsidP="000E179F">
      <w:pPr>
        <w:ind w:firstLine="708"/>
        <w:jc w:val="both"/>
        <w:rPr>
          <w:sz w:val="24"/>
          <w:szCs w:val="24"/>
        </w:rPr>
      </w:pPr>
      <w:r w:rsidRPr="000E179F">
        <w:rPr>
          <w:sz w:val="24"/>
          <w:szCs w:val="24"/>
        </w:rPr>
        <w:t>Esse índice sugere um nível razoável de conformidade, porém ainda há necessidade de aprimorar a evidenciação contábil utilizando as normas específicas relacionadas às associações. A divulgação e a evidenciação das informações da entidade são fundamentais aos usuários que dependem dessas para a tomada de decisão.</w:t>
      </w:r>
    </w:p>
    <w:p w14:paraId="4BF486E1" w14:textId="77777777" w:rsidR="000E179F" w:rsidRPr="000E179F" w:rsidRDefault="000E179F" w:rsidP="000E179F">
      <w:pPr>
        <w:ind w:firstLine="708"/>
        <w:jc w:val="both"/>
        <w:rPr>
          <w:sz w:val="24"/>
          <w:szCs w:val="24"/>
        </w:rPr>
      </w:pPr>
      <w:r w:rsidRPr="000E179F">
        <w:rPr>
          <w:sz w:val="24"/>
          <w:szCs w:val="24"/>
        </w:rPr>
        <w:t>Em um nível geral de conformidade das demonstrações contábeis, a UNISUL apresentou um índice de 86,84% no ano de 2014, enquanto o CCEA indicou um índice de 79,45% no ano de 2015. Dessa forma, no aspecto geral, a UNISUL apresentou uma melhor evidenciação contábil ao comparar as entidades em questão.</w:t>
      </w:r>
    </w:p>
    <w:p w14:paraId="7EE74AF6" w14:textId="77777777" w:rsidR="000E179F" w:rsidRPr="000E179F" w:rsidRDefault="000E179F" w:rsidP="000E179F">
      <w:pPr>
        <w:ind w:firstLine="708"/>
        <w:jc w:val="both"/>
        <w:rPr>
          <w:sz w:val="24"/>
          <w:szCs w:val="24"/>
        </w:rPr>
      </w:pPr>
    </w:p>
    <w:p w14:paraId="0A33CEC9" w14:textId="1694F30A" w:rsidR="000E179F" w:rsidRPr="000E179F" w:rsidRDefault="005F1F95" w:rsidP="005F1F95">
      <w:pPr>
        <w:pStyle w:val="Ttulo1"/>
        <w:numPr>
          <w:ilvl w:val="0"/>
          <w:numId w:val="0"/>
        </w:numPr>
        <w:ind w:left="432" w:hanging="432"/>
        <w:rPr>
          <w:rFonts w:cs="Times New Roman"/>
          <w:szCs w:val="24"/>
        </w:rPr>
      </w:pPr>
      <w:r>
        <w:rPr>
          <w:rFonts w:cs="Times New Roman"/>
          <w:szCs w:val="24"/>
        </w:rPr>
        <w:t xml:space="preserve">5 </w:t>
      </w:r>
      <w:r w:rsidR="00A5087F" w:rsidRPr="000E179F">
        <w:rPr>
          <w:rFonts w:cs="Times New Roman"/>
          <w:szCs w:val="24"/>
        </w:rPr>
        <w:t>Considerações Finais</w:t>
      </w:r>
    </w:p>
    <w:p w14:paraId="00909B9D" w14:textId="77777777" w:rsidR="000E179F" w:rsidRPr="000E179F" w:rsidRDefault="000E179F" w:rsidP="000E179F">
      <w:pPr>
        <w:jc w:val="both"/>
        <w:rPr>
          <w:sz w:val="24"/>
          <w:szCs w:val="24"/>
        </w:rPr>
      </w:pPr>
    </w:p>
    <w:p w14:paraId="46AE780D" w14:textId="77777777" w:rsidR="000E179F" w:rsidRPr="000E179F" w:rsidRDefault="000E179F" w:rsidP="000E179F">
      <w:pPr>
        <w:ind w:firstLine="708"/>
        <w:jc w:val="both"/>
        <w:rPr>
          <w:sz w:val="24"/>
          <w:szCs w:val="24"/>
        </w:rPr>
      </w:pPr>
      <w:r w:rsidRPr="000E179F">
        <w:rPr>
          <w:sz w:val="24"/>
          <w:szCs w:val="24"/>
        </w:rPr>
        <w:t>Esta pesquisa teve por objetivo principal analisar o grau de conformidade das demonstrações financeiras do Centro Cultural Escrava Anastácia com as normas contábeis aplicadas ao terceiro setor. Através de uma listagem de itens de verificação de conformidade, buscou-se identificar em que grau essas demonstrações financeiras atendem as normas contábeis exigidas.</w:t>
      </w:r>
    </w:p>
    <w:p w14:paraId="2E407666" w14:textId="77777777" w:rsidR="000E179F" w:rsidRPr="000E179F" w:rsidRDefault="000E179F" w:rsidP="000E179F">
      <w:pPr>
        <w:ind w:firstLine="708"/>
        <w:jc w:val="both"/>
        <w:rPr>
          <w:sz w:val="24"/>
          <w:szCs w:val="24"/>
        </w:rPr>
      </w:pPr>
      <w:r w:rsidRPr="000E179F">
        <w:rPr>
          <w:sz w:val="24"/>
          <w:szCs w:val="24"/>
        </w:rPr>
        <w:t>Os resultados em relação ao estatuto social do CCEA indicam alto grau de evidenciação, sendo atribuída pontuação positiva em quase todos os itens analisados, com exceção apenas da evidenciação do exercício financeiro e orçamentário, a qual não se encontrou informação no corpo do estatuto social.</w:t>
      </w:r>
    </w:p>
    <w:p w14:paraId="7A0AE6AA" w14:textId="77777777" w:rsidR="000E179F" w:rsidRPr="000E179F" w:rsidRDefault="000E179F" w:rsidP="000E179F">
      <w:pPr>
        <w:ind w:firstLine="708"/>
        <w:jc w:val="both"/>
        <w:rPr>
          <w:sz w:val="24"/>
          <w:szCs w:val="24"/>
        </w:rPr>
      </w:pPr>
      <w:r w:rsidRPr="000E179F">
        <w:rPr>
          <w:sz w:val="24"/>
          <w:szCs w:val="24"/>
        </w:rPr>
        <w:t>Os resultados também apontam que o nível de evidenciação das demonstrações financeiras da associação analisada em relação às normas contábeis é de 80% em 2014 e 88,89% em 2015. Este percentual se justifica pelo fato de a entidade não obter adequação em cinco itens analisados no ano de 2014 e dois no ano de 2015. Porém, é importante esclarecer que a entidade elabora Balanço Patrimonial e Demonstração do Resultado, bem como apresenta as outras demonstrações exigidas pelas normas. Percebeu-se também que o CCEA apresenta o capital da entidade com a nomenclatura patrimônio social; e, o resultado do período é apresentado de acordo com as normas, usando a nomenclatura superávit ou déficit do período.</w:t>
      </w:r>
    </w:p>
    <w:p w14:paraId="0F401021" w14:textId="77777777" w:rsidR="000E179F" w:rsidRPr="000E179F" w:rsidRDefault="000E179F" w:rsidP="000E179F">
      <w:pPr>
        <w:ind w:firstLine="708"/>
        <w:jc w:val="both"/>
        <w:rPr>
          <w:sz w:val="24"/>
          <w:szCs w:val="24"/>
        </w:rPr>
      </w:pPr>
      <w:r w:rsidRPr="000E179F">
        <w:rPr>
          <w:sz w:val="24"/>
          <w:szCs w:val="24"/>
        </w:rPr>
        <w:t>Quanto à análise das notas explicativas, pode-se observar que o grau de conformidade das mesmas com as normas contábeis é de 57,14% no ano de 2015. Isto porque a associação não apresentou informações sobre 6 (seis) dos 14 itens analisados. Diante disso, ressalta-se que a entidade deve elaborar suas notas explicativas mais cautelosamente, visando sempre a transparência de suas ações.</w:t>
      </w:r>
    </w:p>
    <w:p w14:paraId="27B78BF2" w14:textId="77777777" w:rsidR="000E179F" w:rsidRPr="000E179F" w:rsidRDefault="000E179F" w:rsidP="000E179F">
      <w:pPr>
        <w:ind w:firstLine="708"/>
        <w:jc w:val="both"/>
        <w:rPr>
          <w:sz w:val="24"/>
          <w:szCs w:val="24"/>
        </w:rPr>
      </w:pPr>
      <w:r w:rsidRPr="000E179F">
        <w:rPr>
          <w:sz w:val="24"/>
          <w:szCs w:val="24"/>
        </w:rPr>
        <w:t xml:space="preserve">Quanto ao objetivo geral, constatou-se um nível de conformidade das demonstrações contábeis da entidade de 79,45% em 2015. Apesar de ser um percentual razoável de conformidade, observa-se que houve relevante quantidade de itens não informados, o que confirma a necessidade de a associação adaptar as suas demonstrações às normas específicas </w:t>
      </w:r>
      <w:r w:rsidRPr="000E179F">
        <w:rPr>
          <w:sz w:val="24"/>
          <w:szCs w:val="24"/>
        </w:rPr>
        <w:lastRenderedPageBreak/>
        <w:t>para obter um grau maior em termos de evidenciação contábil e ser transparente perante os usuários de suas informações.</w:t>
      </w:r>
    </w:p>
    <w:p w14:paraId="4780811B" w14:textId="77777777" w:rsidR="000E179F" w:rsidRPr="000E179F" w:rsidRDefault="000E179F" w:rsidP="000E179F">
      <w:pPr>
        <w:ind w:firstLine="708"/>
        <w:jc w:val="both"/>
        <w:rPr>
          <w:sz w:val="24"/>
          <w:szCs w:val="24"/>
        </w:rPr>
      </w:pPr>
      <w:r w:rsidRPr="000E179F">
        <w:rPr>
          <w:sz w:val="24"/>
          <w:szCs w:val="24"/>
        </w:rPr>
        <w:t xml:space="preserve">Percebeu-se também com base nas demonstrações analisadas, que o nível de conformidade das normas aumentou de um ano para o outro, o que indica uma melhora na evidenciação apresentada pelo CCEA. </w:t>
      </w:r>
    </w:p>
    <w:p w14:paraId="27E5B982" w14:textId="77777777" w:rsidR="000E179F" w:rsidRPr="000E179F" w:rsidRDefault="000E179F" w:rsidP="000E179F">
      <w:pPr>
        <w:ind w:firstLine="708"/>
        <w:jc w:val="both"/>
        <w:rPr>
          <w:sz w:val="24"/>
          <w:szCs w:val="24"/>
        </w:rPr>
      </w:pPr>
      <w:r w:rsidRPr="000E179F">
        <w:rPr>
          <w:sz w:val="24"/>
          <w:szCs w:val="24"/>
        </w:rPr>
        <w:t xml:space="preserve">Os itens analisados referem-se a um padrão mínimo que deveria ser alcançado pela entidade. Conforme o destacado por Silveira e Borba (2010) há a importância de se alcançar um alto grau de evidenciação e de conformidade com as normas, porém isto não garante um nível ideal de transparência, visto que este também está associado a outros fatores como a qualidade e clareza das informações disponibilizadas. Desse modo corrobora-se novamente a necessidade por parte da associação de se adequar as normas na elaboração de suas demonstrações. </w:t>
      </w:r>
    </w:p>
    <w:p w14:paraId="330A7BC1" w14:textId="254F2B70" w:rsidR="000E179F" w:rsidRPr="000E179F" w:rsidRDefault="000E179F" w:rsidP="000E179F">
      <w:pPr>
        <w:ind w:firstLine="708"/>
        <w:jc w:val="both"/>
        <w:rPr>
          <w:sz w:val="24"/>
          <w:szCs w:val="24"/>
        </w:rPr>
      </w:pPr>
      <w:r w:rsidRPr="000E179F">
        <w:rPr>
          <w:sz w:val="24"/>
          <w:szCs w:val="24"/>
        </w:rPr>
        <w:t xml:space="preserve">Conforme apontam alguns estudos, a procura por contadores especialistas nesta área é grande, porém o número de profissionais da área é baixo, recomenda-se então a expansão de estudos na área contábil do terceiro setor, de modo que auxilie de certa forma os contadores quanto às formas de elaborar e evidenciar de maneira correta as demonstrações, mantendo os profissionais mais atualizados e por dentro das necessidades apresentadas por estas entidades, visto que este setor </w:t>
      </w:r>
      <w:r w:rsidR="002513A8">
        <w:rPr>
          <w:sz w:val="24"/>
          <w:szCs w:val="24"/>
        </w:rPr>
        <w:t>retrata</w:t>
      </w:r>
      <w:r w:rsidRPr="000E179F">
        <w:rPr>
          <w:sz w:val="24"/>
          <w:szCs w:val="24"/>
        </w:rPr>
        <w:t xml:space="preserve"> uma carência informacional por parte dos contadores que o atendem.</w:t>
      </w:r>
    </w:p>
    <w:p w14:paraId="343A788D" w14:textId="77777777" w:rsidR="000E179F" w:rsidRPr="000E179F" w:rsidRDefault="000E179F" w:rsidP="000E179F">
      <w:pPr>
        <w:rPr>
          <w:sz w:val="24"/>
          <w:szCs w:val="24"/>
        </w:rPr>
      </w:pPr>
    </w:p>
    <w:p w14:paraId="422F801B" w14:textId="4170AB61" w:rsidR="000E179F" w:rsidRDefault="00EA0EA7" w:rsidP="005F1F95">
      <w:pPr>
        <w:pStyle w:val="Ttulo1"/>
        <w:numPr>
          <w:ilvl w:val="0"/>
          <w:numId w:val="0"/>
        </w:numPr>
        <w:ind w:left="432" w:hanging="432"/>
        <w:rPr>
          <w:rFonts w:cs="Times New Roman"/>
          <w:szCs w:val="24"/>
        </w:rPr>
      </w:pPr>
      <w:r w:rsidRPr="000E179F">
        <w:rPr>
          <w:rFonts w:cs="Times New Roman"/>
          <w:szCs w:val="24"/>
        </w:rPr>
        <w:t>Referências</w:t>
      </w:r>
    </w:p>
    <w:p w14:paraId="1A6B7D6F" w14:textId="0932F233" w:rsidR="00896BD9" w:rsidRDefault="00896BD9" w:rsidP="00896BD9"/>
    <w:p w14:paraId="02825304" w14:textId="22A1AC35" w:rsidR="00896BD9" w:rsidRPr="00896BD9" w:rsidRDefault="00896BD9" w:rsidP="00624ECE">
      <w:pPr>
        <w:jc w:val="both"/>
        <w:rPr>
          <w:sz w:val="24"/>
          <w:szCs w:val="24"/>
        </w:rPr>
      </w:pPr>
      <w:r w:rsidRPr="00896BD9">
        <w:rPr>
          <w:sz w:val="24"/>
          <w:szCs w:val="24"/>
        </w:rPr>
        <w:t xml:space="preserve">Andrade, A. M. de, Neves, J. M. das &amp; Casagrande, M. D. H. (2017). Análise da </w:t>
      </w:r>
      <w:r>
        <w:rPr>
          <w:sz w:val="24"/>
          <w:szCs w:val="24"/>
        </w:rPr>
        <w:tab/>
      </w:r>
      <w:r w:rsidRPr="00896BD9">
        <w:rPr>
          <w:sz w:val="24"/>
          <w:szCs w:val="24"/>
        </w:rPr>
        <w:t xml:space="preserve">conformidade das demonstrações contábeis da </w:t>
      </w:r>
      <w:proofErr w:type="spellStart"/>
      <w:r w:rsidRPr="00896BD9">
        <w:rPr>
          <w:sz w:val="24"/>
          <w:szCs w:val="24"/>
        </w:rPr>
        <w:t>Orionópolis</w:t>
      </w:r>
      <w:proofErr w:type="spellEnd"/>
      <w:r w:rsidRPr="00896BD9">
        <w:rPr>
          <w:sz w:val="24"/>
          <w:szCs w:val="24"/>
        </w:rPr>
        <w:t xml:space="preserve"> Catarinense com as </w:t>
      </w:r>
      <w:r>
        <w:rPr>
          <w:sz w:val="24"/>
          <w:szCs w:val="24"/>
        </w:rPr>
        <w:tab/>
      </w:r>
      <w:r w:rsidRPr="00896BD9">
        <w:rPr>
          <w:sz w:val="24"/>
          <w:szCs w:val="24"/>
        </w:rPr>
        <w:t xml:space="preserve">Normas Aplicadas ao Terceiro Setor. </w:t>
      </w:r>
      <w:r w:rsidR="00DD3E87">
        <w:rPr>
          <w:sz w:val="24"/>
          <w:szCs w:val="24"/>
        </w:rPr>
        <w:t>Artigo apresentado no</w:t>
      </w:r>
      <w:r w:rsidRPr="00896BD9">
        <w:rPr>
          <w:i/>
          <w:sz w:val="24"/>
          <w:szCs w:val="24"/>
        </w:rPr>
        <w:t xml:space="preserve"> 15º </w:t>
      </w:r>
      <w:proofErr w:type="spellStart"/>
      <w:r w:rsidRPr="00896BD9">
        <w:rPr>
          <w:i/>
          <w:sz w:val="24"/>
          <w:szCs w:val="24"/>
        </w:rPr>
        <w:t>Ececon</w:t>
      </w:r>
      <w:proofErr w:type="spellEnd"/>
      <w:r w:rsidR="004568CE">
        <w:rPr>
          <w:i/>
          <w:sz w:val="24"/>
          <w:szCs w:val="24"/>
        </w:rPr>
        <w:t xml:space="preserve"> </w:t>
      </w:r>
      <w:r w:rsidR="004568CE">
        <w:rPr>
          <w:sz w:val="24"/>
          <w:szCs w:val="24"/>
        </w:rPr>
        <w:t>(pp.1-19).</w:t>
      </w:r>
      <w:r w:rsidRPr="00896BD9">
        <w:rPr>
          <w:i/>
          <w:sz w:val="24"/>
          <w:szCs w:val="24"/>
        </w:rPr>
        <w:t xml:space="preserve"> </w:t>
      </w:r>
      <w:r w:rsidR="004568CE">
        <w:rPr>
          <w:i/>
          <w:sz w:val="24"/>
          <w:szCs w:val="24"/>
        </w:rPr>
        <w:tab/>
      </w:r>
      <w:r w:rsidRPr="00896BD9">
        <w:rPr>
          <w:sz w:val="24"/>
          <w:szCs w:val="24"/>
        </w:rPr>
        <w:t xml:space="preserve">Florianópolis, </w:t>
      </w:r>
      <w:r w:rsidR="004568CE">
        <w:rPr>
          <w:sz w:val="24"/>
          <w:szCs w:val="24"/>
        </w:rPr>
        <w:tab/>
        <w:t>Brasil</w:t>
      </w:r>
      <w:r w:rsidRPr="00896BD9">
        <w:rPr>
          <w:sz w:val="24"/>
          <w:szCs w:val="24"/>
        </w:rPr>
        <w:t>.</w:t>
      </w:r>
    </w:p>
    <w:p w14:paraId="20A74110" w14:textId="63249C64" w:rsidR="00DE5F6F" w:rsidRPr="00484F5C" w:rsidRDefault="00DE5F6F" w:rsidP="00EA0EA7">
      <w:pPr>
        <w:ind w:left="567" w:hanging="567"/>
        <w:jc w:val="both"/>
        <w:rPr>
          <w:sz w:val="24"/>
          <w:szCs w:val="24"/>
          <w:shd w:val="clear" w:color="auto" w:fill="FFFFFF"/>
        </w:rPr>
      </w:pPr>
      <w:r w:rsidRPr="00AD226E">
        <w:rPr>
          <w:sz w:val="24"/>
          <w:szCs w:val="24"/>
          <w:shd w:val="clear" w:color="auto" w:fill="FFFFFF"/>
        </w:rPr>
        <w:t xml:space="preserve">Alves, C. V. O. &amp; </w:t>
      </w:r>
      <w:proofErr w:type="spellStart"/>
      <w:r w:rsidRPr="00AD226E">
        <w:rPr>
          <w:sz w:val="24"/>
          <w:szCs w:val="24"/>
          <w:shd w:val="clear" w:color="auto" w:fill="FFFFFF"/>
        </w:rPr>
        <w:t>Slomski</w:t>
      </w:r>
      <w:proofErr w:type="spellEnd"/>
      <w:r w:rsidRPr="00AD226E">
        <w:rPr>
          <w:sz w:val="24"/>
          <w:szCs w:val="24"/>
          <w:shd w:val="clear" w:color="auto" w:fill="FFFFFF"/>
        </w:rPr>
        <w:t xml:space="preserve">, V. (2006). </w:t>
      </w:r>
      <w:r w:rsidRPr="00484F5C">
        <w:rPr>
          <w:sz w:val="24"/>
          <w:szCs w:val="24"/>
          <w:shd w:val="clear" w:color="auto" w:fill="FFFFFF"/>
        </w:rPr>
        <w:t xml:space="preserve">Organizações da sociedade civil de interesse público e termos de parceria: um estudo sobre o processo de avaliação de resultados dos projetos sociais desenvolvidos com recursos governamentais no Brasil. </w:t>
      </w:r>
      <w:r w:rsidR="000519A7" w:rsidRPr="00484F5C">
        <w:rPr>
          <w:sz w:val="24"/>
          <w:szCs w:val="24"/>
          <w:shd w:val="clear" w:color="auto" w:fill="FFFFFF"/>
        </w:rPr>
        <w:t xml:space="preserve">Apresentado no </w:t>
      </w:r>
      <w:r w:rsidRPr="00484F5C">
        <w:rPr>
          <w:i/>
          <w:sz w:val="24"/>
          <w:szCs w:val="24"/>
          <w:shd w:val="clear" w:color="auto" w:fill="FFFFFF"/>
        </w:rPr>
        <w:t xml:space="preserve">6º Congresso USP de </w:t>
      </w:r>
      <w:r w:rsidRPr="00AC1A2A">
        <w:rPr>
          <w:i/>
          <w:sz w:val="24"/>
          <w:szCs w:val="24"/>
          <w:shd w:val="clear" w:color="auto" w:fill="FFFFFF"/>
        </w:rPr>
        <w:t>Controladoria</w:t>
      </w:r>
      <w:r w:rsidR="000519A7" w:rsidRPr="00AC1A2A">
        <w:rPr>
          <w:i/>
          <w:sz w:val="24"/>
          <w:szCs w:val="24"/>
          <w:shd w:val="clear" w:color="auto" w:fill="FFFFFF"/>
        </w:rPr>
        <w:t xml:space="preserve"> </w:t>
      </w:r>
      <w:r w:rsidR="000519A7" w:rsidRPr="00AC1A2A">
        <w:rPr>
          <w:sz w:val="24"/>
          <w:szCs w:val="24"/>
          <w:shd w:val="clear" w:color="auto" w:fill="FFFFFF"/>
        </w:rPr>
        <w:t>(pp</w:t>
      </w:r>
      <w:r w:rsidRPr="00AC1A2A">
        <w:rPr>
          <w:sz w:val="24"/>
          <w:szCs w:val="24"/>
          <w:shd w:val="clear" w:color="auto" w:fill="FFFFFF"/>
        </w:rPr>
        <w:t>.</w:t>
      </w:r>
      <w:r w:rsidR="00AC1A2A" w:rsidRPr="00AC1A2A">
        <w:rPr>
          <w:sz w:val="24"/>
          <w:szCs w:val="24"/>
          <w:shd w:val="clear" w:color="auto" w:fill="FFFFFF"/>
        </w:rPr>
        <w:t xml:space="preserve"> 1-16</w:t>
      </w:r>
      <w:r w:rsidR="000519A7" w:rsidRPr="00AC1A2A">
        <w:rPr>
          <w:sz w:val="24"/>
          <w:szCs w:val="24"/>
          <w:shd w:val="clear" w:color="auto" w:fill="FFFFFF"/>
        </w:rPr>
        <w:t xml:space="preserve">). </w:t>
      </w:r>
      <w:r w:rsidRPr="00484F5C">
        <w:rPr>
          <w:sz w:val="24"/>
          <w:szCs w:val="24"/>
          <w:shd w:val="clear" w:color="auto" w:fill="FFFFFF"/>
        </w:rPr>
        <w:t>São Paulo</w:t>
      </w:r>
      <w:r w:rsidR="000519A7" w:rsidRPr="00484F5C">
        <w:rPr>
          <w:sz w:val="24"/>
          <w:szCs w:val="24"/>
          <w:shd w:val="clear" w:color="auto" w:fill="FFFFFF"/>
        </w:rPr>
        <w:t>, Brasil.</w:t>
      </w:r>
    </w:p>
    <w:p w14:paraId="4B77C1C0" w14:textId="16A40F4D" w:rsidR="00DE5F6F" w:rsidRPr="00484F5C" w:rsidRDefault="00DE5F6F" w:rsidP="00EA0EA7">
      <w:pPr>
        <w:ind w:left="567" w:hanging="567"/>
        <w:jc w:val="both"/>
        <w:rPr>
          <w:sz w:val="24"/>
          <w:szCs w:val="24"/>
        </w:rPr>
      </w:pPr>
      <w:r w:rsidRPr="00484F5C">
        <w:rPr>
          <w:sz w:val="24"/>
          <w:szCs w:val="24"/>
          <w:shd w:val="clear" w:color="auto" w:fill="FFFFFF"/>
        </w:rPr>
        <w:t>A</w:t>
      </w:r>
      <w:r w:rsidR="00EA0EA7" w:rsidRPr="00484F5C">
        <w:rPr>
          <w:sz w:val="24"/>
          <w:szCs w:val="24"/>
          <w:shd w:val="clear" w:color="auto" w:fill="FFFFFF"/>
        </w:rPr>
        <w:t>ssis</w:t>
      </w:r>
      <w:r w:rsidRPr="00484F5C">
        <w:rPr>
          <w:sz w:val="24"/>
          <w:szCs w:val="24"/>
          <w:shd w:val="clear" w:color="auto" w:fill="FFFFFF"/>
        </w:rPr>
        <w:t xml:space="preserve">, M. S. de, Mello, G. R. de &amp; </w:t>
      </w:r>
      <w:proofErr w:type="spellStart"/>
      <w:r w:rsidRPr="00484F5C">
        <w:rPr>
          <w:sz w:val="24"/>
          <w:szCs w:val="24"/>
          <w:shd w:val="clear" w:color="auto" w:fill="FFFFFF"/>
        </w:rPr>
        <w:t>Slomski</w:t>
      </w:r>
      <w:proofErr w:type="spellEnd"/>
      <w:r w:rsidRPr="00484F5C">
        <w:rPr>
          <w:sz w:val="24"/>
          <w:szCs w:val="24"/>
          <w:shd w:val="clear" w:color="auto" w:fill="FFFFFF"/>
        </w:rPr>
        <w:t xml:space="preserve">, V. (2006). Transparência nas Entidades do Terceiro Setor: A Demonstração do Resultado Econômico como Instrumento de Mensuração de Desempenho. </w:t>
      </w:r>
      <w:r w:rsidR="000519A7" w:rsidRPr="00484F5C">
        <w:rPr>
          <w:sz w:val="24"/>
          <w:szCs w:val="24"/>
          <w:shd w:val="clear" w:color="auto" w:fill="FFFFFF"/>
        </w:rPr>
        <w:t>Artigo apresentado no</w:t>
      </w:r>
      <w:r w:rsidRPr="00484F5C">
        <w:rPr>
          <w:sz w:val="24"/>
          <w:szCs w:val="24"/>
          <w:shd w:val="clear" w:color="auto" w:fill="FFFFFF"/>
        </w:rPr>
        <w:t xml:space="preserve"> </w:t>
      </w:r>
      <w:r w:rsidRPr="00484F5C">
        <w:rPr>
          <w:i/>
          <w:sz w:val="24"/>
          <w:szCs w:val="24"/>
          <w:shd w:val="clear" w:color="auto" w:fill="FFFFFF"/>
        </w:rPr>
        <w:t xml:space="preserve">Congresso USP - Iniciação Científica em </w:t>
      </w:r>
      <w:r w:rsidRPr="001869AB">
        <w:rPr>
          <w:i/>
          <w:sz w:val="24"/>
          <w:szCs w:val="24"/>
          <w:shd w:val="clear" w:color="auto" w:fill="FFFFFF"/>
        </w:rPr>
        <w:t>Contabilidade</w:t>
      </w:r>
      <w:r w:rsidR="000519A7" w:rsidRPr="001869AB">
        <w:rPr>
          <w:sz w:val="24"/>
          <w:szCs w:val="24"/>
          <w:shd w:val="clear" w:color="auto" w:fill="FFFFFF"/>
        </w:rPr>
        <w:t xml:space="preserve"> (pp.</w:t>
      </w:r>
      <w:r w:rsidR="001869AB" w:rsidRPr="001869AB">
        <w:rPr>
          <w:sz w:val="24"/>
          <w:szCs w:val="24"/>
          <w:shd w:val="clear" w:color="auto" w:fill="FFFFFF"/>
        </w:rPr>
        <w:t xml:space="preserve"> 1-16</w:t>
      </w:r>
      <w:r w:rsidR="000519A7" w:rsidRPr="001869AB">
        <w:rPr>
          <w:sz w:val="24"/>
          <w:szCs w:val="24"/>
          <w:shd w:val="clear" w:color="auto" w:fill="FFFFFF"/>
        </w:rPr>
        <w:t>).</w:t>
      </w:r>
      <w:r w:rsidRPr="001869AB">
        <w:rPr>
          <w:sz w:val="24"/>
          <w:szCs w:val="24"/>
          <w:shd w:val="clear" w:color="auto" w:fill="FFFFFF"/>
        </w:rPr>
        <w:t xml:space="preserve"> São Paulo</w:t>
      </w:r>
      <w:r w:rsidR="000519A7" w:rsidRPr="001869AB">
        <w:rPr>
          <w:sz w:val="24"/>
          <w:szCs w:val="24"/>
          <w:shd w:val="clear" w:color="auto" w:fill="FFFFFF"/>
        </w:rPr>
        <w:t>, Brasil</w:t>
      </w:r>
      <w:r w:rsidRPr="001869AB">
        <w:rPr>
          <w:sz w:val="24"/>
          <w:szCs w:val="24"/>
          <w:shd w:val="clear" w:color="auto" w:fill="FFFFFF"/>
        </w:rPr>
        <w:t>.</w:t>
      </w:r>
    </w:p>
    <w:p w14:paraId="4C50D2C4" w14:textId="5E40826C" w:rsidR="00DE5F6F" w:rsidRPr="00CD3F51" w:rsidRDefault="00DE5F6F" w:rsidP="00EA0EA7">
      <w:pPr>
        <w:ind w:left="567" w:hanging="567"/>
        <w:jc w:val="both"/>
        <w:rPr>
          <w:sz w:val="24"/>
          <w:szCs w:val="24"/>
        </w:rPr>
      </w:pPr>
      <w:r w:rsidRPr="00CD3F51">
        <w:rPr>
          <w:sz w:val="24"/>
          <w:szCs w:val="24"/>
        </w:rPr>
        <w:t>Borba, J. A., Pereira, R. &amp; Vieira, E. M. F. (2007).</w:t>
      </w:r>
      <w:r w:rsidRPr="00CD3F51">
        <w:rPr>
          <w:b/>
          <w:sz w:val="24"/>
          <w:szCs w:val="24"/>
        </w:rPr>
        <w:t xml:space="preserve"> </w:t>
      </w:r>
      <w:r w:rsidRPr="00CD3F51">
        <w:rPr>
          <w:sz w:val="24"/>
          <w:szCs w:val="24"/>
        </w:rPr>
        <w:t>Terceiro setor: aspectos relacionados à elaboração das demonstrações contábeis das fundações privadas mantenedoras de Universidades do Estado de Santa Catarina</w:t>
      </w:r>
      <w:r w:rsidRPr="00F97199">
        <w:rPr>
          <w:i/>
          <w:sz w:val="24"/>
          <w:szCs w:val="24"/>
        </w:rPr>
        <w:t>.</w:t>
      </w:r>
      <w:r w:rsidRPr="00CD3F51">
        <w:rPr>
          <w:sz w:val="24"/>
          <w:szCs w:val="24"/>
        </w:rPr>
        <w:t xml:space="preserve"> </w:t>
      </w:r>
      <w:proofErr w:type="spellStart"/>
      <w:r w:rsidRPr="00F97199">
        <w:rPr>
          <w:i/>
          <w:sz w:val="24"/>
          <w:szCs w:val="24"/>
        </w:rPr>
        <w:t>ABCustos</w:t>
      </w:r>
      <w:proofErr w:type="spellEnd"/>
      <w:r w:rsidRPr="00CD3F51">
        <w:rPr>
          <w:sz w:val="24"/>
          <w:szCs w:val="24"/>
        </w:rPr>
        <w:t xml:space="preserve">, </w:t>
      </w:r>
      <w:r w:rsidRPr="00B30FF5">
        <w:rPr>
          <w:i/>
          <w:sz w:val="24"/>
          <w:szCs w:val="24"/>
        </w:rPr>
        <w:t>2</w:t>
      </w:r>
      <w:r w:rsidR="00484F5C" w:rsidRPr="00CA728B">
        <w:rPr>
          <w:sz w:val="24"/>
          <w:szCs w:val="24"/>
        </w:rPr>
        <w:t>(</w:t>
      </w:r>
      <w:r w:rsidR="00CA728B" w:rsidRPr="00CA728B">
        <w:rPr>
          <w:sz w:val="24"/>
          <w:szCs w:val="24"/>
        </w:rPr>
        <w:t>2</w:t>
      </w:r>
      <w:r w:rsidR="00484F5C" w:rsidRPr="00CA728B">
        <w:rPr>
          <w:sz w:val="24"/>
          <w:szCs w:val="24"/>
        </w:rPr>
        <w:t>)</w:t>
      </w:r>
      <w:r w:rsidRPr="00CA728B">
        <w:rPr>
          <w:sz w:val="24"/>
          <w:szCs w:val="24"/>
        </w:rPr>
        <w:t xml:space="preserve">, </w:t>
      </w:r>
      <w:r w:rsidR="00CA728B" w:rsidRPr="00CA728B">
        <w:rPr>
          <w:sz w:val="24"/>
          <w:szCs w:val="24"/>
        </w:rPr>
        <w:t>125-146</w:t>
      </w:r>
      <w:r w:rsidRPr="00F97199">
        <w:rPr>
          <w:sz w:val="24"/>
          <w:szCs w:val="24"/>
        </w:rPr>
        <w:t>.</w:t>
      </w:r>
    </w:p>
    <w:p w14:paraId="53B2983F" w14:textId="31EC9FB1" w:rsidR="00DE5F6F" w:rsidRPr="00CA728B" w:rsidRDefault="00DE5F6F" w:rsidP="00EA0EA7">
      <w:pPr>
        <w:ind w:left="567" w:hanging="567"/>
        <w:jc w:val="both"/>
        <w:rPr>
          <w:sz w:val="24"/>
          <w:szCs w:val="24"/>
          <w:shd w:val="clear" w:color="auto" w:fill="FFFFFF"/>
        </w:rPr>
      </w:pPr>
      <w:r w:rsidRPr="00CA728B">
        <w:rPr>
          <w:sz w:val="24"/>
          <w:szCs w:val="24"/>
          <w:shd w:val="clear" w:color="auto" w:fill="FFFFFF"/>
        </w:rPr>
        <w:t xml:space="preserve">Borges, G. M. da C., Lopes, F. D., Mol, A. L. R. &amp; Borges, E. F. (2012). Imagens do Terceiro Setor: a percepção de pais e responsáveis financeiros das organizações educacionais do terceiro setor situadas em Natal/RN. </w:t>
      </w:r>
      <w:r w:rsidR="00CA728B" w:rsidRPr="00CA728B">
        <w:rPr>
          <w:i/>
          <w:sz w:val="24"/>
          <w:szCs w:val="24"/>
          <w:shd w:val="clear" w:color="auto" w:fill="FFFFFF"/>
        </w:rPr>
        <w:t>Interface, 9</w:t>
      </w:r>
      <w:r w:rsidR="00CA728B" w:rsidRPr="00CA728B">
        <w:rPr>
          <w:sz w:val="24"/>
          <w:szCs w:val="24"/>
          <w:shd w:val="clear" w:color="auto" w:fill="FFFFFF"/>
        </w:rPr>
        <w:t>(1), 26-41.</w:t>
      </w:r>
    </w:p>
    <w:p w14:paraId="05878A13" w14:textId="39C4A749" w:rsidR="00DE5F6F" w:rsidRPr="00CD3F51" w:rsidRDefault="00DE5F6F" w:rsidP="00EA0EA7">
      <w:pPr>
        <w:ind w:left="567" w:hanging="567"/>
        <w:jc w:val="both"/>
        <w:rPr>
          <w:sz w:val="24"/>
          <w:szCs w:val="24"/>
          <w:shd w:val="clear" w:color="auto" w:fill="FFFFFF"/>
        </w:rPr>
      </w:pPr>
      <w:r w:rsidRPr="00CD3F51">
        <w:rPr>
          <w:sz w:val="24"/>
          <w:szCs w:val="24"/>
          <w:shd w:val="clear" w:color="auto" w:fill="FFFFFF"/>
        </w:rPr>
        <w:t>B</w:t>
      </w:r>
      <w:r w:rsidR="00EA0EA7">
        <w:rPr>
          <w:sz w:val="24"/>
          <w:szCs w:val="24"/>
          <w:shd w:val="clear" w:color="auto" w:fill="FFFFFF"/>
        </w:rPr>
        <w:t>rasil</w:t>
      </w:r>
      <w:r w:rsidRPr="00CD3F51">
        <w:rPr>
          <w:sz w:val="24"/>
          <w:szCs w:val="24"/>
          <w:shd w:val="clear" w:color="auto" w:fill="FFFFFF"/>
        </w:rPr>
        <w:t xml:space="preserve">. </w:t>
      </w:r>
      <w:r w:rsidRPr="00F97199">
        <w:rPr>
          <w:sz w:val="24"/>
          <w:szCs w:val="24"/>
          <w:shd w:val="clear" w:color="auto" w:fill="FFFFFF"/>
        </w:rPr>
        <w:t xml:space="preserve">Lei nº 13.019, de 31 de julho de 2014. </w:t>
      </w:r>
      <w:r w:rsidRPr="00CD3F51">
        <w:rPr>
          <w:sz w:val="24"/>
          <w:szCs w:val="24"/>
          <w:shd w:val="clear" w:color="auto" w:fill="FFFFFF"/>
        </w:rPr>
        <w:t>Recuperado em 06 de novembro, 2017, de &lt;</w:t>
      </w:r>
      <w:hyperlink r:id="rId8" w:history="1">
        <w:r w:rsidRPr="00F97199">
          <w:rPr>
            <w:rStyle w:val="Hyperlink"/>
            <w:color w:val="auto"/>
            <w:sz w:val="24"/>
            <w:szCs w:val="24"/>
            <w:shd w:val="clear" w:color="auto" w:fill="FFFFFF"/>
          </w:rPr>
          <w:t>http://www.planalto.gov.br/ccivil_03/_ato2011-2014/2014/lei/l13019.htm</w:t>
        </w:r>
      </w:hyperlink>
      <w:r w:rsidRPr="00CD3F51">
        <w:rPr>
          <w:sz w:val="24"/>
          <w:szCs w:val="24"/>
          <w:shd w:val="clear" w:color="auto" w:fill="FFFFFF"/>
        </w:rPr>
        <w:t xml:space="preserve">&gt;. </w:t>
      </w:r>
    </w:p>
    <w:p w14:paraId="3BC89E92" w14:textId="35DEE526" w:rsidR="00DE5F6F" w:rsidRPr="00CD3F51" w:rsidRDefault="00DE5F6F" w:rsidP="00EA0EA7">
      <w:pPr>
        <w:ind w:left="567" w:hanging="567"/>
        <w:jc w:val="both"/>
        <w:rPr>
          <w:sz w:val="24"/>
          <w:szCs w:val="24"/>
          <w:shd w:val="clear" w:color="auto" w:fill="FFFFFF"/>
        </w:rPr>
      </w:pPr>
      <w:r w:rsidRPr="00CD3F51">
        <w:rPr>
          <w:sz w:val="24"/>
          <w:szCs w:val="24"/>
        </w:rPr>
        <w:t>B</w:t>
      </w:r>
      <w:r w:rsidR="00EA0EA7">
        <w:rPr>
          <w:sz w:val="24"/>
          <w:szCs w:val="24"/>
        </w:rPr>
        <w:t>rasil</w:t>
      </w:r>
      <w:r w:rsidRPr="00CD3F51">
        <w:rPr>
          <w:sz w:val="24"/>
          <w:szCs w:val="24"/>
        </w:rPr>
        <w:t xml:space="preserve">. </w:t>
      </w:r>
      <w:r w:rsidRPr="00F97199">
        <w:rPr>
          <w:sz w:val="24"/>
          <w:szCs w:val="24"/>
        </w:rPr>
        <w:t>Lei nº 13.204, de 14 de dezembro de 2015</w:t>
      </w:r>
      <w:r w:rsidRPr="00CD3F51">
        <w:rPr>
          <w:sz w:val="24"/>
          <w:szCs w:val="24"/>
        </w:rPr>
        <w:t>. Recuperado em 06 de novembro, 2017, de &lt;</w:t>
      </w:r>
      <w:hyperlink r:id="rId9" w:history="1">
        <w:r w:rsidRPr="00F97199">
          <w:rPr>
            <w:rStyle w:val="Hyperlink"/>
            <w:color w:val="auto"/>
            <w:sz w:val="24"/>
            <w:szCs w:val="24"/>
            <w:shd w:val="clear" w:color="auto" w:fill="FFFFFF"/>
          </w:rPr>
          <w:t>http://www.planalto.gov.br/ccivil_03/_ato2015-2018/2015/lei/l13204.htm</w:t>
        </w:r>
      </w:hyperlink>
      <w:r w:rsidRPr="00CD3F51">
        <w:rPr>
          <w:sz w:val="24"/>
          <w:szCs w:val="24"/>
          <w:shd w:val="clear" w:color="auto" w:fill="FFFFFF"/>
        </w:rPr>
        <w:t xml:space="preserve">&gt;. </w:t>
      </w:r>
    </w:p>
    <w:p w14:paraId="1A780C33" w14:textId="6FF2737F" w:rsidR="00DE5F6F" w:rsidRPr="004E48AE" w:rsidRDefault="00DE5F6F" w:rsidP="00EA0EA7">
      <w:pPr>
        <w:ind w:left="567" w:hanging="567"/>
        <w:jc w:val="both"/>
        <w:rPr>
          <w:sz w:val="24"/>
          <w:szCs w:val="24"/>
          <w:lang w:val="en-US"/>
        </w:rPr>
      </w:pPr>
      <w:r w:rsidRPr="00F97199">
        <w:rPr>
          <w:sz w:val="24"/>
          <w:szCs w:val="24"/>
          <w:lang w:val="en-US"/>
        </w:rPr>
        <w:t>B</w:t>
      </w:r>
      <w:r w:rsidRPr="00CD3F51">
        <w:rPr>
          <w:sz w:val="24"/>
          <w:szCs w:val="24"/>
          <w:lang w:val="en-US"/>
        </w:rPr>
        <w:t>ushman</w:t>
      </w:r>
      <w:r w:rsidRPr="00F97199">
        <w:rPr>
          <w:sz w:val="24"/>
          <w:szCs w:val="24"/>
          <w:lang w:val="en-US"/>
        </w:rPr>
        <w:t xml:space="preserve">, R. M., </w:t>
      </w:r>
      <w:proofErr w:type="spellStart"/>
      <w:r w:rsidRPr="00CD3F51">
        <w:rPr>
          <w:sz w:val="24"/>
          <w:szCs w:val="24"/>
          <w:lang w:val="en-US"/>
        </w:rPr>
        <w:t>Piotroski</w:t>
      </w:r>
      <w:proofErr w:type="spellEnd"/>
      <w:r w:rsidRPr="00CD3F51">
        <w:rPr>
          <w:sz w:val="24"/>
          <w:szCs w:val="24"/>
          <w:lang w:val="en-US"/>
        </w:rPr>
        <w:t xml:space="preserve">, J. D., Smith, A. </w:t>
      </w:r>
      <w:r w:rsidRPr="00F97199">
        <w:rPr>
          <w:sz w:val="24"/>
          <w:szCs w:val="24"/>
          <w:lang w:val="en-US"/>
        </w:rPr>
        <w:t xml:space="preserve">J. (2004). </w:t>
      </w:r>
      <w:r w:rsidRPr="00CD3F51">
        <w:rPr>
          <w:sz w:val="24"/>
          <w:szCs w:val="24"/>
          <w:lang w:val="en-US"/>
        </w:rPr>
        <w:t xml:space="preserve">What determines corporate transparency? </w:t>
      </w:r>
      <w:r w:rsidRPr="00F97199">
        <w:rPr>
          <w:i/>
          <w:sz w:val="24"/>
          <w:szCs w:val="24"/>
          <w:lang w:val="en-US"/>
        </w:rPr>
        <w:t xml:space="preserve">Journal of </w:t>
      </w:r>
      <w:r w:rsidRPr="004E48AE">
        <w:rPr>
          <w:i/>
          <w:sz w:val="24"/>
          <w:szCs w:val="24"/>
          <w:lang w:val="en-US"/>
        </w:rPr>
        <w:t>Accounting Research</w:t>
      </w:r>
      <w:r w:rsidRPr="004E48AE">
        <w:rPr>
          <w:sz w:val="24"/>
          <w:szCs w:val="24"/>
          <w:lang w:val="en-US"/>
        </w:rPr>
        <w:t>, 42</w:t>
      </w:r>
      <w:r w:rsidR="00484F5C" w:rsidRPr="004E48AE">
        <w:rPr>
          <w:sz w:val="24"/>
          <w:szCs w:val="24"/>
          <w:lang w:val="en-US"/>
        </w:rPr>
        <w:t>(2)</w:t>
      </w:r>
      <w:r w:rsidRPr="004E48AE">
        <w:rPr>
          <w:sz w:val="24"/>
          <w:szCs w:val="24"/>
          <w:lang w:val="en-US"/>
        </w:rPr>
        <w:t>,</w:t>
      </w:r>
      <w:r w:rsidR="00484F5C" w:rsidRPr="004E48AE">
        <w:rPr>
          <w:sz w:val="24"/>
          <w:szCs w:val="24"/>
          <w:lang w:val="en-US"/>
        </w:rPr>
        <w:t xml:space="preserve"> </w:t>
      </w:r>
      <w:r w:rsidR="00CA728B" w:rsidRPr="004E48AE">
        <w:rPr>
          <w:sz w:val="24"/>
          <w:szCs w:val="24"/>
          <w:lang w:val="en-US"/>
        </w:rPr>
        <w:t>207-252</w:t>
      </w:r>
      <w:r w:rsidRPr="004E48AE">
        <w:rPr>
          <w:sz w:val="24"/>
          <w:szCs w:val="24"/>
          <w:lang w:val="en-US"/>
        </w:rPr>
        <w:t xml:space="preserve">. </w:t>
      </w:r>
    </w:p>
    <w:p w14:paraId="0A78CD1C" w14:textId="489DFECA" w:rsidR="00DE5F6F" w:rsidRPr="006C119B" w:rsidRDefault="00DE5F6F" w:rsidP="00EA0EA7">
      <w:pPr>
        <w:ind w:left="567" w:hanging="567"/>
        <w:jc w:val="both"/>
        <w:rPr>
          <w:rStyle w:val="apple-style-span"/>
          <w:sz w:val="24"/>
          <w:szCs w:val="24"/>
        </w:rPr>
      </w:pPr>
      <w:r w:rsidRPr="004E48AE">
        <w:rPr>
          <w:sz w:val="24"/>
          <w:szCs w:val="24"/>
          <w:lang w:val="en-US"/>
        </w:rPr>
        <w:t xml:space="preserve">Bushman, R. M.; Smith, A. J. (2003). Transparency, Financial Accounting Information, and Corporate </w:t>
      </w:r>
      <w:r w:rsidR="004E48AE" w:rsidRPr="004E48AE">
        <w:rPr>
          <w:sz w:val="24"/>
          <w:szCs w:val="24"/>
          <w:lang w:val="en-US"/>
        </w:rPr>
        <w:t>Governance</w:t>
      </w:r>
      <w:r w:rsidR="004E48AE" w:rsidRPr="004E48AE">
        <w:rPr>
          <w:i/>
          <w:sz w:val="24"/>
          <w:szCs w:val="24"/>
          <w:lang w:val="en-US"/>
        </w:rPr>
        <w:t xml:space="preserve">. </w:t>
      </w:r>
      <w:r w:rsidR="004E48AE" w:rsidRPr="006C119B">
        <w:rPr>
          <w:i/>
          <w:sz w:val="24"/>
          <w:szCs w:val="24"/>
        </w:rPr>
        <w:t>FRBNY</w:t>
      </w:r>
      <w:r w:rsidRPr="006C119B">
        <w:rPr>
          <w:i/>
          <w:sz w:val="24"/>
          <w:szCs w:val="24"/>
        </w:rPr>
        <w:t xml:space="preserve"> </w:t>
      </w:r>
      <w:proofErr w:type="spellStart"/>
      <w:r w:rsidRPr="006C119B">
        <w:rPr>
          <w:i/>
          <w:sz w:val="24"/>
          <w:szCs w:val="24"/>
        </w:rPr>
        <w:t>Economic</w:t>
      </w:r>
      <w:proofErr w:type="spellEnd"/>
      <w:r w:rsidRPr="006C119B">
        <w:rPr>
          <w:i/>
          <w:sz w:val="24"/>
          <w:szCs w:val="24"/>
        </w:rPr>
        <w:t xml:space="preserve"> </w:t>
      </w:r>
      <w:proofErr w:type="spellStart"/>
      <w:r w:rsidRPr="006C119B">
        <w:rPr>
          <w:i/>
          <w:sz w:val="24"/>
          <w:szCs w:val="24"/>
        </w:rPr>
        <w:t>Policy</w:t>
      </w:r>
      <w:proofErr w:type="spellEnd"/>
      <w:r w:rsidRPr="006C119B">
        <w:rPr>
          <w:i/>
          <w:sz w:val="24"/>
          <w:szCs w:val="24"/>
        </w:rPr>
        <w:t xml:space="preserve"> </w:t>
      </w:r>
      <w:proofErr w:type="spellStart"/>
      <w:r w:rsidRPr="006C119B">
        <w:rPr>
          <w:i/>
          <w:sz w:val="24"/>
          <w:szCs w:val="24"/>
        </w:rPr>
        <w:t>Review</w:t>
      </w:r>
      <w:proofErr w:type="spellEnd"/>
      <w:r w:rsidR="004E48AE" w:rsidRPr="006C119B">
        <w:rPr>
          <w:i/>
          <w:sz w:val="24"/>
          <w:szCs w:val="24"/>
        </w:rPr>
        <w:t>, 9</w:t>
      </w:r>
      <w:r w:rsidR="004E48AE" w:rsidRPr="006C119B">
        <w:rPr>
          <w:sz w:val="24"/>
          <w:szCs w:val="24"/>
        </w:rPr>
        <w:t>(1),</w:t>
      </w:r>
      <w:r w:rsidR="00475198" w:rsidRPr="006C119B">
        <w:rPr>
          <w:sz w:val="24"/>
          <w:szCs w:val="24"/>
        </w:rPr>
        <w:t xml:space="preserve"> </w:t>
      </w:r>
      <w:r w:rsidR="004E48AE" w:rsidRPr="006C119B">
        <w:rPr>
          <w:sz w:val="24"/>
          <w:szCs w:val="24"/>
        </w:rPr>
        <w:t>65-87.</w:t>
      </w:r>
    </w:p>
    <w:p w14:paraId="576150B6" w14:textId="543D81A9" w:rsidR="00DE5F6F" w:rsidRPr="00CD3F51" w:rsidRDefault="00DE5F6F" w:rsidP="00EA0EA7">
      <w:pPr>
        <w:ind w:left="567" w:hanging="567"/>
        <w:jc w:val="both"/>
        <w:rPr>
          <w:sz w:val="24"/>
          <w:szCs w:val="24"/>
          <w:shd w:val="clear" w:color="auto" w:fill="FFFFFF"/>
        </w:rPr>
      </w:pPr>
      <w:r w:rsidRPr="00CD3F51">
        <w:rPr>
          <w:sz w:val="24"/>
          <w:szCs w:val="24"/>
          <w:shd w:val="clear" w:color="auto" w:fill="FFFFFF"/>
        </w:rPr>
        <w:t>Camelo, A. C. O., Camelo, E. P. S. M., &amp; Paulino, T. C. de B. (2006). A importância do gerenciamento contábil para as organizações do terceiro setor. </w:t>
      </w:r>
      <w:r w:rsidRPr="00F97199">
        <w:rPr>
          <w:bCs/>
          <w:i/>
          <w:sz w:val="24"/>
          <w:szCs w:val="24"/>
          <w:shd w:val="clear" w:color="auto" w:fill="FFFFFF"/>
        </w:rPr>
        <w:t>Enfoque</w:t>
      </w:r>
      <w:r w:rsidRPr="00CD3F51">
        <w:rPr>
          <w:sz w:val="24"/>
          <w:szCs w:val="24"/>
          <w:shd w:val="clear" w:color="auto" w:fill="FFFFFF"/>
        </w:rPr>
        <w:t xml:space="preserve">, </w:t>
      </w:r>
      <w:r w:rsidRPr="00B30FF5">
        <w:rPr>
          <w:i/>
          <w:sz w:val="24"/>
          <w:szCs w:val="24"/>
          <w:shd w:val="clear" w:color="auto" w:fill="FFFFFF"/>
        </w:rPr>
        <w:t>25</w:t>
      </w:r>
      <w:r w:rsidR="00484F5C">
        <w:rPr>
          <w:sz w:val="24"/>
          <w:szCs w:val="24"/>
          <w:shd w:val="clear" w:color="auto" w:fill="FFFFFF"/>
        </w:rPr>
        <w:t>(2),</w:t>
      </w:r>
      <w:r w:rsidRPr="00CD3F51">
        <w:rPr>
          <w:sz w:val="24"/>
          <w:szCs w:val="24"/>
          <w:shd w:val="clear" w:color="auto" w:fill="FFFFFF"/>
        </w:rPr>
        <w:t xml:space="preserve"> </w:t>
      </w:r>
      <w:r w:rsidRPr="008277E3">
        <w:rPr>
          <w:sz w:val="24"/>
          <w:szCs w:val="24"/>
          <w:shd w:val="clear" w:color="auto" w:fill="FFFFFF"/>
        </w:rPr>
        <w:t>41</w:t>
      </w:r>
      <w:r w:rsidR="00484F5C" w:rsidRPr="008277E3">
        <w:rPr>
          <w:sz w:val="24"/>
          <w:szCs w:val="24"/>
          <w:shd w:val="clear" w:color="auto" w:fill="FFFFFF"/>
        </w:rPr>
        <w:t>-</w:t>
      </w:r>
      <w:r w:rsidR="008277E3" w:rsidRPr="008277E3">
        <w:rPr>
          <w:sz w:val="24"/>
          <w:szCs w:val="24"/>
          <w:shd w:val="clear" w:color="auto" w:fill="FFFFFF"/>
        </w:rPr>
        <w:t>54</w:t>
      </w:r>
      <w:r w:rsidRPr="008277E3">
        <w:rPr>
          <w:sz w:val="24"/>
          <w:szCs w:val="24"/>
          <w:shd w:val="clear" w:color="auto" w:fill="FFFFFF"/>
        </w:rPr>
        <w:t>.</w:t>
      </w:r>
    </w:p>
    <w:p w14:paraId="4B623008" w14:textId="665A0BDC" w:rsidR="00DE5F6F" w:rsidRPr="00CD3F51" w:rsidRDefault="00DE5F6F" w:rsidP="00EA0EA7">
      <w:pPr>
        <w:ind w:left="567" w:hanging="567"/>
        <w:jc w:val="both"/>
        <w:rPr>
          <w:sz w:val="24"/>
          <w:szCs w:val="24"/>
          <w:shd w:val="clear" w:color="auto" w:fill="FFFFFF"/>
        </w:rPr>
      </w:pPr>
      <w:r w:rsidRPr="00CD3F51">
        <w:rPr>
          <w:sz w:val="24"/>
          <w:szCs w:val="24"/>
          <w:shd w:val="clear" w:color="auto" w:fill="FFFFFF"/>
        </w:rPr>
        <w:lastRenderedPageBreak/>
        <w:t>Cardoso, T. (2010). Terceiro setor e imunidade. </w:t>
      </w:r>
      <w:r w:rsidRPr="00F97199">
        <w:rPr>
          <w:bCs/>
          <w:i/>
          <w:sz w:val="24"/>
          <w:szCs w:val="24"/>
          <w:shd w:val="clear" w:color="auto" w:fill="FFFFFF"/>
        </w:rPr>
        <w:t>Revista Catarinense da Ciência Contábil</w:t>
      </w:r>
      <w:r w:rsidRPr="00CD3F51">
        <w:rPr>
          <w:sz w:val="24"/>
          <w:szCs w:val="24"/>
          <w:shd w:val="clear" w:color="auto" w:fill="FFFFFF"/>
        </w:rPr>
        <w:t xml:space="preserve">, </w:t>
      </w:r>
      <w:r w:rsidRPr="00B30FF5">
        <w:rPr>
          <w:i/>
          <w:sz w:val="24"/>
          <w:szCs w:val="24"/>
          <w:shd w:val="clear" w:color="auto" w:fill="FFFFFF"/>
        </w:rPr>
        <w:t>9</w:t>
      </w:r>
      <w:r w:rsidR="00484F5C">
        <w:rPr>
          <w:sz w:val="24"/>
          <w:szCs w:val="24"/>
          <w:shd w:val="clear" w:color="auto" w:fill="FFFFFF"/>
        </w:rPr>
        <w:t xml:space="preserve">(25), </w:t>
      </w:r>
      <w:r w:rsidR="008277E3" w:rsidRPr="008277E3">
        <w:rPr>
          <w:sz w:val="24"/>
          <w:szCs w:val="24"/>
          <w:shd w:val="clear" w:color="auto" w:fill="FFFFFF"/>
        </w:rPr>
        <w:t>9-18</w:t>
      </w:r>
      <w:r w:rsidRPr="008277E3">
        <w:rPr>
          <w:sz w:val="24"/>
          <w:szCs w:val="24"/>
          <w:shd w:val="clear" w:color="auto" w:fill="FFFFFF"/>
        </w:rPr>
        <w:t>.</w:t>
      </w:r>
    </w:p>
    <w:p w14:paraId="10D97B8D" w14:textId="09FE065D" w:rsidR="00DE5F6F" w:rsidRPr="00CD3F51" w:rsidRDefault="00DE5F6F" w:rsidP="00EA0EA7">
      <w:pPr>
        <w:ind w:left="567" w:hanging="567"/>
        <w:jc w:val="both"/>
        <w:rPr>
          <w:sz w:val="24"/>
          <w:szCs w:val="24"/>
        </w:rPr>
      </w:pPr>
      <w:r w:rsidRPr="00CD3F51">
        <w:rPr>
          <w:sz w:val="24"/>
          <w:szCs w:val="24"/>
        </w:rPr>
        <w:t xml:space="preserve">Carneiro, A. de F., Oliveira, D. de L. &amp; Torres, L. C. (2011). </w:t>
      </w:r>
      <w:proofErr w:type="spellStart"/>
      <w:r w:rsidRPr="00CD3F51">
        <w:rPr>
          <w:sz w:val="24"/>
          <w:szCs w:val="24"/>
        </w:rPr>
        <w:t>Accountability</w:t>
      </w:r>
      <w:proofErr w:type="spellEnd"/>
      <w:r w:rsidRPr="00CD3F51">
        <w:rPr>
          <w:sz w:val="24"/>
          <w:szCs w:val="24"/>
        </w:rPr>
        <w:t xml:space="preserve"> e a prestação de contas das organizações do terceiro setor: uma abordagem à relevância da contabilidade. </w:t>
      </w:r>
      <w:r w:rsidRPr="00F97199">
        <w:rPr>
          <w:i/>
          <w:sz w:val="24"/>
          <w:szCs w:val="24"/>
        </w:rPr>
        <w:t>Sociedade, contabilidade e gestão</w:t>
      </w:r>
      <w:r w:rsidRPr="00CD3F51">
        <w:rPr>
          <w:sz w:val="24"/>
          <w:szCs w:val="24"/>
        </w:rPr>
        <w:t xml:space="preserve">, </w:t>
      </w:r>
      <w:r w:rsidRPr="00B30FF5">
        <w:rPr>
          <w:i/>
          <w:sz w:val="24"/>
          <w:szCs w:val="24"/>
        </w:rPr>
        <w:t>6</w:t>
      </w:r>
      <w:r w:rsidRPr="00CD3F51">
        <w:rPr>
          <w:sz w:val="24"/>
          <w:szCs w:val="24"/>
        </w:rPr>
        <w:t>(2), 90-105.</w:t>
      </w:r>
    </w:p>
    <w:p w14:paraId="02657F22" w14:textId="409C3364" w:rsidR="00DE5F6F" w:rsidRPr="00CD3F51" w:rsidRDefault="00DE5F6F" w:rsidP="00EA0EA7">
      <w:pPr>
        <w:ind w:left="567" w:hanging="567"/>
        <w:jc w:val="both"/>
        <w:rPr>
          <w:sz w:val="24"/>
          <w:szCs w:val="24"/>
          <w:shd w:val="clear" w:color="auto" w:fill="FFFFFF"/>
        </w:rPr>
      </w:pPr>
      <w:r w:rsidRPr="00CD3F51">
        <w:rPr>
          <w:sz w:val="24"/>
          <w:szCs w:val="24"/>
          <w:shd w:val="clear" w:color="auto" w:fill="FFFFFF"/>
        </w:rPr>
        <w:t xml:space="preserve">Chagas, M. J. R., Luz, J. R. de M., Cavalcante, P. R. </w:t>
      </w:r>
      <w:proofErr w:type="spellStart"/>
      <w:r w:rsidRPr="00CD3F51">
        <w:rPr>
          <w:sz w:val="24"/>
          <w:szCs w:val="24"/>
          <w:shd w:val="clear" w:color="auto" w:fill="FFFFFF"/>
        </w:rPr>
        <w:t>da</w:t>
      </w:r>
      <w:proofErr w:type="spellEnd"/>
      <w:r w:rsidRPr="00CD3F51">
        <w:rPr>
          <w:sz w:val="24"/>
          <w:szCs w:val="24"/>
          <w:shd w:val="clear" w:color="auto" w:fill="FFFFFF"/>
        </w:rPr>
        <w:t xml:space="preserve"> N. &amp; Araújo, A. O. (2015). Publicações acadêmicas de pesquisas em contabilidade sobre terceiro setor no Brasil: análise do período de 2007 a 2009</w:t>
      </w:r>
      <w:r w:rsidRPr="00F97199">
        <w:rPr>
          <w:i/>
          <w:sz w:val="24"/>
          <w:szCs w:val="24"/>
          <w:shd w:val="clear" w:color="auto" w:fill="FFFFFF"/>
        </w:rPr>
        <w:t>. </w:t>
      </w:r>
      <w:r w:rsidRPr="00F97199">
        <w:rPr>
          <w:bCs/>
          <w:i/>
          <w:sz w:val="24"/>
          <w:szCs w:val="24"/>
          <w:shd w:val="clear" w:color="auto" w:fill="FFFFFF"/>
        </w:rPr>
        <w:t>Revista REUNIR</w:t>
      </w:r>
      <w:r w:rsidRPr="00CD3F51">
        <w:rPr>
          <w:sz w:val="24"/>
          <w:szCs w:val="24"/>
          <w:shd w:val="clear" w:color="auto" w:fill="FFFFFF"/>
        </w:rPr>
        <w:t xml:space="preserve">, </w:t>
      </w:r>
      <w:r w:rsidRPr="00B30FF5">
        <w:rPr>
          <w:i/>
          <w:sz w:val="24"/>
          <w:szCs w:val="24"/>
          <w:shd w:val="clear" w:color="auto" w:fill="FFFFFF"/>
        </w:rPr>
        <w:t>1</w:t>
      </w:r>
      <w:r w:rsidR="00484F5C">
        <w:rPr>
          <w:sz w:val="24"/>
          <w:szCs w:val="24"/>
          <w:shd w:val="clear" w:color="auto" w:fill="FFFFFF"/>
        </w:rPr>
        <w:t>(1)</w:t>
      </w:r>
      <w:r w:rsidRPr="00CD3F51">
        <w:rPr>
          <w:sz w:val="24"/>
          <w:szCs w:val="24"/>
          <w:shd w:val="clear" w:color="auto" w:fill="FFFFFF"/>
        </w:rPr>
        <w:t>,</w:t>
      </w:r>
      <w:r w:rsidR="006C119B">
        <w:rPr>
          <w:sz w:val="24"/>
          <w:szCs w:val="24"/>
          <w:shd w:val="clear" w:color="auto" w:fill="FFFFFF"/>
        </w:rPr>
        <w:t xml:space="preserve"> </w:t>
      </w:r>
      <w:r w:rsidRPr="00CD3F51">
        <w:rPr>
          <w:sz w:val="24"/>
          <w:szCs w:val="24"/>
          <w:shd w:val="clear" w:color="auto" w:fill="FFFFFF"/>
        </w:rPr>
        <w:t>1-17.</w:t>
      </w:r>
    </w:p>
    <w:p w14:paraId="0ACAE397" w14:textId="14A36B9D" w:rsidR="00DE5F6F" w:rsidRPr="00CD3F51" w:rsidRDefault="00DE5F6F" w:rsidP="00EA0EA7">
      <w:pPr>
        <w:ind w:left="567" w:hanging="567"/>
        <w:jc w:val="both"/>
        <w:rPr>
          <w:sz w:val="24"/>
          <w:szCs w:val="24"/>
        </w:rPr>
      </w:pPr>
      <w:r w:rsidRPr="00CD3F51">
        <w:rPr>
          <w:sz w:val="24"/>
          <w:szCs w:val="24"/>
          <w:shd w:val="clear" w:color="auto" w:fill="FFFFFF"/>
        </w:rPr>
        <w:t xml:space="preserve">Chagas, M. J. R., Araújo, A. de O., Damascena, L. G. (2011). Evidenciação das subvenções e assistências governamentais recebidas pelas </w:t>
      </w:r>
      <w:proofErr w:type="spellStart"/>
      <w:r w:rsidRPr="00CD3F51">
        <w:rPr>
          <w:sz w:val="24"/>
          <w:szCs w:val="24"/>
          <w:shd w:val="clear" w:color="auto" w:fill="FFFFFF"/>
        </w:rPr>
        <w:t>OSCIPs</w:t>
      </w:r>
      <w:proofErr w:type="spellEnd"/>
      <w:r w:rsidRPr="00CD3F51">
        <w:rPr>
          <w:sz w:val="24"/>
          <w:szCs w:val="24"/>
          <w:shd w:val="clear" w:color="auto" w:fill="FFFFFF"/>
        </w:rPr>
        <w:t xml:space="preserve">: uma análise empírica nos estados da Paraíba e do Rio Grande do Norte. </w:t>
      </w:r>
      <w:r w:rsidRPr="00F97199">
        <w:rPr>
          <w:i/>
          <w:sz w:val="24"/>
          <w:szCs w:val="24"/>
          <w:shd w:val="clear" w:color="auto" w:fill="FFFFFF"/>
        </w:rPr>
        <w:t>Revista Ambiente Contábil</w:t>
      </w:r>
      <w:r w:rsidRPr="00CD3F51">
        <w:rPr>
          <w:sz w:val="24"/>
          <w:szCs w:val="24"/>
          <w:shd w:val="clear" w:color="auto" w:fill="FFFFFF"/>
        </w:rPr>
        <w:t xml:space="preserve">, </w:t>
      </w:r>
      <w:r w:rsidRPr="00B30FF5">
        <w:rPr>
          <w:i/>
          <w:sz w:val="24"/>
          <w:szCs w:val="24"/>
          <w:shd w:val="clear" w:color="auto" w:fill="FFFFFF"/>
        </w:rPr>
        <w:t>3</w:t>
      </w:r>
      <w:r w:rsidR="00484F5C">
        <w:rPr>
          <w:sz w:val="24"/>
          <w:szCs w:val="24"/>
          <w:shd w:val="clear" w:color="auto" w:fill="FFFFFF"/>
        </w:rPr>
        <w:t>(2),</w:t>
      </w:r>
      <w:r w:rsidRPr="00CD3F51">
        <w:rPr>
          <w:sz w:val="24"/>
          <w:szCs w:val="24"/>
          <w:shd w:val="clear" w:color="auto" w:fill="FFFFFF"/>
        </w:rPr>
        <w:t xml:space="preserve"> 100–115.</w:t>
      </w:r>
    </w:p>
    <w:p w14:paraId="2489E017" w14:textId="50D54389" w:rsidR="00DE5F6F" w:rsidRPr="00CD3F51" w:rsidRDefault="00DE5F6F" w:rsidP="00EA0EA7">
      <w:pPr>
        <w:ind w:left="567" w:hanging="567"/>
        <w:jc w:val="both"/>
        <w:rPr>
          <w:sz w:val="24"/>
          <w:szCs w:val="24"/>
        </w:rPr>
      </w:pPr>
      <w:r w:rsidRPr="00CD3F51">
        <w:rPr>
          <w:sz w:val="24"/>
          <w:szCs w:val="24"/>
        </w:rPr>
        <w:t xml:space="preserve">Cunha, J. H. </w:t>
      </w:r>
      <w:proofErr w:type="spellStart"/>
      <w:r w:rsidRPr="00CD3F51">
        <w:rPr>
          <w:sz w:val="24"/>
          <w:szCs w:val="24"/>
        </w:rPr>
        <w:t>da</w:t>
      </w:r>
      <w:proofErr w:type="spellEnd"/>
      <w:r w:rsidRPr="00CD3F51">
        <w:rPr>
          <w:sz w:val="24"/>
          <w:szCs w:val="24"/>
        </w:rPr>
        <w:t xml:space="preserve"> C. &amp; Pereira, J. M. (2012). Captação de recursos no terceiro setor: fatores estratégicos para divulgação de informações. </w:t>
      </w:r>
      <w:r w:rsidRPr="00F97199">
        <w:rPr>
          <w:i/>
          <w:sz w:val="24"/>
          <w:szCs w:val="24"/>
        </w:rPr>
        <w:t>Revista Contemporânea de Contabilidade</w:t>
      </w:r>
      <w:r w:rsidRPr="00CD3F51">
        <w:rPr>
          <w:sz w:val="24"/>
          <w:szCs w:val="24"/>
        </w:rPr>
        <w:t xml:space="preserve">, </w:t>
      </w:r>
      <w:r w:rsidRPr="00B30FF5">
        <w:rPr>
          <w:i/>
          <w:sz w:val="24"/>
          <w:szCs w:val="24"/>
        </w:rPr>
        <w:t>9</w:t>
      </w:r>
      <w:r w:rsidR="00B30FF5">
        <w:rPr>
          <w:sz w:val="24"/>
          <w:szCs w:val="24"/>
        </w:rPr>
        <w:t>(18)</w:t>
      </w:r>
      <w:r w:rsidRPr="00CD3F51">
        <w:rPr>
          <w:sz w:val="24"/>
          <w:szCs w:val="24"/>
        </w:rPr>
        <w:t>, 83-102.</w:t>
      </w:r>
    </w:p>
    <w:p w14:paraId="5866A0B8" w14:textId="7841EDB8" w:rsidR="00DE5F6F" w:rsidRPr="00AD226E" w:rsidRDefault="00DE5F6F" w:rsidP="00EA0EA7">
      <w:pPr>
        <w:autoSpaceDE w:val="0"/>
        <w:autoSpaceDN w:val="0"/>
        <w:adjustRightInd w:val="0"/>
        <w:ind w:left="567" w:hanging="567"/>
        <w:jc w:val="both"/>
        <w:rPr>
          <w:sz w:val="24"/>
          <w:szCs w:val="24"/>
        </w:rPr>
      </w:pPr>
      <w:r w:rsidRPr="00CD3F51">
        <w:rPr>
          <w:sz w:val="24"/>
          <w:szCs w:val="24"/>
          <w:shd w:val="clear" w:color="auto" w:fill="FFFFFF"/>
        </w:rPr>
        <w:t>Silva, L. C., Soares, S. V. &amp; Casagrande, M. D. H. (2016). Evidenciação contábil de entidades do terceiro setor: uma análise da conformidade das demonstrações contábeis da universidade do sul de Santa Catarina (UNISUL)</w:t>
      </w:r>
      <w:r w:rsidRPr="00F97199">
        <w:rPr>
          <w:i/>
          <w:sz w:val="24"/>
          <w:szCs w:val="24"/>
          <w:shd w:val="clear" w:color="auto" w:fill="FFFFFF"/>
        </w:rPr>
        <w:t>.</w:t>
      </w:r>
      <w:r w:rsidRPr="00CD3F51">
        <w:rPr>
          <w:sz w:val="24"/>
          <w:szCs w:val="24"/>
          <w:shd w:val="clear" w:color="auto" w:fill="FFFFFF"/>
        </w:rPr>
        <w:t> </w:t>
      </w:r>
      <w:r w:rsidR="00DD3C1E">
        <w:rPr>
          <w:sz w:val="24"/>
          <w:szCs w:val="24"/>
          <w:shd w:val="clear" w:color="auto" w:fill="FFFFFF"/>
        </w:rPr>
        <w:t xml:space="preserve">Apresentado no </w:t>
      </w:r>
      <w:r w:rsidRPr="00AD226E">
        <w:rPr>
          <w:bCs/>
          <w:i/>
          <w:sz w:val="24"/>
          <w:szCs w:val="24"/>
          <w:shd w:val="clear" w:color="auto" w:fill="FFFFFF"/>
        </w:rPr>
        <w:t xml:space="preserve">14º. </w:t>
      </w:r>
      <w:proofErr w:type="spellStart"/>
      <w:r w:rsidRPr="00AD226E">
        <w:rPr>
          <w:bCs/>
          <w:i/>
          <w:sz w:val="24"/>
          <w:szCs w:val="24"/>
          <w:shd w:val="clear" w:color="auto" w:fill="FFFFFF"/>
        </w:rPr>
        <w:t>Ececon</w:t>
      </w:r>
      <w:proofErr w:type="spellEnd"/>
      <w:r w:rsidR="00DD3C1E" w:rsidRPr="00AD226E">
        <w:rPr>
          <w:bCs/>
          <w:i/>
          <w:sz w:val="24"/>
          <w:szCs w:val="24"/>
          <w:shd w:val="clear" w:color="auto" w:fill="FFFFFF"/>
        </w:rPr>
        <w:t xml:space="preserve"> </w:t>
      </w:r>
      <w:r w:rsidR="00DD3C1E" w:rsidRPr="00AD226E">
        <w:rPr>
          <w:bCs/>
          <w:sz w:val="24"/>
          <w:szCs w:val="24"/>
          <w:shd w:val="clear" w:color="auto" w:fill="FFFFFF"/>
        </w:rPr>
        <w:t>(pp. 1-17).</w:t>
      </w:r>
      <w:r w:rsidRPr="00AD226E">
        <w:rPr>
          <w:bCs/>
          <w:sz w:val="24"/>
          <w:szCs w:val="24"/>
          <w:shd w:val="clear" w:color="auto" w:fill="FFFFFF"/>
        </w:rPr>
        <w:t xml:space="preserve"> Florianópolis, </w:t>
      </w:r>
      <w:r w:rsidR="00DD3C1E" w:rsidRPr="00AD226E">
        <w:rPr>
          <w:bCs/>
          <w:sz w:val="24"/>
          <w:szCs w:val="24"/>
          <w:shd w:val="clear" w:color="auto" w:fill="FFFFFF"/>
        </w:rPr>
        <w:t>Brasil</w:t>
      </w:r>
      <w:r w:rsidRPr="00AD226E">
        <w:rPr>
          <w:sz w:val="24"/>
          <w:szCs w:val="24"/>
          <w:shd w:val="clear" w:color="auto" w:fill="FFFFFF"/>
        </w:rPr>
        <w:t>.</w:t>
      </w:r>
    </w:p>
    <w:p w14:paraId="7430A3A5" w14:textId="6BE4D549" w:rsidR="00DE5F6F" w:rsidRPr="00CD3F51" w:rsidRDefault="00DE5F6F" w:rsidP="00EA0EA7">
      <w:pPr>
        <w:ind w:left="567" w:hanging="567"/>
        <w:jc w:val="both"/>
        <w:rPr>
          <w:sz w:val="24"/>
          <w:szCs w:val="24"/>
          <w:shd w:val="clear" w:color="auto" w:fill="FFFFFF"/>
        </w:rPr>
      </w:pPr>
      <w:r w:rsidRPr="00AD226E">
        <w:rPr>
          <w:sz w:val="24"/>
          <w:szCs w:val="24"/>
          <w:shd w:val="clear" w:color="auto" w:fill="FFFFFF"/>
        </w:rPr>
        <w:t xml:space="preserve">Ebsen, K. S. &amp; </w:t>
      </w:r>
      <w:proofErr w:type="spellStart"/>
      <w:r w:rsidRPr="00AD226E">
        <w:rPr>
          <w:sz w:val="24"/>
          <w:szCs w:val="24"/>
          <w:shd w:val="clear" w:color="auto" w:fill="FFFFFF"/>
        </w:rPr>
        <w:t>Laffin</w:t>
      </w:r>
      <w:proofErr w:type="spellEnd"/>
      <w:r w:rsidRPr="00AD226E">
        <w:rPr>
          <w:sz w:val="24"/>
          <w:szCs w:val="24"/>
          <w:shd w:val="clear" w:color="auto" w:fill="FFFFFF"/>
        </w:rPr>
        <w:t xml:space="preserve">, M. (2004). </w:t>
      </w:r>
      <w:r w:rsidRPr="00CD3F51">
        <w:rPr>
          <w:sz w:val="24"/>
          <w:szCs w:val="24"/>
          <w:shd w:val="clear" w:color="auto" w:fill="FFFFFF"/>
        </w:rPr>
        <w:t>Terceiro Setor e Contabilidade: compilações de uma pesquisa. </w:t>
      </w:r>
      <w:r w:rsidRPr="00F97199">
        <w:rPr>
          <w:bCs/>
          <w:i/>
          <w:sz w:val="24"/>
          <w:szCs w:val="24"/>
          <w:shd w:val="clear" w:color="auto" w:fill="FFFFFF"/>
        </w:rPr>
        <w:t>Revista Contemporânea de Contabilidade</w:t>
      </w:r>
      <w:r w:rsidRPr="00CD3F51">
        <w:rPr>
          <w:sz w:val="24"/>
          <w:szCs w:val="24"/>
          <w:shd w:val="clear" w:color="auto" w:fill="FFFFFF"/>
        </w:rPr>
        <w:t xml:space="preserve">, </w:t>
      </w:r>
      <w:r w:rsidRPr="00345051">
        <w:rPr>
          <w:i/>
          <w:sz w:val="24"/>
          <w:szCs w:val="24"/>
          <w:shd w:val="clear" w:color="auto" w:fill="FFFFFF"/>
        </w:rPr>
        <w:t>1</w:t>
      </w:r>
      <w:r w:rsidR="00B30FF5" w:rsidRPr="00345051">
        <w:rPr>
          <w:sz w:val="24"/>
          <w:szCs w:val="24"/>
          <w:shd w:val="clear" w:color="auto" w:fill="FFFFFF"/>
        </w:rPr>
        <w:t>(</w:t>
      </w:r>
      <w:r w:rsidR="00345051" w:rsidRPr="00345051">
        <w:rPr>
          <w:sz w:val="24"/>
          <w:szCs w:val="24"/>
          <w:shd w:val="clear" w:color="auto" w:fill="FFFFFF"/>
        </w:rPr>
        <w:t>1</w:t>
      </w:r>
      <w:r w:rsidR="00B30FF5" w:rsidRPr="00345051">
        <w:rPr>
          <w:sz w:val="24"/>
          <w:szCs w:val="24"/>
          <w:shd w:val="clear" w:color="auto" w:fill="FFFFFF"/>
        </w:rPr>
        <w:t>)</w:t>
      </w:r>
      <w:r w:rsidRPr="00345051">
        <w:rPr>
          <w:sz w:val="24"/>
          <w:szCs w:val="24"/>
          <w:shd w:val="clear" w:color="auto" w:fill="FFFFFF"/>
        </w:rPr>
        <w:t>, 11</w:t>
      </w:r>
      <w:r w:rsidRPr="00CD3F51">
        <w:rPr>
          <w:sz w:val="24"/>
          <w:szCs w:val="24"/>
          <w:shd w:val="clear" w:color="auto" w:fill="FFFFFF"/>
        </w:rPr>
        <w:t>-28.</w:t>
      </w:r>
    </w:p>
    <w:p w14:paraId="0902EF93" w14:textId="70DBA49E" w:rsidR="00DE5F6F" w:rsidRPr="00CD3F51" w:rsidRDefault="00DE5F6F" w:rsidP="00EA0EA7">
      <w:pPr>
        <w:ind w:left="567" w:hanging="567"/>
        <w:jc w:val="both"/>
        <w:rPr>
          <w:sz w:val="24"/>
          <w:szCs w:val="24"/>
          <w:shd w:val="clear" w:color="auto" w:fill="FFFFFF"/>
        </w:rPr>
      </w:pPr>
      <w:r w:rsidRPr="00CD3F51">
        <w:rPr>
          <w:sz w:val="24"/>
          <w:szCs w:val="24"/>
        </w:rPr>
        <w:t xml:space="preserve">França, J. A. </w:t>
      </w:r>
      <w:proofErr w:type="gramStart"/>
      <w:r w:rsidRPr="00CD3F51">
        <w:rPr>
          <w:sz w:val="24"/>
          <w:szCs w:val="24"/>
        </w:rPr>
        <w:t>de, et</w:t>
      </w:r>
      <w:proofErr w:type="gramEnd"/>
      <w:r w:rsidRPr="00CD3F51">
        <w:rPr>
          <w:sz w:val="24"/>
          <w:szCs w:val="24"/>
        </w:rPr>
        <w:t xml:space="preserve"> al. (Org.)</w:t>
      </w:r>
      <w:r w:rsidRPr="00F97199">
        <w:rPr>
          <w:sz w:val="24"/>
          <w:szCs w:val="24"/>
        </w:rPr>
        <w:t>, (2015).</w:t>
      </w:r>
      <w:r w:rsidRPr="00CD3F51">
        <w:rPr>
          <w:sz w:val="24"/>
          <w:szCs w:val="24"/>
        </w:rPr>
        <w:t xml:space="preserve"> </w:t>
      </w:r>
      <w:r w:rsidRPr="00F97199">
        <w:rPr>
          <w:sz w:val="24"/>
          <w:szCs w:val="24"/>
        </w:rPr>
        <w:t>Manual de Procedimentos para Terceiro Setor</w:t>
      </w:r>
      <w:r w:rsidRPr="00CD3F51">
        <w:rPr>
          <w:sz w:val="24"/>
          <w:szCs w:val="24"/>
        </w:rPr>
        <w:t>: Aspectos de Gestão e de Contabilidade para Entidades de Interesse Social. Brasília: CFC: FBC: Profis</w:t>
      </w:r>
      <w:r w:rsidRPr="00F97199">
        <w:rPr>
          <w:sz w:val="24"/>
          <w:szCs w:val="24"/>
        </w:rPr>
        <w:t>.</w:t>
      </w:r>
    </w:p>
    <w:p w14:paraId="50AD8CFA" w14:textId="41B88B02" w:rsidR="00DE5F6F" w:rsidRPr="00CD3F51" w:rsidRDefault="00DE5F6F" w:rsidP="00EA0EA7">
      <w:pPr>
        <w:ind w:left="567" w:hanging="567"/>
        <w:jc w:val="both"/>
        <w:rPr>
          <w:sz w:val="24"/>
          <w:szCs w:val="24"/>
          <w:shd w:val="clear" w:color="auto" w:fill="FFFFFF"/>
        </w:rPr>
      </w:pPr>
      <w:r w:rsidRPr="00CD3F51">
        <w:rPr>
          <w:sz w:val="24"/>
          <w:szCs w:val="24"/>
          <w:shd w:val="clear" w:color="auto" w:fill="FFFFFF"/>
        </w:rPr>
        <w:t xml:space="preserve">Gil, A. C. (2010). </w:t>
      </w:r>
      <w:r w:rsidRPr="00A1539E">
        <w:rPr>
          <w:i/>
          <w:sz w:val="24"/>
          <w:szCs w:val="24"/>
          <w:shd w:val="clear" w:color="auto" w:fill="FFFFFF"/>
        </w:rPr>
        <w:t>Como elaborar projetos de pesquisa.</w:t>
      </w:r>
      <w:r w:rsidRPr="00CD3F51">
        <w:rPr>
          <w:b/>
          <w:sz w:val="24"/>
          <w:szCs w:val="24"/>
          <w:shd w:val="clear" w:color="auto" w:fill="FFFFFF"/>
        </w:rPr>
        <w:t xml:space="preserve"> </w:t>
      </w:r>
      <w:r w:rsidR="00A1539E" w:rsidRPr="00A1539E">
        <w:rPr>
          <w:sz w:val="24"/>
          <w:szCs w:val="24"/>
          <w:shd w:val="clear" w:color="auto" w:fill="FFFFFF"/>
        </w:rPr>
        <w:t>(</w:t>
      </w:r>
      <w:proofErr w:type="gramStart"/>
      <w:r w:rsidRPr="00CD3F51">
        <w:rPr>
          <w:sz w:val="24"/>
          <w:szCs w:val="24"/>
          <w:shd w:val="clear" w:color="auto" w:fill="FFFFFF"/>
        </w:rPr>
        <w:t>5 ed.</w:t>
      </w:r>
      <w:proofErr w:type="gramEnd"/>
      <w:r w:rsidR="00A1539E">
        <w:rPr>
          <w:sz w:val="24"/>
          <w:szCs w:val="24"/>
          <w:shd w:val="clear" w:color="auto" w:fill="FFFFFF"/>
        </w:rPr>
        <w:t>).</w:t>
      </w:r>
      <w:r w:rsidRPr="00CD3F51">
        <w:rPr>
          <w:sz w:val="24"/>
          <w:szCs w:val="24"/>
          <w:shd w:val="clear" w:color="auto" w:fill="FFFFFF"/>
        </w:rPr>
        <w:t xml:space="preserve"> São Paulo: Atlas.</w:t>
      </w:r>
    </w:p>
    <w:p w14:paraId="2D0643F7" w14:textId="5FCD18F0" w:rsidR="00DE5F6F" w:rsidRPr="00CD3F51" w:rsidRDefault="00DE5F6F" w:rsidP="00EA0EA7">
      <w:pPr>
        <w:autoSpaceDE w:val="0"/>
        <w:autoSpaceDN w:val="0"/>
        <w:adjustRightInd w:val="0"/>
        <w:ind w:left="567" w:hanging="567"/>
        <w:jc w:val="both"/>
        <w:rPr>
          <w:sz w:val="24"/>
          <w:szCs w:val="24"/>
        </w:rPr>
      </w:pPr>
      <w:r w:rsidRPr="00F97199">
        <w:rPr>
          <w:bCs/>
          <w:sz w:val="24"/>
          <w:szCs w:val="24"/>
        </w:rPr>
        <w:t>Interpretação Técnica Geral 2002.</w:t>
      </w:r>
      <w:r w:rsidRPr="00CD3F51">
        <w:rPr>
          <w:b/>
          <w:bCs/>
          <w:sz w:val="24"/>
          <w:szCs w:val="24"/>
        </w:rPr>
        <w:t xml:space="preserve"> </w:t>
      </w:r>
      <w:r w:rsidRPr="00F97199">
        <w:rPr>
          <w:bCs/>
          <w:sz w:val="24"/>
          <w:szCs w:val="24"/>
        </w:rPr>
        <w:t>Recuperado em 15 de novembro, 2017, de</w:t>
      </w:r>
      <w:r w:rsidRPr="00CD3F51">
        <w:rPr>
          <w:b/>
          <w:bCs/>
          <w:sz w:val="24"/>
          <w:szCs w:val="24"/>
        </w:rPr>
        <w:t xml:space="preserve"> </w:t>
      </w:r>
      <w:r w:rsidRPr="00CD3F51">
        <w:rPr>
          <w:sz w:val="24"/>
          <w:szCs w:val="24"/>
        </w:rPr>
        <w:t xml:space="preserve">&lt;http://www.crc.org.br/_eventos/arquivos/OsPrincipaisAspectosdaRESOLUCAOCFC.pdf&gt;. </w:t>
      </w:r>
    </w:p>
    <w:p w14:paraId="646A18D8" w14:textId="0FCC91DF" w:rsidR="00DE5F6F" w:rsidRPr="00CD3F51" w:rsidRDefault="00DE5F6F" w:rsidP="00EA0EA7">
      <w:pPr>
        <w:suppressAutoHyphens w:val="0"/>
        <w:ind w:left="567" w:hanging="567"/>
        <w:jc w:val="both"/>
        <w:rPr>
          <w:sz w:val="24"/>
          <w:szCs w:val="24"/>
        </w:rPr>
      </w:pPr>
      <w:proofErr w:type="spellStart"/>
      <w:r w:rsidRPr="00CD3F51">
        <w:rPr>
          <w:sz w:val="24"/>
          <w:szCs w:val="24"/>
        </w:rPr>
        <w:t>Iudicibus</w:t>
      </w:r>
      <w:proofErr w:type="spellEnd"/>
      <w:r w:rsidRPr="00CD3F51">
        <w:rPr>
          <w:sz w:val="24"/>
          <w:szCs w:val="24"/>
        </w:rPr>
        <w:t xml:space="preserve">, S. de (2006). </w:t>
      </w:r>
      <w:r w:rsidRPr="00A1539E">
        <w:rPr>
          <w:i/>
          <w:sz w:val="24"/>
          <w:szCs w:val="24"/>
        </w:rPr>
        <w:t>Teoria da contabilidade</w:t>
      </w:r>
      <w:r w:rsidRPr="00A1539E">
        <w:rPr>
          <w:sz w:val="24"/>
          <w:szCs w:val="24"/>
        </w:rPr>
        <w:t>.</w:t>
      </w:r>
      <w:r w:rsidRPr="00CD3F51">
        <w:rPr>
          <w:sz w:val="24"/>
          <w:szCs w:val="24"/>
        </w:rPr>
        <w:t xml:space="preserve"> </w:t>
      </w:r>
      <w:r w:rsidR="00A1539E">
        <w:rPr>
          <w:sz w:val="24"/>
          <w:szCs w:val="24"/>
        </w:rPr>
        <w:t>(</w:t>
      </w:r>
      <w:r w:rsidRPr="00CD3F51">
        <w:rPr>
          <w:sz w:val="24"/>
          <w:szCs w:val="24"/>
        </w:rPr>
        <w:t>8. ed.</w:t>
      </w:r>
      <w:r w:rsidR="00A1539E">
        <w:rPr>
          <w:sz w:val="24"/>
          <w:szCs w:val="24"/>
        </w:rPr>
        <w:t>).</w:t>
      </w:r>
      <w:r w:rsidRPr="00CD3F51">
        <w:rPr>
          <w:sz w:val="24"/>
          <w:szCs w:val="24"/>
        </w:rPr>
        <w:t xml:space="preserve"> São Paulo: At</w:t>
      </w:r>
      <w:r w:rsidR="00A1539E">
        <w:rPr>
          <w:sz w:val="24"/>
          <w:szCs w:val="24"/>
        </w:rPr>
        <w:t>las</w:t>
      </w:r>
      <w:r w:rsidRPr="00CD3F51">
        <w:rPr>
          <w:sz w:val="24"/>
          <w:szCs w:val="24"/>
        </w:rPr>
        <w:t>.</w:t>
      </w:r>
    </w:p>
    <w:p w14:paraId="5548068F" w14:textId="3EF04EA5" w:rsidR="00DE5F6F" w:rsidRPr="00CD3F51" w:rsidRDefault="00DE5F6F" w:rsidP="00EA0EA7">
      <w:pPr>
        <w:suppressAutoHyphens w:val="0"/>
        <w:ind w:left="567" w:hanging="567"/>
        <w:jc w:val="both"/>
        <w:rPr>
          <w:sz w:val="24"/>
          <w:szCs w:val="24"/>
        </w:rPr>
      </w:pPr>
      <w:r w:rsidRPr="00CD3F51">
        <w:rPr>
          <w:sz w:val="24"/>
          <w:szCs w:val="24"/>
        </w:rPr>
        <w:t xml:space="preserve">IVG, 2017. Instituto Pe. Vilson </w:t>
      </w:r>
      <w:proofErr w:type="spellStart"/>
      <w:r w:rsidRPr="00F97199">
        <w:rPr>
          <w:sz w:val="24"/>
          <w:szCs w:val="24"/>
        </w:rPr>
        <w:t>Groh</w:t>
      </w:r>
      <w:proofErr w:type="spellEnd"/>
      <w:r w:rsidRPr="00F97199">
        <w:rPr>
          <w:sz w:val="24"/>
          <w:szCs w:val="24"/>
        </w:rPr>
        <w:t>.</w:t>
      </w:r>
      <w:r w:rsidRPr="00CD3F51">
        <w:rPr>
          <w:b/>
          <w:sz w:val="24"/>
          <w:szCs w:val="24"/>
        </w:rPr>
        <w:t xml:space="preserve"> </w:t>
      </w:r>
      <w:r w:rsidRPr="00CD3F51">
        <w:rPr>
          <w:sz w:val="24"/>
          <w:szCs w:val="24"/>
        </w:rPr>
        <w:t xml:space="preserve">Recuperado em 20 de outubro, 2017, de &lt;www.redeivg.org.br&gt;. </w:t>
      </w:r>
    </w:p>
    <w:p w14:paraId="473091F6" w14:textId="44D75565" w:rsidR="00DE5F6F" w:rsidRPr="00E816B4" w:rsidRDefault="00CB2BC9" w:rsidP="00EA0EA7">
      <w:pPr>
        <w:ind w:left="567" w:hanging="567"/>
        <w:jc w:val="both"/>
        <w:rPr>
          <w:sz w:val="24"/>
          <w:szCs w:val="24"/>
        </w:rPr>
      </w:pPr>
      <w:proofErr w:type="spellStart"/>
      <w:r w:rsidRPr="00E816B4">
        <w:rPr>
          <w:sz w:val="24"/>
          <w:szCs w:val="24"/>
        </w:rPr>
        <w:t>Muraro</w:t>
      </w:r>
      <w:proofErr w:type="spellEnd"/>
      <w:r w:rsidRPr="00E816B4">
        <w:rPr>
          <w:sz w:val="24"/>
          <w:szCs w:val="24"/>
        </w:rPr>
        <w:t>, M., Rota, D. &amp;</w:t>
      </w:r>
      <w:r w:rsidR="00DE5F6F" w:rsidRPr="00E816B4">
        <w:rPr>
          <w:sz w:val="24"/>
          <w:szCs w:val="24"/>
        </w:rPr>
        <w:t xml:space="preserve"> </w:t>
      </w:r>
      <w:proofErr w:type="spellStart"/>
      <w:r w:rsidR="00DE5F6F" w:rsidRPr="00E816B4">
        <w:rPr>
          <w:sz w:val="24"/>
          <w:szCs w:val="24"/>
        </w:rPr>
        <w:t>Romanssini</w:t>
      </w:r>
      <w:proofErr w:type="spellEnd"/>
      <w:r w:rsidR="00DE5F6F" w:rsidRPr="00E816B4">
        <w:rPr>
          <w:sz w:val="24"/>
          <w:szCs w:val="24"/>
        </w:rPr>
        <w:t>, R.</w:t>
      </w:r>
      <w:r w:rsidRPr="00E816B4">
        <w:rPr>
          <w:sz w:val="24"/>
          <w:szCs w:val="24"/>
        </w:rPr>
        <w:t xml:space="preserve"> (2015)</w:t>
      </w:r>
      <w:r w:rsidR="00DE5F6F" w:rsidRPr="00E816B4">
        <w:rPr>
          <w:sz w:val="24"/>
          <w:szCs w:val="24"/>
        </w:rPr>
        <w:t xml:space="preserve"> Análise da aplicação da ITG 2002 – Entidade sem fins lucrativos nas demonstrações contábeis de entidades do terceiro setor de Passo Fundo - RS. </w:t>
      </w:r>
      <w:r w:rsidR="00B30FF5" w:rsidRPr="00E816B4">
        <w:rPr>
          <w:sz w:val="24"/>
          <w:szCs w:val="24"/>
        </w:rPr>
        <w:t>Artigo Apresentado na</w:t>
      </w:r>
      <w:r w:rsidR="00DE5F6F" w:rsidRPr="00E816B4">
        <w:rPr>
          <w:i/>
          <w:sz w:val="24"/>
          <w:szCs w:val="24"/>
        </w:rPr>
        <w:t xml:space="preserve"> Convenção de Contabilidade do Rio Grande do Sul</w:t>
      </w:r>
      <w:r w:rsidR="00E816B4" w:rsidRPr="00E816B4">
        <w:rPr>
          <w:i/>
          <w:sz w:val="24"/>
          <w:szCs w:val="24"/>
        </w:rPr>
        <w:t xml:space="preserve"> </w:t>
      </w:r>
      <w:r w:rsidR="00E816B4" w:rsidRPr="00E816B4">
        <w:rPr>
          <w:sz w:val="24"/>
          <w:szCs w:val="24"/>
        </w:rPr>
        <w:t>(p</w:t>
      </w:r>
      <w:r w:rsidR="007D2DDF">
        <w:rPr>
          <w:sz w:val="24"/>
          <w:szCs w:val="24"/>
        </w:rPr>
        <w:t>p</w:t>
      </w:r>
      <w:r w:rsidR="00E816B4" w:rsidRPr="00E816B4">
        <w:rPr>
          <w:sz w:val="24"/>
          <w:szCs w:val="24"/>
        </w:rPr>
        <w:t>.</w:t>
      </w:r>
      <w:r w:rsidR="006C119B">
        <w:rPr>
          <w:sz w:val="24"/>
          <w:szCs w:val="24"/>
        </w:rPr>
        <w:t xml:space="preserve"> </w:t>
      </w:r>
      <w:r w:rsidR="00E816B4" w:rsidRPr="00E816B4">
        <w:rPr>
          <w:sz w:val="24"/>
          <w:szCs w:val="24"/>
        </w:rPr>
        <w:t>1-16).</w:t>
      </w:r>
      <w:r w:rsidRPr="00E816B4">
        <w:rPr>
          <w:i/>
          <w:sz w:val="24"/>
          <w:szCs w:val="24"/>
        </w:rPr>
        <w:t xml:space="preserve"> </w:t>
      </w:r>
      <w:r w:rsidR="00E816B4" w:rsidRPr="00E816B4">
        <w:rPr>
          <w:sz w:val="24"/>
          <w:szCs w:val="24"/>
        </w:rPr>
        <w:t>Bento Gonçalves, Brasil.</w:t>
      </w:r>
      <w:r w:rsidR="00DE5F6F" w:rsidRPr="00E816B4">
        <w:rPr>
          <w:sz w:val="24"/>
          <w:szCs w:val="24"/>
        </w:rPr>
        <w:t xml:space="preserve"> </w:t>
      </w:r>
    </w:p>
    <w:p w14:paraId="46144D1A" w14:textId="7C8A0005" w:rsidR="00995169" w:rsidRPr="00995169" w:rsidRDefault="00995169" w:rsidP="00EA0EA7">
      <w:pPr>
        <w:ind w:left="567" w:hanging="567"/>
        <w:jc w:val="both"/>
        <w:rPr>
          <w:sz w:val="24"/>
          <w:szCs w:val="24"/>
          <w:shd w:val="clear" w:color="auto" w:fill="FFFFFF"/>
        </w:rPr>
      </w:pPr>
      <w:r>
        <w:rPr>
          <w:sz w:val="24"/>
          <w:szCs w:val="24"/>
        </w:rPr>
        <w:t xml:space="preserve">Philippe, F., Feliciano, J. B. &amp; Silva, L. H. G. da (2017). Evidenciação contábil de entidades do Terceiro Setor: Análise da conformidade das fundações do Sistema </w:t>
      </w:r>
      <w:proofErr w:type="spellStart"/>
      <w:r>
        <w:rPr>
          <w:sz w:val="24"/>
          <w:szCs w:val="24"/>
        </w:rPr>
        <w:t>Acafe</w:t>
      </w:r>
      <w:proofErr w:type="spellEnd"/>
      <w:r>
        <w:rPr>
          <w:sz w:val="24"/>
          <w:szCs w:val="24"/>
        </w:rPr>
        <w:t xml:space="preserve">. </w:t>
      </w:r>
      <w:r w:rsidR="00DD3C1E">
        <w:rPr>
          <w:sz w:val="24"/>
          <w:szCs w:val="24"/>
        </w:rPr>
        <w:t xml:space="preserve">Apresentado no </w:t>
      </w:r>
      <w:r>
        <w:rPr>
          <w:i/>
          <w:sz w:val="24"/>
          <w:szCs w:val="24"/>
        </w:rPr>
        <w:t xml:space="preserve">15º </w:t>
      </w:r>
      <w:proofErr w:type="spellStart"/>
      <w:r>
        <w:rPr>
          <w:i/>
          <w:sz w:val="24"/>
          <w:szCs w:val="24"/>
        </w:rPr>
        <w:t>Ececon</w:t>
      </w:r>
      <w:proofErr w:type="spellEnd"/>
      <w:r w:rsidR="00DD3C1E">
        <w:rPr>
          <w:i/>
          <w:sz w:val="24"/>
          <w:szCs w:val="24"/>
        </w:rPr>
        <w:t xml:space="preserve"> </w:t>
      </w:r>
      <w:r w:rsidR="00DD3C1E">
        <w:rPr>
          <w:sz w:val="24"/>
          <w:szCs w:val="24"/>
        </w:rPr>
        <w:t>(</w:t>
      </w:r>
      <w:r w:rsidR="007D2DDF">
        <w:rPr>
          <w:sz w:val="24"/>
          <w:szCs w:val="24"/>
        </w:rPr>
        <w:t xml:space="preserve">pp. </w:t>
      </w:r>
      <w:r w:rsidR="00DD3C1E">
        <w:rPr>
          <w:sz w:val="24"/>
          <w:szCs w:val="24"/>
        </w:rPr>
        <w:t>1-20).</w:t>
      </w:r>
      <w:r>
        <w:rPr>
          <w:sz w:val="24"/>
          <w:szCs w:val="24"/>
        </w:rPr>
        <w:t xml:space="preserve"> Florianópolis, SC.</w:t>
      </w:r>
    </w:p>
    <w:p w14:paraId="2D5C676E" w14:textId="1C5760A6" w:rsidR="00DE5F6F" w:rsidRPr="00CD3F51" w:rsidRDefault="00DE5F6F" w:rsidP="00EA0EA7">
      <w:pPr>
        <w:ind w:left="567" w:hanging="567"/>
        <w:jc w:val="both"/>
        <w:rPr>
          <w:sz w:val="24"/>
          <w:szCs w:val="24"/>
        </w:rPr>
      </w:pPr>
      <w:r w:rsidRPr="00CD3F51">
        <w:rPr>
          <w:sz w:val="24"/>
          <w:szCs w:val="24"/>
        </w:rPr>
        <w:t xml:space="preserve">Piza, S. C. de T.; </w:t>
      </w:r>
      <w:proofErr w:type="spellStart"/>
      <w:r w:rsidRPr="00CD3F51">
        <w:rPr>
          <w:sz w:val="24"/>
          <w:szCs w:val="24"/>
        </w:rPr>
        <w:t>Parisi</w:t>
      </w:r>
      <w:proofErr w:type="spellEnd"/>
      <w:r w:rsidRPr="00CD3F51">
        <w:rPr>
          <w:sz w:val="24"/>
          <w:szCs w:val="24"/>
        </w:rPr>
        <w:t xml:space="preserve">, C.; </w:t>
      </w:r>
      <w:proofErr w:type="spellStart"/>
      <w:r w:rsidRPr="00CD3F51">
        <w:rPr>
          <w:sz w:val="24"/>
          <w:szCs w:val="24"/>
        </w:rPr>
        <w:t>Megliori</w:t>
      </w:r>
      <w:proofErr w:type="spellEnd"/>
      <w:r w:rsidRPr="00CD3F51">
        <w:rPr>
          <w:sz w:val="24"/>
          <w:szCs w:val="24"/>
        </w:rPr>
        <w:t xml:space="preserve">, E. &amp; </w:t>
      </w:r>
      <w:proofErr w:type="spellStart"/>
      <w:r w:rsidRPr="00CD3F51">
        <w:rPr>
          <w:sz w:val="24"/>
          <w:szCs w:val="24"/>
        </w:rPr>
        <w:t>Gallo</w:t>
      </w:r>
      <w:proofErr w:type="spellEnd"/>
      <w:r w:rsidRPr="00CD3F51">
        <w:rPr>
          <w:sz w:val="24"/>
          <w:szCs w:val="24"/>
        </w:rPr>
        <w:t xml:space="preserve">, M. F. (2012). A aderência das práticas contábeis das entidades do terceiro setor às normas brasileiras de contabilidade: um estudo </w:t>
      </w:r>
      <w:proofErr w:type="spellStart"/>
      <w:r w:rsidRPr="00CD3F51">
        <w:rPr>
          <w:sz w:val="24"/>
          <w:szCs w:val="24"/>
        </w:rPr>
        <w:t>multicaso</w:t>
      </w:r>
      <w:proofErr w:type="spellEnd"/>
      <w:r w:rsidRPr="00CD3F51">
        <w:rPr>
          <w:sz w:val="24"/>
          <w:szCs w:val="24"/>
        </w:rPr>
        <w:t xml:space="preserve"> de entidades do município de São </w:t>
      </w:r>
      <w:proofErr w:type="spellStart"/>
      <w:r w:rsidRPr="00CD3F51">
        <w:rPr>
          <w:sz w:val="24"/>
          <w:szCs w:val="24"/>
        </w:rPr>
        <w:t>Paulo-SP</w:t>
      </w:r>
      <w:proofErr w:type="spellEnd"/>
      <w:r w:rsidRPr="00CD3F51">
        <w:rPr>
          <w:sz w:val="24"/>
          <w:szCs w:val="24"/>
        </w:rPr>
        <w:t xml:space="preserve">. </w:t>
      </w:r>
      <w:r w:rsidRPr="00F97199">
        <w:rPr>
          <w:i/>
          <w:sz w:val="24"/>
          <w:szCs w:val="24"/>
        </w:rPr>
        <w:t>Revista de Contabilidade do Mestrado em Ciências Contábeis da UERJ</w:t>
      </w:r>
      <w:r w:rsidRPr="00CD3F51">
        <w:rPr>
          <w:sz w:val="24"/>
          <w:szCs w:val="24"/>
        </w:rPr>
        <w:t xml:space="preserve">, </w:t>
      </w:r>
      <w:r w:rsidRPr="00A974D6">
        <w:rPr>
          <w:i/>
          <w:sz w:val="24"/>
          <w:szCs w:val="24"/>
        </w:rPr>
        <w:t>17</w:t>
      </w:r>
      <w:r w:rsidRPr="00CD3F51">
        <w:rPr>
          <w:sz w:val="24"/>
          <w:szCs w:val="24"/>
        </w:rPr>
        <w:t>(3), 78-97.</w:t>
      </w:r>
    </w:p>
    <w:p w14:paraId="7BB924C8" w14:textId="77E74558" w:rsidR="00DE5F6F" w:rsidRPr="00AD226E" w:rsidRDefault="00DE5F6F" w:rsidP="00EA0EA7">
      <w:pPr>
        <w:ind w:left="567" w:hanging="567"/>
        <w:jc w:val="both"/>
        <w:rPr>
          <w:sz w:val="24"/>
          <w:szCs w:val="24"/>
          <w:shd w:val="clear" w:color="auto" w:fill="FFFFFF"/>
          <w:lang w:val="en-US"/>
        </w:rPr>
      </w:pPr>
      <w:r w:rsidRPr="00F97199">
        <w:rPr>
          <w:sz w:val="24"/>
          <w:szCs w:val="24"/>
          <w:shd w:val="clear" w:color="auto" w:fill="FFFFFF"/>
        </w:rPr>
        <w:t xml:space="preserve">Ramos, F. M., &amp; </w:t>
      </w:r>
      <w:proofErr w:type="spellStart"/>
      <w:r w:rsidRPr="00F97199">
        <w:rPr>
          <w:sz w:val="24"/>
          <w:szCs w:val="24"/>
          <w:shd w:val="clear" w:color="auto" w:fill="FFFFFF"/>
        </w:rPr>
        <w:t>Klann</w:t>
      </w:r>
      <w:proofErr w:type="spellEnd"/>
      <w:r w:rsidRPr="00F97199">
        <w:rPr>
          <w:sz w:val="24"/>
          <w:szCs w:val="24"/>
          <w:shd w:val="clear" w:color="auto" w:fill="FFFFFF"/>
        </w:rPr>
        <w:t>, R. C. (2015). Qualidade da Informação Contábil das Entidades Brasileiras do Terceiro Setor. </w:t>
      </w:r>
      <w:r w:rsidRPr="00AD226E">
        <w:rPr>
          <w:rStyle w:val="nfase"/>
          <w:sz w:val="24"/>
          <w:szCs w:val="24"/>
          <w:bdr w:val="none" w:sz="0" w:space="0" w:color="auto" w:frame="1"/>
          <w:shd w:val="clear" w:color="auto" w:fill="FFFFFF"/>
          <w:lang w:val="en-US"/>
        </w:rPr>
        <w:t>Future Studies Research Journal: Trends and Strategies</w:t>
      </w:r>
      <w:r w:rsidRPr="00AD226E">
        <w:rPr>
          <w:sz w:val="24"/>
          <w:szCs w:val="24"/>
          <w:shd w:val="clear" w:color="auto" w:fill="FFFFFF"/>
          <w:lang w:val="en-US"/>
        </w:rPr>
        <w:t xml:space="preserve">, </w:t>
      </w:r>
      <w:r w:rsidRPr="00AD226E">
        <w:rPr>
          <w:i/>
          <w:sz w:val="24"/>
          <w:szCs w:val="24"/>
          <w:shd w:val="clear" w:color="auto" w:fill="FFFFFF"/>
          <w:lang w:val="en-US"/>
        </w:rPr>
        <w:t>7</w:t>
      </w:r>
      <w:r w:rsidRPr="00AD226E">
        <w:rPr>
          <w:sz w:val="24"/>
          <w:szCs w:val="24"/>
          <w:shd w:val="clear" w:color="auto" w:fill="FFFFFF"/>
          <w:lang w:val="en-US"/>
        </w:rPr>
        <w:t>(1), 3-32.</w:t>
      </w:r>
    </w:p>
    <w:p w14:paraId="08C5115C" w14:textId="0F50B627" w:rsidR="00DE5F6F" w:rsidRDefault="00DE5F6F" w:rsidP="00EA0EA7">
      <w:pPr>
        <w:ind w:left="567" w:hanging="567"/>
        <w:jc w:val="both"/>
        <w:rPr>
          <w:sz w:val="24"/>
          <w:szCs w:val="24"/>
          <w:shd w:val="clear" w:color="auto" w:fill="FFFFFF"/>
        </w:rPr>
      </w:pPr>
      <w:r w:rsidRPr="00AD226E">
        <w:rPr>
          <w:sz w:val="24"/>
          <w:szCs w:val="24"/>
          <w:shd w:val="clear" w:color="auto" w:fill="FFFFFF"/>
          <w:lang w:val="en-US"/>
        </w:rPr>
        <w:t xml:space="preserve">Santos, D. M., </w:t>
      </w:r>
      <w:proofErr w:type="spellStart"/>
      <w:r w:rsidRPr="00AD226E">
        <w:rPr>
          <w:sz w:val="24"/>
          <w:szCs w:val="24"/>
          <w:shd w:val="clear" w:color="auto" w:fill="FFFFFF"/>
          <w:lang w:val="en-US"/>
        </w:rPr>
        <w:t>Gaiot</w:t>
      </w:r>
      <w:proofErr w:type="spellEnd"/>
      <w:r w:rsidRPr="00AD226E">
        <w:rPr>
          <w:sz w:val="24"/>
          <w:szCs w:val="24"/>
          <w:shd w:val="clear" w:color="auto" w:fill="FFFFFF"/>
          <w:lang w:val="en-US"/>
        </w:rPr>
        <w:t xml:space="preserve">, T. F. &amp; Milani Filho, M. A. F. (2015). </w:t>
      </w:r>
      <w:r w:rsidRPr="00CD3F51">
        <w:rPr>
          <w:sz w:val="24"/>
          <w:szCs w:val="24"/>
          <w:shd w:val="clear" w:color="auto" w:fill="FFFFFF"/>
        </w:rPr>
        <w:t xml:space="preserve">Grau de evidenciação das informações voluntárias das Instituições de Ensino Superior confessionais e não confessionais. </w:t>
      </w:r>
      <w:r w:rsidRPr="00F97199">
        <w:rPr>
          <w:i/>
          <w:sz w:val="24"/>
          <w:szCs w:val="24"/>
          <w:shd w:val="clear" w:color="auto" w:fill="FFFFFF"/>
        </w:rPr>
        <w:t>Revista de Contabilidade &amp; Controladoria</w:t>
      </w:r>
      <w:r w:rsidRPr="00CD3F51">
        <w:rPr>
          <w:sz w:val="24"/>
          <w:szCs w:val="24"/>
          <w:shd w:val="clear" w:color="auto" w:fill="FFFFFF"/>
        </w:rPr>
        <w:t xml:space="preserve">, </w:t>
      </w:r>
      <w:r w:rsidRPr="00A974D6">
        <w:rPr>
          <w:i/>
          <w:sz w:val="24"/>
          <w:szCs w:val="24"/>
          <w:shd w:val="clear" w:color="auto" w:fill="FFFFFF"/>
        </w:rPr>
        <w:t>7</w:t>
      </w:r>
      <w:r w:rsidR="00A974D6" w:rsidRPr="00A974D6">
        <w:rPr>
          <w:sz w:val="24"/>
          <w:szCs w:val="24"/>
          <w:shd w:val="clear" w:color="auto" w:fill="FFFFFF"/>
        </w:rPr>
        <w:t>(3)</w:t>
      </w:r>
      <w:r w:rsidRPr="00A974D6">
        <w:rPr>
          <w:sz w:val="24"/>
          <w:szCs w:val="24"/>
          <w:shd w:val="clear" w:color="auto" w:fill="FFFFFF"/>
        </w:rPr>
        <w:t>,</w:t>
      </w:r>
      <w:r w:rsidRPr="00CD3F51">
        <w:rPr>
          <w:sz w:val="24"/>
          <w:szCs w:val="24"/>
          <w:shd w:val="clear" w:color="auto" w:fill="FFFFFF"/>
        </w:rPr>
        <w:t xml:space="preserve"> 38-52. </w:t>
      </w:r>
    </w:p>
    <w:p w14:paraId="0B379DEA" w14:textId="47561AE1" w:rsidR="00DE5F6F" w:rsidRPr="00CD3F51" w:rsidRDefault="00DE5F6F" w:rsidP="00EA0EA7">
      <w:pPr>
        <w:ind w:left="567" w:hanging="567"/>
        <w:jc w:val="both"/>
        <w:rPr>
          <w:sz w:val="24"/>
          <w:szCs w:val="24"/>
          <w:shd w:val="clear" w:color="auto" w:fill="FFFFFF"/>
        </w:rPr>
      </w:pPr>
      <w:r w:rsidRPr="00CD3F51">
        <w:rPr>
          <w:sz w:val="24"/>
          <w:szCs w:val="24"/>
          <w:shd w:val="clear" w:color="auto" w:fill="FFFFFF"/>
        </w:rPr>
        <w:t>Silveira, D. &amp; Borba, J. A. (2010).  Evidenciação contábil de fundações privadas de educação e pesquisa: uma análise da conformidade das demonstrações contábeis de entidades de Santa Catarina.</w:t>
      </w:r>
      <w:r w:rsidRPr="00CD3F51">
        <w:rPr>
          <w:rStyle w:val="apple-converted-space"/>
          <w:sz w:val="24"/>
          <w:szCs w:val="24"/>
          <w:shd w:val="clear" w:color="auto" w:fill="FFFFFF"/>
        </w:rPr>
        <w:t> </w:t>
      </w:r>
      <w:r w:rsidRPr="00F97199">
        <w:rPr>
          <w:rStyle w:val="Forte"/>
          <w:b w:val="0"/>
          <w:i/>
          <w:sz w:val="24"/>
          <w:szCs w:val="24"/>
          <w:bdr w:val="none" w:sz="0" w:space="0" w:color="auto" w:frame="1"/>
          <w:shd w:val="clear" w:color="auto" w:fill="FFFFFF"/>
        </w:rPr>
        <w:t>Contabilidade Vista &amp; Revista</w:t>
      </w:r>
      <w:r w:rsidRPr="00CD3F51">
        <w:rPr>
          <w:sz w:val="24"/>
          <w:szCs w:val="24"/>
          <w:shd w:val="clear" w:color="auto" w:fill="FFFFFF"/>
        </w:rPr>
        <w:t xml:space="preserve">, </w:t>
      </w:r>
      <w:r w:rsidRPr="00A974D6">
        <w:rPr>
          <w:i/>
          <w:sz w:val="24"/>
          <w:szCs w:val="24"/>
          <w:shd w:val="clear" w:color="auto" w:fill="FFFFFF"/>
        </w:rPr>
        <w:t>21</w:t>
      </w:r>
      <w:r w:rsidR="00A974D6">
        <w:rPr>
          <w:sz w:val="24"/>
          <w:szCs w:val="24"/>
          <w:shd w:val="clear" w:color="auto" w:fill="FFFFFF"/>
        </w:rPr>
        <w:t>(1)</w:t>
      </w:r>
      <w:r w:rsidRPr="00CD3F51">
        <w:rPr>
          <w:sz w:val="24"/>
          <w:szCs w:val="24"/>
          <w:shd w:val="clear" w:color="auto" w:fill="FFFFFF"/>
        </w:rPr>
        <w:t>, 41-68.</w:t>
      </w:r>
      <w:r w:rsidRPr="00CD3F51" w:rsidDel="000B4C57">
        <w:rPr>
          <w:sz w:val="24"/>
          <w:szCs w:val="24"/>
          <w:shd w:val="clear" w:color="auto" w:fill="FFFFFF"/>
        </w:rPr>
        <w:t xml:space="preserve"> </w:t>
      </w:r>
    </w:p>
    <w:p w14:paraId="097FEC2B" w14:textId="7CD95A82" w:rsidR="00EA0EA7" w:rsidRPr="00A974D6" w:rsidRDefault="00EA0EA7" w:rsidP="00EA0EA7">
      <w:pPr>
        <w:ind w:left="567" w:hanging="567"/>
        <w:jc w:val="both"/>
        <w:rPr>
          <w:color w:val="FF0000"/>
          <w:sz w:val="24"/>
          <w:szCs w:val="24"/>
        </w:rPr>
      </w:pPr>
      <w:r w:rsidRPr="00EA0EA7">
        <w:rPr>
          <w:sz w:val="24"/>
          <w:szCs w:val="24"/>
        </w:rPr>
        <w:lastRenderedPageBreak/>
        <w:t xml:space="preserve">Soares, S. V., Ramos, F. M., Casagrande, J. L., &amp; Nunes, N. A. (2017). Revisão integrativa da literatura em Contabilidade de Organizações do Terceiro Setor. </w:t>
      </w:r>
      <w:r w:rsidR="00A974D6">
        <w:rPr>
          <w:sz w:val="24"/>
          <w:szCs w:val="24"/>
        </w:rPr>
        <w:t>Artigo apresentado no</w:t>
      </w:r>
      <w:r w:rsidRPr="00EA0EA7">
        <w:rPr>
          <w:sz w:val="24"/>
          <w:szCs w:val="24"/>
        </w:rPr>
        <w:t xml:space="preserve"> </w:t>
      </w:r>
      <w:r w:rsidR="00792E12" w:rsidRPr="00792E12">
        <w:rPr>
          <w:i/>
          <w:sz w:val="24"/>
          <w:szCs w:val="24"/>
        </w:rPr>
        <w:t>IV</w:t>
      </w:r>
      <w:r w:rsidR="00792E12">
        <w:rPr>
          <w:sz w:val="24"/>
          <w:szCs w:val="24"/>
        </w:rPr>
        <w:t xml:space="preserve"> </w:t>
      </w:r>
      <w:r w:rsidRPr="00E816B4">
        <w:rPr>
          <w:i/>
          <w:sz w:val="24"/>
          <w:szCs w:val="24"/>
        </w:rPr>
        <w:t xml:space="preserve">Congresso </w:t>
      </w:r>
      <w:proofErr w:type="spellStart"/>
      <w:r w:rsidRPr="00E816B4">
        <w:rPr>
          <w:i/>
          <w:sz w:val="24"/>
          <w:szCs w:val="24"/>
        </w:rPr>
        <w:t>Unisinos</w:t>
      </w:r>
      <w:proofErr w:type="spellEnd"/>
      <w:r w:rsidRPr="00E816B4">
        <w:rPr>
          <w:i/>
          <w:sz w:val="24"/>
          <w:szCs w:val="24"/>
        </w:rPr>
        <w:t xml:space="preserve"> de Controladoria e Finanças</w:t>
      </w:r>
      <w:r w:rsidR="004F7313">
        <w:rPr>
          <w:i/>
          <w:sz w:val="24"/>
          <w:szCs w:val="24"/>
        </w:rPr>
        <w:t xml:space="preserve"> </w:t>
      </w:r>
      <w:r w:rsidR="004F7313">
        <w:rPr>
          <w:sz w:val="24"/>
          <w:szCs w:val="24"/>
        </w:rPr>
        <w:t>(pp.1-19)</w:t>
      </w:r>
      <w:r w:rsidRPr="00EA0EA7">
        <w:rPr>
          <w:sz w:val="24"/>
          <w:szCs w:val="24"/>
        </w:rPr>
        <w:t xml:space="preserve">, São Leopoldo, </w:t>
      </w:r>
      <w:r w:rsidRPr="00792E12">
        <w:rPr>
          <w:sz w:val="24"/>
          <w:szCs w:val="24"/>
        </w:rPr>
        <w:t>Brasil</w:t>
      </w:r>
      <w:r w:rsidR="00792E12" w:rsidRPr="00792E12">
        <w:rPr>
          <w:sz w:val="24"/>
          <w:szCs w:val="24"/>
        </w:rPr>
        <w:t>.</w:t>
      </w:r>
    </w:p>
    <w:p w14:paraId="4309A7F7" w14:textId="154F9D15" w:rsidR="00EA0EA7" w:rsidRDefault="00EA0EA7" w:rsidP="00EA0EA7">
      <w:pPr>
        <w:ind w:left="567" w:hanging="567"/>
        <w:jc w:val="both"/>
        <w:rPr>
          <w:sz w:val="24"/>
          <w:szCs w:val="24"/>
        </w:rPr>
      </w:pPr>
      <w:r w:rsidRPr="00EA0EA7">
        <w:rPr>
          <w:sz w:val="24"/>
          <w:szCs w:val="24"/>
        </w:rPr>
        <w:t xml:space="preserve">Soares, S. V. (2017). Diga-me quantos te citam, e eu te direi quem és: estudo sobre as citações no âmbito da pesquisa contábil brasileira. Tese de Doutorado, Faculdade de Economia, Administração e Contabilidade, Universidade de São Paulo, São Paulo. Recuperado em </w:t>
      </w:r>
      <w:r w:rsidR="004E5418">
        <w:rPr>
          <w:sz w:val="24"/>
          <w:szCs w:val="24"/>
        </w:rPr>
        <w:t>26 de abril, 2018</w:t>
      </w:r>
      <w:r w:rsidR="00A35A37">
        <w:rPr>
          <w:sz w:val="24"/>
          <w:szCs w:val="24"/>
        </w:rPr>
        <w:t>,</w:t>
      </w:r>
      <w:r w:rsidRPr="00EA0EA7">
        <w:rPr>
          <w:sz w:val="24"/>
          <w:szCs w:val="24"/>
        </w:rPr>
        <w:t xml:space="preserve"> de </w:t>
      </w:r>
      <w:r w:rsidR="00A35A37" w:rsidRPr="00A35A37">
        <w:rPr>
          <w:sz w:val="24"/>
          <w:szCs w:val="24"/>
        </w:rPr>
        <w:t>&lt;</w:t>
      </w:r>
      <w:hyperlink r:id="rId10" w:history="1">
        <w:r w:rsidR="00A35A37" w:rsidRPr="00A35A37">
          <w:rPr>
            <w:rStyle w:val="Hyperlink"/>
            <w:color w:val="auto"/>
            <w:sz w:val="24"/>
            <w:szCs w:val="24"/>
          </w:rPr>
          <w:t>http://www.teses.usp.br/teses/disponiveis/12/12136/tde-06072017-094150/</w:t>
        </w:r>
      </w:hyperlink>
      <w:r w:rsidR="00A35A37">
        <w:rPr>
          <w:sz w:val="24"/>
          <w:szCs w:val="24"/>
        </w:rPr>
        <w:t>&gt;.</w:t>
      </w:r>
    </w:p>
    <w:p w14:paraId="6FB1C2EB" w14:textId="561FFCB7" w:rsidR="00DE5F6F" w:rsidRPr="000E179F" w:rsidRDefault="00DE5F6F" w:rsidP="00EA0EA7">
      <w:pPr>
        <w:ind w:left="567" w:hanging="567"/>
        <w:jc w:val="both"/>
        <w:rPr>
          <w:sz w:val="24"/>
          <w:szCs w:val="24"/>
        </w:rPr>
      </w:pPr>
      <w:proofErr w:type="spellStart"/>
      <w:r w:rsidRPr="00CD3F51">
        <w:rPr>
          <w:sz w:val="24"/>
          <w:szCs w:val="24"/>
        </w:rPr>
        <w:t>Zittei</w:t>
      </w:r>
      <w:proofErr w:type="spellEnd"/>
      <w:r w:rsidRPr="00CD3F51">
        <w:rPr>
          <w:sz w:val="24"/>
          <w:szCs w:val="24"/>
        </w:rPr>
        <w:t xml:space="preserve">, M. V. M., </w:t>
      </w:r>
      <w:proofErr w:type="spellStart"/>
      <w:r w:rsidRPr="00CD3F51">
        <w:rPr>
          <w:sz w:val="24"/>
          <w:szCs w:val="24"/>
        </w:rPr>
        <w:t>Politelo</w:t>
      </w:r>
      <w:proofErr w:type="spellEnd"/>
      <w:r w:rsidRPr="00CD3F51">
        <w:rPr>
          <w:sz w:val="24"/>
          <w:szCs w:val="24"/>
        </w:rPr>
        <w:t xml:space="preserve">, L. &amp; </w:t>
      </w:r>
      <w:proofErr w:type="spellStart"/>
      <w:r w:rsidRPr="00CD3F51">
        <w:rPr>
          <w:sz w:val="24"/>
          <w:szCs w:val="24"/>
        </w:rPr>
        <w:t>Scarpin</w:t>
      </w:r>
      <w:proofErr w:type="spellEnd"/>
      <w:r w:rsidRPr="00CD3F51">
        <w:rPr>
          <w:sz w:val="24"/>
          <w:szCs w:val="24"/>
        </w:rPr>
        <w:t>, J. E. (2016). Nível de Evidenciação Contábil de Organizações do Terceiro Setor</w:t>
      </w:r>
      <w:r w:rsidRPr="00F97199">
        <w:rPr>
          <w:i/>
          <w:sz w:val="24"/>
          <w:szCs w:val="24"/>
        </w:rPr>
        <w:t>.</w:t>
      </w:r>
      <w:r w:rsidRPr="00CD3F51">
        <w:rPr>
          <w:sz w:val="24"/>
          <w:szCs w:val="24"/>
        </w:rPr>
        <w:t xml:space="preserve"> </w:t>
      </w:r>
      <w:r w:rsidRPr="00F97199">
        <w:rPr>
          <w:i/>
          <w:sz w:val="24"/>
          <w:szCs w:val="24"/>
        </w:rPr>
        <w:t>Administração Pública e Gestão Social, Viçosa</w:t>
      </w:r>
      <w:r w:rsidRPr="00CD3F51">
        <w:rPr>
          <w:sz w:val="24"/>
          <w:szCs w:val="24"/>
        </w:rPr>
        <w:t xml:space="preserve">, </w:t>
      </w:r>
      <w:r w:rsidRPr="00A974D6">
        <w:rPr>
          <w:i/>
          <w:sz w:val="24"/>
          <w:szCs w:val="24"/>
        </w:rPr>
        <w:t>1</w:t>
      </w:r>
      <w:r w:rsidR="00A974D6">
        <w:rPr>
          <w:sz w:val="24"/>
          <w:szCs w:val="24"/>
        </w:rPr>
        <w:t>(2)</w:t>
      </w:r>
      <w:r w:rsidRPr="00CD3F51">
        <w:rPr>
          <w:sz w:val="24"/>
          <w:szCs w:val="24"/>
        </w:rPr>
        <w:t>, p. 85-94.</w:t>
      </w:r>
    </w:p>
    <w:sectPr w:rsidR="00DE5F6F" w:rsidRPr="000E179F" w:rsidSect="00932DD6">
      <w:headerReference w:type="default" r:id="rId11"/>
      <w:footerReference w:type="default" r:id="rId12"/>
      <w:pgSz w:w="11900" w:h="16840"/>
      <w:pgMar w:top="1701" w:right="1134"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F389D3" w14:textId="77777777" w:rsidR="008C463B" w:rsidRDefault="008C463B" w:rsidP="008A5824">
      <w:r>
        <w:separator/>
      </w:r>
    </w:p>
  </w:endnote>
  <w:endnote w:type="continuationSeparator" w:id="0">
    <w:p w14:paraId="17A6F124" w14:textId="77777777" w:rsidR="008C463B" w:rsidRDefault="008C463B"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imes">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231300"/>
      <w:docPartObj>
        <w:docPartGallery w:val="Page Numbers (Bottom of Page)"/>
        <w:docPartUnique/>
      </w:docPartObj>
    </w:sdtPr>
    <w:sdtEndPr/>
    <w:sdtContent>
      <w:p w14:paraId="22C26267" w14:textId="3389F85B" w:rsidR="00EA0EA7" w:rsidRDefault="00EA0EA7">
        <w:pPr>
          <w:pStyle w:val="Rodap"/>
          <w:jc w:val="right"/>
        </w:pPr>
        <w:r>
          <w:fldChar w:fldCharType="begin"/>
        </w:r>
        <w:r>
          <w:instrText>PAGE   \* MERGEFORMAT</w:instrText>
        </w:r>
        <w:r>
          <w:fldChar w:fldCharType="separate"/>
        </w:r>
        <w:r w:rsidR="004C3305">
          <w:rPr>
            <w:noProof/>
          </w:rPr>
          <w:t>1</w:t>
        </w:r>
        <w:r>
          <w:fldChar w:fldCharType="end"/>
        </w:r>
      </w:p>
    </w:sdtContent>
  </w:sdt>
  <w:p w14:paraId="1DE39BEB" w14:textId="18AC3D8F" w:rsidR="00440138" w:rsidRDefault="00440138">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C1A98" w14:textId="77777777" w:rsidR="008C463B" w:rsidRDefault="008C463B" w:rsidP="008A5824">
      <w:r>
        <w:separator/>
      </w:r>
    </w:p>
  </w:footnote>
  <w:footnote w:type="continuationSeparator" w:id="0">
    <w:p w14:paraId="6191CF8B" w14:textId="77777777" w:rsidR="008C463B" w:rsidRDefault="008C463B" w:rsidP="008A58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E78CC" w14:textId="293C39C3" w:rsidR="00440138" w:rsidRPr="00E361F4" w:rsidRDefault="00440138" w:rsidP="00E361F4">
    <w:pPr>
      <w:pStyle w:val="Cabealho"/>
    </w:pPr>
    <w:r>
      <w:rPr>
        <w:noProof/>
        <w:lang w:eastAsia="pt-BR"/>
      </w:rPr>
      <w:drawing>
        <wp:inline distT="0" distB="0" distL="0" distR="0" wp14:anchorId="0680C3C9" wp14:editId="2D2F0FB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A0E"/>
    <w:multiLevelType w:val="hybridMultilevel"/>
    <w:tmpl w:val="BEF8C5E6"/>
    <w:lvl w:ilvl="0" w:tplc="C3FE6F3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4F558B"/>
    <w:multiLevelType w:val="multilevel"/>
    <w:tmpl w:val="5A4C9EB2"/>
    <w:lvl w:ilvl="0">
      <w:start w:val="2"/>
      <w:numFmt w:val="decimal"/>
      <w:lvlText w:val="%1"/>
      <w:lvlJc w:val="left"/>
      <w:pPr>
        <w:ind w:left="720" w:hanging="360"/>
      </w:pPr>
      <w:rPr>
        <w:rFonts w:hint="default"/>
      </w:rPr>
    </w:lvl>
    <w:lvl w:ilvl="1">
      <w:start w:val="1"/>
      <w:numFmt w:val="decimal"/>
      <w:isLgl/>
      <w:lvlText w:val="%1.%2"/>
      <w:lvlJc w:val="left"/>
      <w:pPr>
        <w:ind w:left="936" w:hanging="360"/>
      </w:pPr>
      <w:rPr>
        <w:rFonts w:hint="default"/>
        <w:b/>
      </w:rPr>
    </w:lvl>
    <w:lvl w:ilvl="2">
      <w:start w:val="1"/>
      <w:numFmt w:val="decimal"/>
      <w:isLgl/>
      <w:lvlText w:val="%1.%2.%3"/>
      <w:lvlJc w:val="left"/>
      <w:pPr>
        <w:ind w:left="1512" w:hanging="720"/>
      </w:pPr>
      <w:rPr>
        <w:rFonts w:hint="default"/>
        <w:b/>
      </w:rPr>
    </w:lvl>
    <w:lvl w:ilvl="3">
      <w:start w:val="1"/>
      <w:numFmt w:val="decimal"/>
      <w:isLgl/>
      <w:lvlText w:val="%1.%2.%3.%4"/>
      <w:lvlJc w:val="left"/>
      <w:pPr>
        <w:ind w:left="1728" w:hanging="720"/>
      </w:pPr>
      <w:rPr>
        <w:rFonts w:hint="default"/>
        <w:b/>
      </w:rPr>
    </w:lvl>
    <w:lvl w:ilvl="4">
      <w:start w:val="1"/>
      <w:numFmt w:val="decimal"/>
      <w:isLgl/>
      <w:lvlText w:val="%1.%2.%3.%4.%5"/>
      <w:lvlJc w:val="left"/>
      <w:pPr>
        <w:ind w:left="2304" w:hanging="1080"/>
      </w:pPr>
      <w:rPr>
        <w:rFonts w:hint="default"/>
        <w:b/>
      </w:rPr>
    </w:lvl>
    <w:lvl w:ilvl="5">
      <w:start w:val="1"/>
      <w:numFmt w:val="decimal"/>
      <w:isLgl/>
      <w:lvlText w:val="%1.%2.%3.%4.%5.%6"/>
      <w:lvlJc w:val="left"/>
      <w:pPr>
        <w:ind w:left="2520" w:hanging="1080"/>
      </w:pPr>
      <w:rPr>
        <w:rFonts w:hint="default"/>
        <w:b/>
      </w:rPr>
    </w:lvl>
    <w:lvl w:ilvl="6">
      <w:start w:val="1"/>
      <w:numFmt w:val="decimal"/>
      <w:isLgl/>
      <w:lvlText w:val="%1.%2.%3.%4.%5.%6.%7"/>
      <w:lvlJc w:val="left"/>
      <w:pPr>
        <w:ind w:left="3096" w:hanging="1440"/>
      </w:pPr>
      <w:rPr>
        <w:rFonts w:hint="default"/>
        <w:b/>
      </w:rPr>
    </w:lvl>
    <w:lvl w:ilvl="7">
      <w:start w:val="1"/>
      <w:numFmt w:val="decimal"/>
      <w:isLgl/>
      <w:lvlText w:val="%1.%2.%3.%4.%5.%6.%7.%8"/>
      <w:lvlJc w:val="left"/>
      <w:pPr>
        <w:ind w:left="3312" w:hanging="1440"/>
      </w:pPr>
      <w:rPr>
        <w:rFonts w:hint="default"/>
        <w:b/>
      </w:rPr>
    </w:lvl>
    <w:lvl w:ilvl="8">
      <w:start w:val="1"/>
      <w:numFmt w:val="decimal"/>
      <w:isLgl/>
      <w:lvlText w:val="%1.%2.%3.%4.%5.%6.%7.%8.%9"/>
      <w:lvlJc w:val="left"/>
      <w:pPr>
        <w:ind w:left="3888" w:hanging="1800"/>
      </w:pPr>
      <w:rPr>
        <w:rFonts w:hint="default"/>
        <w:b/>
      </w:rPr>
    </w:lvl>
  </w:abstractNum>
  <w:abstractNum w:abstractNumId="2" w15:restartNumberingAfterBreak="0">
    <w:nsid w:val="285D3A52"/>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3F618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B9565D"/>
    <w:multiLevelType w:val="multilevel"/>
    <w:tmpl w:val="F236CC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613E77"/>
    <w:multiLevelType w:val="hybridMultilevel"/>
    <w:tmpl w:val="4718FB0C"/>
    <w:lvl w:ilvl="0" w:tplc="853A78BE">
      <w:start w:val="1"/>
      <w:numFmt w:val="bullet"/>
      <w:lvlText w:val="•"/>
      <w:lvlJc w:val="left"/>
      <w:pPr>
        <w:tabs>
          <w:tab w:val="num" w:pos="720"/>
        </w:tabs>
        <w:ind w:left="720" w:hanging="360"/>
      </w:pPr>
      <w:rPr>
        <w:rFonts w:ascii="Arial" w:hAnsi="Arial" w:hint="default"/>
      </w:rPr>
    </w:lvl>
    <w:lvl w:ilvl="1" w:tplc="A9FEE7C8" w:tentative="1">
      <w:start w:val="1"/>
      <w:numFmt w:val="bullet"/>
      <w:lvlText w:val="•"/>
      <w:lvlJc w:val="left"/>
      <w:pPr>
        <w:tabs>
          <w:tab w:val="num" w:pos="1440"/>
        </w:tabs>
        <w:ind w:left="1440" w:hanging="360"/>
      </w:pPr>
      <w:rPr>
        <w:rFonts w:ascii="Arial" w:hAnsi="Arial" w:hint="default"/>
      </w:rPr>
    </w:lvl>
    <w:lvl w:ilvl="2" w:tplc="729C37E0" w:tentative="1">
      <w:start w:val="1"/>
      <w:numFmt w:val="bullet"/>
      <w:lvlText w:val="•"/>
      <w:lvlJc w:val="left"/>
      <w:pPr>
        <w:tabs>
          <w:tab w:val="num" w:pos="2160"/>
        </w:tabs>
        <w:ind w:left="2160" w:hanging="360"/>
      </w:pPr>
      <w:rPr>
        <w:rFonts w:ascii="Arial" w:hAnsi="Arial" w:hint="default"/>
      </w:rPr>
    </w:lvl>
    <w:lvl w:ilvl="3" w:tplc="FC529B16" w:tentative="1">
      <w:start w:val="1"/>
      <w:numFmt w:val="bullet"/>
      <w:lvlText w:val="•"/>
      <w:lvlJc w:val="left"/>
      <w:pPr>
        <w:tabs>
          <w:tab w:val="num" w:pos="2880"/>
        </w:tabs>
        <w:ind w:left="2880" w:hanging="360"/>
      </w:pPr>
      <w:rPr>
        <w:rFonts w:ascii="Arial" w:hAnsi="Arial" w:hint="default"/>
      </w:rPr>
    </w:lvl>
    <w:lvl w:ilvl="4" w:tplc="0A6C1EC2" w:tentative="1">
      <w:start w:val="1"/>
      <w:numFmt w:val="bullet"/>
      <w:lvlText w:val="•"/>
      <w:lvlJc w:val="left"/>
      <w:pPr>
        <w:tabs>
          <w:tab w:val="num" w:pos="3600"/>
        </w:tabs>
        <w:ind w:left="3600" w:hanging="360"/>
      </w:pPr>
      <w:rPr>
        <w:rFonts w:ascii="Arial" w:hAnsi="Arial" w:hint="default"/>
      </w:rPr>
    </w:lvl>
    <w:lvl w:ilvl="5" w:tplc="79EE3622" w:tentative="1">
      <w:start w:val="1"/>
      <w:numFmt w:val="bullet"/>
      <w:lvlText w:val="•"/>
      <w:lvlJc w:val="left"/>
      <w:pPr>
        <w:tabs>
          <w:tab w:val="num" w:pos="4320"/>
        </w:tabs>
        <w:ind w:left="4320" w:hanging="360"/>
      </w:pPr>
      <w:rPr>
        <w:rFonts w:ascii="Arial" w:hAnsi="Arial" w:hint="default"/>
      </w:rPr>
    </w:lvl>
    <w:lvl w:ilvl="6" w:tplc="FCFC12A2" w:tentative="1">
      <w:start w:val="1"/>
      <w:numFmt w:val="bullet"/>
      <w:lvlText w:val="•"/>
      <w:lvlJc w:val="left"/>
      <w:pPr>
        <w:tabs>
          <w:tab w:val="num" w:pos="5040"/>
        </w:tabs>
        <w:ind w:left="5040" w:hanging="360"/>
      </w:pPr>
      <w:rPr>
        <w:rFonts w:ascii="Arial" w:hAnsi="Arial" w:hint="default"/>
      </w:rPr>
    </w:lvl>
    <w:lvl w:ilvl="7" w:tplc="5288AC64" w:tentative="1">
      <w:start w:val="1"/>
      <w:numFmt w:val="bullet"/>
      <w:lvlText w:val="•"/>
      <w:lvlJc w:val="left"/>
      <w:pPr>
        <w:tabs>
          <w:tab w:val="num" w:pos="5760"/>
        </w:tabs>
        <w:ind w:left="5760" w:hanging="360"/>
      </w:pPr>
      <w:rPr>
        <w:rFonts w:ascii="Arial" w:hAnsi="Arial" w:hint="default"/>
      </w:rPr>
    </w:lvl>
    <w:lvl w:ilvl="8" w:tplc="06A0650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61244D"/>
    <w:multiLevelType w:val="hybridMultilevel"/>
    <w:tmpl w:val="B3BCDC72"/>
    <w:lvl w:ilvl="0" w:tplc="1DC6972A">
      <w:start w:val="1"/>
      <w:numFmt w:val="lowerLetter"/>
      <w:lvlText w:val="%1)"/>
      <w:lvlJc w:val="left"/>
      <w:pPr>
        <w:ind w:left="1068" w:hanging="360"/>
      </w:pPr>
      <w:rPr>
        <w:rFonts w:ascii="TimesNewRomanPSMT" w:hAnsi="TimesNewRomanPSMT" w:cs="TimesNewRomanPSMT" w:hint="default"/>
        <w:sz w:val="23"/>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50871884"/>
    <w:multiLevelType w:val="hybridMultilevel"/>
    <w:tmpl w:val="A3348F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0A0483E"/>
    <w:multiLevelType w:val="multilevel"/>
    <w:tmpl w:val="92507D7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56097268"/>
    <w:multiLevelType w:val="hybridMultilevel"/>
    <w:tmpl w:val="9322EB9C"/>
    <w:lvl w:ilvl="0" w:tplc="6F823FC4">
      <w:start w:val="1"/>
      <w:numFmt w:val="bullet"/>
      <w:lvlText w:val="•"/>
      <w:lvlJc w:val="left"/>
      <w:pPr>
        <w:tabs>
          <w:tab w:val="num" w:pos="720"/>
        </w:tabs>
        <w:ind w:left="720" w:hanging="360"/>
      </w:pPr>
      <w:rPr>
        <w:rFonts w:ascii="Arial" w:hAnsi="Arial" w:hint="default"/>
      </w:rPr>
    </w:lvl>
    <w:lvl w:ilvl="1" w:tplc="C096EC70" w:tentative="1">
      <w:start w:val="1"/>
      <w:numFmt w:val="bullet"/>
      <w:lvlText w:val="•"/>
      <w:lvlJc w:val="left"/>
      <w:pPr>
        <w:tabs>
          <w:tab w:val="num" w:pos="1440"/>
        </w:tabs>
        <w:ind w:left="1440" w:hanging="360"/>
      </w:pPr>
      <w:rPr>
        <w:rFonts w:ascii="Arial" w:hAnsi="Arial" w:hint="default"/>
      </w:rPr>
    </w:lvl>
    <w:lvl w:ilvl="2" w:tplc="312EF8D2" w:tentative="1">
      <w:start w:val="1"/>
      <w:numFmt w:val="bullet"/>
      <w:lvlText w:val="•"/>
      <w:lvlJc w:val="left"/>
      <w:pPr>
        <w:tabs>
          <w:tab w:val="num" w:pos="2160"/>
        </w:tabs>
        <w:ind w:left="2160" w:hanging="360"/>
      </w:pPr>
      <w:rPr>
        <w:rFonts w:ascii="Arial" w:hAnsi="Arial" w:hint="default"/>
      </w:rPr>
    </w:lvl>
    <w:lvl w:ilvl="3" w:tplc="56042B7C" w:tentative="1">
      <w:start w:val="1"/>
      <w:numFmt w:val="bullet"/>
      <w:lvlText w:val="•"/>
      <w:lvlJc w:val="left"/>
      <w:pPr>
        <w:tabs>
          <w:tab w:val="num" w:pos="2880"/>
        </w:tabs>
        <w:ind w:left="2880" w:hanging="360"/>
      </w:pPr>
      <w:rPr>
        <w:rFonts w:ascii="Arial" w:hAnsi="Arial" w:hint="default"/>
      </w:rPr>
    </w:lvl>
    <w:lvl w:ilvl="4" w:tplc="865262E6" w:tentative="1">
      <w:start w:val="1"/>
      <w:numFmt w:val="bullet"/>
      <w:lvlText w:val="•"/>
      <w:lvlJc w:val="left"/>
      <w:pPr>
        <w:tabs>
          <w:tab w:val="num" w:pos="3600"/>
        </w:tabs>
        <w:ind w:left="3600" w:hanging="360"/>
      </w:pPr>
      <w:rPr>
        <w:rFonts w:ascii="Arial" w:hAnsi="Arial" w:hint="default"/>
      </w:rPr>
    </w:lvl>
    <w:lvl w:ilvl="5" w:tplc="9C8422EE" w:tentative="1">
      <w:start w:val="1"/>
      <w:numFmt w:val="bullet"/>
      <w:lvlText w:val="•"/>
      <w:lvlJc w:val="left"/>
      <w:pPr>
        <w:tabs>
          <w:tab w:val="num" w:pos="4320"/>
        </w:tabs>
        <w:ind w:left="4320" w:hanging="360"/>
      </w:pPr>
      <w:rPr>
        <w:rFonts w:ascii="Arial" w:hAnsi="Arial" w:hint="default"/>
      </w:rPr>
    </w:lvl>
    <w:lvl w:ilvl="6" w:tplc="6180D27E" w:tentative="1">
      <w:start w:val="1"/>
      <w:numFmt w:val="bullet"/>
      <w:lvlText w:val="•"/>
      <w:lvlJc w:val="left"/>
      <w:pPr>
        <w:tabs>
          <w:tab w:val="num" w:pos="5040"/>
        </w:tabs>
        <w:ind w:left="5040" w:hanging="360"/>
      </w:pPr>
      <w:rPr>
        <w:rFonts w:ascii="Arial" w:hAnsi="Arial" w:hint="default"/>
      </w:rPr>
    </w:lvl>
    <w:lvl w:ilvl="7" w:tplc="C3DC6EE2" w:tentative="1">
      <w:start w:val="1"/>
      <w:numFmt w:val="bullet"/>
      <w:lvlText w:val="•"/>
      <w:lvlJc w:val="left"/>
      <w:pPr>
        <w:tabs>
          <w:tab w:val="num" w:pos="5760"/>
        </w:tabs>
        <w:ind w:left="5760" w:hanging="360"/>
      </w:pPr>
      <w:rPr>
        <w:rFonts w:ascii="Arial" w:hAnsi="Arial" w:hint="default"/>
      </w:rPr>
    </w:lvl>
    <w:lvl w:ilvl="8" w:tplc="3DD81AC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2186E20"/>
    <w:multiLevelType w:val="hybridMultilevel"/>
    <w:tmpl w:val="44722A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65F068F2"/>
    <w:multiLevelType w:val="hybridMultilevel"/>
    <w:tmpl w:val="C0B688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2B5A7B"/>
    <w:multiLevelType w:val="multilevel"/>
    <w:tmpl w:val="F50C8E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EB2629D"/>
    <w:multiLevelType w:val="hybridMultilevel"/>
    <w:tmpl w:val="D7D6DE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6EC67D7D"/>
    <w:multiLevelType w:val="hybridMultilevel"/>
    <w:tmpl w:val="E1D437AE"/>
    <w:lvl w:ilvl="0" w:tplc="7F486ED2">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3AD0878"/>
    <w:multiLevelType w:val="hybridMultilevel"/>
    <w:tmpl w:val="4E7C4314"/>
    <w:lvl w:ilvl="0" w:tplc="DF3C7A1A">
      <w:start w:val="1"/>
      <w:numFmt w:val="bullet"/>
      <w:lvlText w:val="•"/>
      <w:lvlJc w:val="left"/>
      <w:pPr>
        <w:tabs>
          <w:tab w:val="num" w:pos="720"/>
        </w:tabs>
        <w:ind w:left="720" w:hanging="360"/>
      </w:pPr>
      <w:rPr>
        <w:rFonts w:ascii="Arial" w:hAnsi="Arial" w:hint="default"/>
      </w:rPr>
    </w:lvl>
    <w:lvl w:ilvl="1" w:tplc="A4AE3C1E" w:tentative="1">
      <w:start w:val="1"/>
      <w:numFmt w:val="bullet"/>
      <w:lvlText w:val="•"/>
      <w:lvlJc w:val="left"/>
      <w:pPr>
        <w:tabs>
          <w:tab w:val="num" w:pos="1440"/>
        </w:tabs>
        <w:ind w:left="1440" w:hanging="360"/>
      </w:pPr>
      <w:rPr>
        <w:rFonts w:ascii="Arial" w:hAnsi="Arial" w:hint="default"/>
      </w:rPr>
    </w:lvl>
    <w:lvl w:ilvl="2" w:tplc="D7C66344" w:tentative="1">
      <w:start w:val="1"/>
      <w:numFmt w:val="bullet"/>
      <w:lvlText w:val="•"/>
      <w:lvlJc w:val="left"/>
      <w:pPr>
        <w:tabs>
          <w:tab w:val="num" w:pos="2160"/>
        </w:tabs>
        <w:ind w:left="2160" w:hanging="360"/>
      </w:pPr>
      <w:rPr>
        <w:rFonts w:ascii="Arial" w:hAnsi="Arial" w:hint="default"/>
      </w:rPr>
    </w:lvl>
    <w:lvl w:ilvl="3" w:tplc="7F0681B4" w:tentative="1">
      <w:start w:val="1"/>
      <w:numFmt w:val="bullet"/>
      <w:lvlText w:val="•"/>
      <w:lvlJc w:val="left"/>
      <w:pPr>
        <w:tabs>
          <w:tab w:val="num" w:pos="2880"/>
        </w:tabs>
        <w:ind w:left="2880" w:hanging="360"/>
      </w:pPr>
      <w:rPr>
        <w:rFonts w:ascii="Arial" w:hAnsi="Arial" w:hint="default"/>
      </w:rPr>
    </w:lvl>
    <w:lvl w:ilvl="4" w:tplc="41282928" w:tentative="1">
      <w:start w:val="1"/>
      <w:numFmt w:val="bullet"/>
      <w:lvlText w:val="•"/>
      <w:lvlJc w:val="left"/>
      <w:pPr>
        <w:tabs>
          <w:tab w:val="num" w:pos="3600"/>
        </w:tabs>
        <w:ind w:left="3600" w:hanging="360"/>
      </w:pPr>
      <w:rPr>
        <w:rFonts w:ascii="Arial" w:hAnsi="Arial" w:hint="default"/>
      </w:rPr>
    </w:lvl>
    <w:lvl w:ilvl="5" w:tplc="633E9E78" w:tentative="1">
      <w:start w:val="1"/>
      <w:numFmt w:val="bullet"/>
      <w:lvlText w:val="•"/>
      <w:lvlJc w:val="left"/>
      <w:pPr>
        <w:tabs>
          <w:tab w:val="num" w:pos="4320"/>
        </w:tabs>
        <w:ind w:left="4320" w:hanging="360"/>
      </w:pPr>
      <w:rPr>
        <w:rFonts w:ascii="Arial" w:hAnsi="Arial" w:hint="default"/>
      </w:rPr>
    </w:lvl>
    <w:lvl w:ilvl="6" w:tplc="03F4E98A" w:tentative="1">
      <w:start w:val="1"/>
      <w:numFmt w:val="bullet"/>
      <w:lvlText w:val="•"/>
      <w:lvlJc w:val="left"/>
      <w:pPr>
        <w:tabs>
          <w:tab w:val="num" w:pos="5040"/>
        </w:tabs>
        <w:ind w:left="5040" w:hanging="360"/>
      </w:pPr>
      <w:rPr>
        <w:rFonts w:ascii="Arial" w:hAnsi="Arial" w:hint="default"/>
      </w:rPr>
    </w:lvl>
    <w:lvl w:ilvl="7" w:tplc="D47052D0" w:tentative="1">
      <w:start w:val="1"/>
      <w:numFmt w:val="bullet"/>
      <w:lvlText w:val="•"/>
      <w:lvlJc w:val="left"/>
      <w:pPr>
        <w:tabs>
          <w:tab w:val="num" w:pos="5760"/>
        </w:tabs>
        <w:ind w:left="5760" w:hanging="360"/>
      </w:pPr>
      <w:rPr>
        <w:rFonts w:ascii="Arial" w:hAnsi="Arial" w:hint="default"/>
      </w:rPr>
    </w:lvl>
    <w:lvl w:ilvl="8" w:tplc="7632F73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51197F"/>
    <w:multiLevelType w:val="hybridMultilevel"/>
    <w:tmpl w:val="A6D248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774F55C6"/>
    <w:multiLevelType w:val="multilevel"/>
    <w:tmpl w:val="8918C926"/>
    <w:lvl w:ilvl="0">
      <w:start w:val="1"/>
      <w:numFmt w:val="decimal"/>
      <w:lvlText w:val="%1."/>
      <w:lvlJc w:val="left"/>
      <w:pPr>
        <w:ind w:left="720" w:hanging="360"/>
      </w:p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9" w15:restartNumberingAfterBreak="0">
    <w:nsid w:val="7B82713E"/>
    <w:multiLevelType w:val="hybridMultilevel"/>
    <w:tmpl w:val="43A22CF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7BD318B6"/>
    <w:multiLevelType w:val="hybridMultilevel"/>
    <w:tmpl w:val="385A61F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7EF837C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21"/>
  </w:num>
  <w:num w:numId="3">
    <w:abstractNumId w:val="8"/>
  </w:num>
  <w:num w:numId="4">
    <w:abstractNumId w:val="0"/>
  </w:num>
  <w:num w:numId="5">
    <w:abstractNumId w:val="1"/>
  </w:num>
  <w:num w:numId="6">
    <w:abstractNumId w:val="16"/>
  </w:num>
  <w:num w:numId="7">
    <w:abstractNumId w:val="12"/>
  </w:num>
  <w:num w:numId="8">
    <w:abstractNumId w:val="18"/>
  </w:num>
  <w:num w:numId="9">
    <w:abstractNumId w:val="19"/>
  </w:num>
  <w:num w:numId="10">
    <w:abstractNumId w:val="14"/>
  </w:num>
  <w:num w:numId="11">
    <w:abstractNumId w:val="20"/>
  </w:num>
  <w:num w:numId="12">
    <w:abstractNumId w:val="6"/>
  </w:num>
  <w:num w:numId="13">
    <w:abstractNumId w:val="10"/>
  </w:num>
  <w:num w:numId="14">
    <w:abstractNumId w:val="17"/>
  </w:num>
  <w:num w:numId="15">
    <w:abstractNumId w:val="4"/>
  </w:num>
  <w:num w:numId="16">
    <w:abstractNumId w:val="2"/>
  </w:num>
  <w:num w:numId="17">
    <w:abstractNumId w:val="9"/>
  </w:num>
  <w:num w:numId="18">
    <w:abstractNumId w:val="7"/>
  </w:num>
  <w:num w:numId="19">
    <w:abstractNumId w:val="11"/>
  </w:num>
  <w:num w:numId="20">
    <w:abstractNumId w:val="21"/>
    <w:lvlOverride w:ilvl="0">
      <w:startOverride w:val="2"/>
    </w:lvlOverride>
    <w:lvlOverride w:ilvl="1">
      <w:startOverride w:val="1"/>
    </w:lvlOverride>
    <w:lvlOverride w:ilvl="2">
      <w:startOverride w:val="1"/>
    </w:lvlOverride>
  </w:num>
  <w:num w:numId="21">
    <w:abstractNumId w:val="15"/>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26B8D"/>
    <w:rsid w:val="000519A7"/>
    <w:rsid w:val="000B4C57"/>
    <w:rsid w:val="000B4F18"/>
    <w:rsid w:val="000B5E59"/>
    <w:rsid w:val="000C2E58"/>
    <w:rsid w:val="000E179F"/>
    <w:rsid w:val="000F6CF5"/>
    <w:rsid w:val="001443BE"/>
    <w:rsid w:val="0016220D"/>
    <w:rsid w:val="00165373"/>
    <w:rsid w:val="001869AB"/>
    <w:rsid w:val="00194BA9"/>
    <w:rsid w:val="001A4423"/>
    <w:rsid w:val="001C328B"/>
    <w:rsid w:val="001F6A6D"/>
    <w:rsid w:val="0021606D"/>
    <w:rsid w:val="002513A8"/>
    <w:rsid w:val="002857F9"/>
    <w:rsid w:val="002B0015"/>
    <w:rsid w:val="002B2B78"/>
    <w:rsid w:val="002B76A8"/>
    <w:rsid w:val="002D3B27"/>
    <w:rsid w:val="002F0227"/>
    <w:rsid w:val="002F585A"/>
    <w:rsid w:val="00316CC7"/>
    <w:rsid w:val="00341FBB"/>
    <w:rsid w:val="00345051"/>
    <w:rsid w:val="0036377D"/>
    <w:rsid w:val="00364A6C"/>
    <w:rsid w:val="0038579D"/>
    <w:rsid w:val="003B5EC2"/>
    <w:rsid w:val="004020EB"/>
    <w:rsid w:val="00440138"/>
    <w:rsid w:val="004568CE"/>
    <w:rsid w:val="004606F1"/>
    <w:rsid w:val="00463F34"/>
    <w:rsid w:val="00466F22"/>
    <w:rsid w:val="00473887"/>
    <w:rsid w:val="00475198"/>
    <w:rsid w:val="00484F5C"/>
    <w:rsid w:val="00491708"/>
    <w:rsid w:val="004C3305"/>
    <w:rsid w:val="004E48AE"/>
    <w:rsid w:val="004E5418"/>
    <w:rsid w:val="004F7313"/>
    <w:rsid w:val="005019F3"/>
    <w:rsid w:val="00527DF2"/>
    <w:rsid w:val="00580B82"/>
    <w:rsid w:val="005A258F"/>
    <w:rsid w:val="005B31B1"/>
    <w:rsid w:val="005C0283"/>
    <w:rsid w:val="005F1F95"/>
    <w:rsid w:val="006066DE"/>
    <w:rsid w:val="00621DD6"/>
    <w:rsid w:val="00624ECE"/>
    <w:rsid w:val="00631DCF"/>
    <w:rsid w:val="00655265"/>
    <w:rsid w:val="0066035E"/>
    <w:rsid w:val="00684592"/>
    <w:rsid w:val="00686527"/>
    <w:rsid w:val="0069001D"/>
    <w:rsid w:val="006C119B"/>
    <w:rsid w:val="006C28C1"/>
    <w:rsid w:val="006C699E"/>
    <w:rsid w:val="006D7533"/>
    <w:rsid w:val="006D7EB8"/>
    <w:rsid w:val="006F01D6"/>
    <w:rsid w:val="0072578D"/>
    <w:rsid w:val="007356D7"/>
    <w:rsid w:val="00763452"/>
    <w:rsid w:val="00763C5C"/>
    <w:rsid w:val="00784BCA"/>
    <w:rsid w:val="007905DF"/>
    <w:rsid w:val="00792E12"/>
    <w:rsid w:val="007C69F8"/>
    <w:rsid w:val="007D2DDF"/>
    <w:rsid w:val="007E483E"/>
    <w:rsid w:val="007F7244"/>
    <w:rsid w:val="00813CFA"/>
    <w:rsid w:val="00823EE7"/>
    <w:rsid w:val="008277E3"/>
    <w:rsid w:val="00855736"/>
    <w:rsid w:val="00860B20"/>
    <w:rsid w:val="00875484"/>
    <w:rsid w:val="0088367F"/>
    <w:rsid w:val="0089009D"/>
    <w:rsid w:val="00896BD9"/>
    <w:rsid w:val="008A5824"/>
    <w:rsid w:val="008C3F47"/>
    <w:rsid w:val="008C463B"/>
    <w:rsid w:val="008D4F05"/>
    <w:rsid w:val="00932DD6"/>
    <w:rsid w:val="0094163F"/>
    <w:rsid w:val="00943AFF"/>
    <w:rsid w:val="009833D5"/>
    <w:rsid w:val="00995169"/>
    <w:rsid w:val="00996B6C"/>
    <w:rsid w:val="009E6F05"/>
    <w:rsid w:val="00A01AAE"/>
    <w:rsid w:val="00A1539E"/>
    <w:rsid w:val="00A35A37"/>
    <w:rsid w:val="00A5087F"/>
    <w:rsid w:val="00A738B0"/>
    <w:rsid w:val="00A86BB0"/>
    <w:rsid w:val="00A974D6"/>
    <w:rsid w:val="00AA33F9"/>
    <w:rsid w:val="00AC1A2A"/>
    <w:rsid w:val="00AD226E"/>
    <w:rsid w:val="00AD305A"/>
    <w:rsid w:val="00AE2097"/>
    <w:rsid w:val="00B30FF5"/>
    <w:rsid w:val="00B32719"/>
    <w:rsid w:val="00B41AC1"/>
    <w:rsid w:val="00B41CAF"/>
    <w:rsid w:val="00B83E5C"/>
    <w:rsid w:val="00BA4526"/>
    <w:rsid w:val="00BB5E94"/>
    <w:rsid w:val="00BC0476"/>
    <w:rsid w:val="00BC652F"/>
    <w:rsid w:val="00BC76ED"/>
    <w:rsid w:val="00BD0F13"/>
    <w:rsid w:val="00BD1FEF"/>
    <w:rsid w:val="00BD2DB6"/>
    <w:rsid w:val="00BE624F"/>
    <w:rsid w:val="00C30374"/>
    <w:rsid w:val="00C55B4A"/>
    <w:rsid w:val="00C57E89"/>
    <w:rsid w:val="00C60A74"/>
    <w:rsid w:val="00CA2367"/>
    <w:rsid w:val="00CA25AA"/>
    <w:rsid w:val="00CA728B"/>
    <w:rsid w:val="00CB2BC9"/>
    <w:rsid w:val="00CC613B"/>
    <w:rsid w:val="00CD161C"/>
    <w:rsid w:val="00CD3F51"/>
    <w:rsid w:val="00CE5296"/>
    <w:rsid w:val="00CF645C"/>
    <w:rsid w:val="00D30A4C"/>
    <w:rsid w:val="00D55D19"/>
    <w:rsid w:val="00D815AA"/>
    <w:rsid w:val="00D818DC"/>
    <w:rsid w:val="00DA4649"/>
    <w:rsid w:val="00DA4847"/>
    <w:rsid w:val="00DC1220"/>
    <w:rsid w:val="00DD3C1E"/>
    <w:rsid w:val="00DD3E87"/>
    <w:rsid w:val="00DE5F6F"/>
    <w:rsid w:val="00E25EFE"/>
    <w:rsid w:val="00E30F7B"/>
    <w:rsid w:val="00E361F4"/>
    <w:rsid w:val="00E6136F"/>
    <w:rsid w:val="00E66031"/>
    <w:rsid w:val="00E816B4"/>
    <w:rsid w:val="00E854D4"/>
    <w:rsid w:val="00E87119"/>
    <w:rsid w:val="00EA0EA7"/>
    <w:rsid w:val="00ED031A"/>
    <w:rsid w:val="00F06D03"/>
    <w:rsid w:val="00F31295"/>
    <w:rsid w:val="00F342A9"/>
    <w:rsid w:val="00F97199"/>
    <w:rsid w:val="00FC28DC"/>
    <w:rsid w:val="00FD3C0E"/>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654D7B35"/>
  <w14:defaultImageDpi w14:val="300"/>
  <w15:docId w15:val="{6D72E5DB-14DC-4002-8DBC-A808BC60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BE624F"/>
    <w:pPr>
      <w:keepNext/>
      <w:keepLines/>
      <w:numPr>
        <w:numId w:val="2"/>
      </w:numPr>
      <w:jc w:val="both"/>
      <w:outlineLvl w:val="0"/>
    </w:pPr>
    <w:rPr>
      <w:rFonts w:eastAsiaTheme="majorEastAsia" w:cstheme="majorBidi"/>
      <w:b/>
      <w:bCs/>
      <w:sz w:val="24"/>
      <w:szCs w:val="28"/>
    </w:rPr>
  </w:style>
  <w:style w:type="paragraph" w:styleId="Ttulo2">
    <w:name w:val="heading 2"/>
    <w:basedOn w:val="Normal"/>
    <w:next w:val="Normal"/>
    <w:link w:val="Ttulo2Char"/>
    <w:uiPriority w:val="9"/>
    <w:unhideWhenUsed/>
    <w:qFormat/>
    <w:rsid w:val="00BE624F"/>
    <w:pPr>
      <w:keepNext/>
      <w:keepLines/>
      <w:numPr>
        <w:ilvl w:val="1"/>
        <w:numId w:val="2"/>
      </w:numPr>
      <w:spacing w:before="200"/>
      <w:jc w:val="both"/>
      <w:outlineLvl w:val="1"/>
    </w:pPr>
    <w:rPr>
      <w:rFonts w:eastAsiaTheme="majorEastAsia" w:cstheme="majorBidi"/>
      <w:b/>
      <w:bCs/>
      <w:sz w:val="24"/>
      <w:szCs w:val="26"/>
    </w:rPr>
  </w:style>
  <w:style w:type="paragraph" w:styleId="Ttulo3">
    <w:name w:val="heading 3"/>
    <w:basedOn w:val="Normal"/>
    <w:next w:val="Normal"/>
    <w:link w:val="Ttulo3Char"/>
    <w:uiPriority w:val="9"/>
    <w:unhideWhenUsed/>
    <w:qFormat/>
    <w:rsid w:val="00BE624F"/>
    <w:pPr>
      <w:keepNext/>
      <w:keepLines/>
      <w:numPr>
        <w:ilvl w:val="2"/>
        <w:numId w:val="2"/>
      </w:numPr>
      <w:spacing w:before="200"/>
      <w:jc w:val="both"/>
      <w:outlineLvl w:val="2"/>
    </w:pPr>
    <w:rPr>
      <w:rFonts w:asciiTheme="majorHAnsi" w:eastAsiaTheme="majorEastAsia" w:hAnsiTheme="majorHAnsi" w:cstheme="majorBidi"/>
      <w:b/>
      <w:bCs/>
      <w:color w:val="4472C4" w:themeColor="accent1"/>
      <w:sz w:val="24"/>
    </w:rPr>
  </w:style>
  <w:style w:type="paragraph" w:styleId="Ttulo4">
    <w:name w:val="heading 4"/>
    <w:basedOn w:val="Normal"/>
    <w:next w:val="Normal"/>
    <w:link w:val="Ttulo4Char"/>
    <w:uiPriority w:val="9"/>
    <w:semiHidden/>
    <w:unhideWhenUsed/>
    <w:qFormat/>
    <w:rsid w:val="00BE624F"/>
    <w:pPr>
      <w:keepNext/>
      <w:keepLines/>
      <w:numPr>
        <w:ilvl w:val="3"/>
        <w:numId w:val="2"/>
      </w:numPr>
      <w:spacing w:before="200"/>
      <w:jc w:val="both"/>
      <w:outlineLvl w:val="3"/>
    </w:pPr>
    <w:rPr>
      <w:rFonts w:asciiTheme="majorHAnsi" w:eastAsiaTheme="majorEastAsia" w:hAnsiTheme="majorHAnsi" w:cstheme="majorBidi"/>
      <w:b/>
      <w:bCs/>
      <w:i/>
      <w:iCs/>
      <w:color w:val="4472C4" w:themeColor="accent1"/>
      <w:sz w:val="24"/>
    </w:rPr>
  </w:style>
  <w:style w:type="paragraph" w:styleId="Ttulo5">
    <w:name w:val="heading 5"/>
    <w:basedOn w:val="Normal"/>
    <w:next w:val="Normal"/>
    <w:link w:val="Ttulo5Char"/>
    <w:uiPriority w:val="9"/>
    <w:semiHidden/>
    <w:unhideWhenUsed/>
    <w:qFormat/>
    <w:rsid w:val="00BE624F"/>
    <w:pPr>
      <w:keepNext/>
      <w:keepLines/>
      <w:numPr>
        <w:ilvl w:val="4"/>
        <w:numId w:val="2"/>
      </w:numPr>
      <w:spacing w:before="200"/>
      <w:jc w:val="both"/>
      <w:outlineLvl w:val="4"/>
    </w:pPr>
    <w:rPr>
      <w:rFonts w:asciiTheme="majorHAnsi" w:eastAsiaTheme="majorEastAsia" w:hAnsiTheme="majorHAnsi" w:cstheme="majorBidi"/>
      <w:color w:val="1F3763" w:themeColor="accent1" w:themeShade="7F"/>
      <w:sz w:val="24"/>
    </w:rPr>
  </w:style>
  <w:style w:type="paragraph" w:styleId="Ttulo6">
    <w:name w:val="heading 6"/>
    <w:basedOn w:val="Normal"/>
    <w:next w:val="Normal"/>
    <w:link w:val="Ttulo6Char"/>
    <w:uiPriority w:val="9"/>
    <w:semiHidden/>
    <w:unhideWhenUsed/>
    <w:qFormat/>
    <w:rsid w:val="00BE624F"/>
    <w:pPr>
      <w:keepNext/>
      <w:keepLines/>
      <w:numPr>
        <w:ilvl w:val="5"/>
        <w:numId w:val="2"/>
      </w:numPr>
      <w:spacing w:before="200"/>
      <w:jc w:val="both"/>
      <w:outlineLvl w:val="5"/>
    </w:pPr>
    <w:rPr>
      <w:rFonts w:asciiTheme="majorHAnsi" w:eastAsiaTheme="majorEastAsia" w:hAnsiTheme="majorHAnsi" w:cstheme="majorBidi"/>
      <w:i/>
      <w:iCs/>
      <w:color w:val="1F3763" w:themeColor="accent1" w:themeShade="7F"/>
      <w:sz w:val="24"/>
    </w:rPr>
  </w:style>
  <w:style w:type="paragraph" w:styleId="Ttulo7">
    <w:name w:val="heading 7"/>
    <w:basedOn w:val="Normal"/>
    <w:next w:val="Normal"/>
    <w:link w:val="Ttulo7Char"/>
    <w:uiPriority w:val="9"/>
    <w:semiHidden/>
    <w:unhideWhenUsed/>
    <w:qFormat/>
    <w:rsid w:val="00BE624F"/>
    <w:pPr>
      <w:keepNext/>
      <w:keepLines/>
      <w:numPr>
        <w:ilvl w:val="6"/>
        <w:numId w:val="2"/>
      </w:numPr>
      <w:spacing w:before="200"/>
      <w:jc w:val="both"/>
      <w:outlineLvl w:val="6"/>
    </w:pPr>
    <w:rPr>
      <w:rFonts w:asciiTheme="majorHAnsi" w:eastAsiaTheme="majorEastAsia" w:hAnsiTheme="majorHAnsi" w:cstheme="majorBidi"/>
      <w:i/>
      <w:iCs/>
      <w:color w:val="404040" w:themeColor="text1" w:themeTint="BF"/>
      <w:sz w:val="24"/>
    </w:rPr>
  </w:style>
  <w:style w:type="paragraph" w:styleId="Ttulo8">
    <w:name w:val="heading 8"/>
    <w:basedOn w:val="Normal"/>
    <w:next w:val="Normal"/>
    <w:link w:val="Ttulo8Char"/>
    <w:uiPriority w:val="9"/>
    <w:semiHidden/>
    <w:unhideWhenUsed/>
    <w:qFormat/>
    <w:rsid w:val="00BE624F"/>
    <w:pPr>
      <w:keepNext/>
      <w:keepLines/>
      <w:numPr>
        <w:ilvl w:val="7"/>
        <w:numId w:val="2"/>
      </w:numPr>
      <w:spacing w:before="200"/>
      <w:jc w:val="both"/>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har"/>
    <w:uiPriority w:val="9"/>
    <w:semiHidden/>
    <w:unhideWhenUsed/>
    <w:qFormat/>
    <w:rsid w:val="00BE624F"/>
    <w:pPr>
      <w:keepNext/>
      <w:keepLines/>
      <w:numPr>
        <w:ilvl w:val="8"/>
        <w:numId w:val="2"/>
      </w:numPr>
      <w:spacing w:before="200"/>
      <w:jc w:val="both"/>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paragraph" w:customStyle="1" w:styleId="Default">
    <w:name w:val="Default"/>
    <w:rsid w:val="002F0227"/>
    <w:pPr>
      <w:autoSpaceDE w:val="0"/>
      <w:autoSpaceDN w:val="0"/>
      <w:adjustRightInd w:val="0"/>
    </w:pPr>
    <w:rPr>
      <w:rFonts w:ascii="Times New Roman" w:hAnsi="Times New Roman" w:cs="Times New Roman"/>
      <w:color w:val="000000"/>
    </w:rPr>
  </w:style>
  <w:style w:type="character" w:styleId="Refdecomentrio">
    <w:name w:val="annotation reference"/>
    <w:basedOn w:val="Fontepargpadro"/>
    <w:uiPriority w:val="99"/>
    <w:semiHidden/>
    <w:unhideWhenUsed/>
    <w:rsid w:val="002F0227"/>
    <w:rPr>
      <w:sz w:val="18"/>
      <w:szCs w:val="18"/>
    </w:rPr>
  </w:style>
  <w:style w:type="paragraph" w:styleId="Textodecomentrio">
    <w:name w:val="annotation text"/>
    <w:basedOn w:val="Normal"/>
    <w:link w:val="TextodecomentrioChar"/>
    <w:uiPriority w:val="99"/>
    <w:unhideWhenUsed/>
    <w:rsid w:val="002F0227"/>
    <w:pPr>
      <w:suppressAutoHyphens w:val="0"/>
      <w:spacing w:after="200"/>
      <w:ind w:firstLine="709"/>
      <w:jc w:val="both"/>
    </w:pPr>
    <w:rPr>
      <w:rFonts w:asciiTheme="minorHAnsi" w:eastAsiaTheme="minorHAnsi" w:hAnsiTheme="minorHAnsi" w:cstheme="minorBidi"/>
      <w:sz w:val="24"/>
      <w:szCs w:val="24"/>
      <w:lang w:eastAsia="en-US"/>
    </w:rPr>
  </w:style>
  <w:style w:type="character" w:customStyle="1" w:styleId="TextodecomentrioChar">
    <w:name w:val="Texto de comentário Char"/>
    <w:basedOn w:val="Fontepargpadro"/>
    <w:link w:val="Textodecomentrio"/>
    <w:uiPriority w:val="99"/>
    <w:rsid w:val="002F0227"/>
  </w:style>
  <w:style w:type="character" w:customStyle="1" w:styleId="Ttulo1Char">
    <w:name w:val="Título 1 Char"/>
    <w:basedOn w:val="Fontepargpadro"/>
    <w:link w:val="Ttulo1"/>
    <w:uiPriority w:val="9"/>
    <w:rsid w:val="00BE624F"/>
    <w:rPr>
      <w:rFonts w:ascii="Times New Roman" w:eastAsiaTheme="majorEastAsia" w:hAnsi="Times New Roman" w:cstheme="majorBidi"/>
      <w:b/>
      <w:bCs/>
      <w:szCs w:val="28"/>
      <w:lang w:eastAsia="pt-BR"/>
    </w:rPr>
  </w:style>
  <w:style w:type="character" w:customStyle="1" w:styleId="Ttulo2Char">
    <w:name w:val="Título 2 Char"/>
    <w:basedOn w:val="Fontepargpadro"/>
    <w:link w:val="Ttulo2"/>
    <w:uiPriority w:val="9"/>
    <w:rsid w:val="00BE624F"/>
    <w:rPr>
      <w:rFonts w:ascii="Times New Roman" w:eastAsiaTheme="majorEastAsia" w:hAnsi="Times New Roman" w:cstheme="majorBidi"/>
      <w:b/>
      <w:bCs/>
      <w:szCs w:val="26"/>
      <w:lang w:eastAsia="pt-BR"/>
    </w:rPr>
  </w:style>
  <w:style w:type="character" w:customStyle="1" w:styleId="Ttulo3Char">
    <w:name w:val="Título 3 Char"/>
    <w:basedOn w:val="Fontepargpadro"/>
    <w:link w:val="Ttulo3"/>
    <w:uiPriority w:val="9"/>
    <w:rsid w:val="00BE624F"/>
    <w:rPr>
      <w:rFonts w:asciiTheme="majorHAnsi" w:eastAsiaTheme="majorEastAsia" w:hAnsiTheme="majorHAnsi" w:cstheme="majorBidi"/>
      <w:b/>
      <w:bCs/>
      <w:color w:val="4472C4" w:themeColor="accent1"/>
      <w:szCs w:val="20"/>
      <w:lang w:eastAsia="pt-BR"/>
    </w:rPr>
  </w:style>
  <w:style w:type="character" w:customStyle="1" w:styleId="Ttulo4Char">
    <w:name w:val="Título 4 Char"/>
    <w:basedOn w:val="Fontepargpadro"/>
    <w:link w:val="Ttulo4"/>
    <w:uiPriority w:val="9"/>
    <w:semiHidden/>
    <w:rsid w:val="00BE624F"/>
    <w:rPr>
      <w:rFonts w:asciiTheme="majorHAnsi" w:eastAsiaTheme="majorEastAsia" w:hAnsiTheme="majorHAnsi" w:cstheme="majorBidi"/>
      <w:b/>
      <w:bCs/>
      <w:i/>
      <w:iCs/>
      <w:color w:val="4472C4" w:themeColor="accent1"/>
      <w:szCs w:val="20"/>
      <w:lang w:eastAsia="pt-BR"/>
    </w:rPr>
  </w:style>
  <w:style w:type="character" w:customStyle="1" w:styleId="Ttulo5Char">
    <w:name w:val="Título 5 Char"/>
    <w:basedOn w:val="Fontepargpadro"/>
    <w:link w:val="Ttulo5"/>
    <w:uiPriority w:val="9"/>
    <w:semiHidden/>
    <w:rsid w:val="00BE624F"/>
    <w:rPr>
      <w:rFonts w:asciiTheme="majorHAnsi" w:eastAsiaTheme="majorEastAsia" w:hAnsiTheme="majorHAnsi" w:cstheme="majorBidi"/>
      <w:color w:val="1F3763" w:themeColor="accent1" w:themeShade="7F"/>
      <w:szCs w:val="20"/>
      <w:lang w:eastAsia="pt-BR"/>
    </w:rPr>
  </w:style>
  <w:style w:type="character" w:customStyle="1" w:styleId="Ttulo6Char">
    <w:name w:val="Título 6 Char"/>
    <w:basedOn w:val="Fontepargpadro"/>
    <w:link w:val="Ttulo6"/>
    <w:uiPriority w:val="9"/>
    <w:semiHidden/>
    <w:rsid w:val="00BE624F"/>
    <w:rPr>
      <w:rFonts w:asciiTheme="majorHAnsi" w:eastAsiaTheme="majorEastAsia" w:hAnsiTheme="majorHAnsi" w:cstheme="majorBidi"/>
      <w:i/>
      <w:iCs/>
      <w:color w:val="1F3763" w:themeColor="accent1" w:themeShade="7F"/>
      <w:szCs w:val="20"/>
      <w:lang w:eastAsia="pt-BR"/>
    </w:rPr>
  </w:style>
  <w:style w:type="character" w:customStyle="1" w:styleId="Ttulo7Char">
    <w:name w:val="Título 7 Char"/>
    <w:basedOn w:val="Fontepargpadro"/>
    <w:link w:val="Ttulo7"/>
    <w:uiPriority w:val="9"/>
    <w:semiHidden/>
    <w:rsid w:val="00BE624F"/>
    <w:rPr>
      <w:rFonts w:asciiTheme="majorHAnsi" w:eastAsiaTheme="majorEastAsia" w:hAnsiTheme="majorHAnsi" w:cstheme="majorBidi"/>
      <w:i/>
      <w:iCs/>
      <w:color w:val="404040" w:themeColor="text1" w:themeTint="BF"/>
      <w:szCs w:val="20"/>
      <w:lang w:eastAsia="pt-BR"/>
    </w:rPr>
  </w:style>
  <w:style w:type="character" w:customStyle="1" w:styleId="Ttulo8Char">
    <w:name w:val="Título 8 Char"/>
    <w:basedOn w:val="Fontepargpadro"/>
    <w:link w:val="Ttulo8"/>
    <w:uiPriority w:val="9"/>
    <w:semiHidden/>
    <w:rsid w:val="00BE624F"/>
    <w:rPr>
      <w:rFonts w:asciiTheme="majorHAnsi" w:eastAsiaTheme="majorEastAsia" w:hAnsiTheme="majorHAnsi" w:cstheme="majorBidi"/>
      <w:color w:val="404040" w:themeColor="text1" w:themeTint="BF"/>
      <w:sz w:val="20"/>
      <w:szCs w:val="20"/>
      <w:lang w:eastAsia="pt-BR"/>
    </w:rPr>
  </w:style>
  <w:style w:type="character" w:customStyle="1" w:styleId="Ttulo9Char">
    <w:name w:val="Título 9 Char"/>
    <w:basedOn w:val="Fontepargpadro"/>
    <w:link w:val="Ttulo9"/>
    <w:uiPriority w:val="9"/>
    <w:semiHidden/>
    <w:rsid w:val="00BE624F"/>
    <w:rPr>
      <w:rFonts w:asciiTheme="majorHAnsi" w:eastAsiaTheme="majorEastAsia" w:hAnsiTheme="majorHAnsi" w:cstheme="majorBidi"/>
      <w:i/>
      <w:iCs/>
      <w:color w:val="404040" w:themeColor="text1" w:themeTint="BF"/>
      <w:sz w:val="20"/>
      <w:szCs w:val="20"/>
      <w:lang w:eastAsia="pt-BR"/>
    </w:rPr>
  </w:style>
  <w:style w:type="character" w:styleId="Hyperlink">
    <w:name w:val="Hyperlink"/>
    <w:basedOn w:val="Fontepargpadro"/>
    <w:uiPriority w:val="99"/>
    <w:unhideWhenUsed/>
    <w:rsid w:val="00BE624F"/>
    <w:rPr>
      <w:color w:val="0563C1" w:themeColor="hyperlink"/>
      <w:u w:val="single"/>
    </w:rPr>
  </w:style>
  <w:style w:type="character" w:customStyle="1" w:styleId="apple-converted-space">
    <w:name w:val="apple-converted-space"/>
    <w:basedOn w:val="Fontepargpadro"/>
    <w:rsid w:val="00BE624F"/>
  </w:style>
  <w:style w:type="character" w:customStyle="1" w:styleId="fontstyle01">
    <w:name w:val="fontstyle01"/>
    <w:basedOn w:val="Fontepargpadro"/>
    <w:rsid w:val="00BE624F"/>
    <w:rPr>
      <w:rFonts w:ascii="Palatino Linotype" w:hAnsi="Palatino Linotype" w:hint="default"/>
      <w:b w:val="0"/>
      <w:bCs w:val="0"/>
      <w:i w:val="0"/>
      <w:iCs w:val="0"/>
      <w:color w:val="000000"/>
      <w:sz w:val="24"/>
      <w:szCs w:val="24"/>
    </w:rPr>
  </w:style>
  <w:style w:type="paragraph" w:customStyle="1" w:styleId="xmsonormal">
    <w:name w:val="x_msonormal"/>
    <w:basedOn w:val="Normal"/>
    <w:rsid w:val="00BE624F"/>
    <w:pPr>
      <w:suppressAutoHyphens w:val="0"/>
      <w:spacing w:before="100" w:beforeAutospacing="1" w:after="100" w:afterAutospacing="1"/>
    </w:pPr>
    <w:rPr>
      <w:sz w:val="24"/>
      <w:szCs w:val="24"/>
    </w:rPr>
  </w:style>
  <w:style w:type="paragraph" w:styleId="Assuntodocomentrio">
    <w:name w:val="annotation subject"/>
    <w:basedOn w:val="Textodecomentrio"/>
    <w:next w:val="Textodecomentrio"/>
    <w:link w:val="AssuntodocomentrioChar"/>
    <w:uiPriority w:val="99"/>
    <w:semiHidden/>
    <w:unhideWhenUsed/>
    <w:rsid w:val="00527DF2"/>
    <w:pPr>
      <w:suppressAutoHyphens/>
      <w:spacing w:after="0"/>
      <w:ind w:firstLine="0"/>
      <w:jc w:val="left"/>
    </w:pPr>
    <w:rPr>
      <w:rFonts w:ascii="Times New Roman" w:eastAsia="Times New Roman" w:hAnsi="Times New Roman" w:cs="Times New Roman"/>
      <w:b/>
      <w:bCs/>
      <w:sz w:val="20"/>
      <w:szCs w:val="20"/>
      <w:lang w:eastAsia="pt-BR"/>
    </w:rPr>
  </w:style>
  <w:style w:type="character" w:customStyle="1" w:styleId="AssuntodocomentrioChar">
    <w:name w:val="Assunto do comentário Char"/>
    <w:basedOn w:val="TextodecomentrioChar"/>
    <w:link w:val="Assuntodocomentrio"/>
    <w:uiPriority w:val="99"/>
    <w:semiHidden/>
    <w:rsid w:val="00527DF2"/>
    <w:rPr>
      <w:rFonts w:ascii="Times New Roman" w:eastAsia="Times New Roman" w:hAnsi="Times New Roman" w:cs="Times New Roman"/>
      <w:b/>
      <w:bCs/>
      <w:sz w:val="20"/>
      <w:szCs w:val="20"/>
      <w:lang w:eastAsia="pt-BR"/>
    </w:rPr>
  </w:style>
  <w:style w:type="character" w:styleId="Forte">
    <w:name w:val="Strong"/>
    <w:basedOn w:val="Fontepargpadro"/>
    <w:uiPriority w:val="22"/>
    <w:qFormat/>
    <w:rsid w:val="000E179F"/>
    <w:rPr>
      <w:b/>
      <w:bCs/>
    </w:rPr>
  </w:style>
  <w:style w:type="character" w:customStyle="1" w:styleId="apple-style-span">
    <w:name w:val="apple-style-span"/>
    <w:basedOn w:val="Fontepargpadro"/>
    <w:rsid w:val="000E179F"/>
  </w:style>
  <w:style w:type="table" w:styleId="SombreamentoClaro">
    <w:name w:val="Light Shading"/>
    <w:basedOn w:val="Tabelanormal"/>
    <w:uiPriority w:val="60"/>
    <w:rsid w:val="000E179F"/>
    <w:rPr>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egenda">
    <w:name w:val="caption"/>
    <w:basedOn w:val="Normal"/>
    <w:next w:val="Normal"/>
    <w:uiPriority w:val="35"/>
    <w:unhideWhenUsed/>
    <w:qFormat/>
    <w:rsid w:val="000E179F"/>
    <w:pPr>
      <w:suppressAutoHyphens w:val="0"/>
      <w:spacing w:after="200"/>
    </w:pPr>
    <w:rPr>
      <w:rFonts w:asciiTheme="minorHAnsi" w:eastAsiaTheme="minorHAnsi" w:hAnsiTheme="minorHAnsi" w:cstheme="minorBidi"/>
      <w:b/>
      <w:bCs/>
      <w:color w:val="4472C4" w:themeColor="accent1"/>
      <w:sz w:val="18"/>
      <w:szCs w:val="18"/>
      <w:lang w:eastAsia="en-US"/>
    </w:rPr>
  </w:style>
  <w:style w:type="paragraph" w:styleId="Textodenotaderodap">
    <w:name w:val="footnote text"/>
    <w:basedOn w:val="Normal"/>
    <w:link w:val="TextodenotaderodapChar"/>
    <w:uiPriority w:val="99"/>
    <w:semiHidden/>
    <w:unhideWhenUsed/>
    <w:rsid w:val="000E179F"/>
    <w:pPr>
      <w:ind w:firstLine="709"/>
      <w:jc w:val="both"/>
    </w:pPr>
  </w:style>
  <w:style w:type="character" w:customStyle="1" w:styleId="TextodenotaderodapChar">
    <w:name w:val="Texto de nota de rodapé Char"/>
    <w:basedOn w:val="Fontepargpadro"/>
    <w:link w:val="Textodenotaderodap"/>
    <w:uiPriority w:val="99"/>
    <w:semiHidden/>
    <w:rsid w:val="000E179F"/>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0E179F"/>
    <w:rPr>
      <w:vertAlign w:val="superscript"/>
    </w:rPr>
  </w:style>
  <w:style w:type="paragraph" w:styleId="Reviso">
    <w:name w:val="Revision"/>
    <w:hidden/>
    <w:uiPriority w:val="99"/>
    <w:semiHidden/>
    <w:rsid w:val="00B83E5C"/>
    <w:rPr>
      <w:rFonts w:ascii="Times New Roman" w:eastAsia="Times New Roman" w:hAnsi="Times New Roman" w:cs="Times New Roman"/>
      <w:sz w:val="20"/>
      <w:szCs w:val="20"/>
      <w:lang w:eastAsia="pt-BR"/>
    </w:rPr>
  </w:style>
  <w:style w:type="character" w:styleId="nfase">
    <w:name w:val="Emphasis"/>
    <w:basedOn w:val="Fontepargpadro"/>
    <w:uiPriority w:val="20"/>
    <w:qFormat/>
    <w:rsid w:val="002F585A"/>
    <w:rPr>
      <w:i/>
      <w:iCs/>
    </w:rPr>
  </w:style>
  <w:style w:type="table" w:styleId="Tabelacomgrade">
    <w:name w:val="Table Grid"/>
    <w:basedOn w:val="Tabelanormal"/>
    <w:uiPriority w:val="59"/>
    <w:rsid w:val="00D818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ontepargpadro"/>
    <w:uiPriority w:val="99"/>
    <w:semiHidden/>
    <w:unhideWhenUsed/>
    <w:rsid w:val="00A35A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_ato2011-2014/2014/lei/l13019.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ndrovs@usp.b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eses.usp.br/teses/disponiveis/12/12136/tde-06072017-094150/" TargetMode="External"/><Relationship Id="rId4" Type="http://schemas.openxmlformats.org/officeDocument/2006/relationships/webSettings" Target="webSettings.xml"/><Relationship Id="rId9" Type="http://schemas.openxmlformats.org/officeDocument/2006/relationships/hyperlink" Target="http://www.planalto.gov.br/ccivil_03/_ato2015-2018/2015/lei/l13204.ht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15</Pages>
  <Words>7834</Words>
  <Characters>42304</Characters>
  <Application>Microsoft Office Word</Application>
  <DocSecurity>0</DocSecurity>
  <Lines>352</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2018-04-27T12:03:00Z</dcterms:created>
  <dcterms:modified xsi:type="dcterms:W3CDTF">2018-04-27T18:44:00Z</dcterms:modified>
</cp:coreProperties>
</file>