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1756E" w14:textId="77777777" w:rsidR="0036377D" w:rsidRDefault="0036377D" w:rsidP="0036377D">
      <w:pPr>
        <w:jc w:val="center"/>
        <w:rPr>
          <w:b/>
          <w:sz w:val="24"/>
        </w:rPr>
      </w:pPr>
    </w:p>
    <w:p w14:paraId="4A7EF709" w14:textId="5DA54F2B" w:rsidR="00B41AC1" w:rsidRDefault="00AD6A88" w:rsidP="00527DF2">
      <w:pPr>
        <w:jc w:val="center"/>
        <w:rPr>
          <w:b/>
          <w:sz w:val="24"/>
        </w:rPr>
      </w:pPr>
      <w:r>
        <w:rPr>
          <w:b/>
          <w:sz w:val="24"/>
        </w:rPr>
        <w:t>Indicadores d</w:t>
      </w:r>
      <w:r w:rsidR="00527DF2">
        <w:rPr>
          <w:b/>
          <w:sz w:val="24"/>
        </w:rPr>
        <w:t>e Sustentabilidade: Análise do Critério da Produtividade e</w:t>
      </w:r>
      <w:r w:rsidR="00527DF2" w:rsidRPr="002F0227">
        <w:rPr>
          <w:b/>
          <w:sz w:val="24"/>
        </w:rPr>
        <w:t>m Pro</w:t>
      </w:r>
      <w:r w:rsidR="00527DF2">
        <w:rPr>
          <w:b/>
          <w:sz w:val="24"/>
        </w:rPr>
        <w:t xml:space="preserve">priedades Agrícolas Familiares do </w:t>
      </w:r>
      <w:r w:rsidR="008D4C49">
        <w:rPr>
          <w:b/>
          <w:sz w:val="24"/>
        </w:rPr>
        <w:t>E</w:t>
      </w:r>
      <w:r w:rsidR="00527DF2">
        <w:rPr>
          <w:b/>
          <w:sz w:val="24"/>
        </w:rPr>
        <w:t>stado d</w:t>
      </w:r>
      <w:r w:rsidR="00527DF2" w:rsidRPr="002F0227">
        <w:rPr>
          <w:b/>
          <w:sz w:val="24"/>
        </w:rPr>
        <w:t>e Santa Catarina</w:t>
      </w:r>
    </w:p>
    <w:p w14:paraId="29DB06B4" w14:textId="529CF850" w:rsidR="00A701A6" w:rsidRDefault="00A701A6" w:rsidP="00527DF2">
      <w:pPr>
        <w:jc w:val="center"/>
        <w:rPr>
          <w:b/>
          <w:sz w:val="24"/>
        </w:rPr>
      </w:pPr>
    </w:p>
    <w:p w14:paraId="3F2B2EA5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Amanda Manes Koch</w:t>
      </w:r>
      <w:r>
        <w:rPr>
          <w:rStyle w:val="eop"/>
        </w:rPr>
        <w:t> </w:t>
      </w:r>
    </w:p>
    <w:p w14:paraId="76A932D9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Universidade Federal de Santa Catarina (UFSC)</w:t>
      </w:r>
      <w:r>
        <w:rPr>
          <w:rStyle w:val="eop"/>
        </w:rPr>
        <w:t> </w:t>
      </w:r>
    </w:p>
    <w:p w14:paraId="5410B6E7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amandamaneskoch@hotmail.com</w:t>
      </w:r>
      <w:r>
        <w:rPr>
          <w:rStyle w:val="eop"/>
        </w:rPr>
        <w:t> </w:t>
      </w:r>
    </w:p>
    <w:p w14:paraId="2045905D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C00E76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Elizabeth </w:t>
      </w:r>
      <w:proofErr w:type="spellStart"/>
      <w:r>
        <w:rPr>
          <w:rStyle w:val="spellingerror"/>
          <w:b/>
          <w:bCs/>
        </w:rPr>
        <w:t>Guesser</w:t>
      </w:r>
      <w:proofErr w:type="spellEnd"/>
      <w:r>
        <w:rPr>
          <w:rStyle w:val="normaltextrun"/>
          <w:b/>
          <w:bCs/>
        </w:rPr>
        <w:t> Leite</w:t>
      </w:r>
      <w:r>
        <w:rPr>
          <w:rStyle w:val="eop"/>
        </w:rPr>
        <w:t> </w:t>
      </w:r>
    </w:p>
    <w:p w14:paraId="0DF79412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Universidade Federal de Santa Catarina (UFSC)</w:t>
      </w:r>
      <w:r>
        <w:rPr>
          <w:rStyle w:val="eop"/>
        </w:rPr>
        <w:t> </w:t>
      </w:r>
    </w:p>
    <w:p w14:paraId="6DF829CA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beth_gleite@hotmail.com </w:t>
      </w:r>
      <w:r>
        <w:rPr>
          <w:rStyle w:val="eop"/>
        </w:rPr>
        <w:t> </w:t>
      </w:r>
    </w:p>
    <w:p w14:paraId="64680D83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DB406C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Janaina </w:t>
      </w:r>
      <w:proofErr w:type="spellStart"/>
      <w:r>
        <w:rPr>
          <w:rStyle w:val="spellingerror"/>
          <w:b/>
          <w:bCs/>
        </w:rPr>
        <w:t>Comim</w:t>
      </w:r>
      <w:proofErr w:type="spellEnd"/>
      <w:r>
        <w:rPr>
          <w:rStyle w:val="eop"/>
        </w:rPr>
        <w:t> </w:t>
      </w:r>
    </w:p>
    <w:p w14:paraId="24431CF1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Universidade Federal de Santa Catarina (UFSC)</w:t>
      </w:r>
      <w:r>
        <w:rPr>
          <w:rStyle w:val="eop"/>
        </w:rPr>
        <w:t> </w:t>
      </w:r>
    </w:p>
    <w:p w14:paraId="3DBA1BBF" w14:textId="18E60A00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normaltextrun"/>
        </w:rPr>
        <w:t>comim.janaina@hotmail.com</w:t>
      </w:r>
      <w:r>
        <w:rPr>
          <w:rStyle w:val="eop"/>
        </w:rPr>
        <w:t> </w:t>
      </w:r>
    </w:p>
    <w:p w14:paraId="4C1A66A2" w14:textId="77777777" w:rsid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AEEF57E" w14:textId="2BE03D61" w:rsidR="00A701A6" w:rsidRPr="00A701A6" w:rsidRDefault="00A701A6" w:rsidP="00A701A6">
      <w:pPr>
        <w:jc w:val="right"/>
        <w:rPr>
          <w:b/>
          <w:sz w:val="24"/>
          <w:szCs w:val="24"/>
        </w:rPr>
      </w:pPr>
      <w:proofErr w:type="spellStart"/>
      <w:r w:rsidRPr="00A701A6">
        <w:rPr>
          <w:b/>
          <w:sz w:val="24"/>
          <w:szCs w:val="24"/>
        </w:rPr>
        <w:t>Denize</w:t>
      </w:r>
      <w:proofErr w:type="spellEnd"/>
      <w:r w:rsidRPr="00A701A6">
        <w:rPr>
          <w:b/>
          <w:sz w:val="24"/>
          <w:szCs w:val="24"/>
        </w:rPr>
        <w:t xml:space="preserve"> </w:t>
      </w:r>
      <w:proofErr w:type="spellStart"/>
      <w:r w:rsidRPr="00A701A6">
        <w:rPr>
          <w:b/>
          <w:sz w:val="24"/>
          <w:szCs w:val="24"/>
        </w:rPr>
        <w:t>Demarche</w:t>
      </w:r>
      <w:proofErr w:type="spellEnd"/>
      <w:r w:rsidRPr="00A701A6">
        <w:rPr>
          <w:b/>
          <w:sz w:val="24"/>
          <w:szCs w:val="24"/>
        </w:rPr>
        <w:t xml:space="preserve"> </w:t>
      </w:r>
      <w:proofErr w:type="spellStart"/>
      <w:r w:rsidRPr="00A701A6">
        <w:rPr>
          <w:b/>
          <w:sz w:val="24"/>
          <w:szCs w:val="24"/>
        </w:rPr>
        <w:t>Minatti</w:t>
      </w:r>
      <w:proofErr w:type="spellEnd"/>
      <w:r w:rsidRPr="00A701A6">
        <w:rPr>
          <w:b/>
          <w:sz w:val="24"/>
          <w:szCs w:val="24"/>
        </w:rPr>
        <w:t xml:space="preserve"> Ferreira</w:t>
      </w:r>
    </w:p>
    <w:p w14:paraId="549F74A0" w14:textId="009587E6" w:rsidR="00A701A6" w:rsidRPr="00A701A6" w:rsidRDefault="00A701A6" w:rsidP="00A701A6">
      <w:pPr>
        <w:pStyle w:val="paragraph"/>
        <w:spacing w:before="0" w:beforeAutospacing="0" w:after="0" w:afterAutospacing="0"/>
        <w:jc w:val="right"/>
        <w:textAlignment w:val="baseline"/>
      </w:pPr>
      <w:r w:rsidRPr="00A701A6">
        <w:rPr>
          <w:rStyle w:val="normaltextrun"/>
        </w:rPr>
        <w:t>Universidade Federal de Santa Catarina (UFSC)</w:t>
      </w:r>
      <w:r w:rsidRPr="00A701A6">
        <w:rPr>
          <w:rStyle w:val="normaltextrun"/>
        </w:rPr>
        <w:br/>
      </w:r>
      <w:r w:rsidRPr="00A701A6">
        <w:rPr>
          <w:shd w:val="clear" w:color="auto" w:fill="FFFFFF"/>
        </w:rPr>
        <w:t>denize.minatti@ufsc.br</w:t>
      </w:r>
    </w:p>
    <w:p w14:paraId="03D7E92B" w14:textId="038B43E5" w:rsidR="00B41AC1" w:rsidRDefault="00B41AC1" w:rsidP="00B41AC1">
      <w:pPr>
        <w:jc w:val="center"/>
        <w:rPr>
          <w:b/>
          <w:color w:val="999999"/>
        </w:rPr>
      </w:pPr>
    </w:p>
    <w:p w14:paraId="10B86AA8" w14:textId="77777777" w:rsidR="00A701A6" w:rsidRDefault="00A701A6" w:rsidP="00B41AC1">
      <w:pPr>
        <w:jc w:val="center"/>
        <w:rPr>
          <w:b/>
          <w:color w:val="999999"/>
        </w:rPr>
      </w:pPr>
    </w:p>
    <w:p w14:paraId="464952F3" w14:textId="51E7A7A9" w:rsidR="0078691B" w:rsidRPr="00B4607E" w:rsidRDefault="00C34174" w:rsidP="0078691B">
      <w:pPr>
        <w:jc w:val="both"/>
        <w:rPr>
          <w:sz w:val="24"/>
          <w:szCs w:val="24"/>
        </w:rPr>
      </w:pPr>
      <w:r w:rsidRPr="00B4607E">
        <w:rPr>
          <w:b/>
          <w:sz w:val="24"/>
          <w:szCs w:val="24"/>
        </w:rPr>
        <w:t xml:space="preserve">Resumo: </w:t>
      </w:r>
      <w:r w:rsidRPr="00B4607E">
        <w:rPr>
          <w:sz w:val="24"/>
          <w:szCs w:val="24"/>
        </w:rPr>
        <w:t xml:space="preserve">A agricultura é umas das atividades com maior relevância econômica para o Sul do país, sendo </w:t>
      </w:r>
      <w:r w:rsidRPr="00B4607E">
        <w:rPr>
          <w:rFonts w:eastAsia="MS Mincho"/>
          <w:sz w:val="24"/>
          <w:szCs w:val="24"/>
        </w:rPr>
        <w:t>Santa Catarina o estado dessa região com maior percentual de estabelecimentos familiares</w:t>
      </w:r>
      <w:r w:rsidRPr="00B4607E">
        <w:rPr>
          <w:sz w:val="24"/>
          <w:szCs w:val="24"/>
        </w:rPr>
        <w:t>. Nesse cenário, o presente artigo tem como objetivo analisar os indicadores econômicos, sociais e ambientais das propriedades agrícolas do estado de Santa Catarina, pelo critério da produtividade. Os dados analisados foram co</w:t>
      </w:r>
      <w:r w:rsidR="00AD6A88">
        <w:rPr>
          <w:sz w:val="24"/>
          <w:szCs w:val="24"/>
        </w:rPr>
        <w:t xml:space="preserve">letados </w:t>
      </w:r>
      <w:r w:rsidR="006C7B25">
        <w:rPr>
          <w:sz w:val="24"/>
          <w:szCs w:val="24"/>
        </w:rPr>
        <w:t xml:space="preserve">no </w:t>
      </w:r>
      <w:r w:rsidR="00AD6A88">
        <w:rPr>
          <w:sz w:val="24"/>
          <w:szCs w:val="24"/>
        </w:rPr>
        <w:t xml:space="preserve">sistema </w:t>
      </w:r>
      <w:proofErr w:type="spellStart"/>
      <w:r w:rsidR="00AD6A88">
        <w:rPr>
          <w:sz w:val="24"/>
          <w:szCs w:val="24"/>
        </w:rPr>
        <w:t>Cont</w:t>
      </w:r>
      <w:r w:rsidRPr="00B4607E">
        <w:rPr>
          <w:sz w:val="24"/>
          <w:szCs w:val="24"/>
        </w:rPr>
        <w:t>agri</w:t>
      </w:r>
      <w:proofErr w:type="spellEnd"/>
      <w:r w:rsidRPr="00B4607E">
        <w:rPr>
          <w:sz w:val="24"/>
          <w:szCs w:val="24"/>
        </w:rPr>
        <w:t>, dispo</w:t>
      </w:r>
      <w:bookmarkStart w:id="0" w:name="_GoBack"/>
      <w:bookmarkEnd w:id="0"/>
      <w:r w:rsidRPr="00B4607E">
        <w:rPr>
          <w:sz w:val="24"/>
          <w:szCs w:val="24"/>
        </w:rPr>
        <w:t>nibilizado pela Empresa de Pesquisa Agropecuária e Extensão Rural de Santa Catarina (</w:t>
      </w:r>
      <w:proofErr w:type="spellStart"/>
      <w:r w:rsidRPr="00B4607E">
        <w:rPr>
          <w:sz w:val="24"/>
          <w:szCs w:val="24"/>
        </w:rPr>
        <w:t>E</w:t>
      </w:r>
      <w:r w:rsidR="00083E9A" w:rsidRPr="00B4607E">
        <w:rPr>
          <w:sz w:val="24"/>
          <w:szCs w:val="24"/>
        </w:rPr>
        <w:t>pagri</w:t>
      </w:r>
      <w:proofErr w:type="spellEnd"/>
      <w:r w:rsidRPr="00B4607E">
        <w:rPr>
          <w:sz w:val="24"/>
          <w:szCs w:val="24"/>
        </w:rPr>
        <w:t>), e referem-se aos anos agrícolas de 2015/2016 e 2016/2017. A amostra abrange 73 propriedades de agricultura familiar</w:t>
      </w:r>
      <w:r w:rsidR="00FA0A1A" w:rsidRPr="00B4607E">
        <w:rPr>
          <w:sz w:val="24"/>
          <w:szCs w:val="24"/>
        </w:rPr>
        <w:t xml:space="preserve"> em ambos períodos</w:t>
      </w:r>
      <w:r w:rsidRPr="00B4607E">
        <w:rPr>
          <w:sz w:val="24"/>
          <w:szCs w:val="24"/>
        </w:rPr>
        <w:t>. Com base no critério da produtividade, percebe</w:t>
      </w:r>
      <w:r w:rsidR="00314DDD">
        <w:rPr>
          <w:sz w:val="24"/>
          <w:szCs w:val="24"/>
        </w:rPr>
        <w:t>u</w:t>
      </w:r>
      <w:r w:rsidRPr="00B4607E">
        <w:rPr>
          <w:sz w:val="24"/>
          <w:szCs w:val="24"/>
        </w:rPr>
        <w:t>-se que o indicador da dimensão econômica</w:t>
      </w:r>
      <w:r w:rsidR="00A66D44" w:rsidRPr="00B4607E">
        <w:rPr>
          <w:sz w:val="24"/>
          <w:szCs w:val="24"/>
        </w:rPr>
        <w:t xml:space="preserve"> </w:t>
      </w:r>
      <w:r w:rsidR="00314DDD">
        <w:rPr>
          <w:sz w:val="24"/>
          <w:szCs w:val="24"/>
        </w:rPr>
        <w:t xml:space="preserve">apontou </w:t>
      </w:r>
      <w:r w:rsidR="003D0116">
        <w:rPr>
          <w:sz w:val="24"/>
          <w:szCs w:val="24"/>
        </w:rPr>
        <w:t xml:space="preserve">que </w:t>
      </w:r>
      <w:r w:rsidR="00A66D44" w:rsidRPr="00B4607E">
        <w:rPr>
          <w:sz w:val="24"/>
          <w:szCs w:val="24"/>
        </w:rPr>
        <w:t xml:space="preserve">no segundo ano </w:t>
      </w:r>
      <w:r w:rsidR="003D0116">
        <w:rPr>
          <w:sz w:val="24"/>
          <w:szCs w:val="24"/>
        </w:rPr>
        <w:t xml:space="preserve">as </w:t>
      </w:r>
      <w:r w:rsidR="00A66D44" w:rsidRPr="00B4607E">
        <w:rPr>
          <w:sz w:val="24"/>
          <w:szCs w:val="24"/>
        </w:rPr>
        <w:t xml:space="preserve">propriedades </w:t>
      </w:r>
      <w:r w:rsidR="003D0116">
        <w:rPr>
          <w:sz w:val="24"/>
          <w:szCs w:val="24"/>
        </w:rPr>
        <w:t>tiveram maior</w:t>
      </w:r>
      <w:r w:rsidR="00A716B6" w:rsidRPr="00B4607E">
        <w:rPr>
          <w:sz w:val="24"/>
          <w:szCs w:val="24"/>
        </w:rPr>
        <w:t xml:space="preserve"> </w:t>
      </w:r>
      <w:r w:rsidR="003D0116">
        <w:rPr>
          <w:rFonts w:eastAsia="Calibri"/>
          <w:sz w:val="24"/>
          <w:szCs w:val="24"/>
        </w:rPr>
        <w:t>capacidade de</w:t>
      </w:r>
      <w:r w:rsidR="00A66D44" w:rsidRPr="00B4607E">
        <w:rPr>
          <w:rFonts w:eastAsia="Calibri"/>
          <w:sz w:val="24"/>
          <w:szCs w:val="24"/>
        </w:rPr>
        <w:t xml:space="preserve"> gerar riqueza </w:t>
      </w:r>
      <w:r w:rsidR="003D0116">
        <w:rPr>
          <w:rFonts w:eastAsia="Calibri"/>
          <w:sz w:val="24"/>
          <w:szCs w:val="24"/>
        </w:rPr>
        <w:t>em relação ao seu capital investido</w:t>
      </w:r>
      <w:r w:rsidRPr="00B4607E">
        <w:rPr>
          <w:sz w:val="24"/>
          <w:szCs w:val="24"/>
        </w:rPr>
        <w:t xml:space="preserve">. </w:t>
      </w:r>
      <w:r w:rsidR="003D0116">
        <w:rPr>
          <w:sz w:val="24"/>
          <w:szCs w:val="24"/>
        </w:rPr>
        <w:t>Tratando-se do indicador da</w:t>
      </w:r>
      <w:r w:rsidRPr="00B4607E">
        <w:rPr>
          <w:sz w:val="24"/>
          <w:szCs w:val="24"/>
        </w:rPr>
        <w:t xml:space="preserve"> dimensão social, </w:t>
      </w:r>
      <w:r w:rsidR="00314DDD">
        <w:rPr>
          <w:sz w:val="24"/>
          <w:szCs w:val="24"/>
        </w:rPr>
        <w:t>observou</w:t>
      </w:r>
      <w:r w:rsidR="003D0116">
        <w:rPr>
          <w:sz w:val="24"/>
          <w:szCs w:val="24"/>
        </w:rPr>
        <w:t xml:space="preserve">-se que no ano agrícola </w:t>
      </w:r>
      <w:r w:rsidR="003A68D4" w:rsidRPr="00B4607E">
        <w:rPr>
          <w:sz w:val="24"/>
          <w:szCs w:val="24"/>
        </w:rPr>
        <w:t xml:space="preserve">2016/2017 houve </w:t>
      </w:r>
      <w:r w:rsidR="003D0116">
        <w:rPr>
          <w:sz w:val="24"/>
          <w:szCs w:val="24"/>
        </w:rPr>
        <w:t>um crescimento significativo</w:t>
      </w:r>
      <w:r w:rsidR="003A68D4" w:rsidRPr="00B4607E">
        <w:rPr>
          <w:sz w:val="24"/>
          <w:szCs w:val="24"/>
        </w:rPr>
        <w:t xml:space="preserve"> </w:t>
      </w:r>
      <w:r w:rsidR="003D0116">
        <w:rPr>
          <w:sz w:val="24"/>
          <w:szCs w:val="24"/>
        </w:rPr>
        <w:t xml:space="preserve">na </w:t>
      </w:r>
      <w:r w:rsidR="003A68D4" w:rsidRPr="00B4607E">
        <w:rPr>
          <w:sz w:val="24"/>
          <w:szCs w:val="24"/>
        </w:rPr>
        <w:t xml:space="preserve">sustentabilidade das </w:t>
      </w:r>
      <w:r w:rsidR="00996AB3">
        <w:rPr>
          <w:sz w:val="24"/>
          <w:szCs w:val="24"/>
        </w:rPr>
        <w:t>unidades de produção</w:t>
      </w:r>
      <w:r w:rsidR="00F52045">
        <w:rPr>
          <w:sz w:val="24"/>
          <w:szCs w:val="24"/>
        </w:rPr>
        <w:t xml:space="preserve"> agrícola</w:t>
      </w:r>
      <w:r w:rsidR="00BE532C" w:rsidRPr="00B4607E">
        <w:rPr>
          <w:sz w:val="24"/>
          <w:szCs w:val="24"/>
        </w:rPr>
        <w:t xml:space="preserve">. </w:t>
      </w:r>
      <w:r w:rsidRPr="00B4607E">
        <w:rPr>
          <w:sz w:val="24"/>
          <w:szCs w:val="24"/>
        </w:rPr>
        <w:t>Por fim, o terceiro indicador, o qual refere-se à dimensão ambiental</w:t>
      </w:r>
      <w:r w:rsidR="0078331C" w:rsidRPr="00B4607E">
        <w:rPr>
          <w:sz w:val="24"/>
          <w:szCs w:val="24"/>
        </w:rPr>
        <w:t xml:space="preserve">, </w:t>
      </w:r>
      <w:r w:rsidR="00314DDD">
        <w:rPr>
          <w:sz w:val="24"/>
          <w:szCs w:val="24"/>
        </w:rPr>
        <w:t>verificou</w:t>
      </w:r>
      <w:r w:rsidR="00996AB3">
        <w:rPr>
          <w:sz w:val="24"/>
          <w:szCs w:val="24"/>
        </w:rPr>
        <w:t>-se</w:t>
      </w:r>
      <w:r w:rsidR="00B4607E" w:rsidRPr="00B4607E">
        <w:rPr>
          <w:sz w:val="24"/>
          <w:szCs w:val="24"/>
        </w:rPr>
        <w:t xml:space="preserve"> que as </w:t>
      </w:r>
      <w:r w:rsidR="0078691B" w:rsidRPr="00B4607E">
        <w:rPr>
          <w:rFonts w:eastAsiaTheme="minorEastAsia"/>
          <w:sz w:val="24"/>
          <w:szCs w:val="24"/>
          <w:lang w:eastAsia="en-US"/>
        </w:rPr>
        <w:t xml:space="preserve">propriedades estão gerando mais riquezas em relação a área útil da propriedade. </w:t>
      </w:r>
      <w:r w:rsidR="00E60173">
        <w:rPr>
          <w:rFonts w:eastAsiaTheme="minorEastAsia"/>
          <w:sz w:val="24"/>
          <w:szCs w:val="24"/>
          <w:lang w:eastAsia="en-US"/>
        </w:rPr>
        <w:t xml:space="preserve">Ao </w:t>
      </w:r>
      <w:r w:rsidR="00645C72">
        <w:rPr>
          <w:rFonts w:eastAsiaTheme="minorEastAsia"/>
          <w:sz w:val="24"/>
          <w:szCs w:val="24"/>
          <w:lang w:eastAsia="en-US"/>
        </w:rPr>
        <w:t xml:space="preserve">se fazer uma </w:t>
      </w:r>
      <w:r w:rsidR="00E60173">
        <w:rPr>
          <w:rFonts w:eastAsiaTheme="minorEastAsia"/>
          <w:sz w:val="24"/>
          <w:szCs w:val="24"/>
          <w:lang w:eastAsia="en-US"/>
        </w:rPr>
        <w:t>an</w:t>
      </w:r>
      <w:r w:rsidR="00645C72">
        <w:rPr>
          <w:rFonts w:eastAsiaTheme="minorEastAsia"/>
          <w:sz w:val="24"/>
          <w:szCs w:val="24"/>
          <w:lang w:eastAsia="en-US"/>
        </w:rPr>
        <w:t>álise global</w:t>
      </w:r>
      <w:r w:rsidR="00996AB3">
        <w:rPr>
          <w:rFonts w:eastAsiaTheme="minorEastAsia"/>
          <w:sz w:val="24"/>
          <w:szCs w:val="24"/>
          <w:lang w:eastAsia="en-US"/>
        </w:rPr>
        <w:t xml:space="preserve"> dos indicadores e comparar </w:t>
      </w:r>
      <w:r w:rsidR="00E60173">
        <w:rPr>
          <w:rFonts w:eastAsiaTheme="minorEastAsia"/>
          <w:sz w:val="24"/>
          <w:szCs w:val="24"/>
          <w:lang w:eastAsia="en-US"/>
        </w:rPr>
        <w:t>os períodos</w:t>
      </w:r>
      <w:r w:rsidR="003D0116">
        <w:rPr>
          <w:rFonts w:eastAsiaTheme="minorEastAsia"/>
          <w:sz w:val="24"/>
          <w:szCs w:val="24"/>
          <w:lang w:eastAsia="en-US"/>
        </w:rPr>
        <w:t xml:space="preserve"> estudados, percebe</w:t>
      </w:r>
      <w:r w:rsidR="00314DDD">
        <w:rPr>
          <w:rFonts w:eastAsiaTheme="minorEastAsia"/>
          <w:sz w:val="24"/>
          <w:szCs w:val="24"/>
          <w:lang w:eastAsia="en-US"/>
        </w:rPr>
        <w:t>u</w:t>
      </w:r>
      <w:r w:rsidR="00E60173">
        <w:rPr>
          <w:rFonts w:eastAsiaTheme="minorEastAsia"/>
          <w:sz w:val="24"/>
          <w:szCs w:val="24"/>
          <w:lang w:eastAsia="en-US"/>
        </w:rPr>
        <w:t xml:space="preserve">-se </w:t>
      </w:r>
      <w:r w:rsidR="003D0116">
        <w:rPr>
          <w:rFonts w:eastAsiaTheme="minorEastAsia"/>
          <w:sz w:val="24"/>
          <w:szCs w:val="24"/>
          <w:lang w:eastAsia="en-US"/>
        </w:rPr>
        <w:t xml:space="preserve">uma </w:t>
      </w:r>
      <w:r w:rsidR="00F52045">
        <w:rPr>
          <w:rFonts w:eastAsiaTheme="minorEastAsia"/>
          <w:sz w:val="24"/>
          <w:szCs w:val="24"/>
          <w:lang w:eastAsia="en-US"/>
        </w:rPr>
        <w:t>evolução</w:t>
      </w:r>
      <w:r w:rsidR="009260BD">
        <w:rPr>
          <w:rFonts w:eastAsiaTheme="minorEastAsia"/>
          <w:sz w:val="24"/>
          <w:szCs w:val="24"/>
          <w:lang w:eastAsia="en-US"/>
        </w:rPr>
        <w:t xml:space="preserve"> das propriedades de agricultura familiar, referente aos</w:t>
      </w:r>
      <w:r w:rsidR="003D0116">
        <w:rPr>
          <w:rFonts w:eastAsiaTheme="minorEastAsia"/>
          <w:sz w:val="24"/>
          <w:szCs w:val="24"/>
          <w:lang w:eastAsia="en-US"/>
        </w:rPr>
        <w:t xml:space="preserve"> três pilares da sustentabilidade</w:t>
      </w:r>
      <w:r w:rsidR="00DE0387">
        <w:rPr>
          <w:rFonts w:eastAsiaTheme="minorEastAsia"/>
          <w:sz w:val="24"/>
          <w:szCs w:val="24"/>
          <w:lang w:eastAsia="en-US"/>
        </w:rPr>
        <w:t xml:space="preserve"> aqui propostos</w:t>
      </w:r>
      <w:r w:rsidR="003D0116">
        <w:rPr>
          <w:rFonts w:eastAsiaTheme="minorEastAsia"/>
          <w:sz w:val="24"/>
          <w:szCs w:val="24"/>
          <w:lang w:eastAsia="en-US"/>
        </w:rPr>
        <w:t>.</w:t>
      </w:r>
    </w:p>
    <w:p w14:paraId="5632E4AD" w14:textId="77777777" w:rsidR="002F0227" w:rsidRDefault="002F0227" w:rsidP="002F0227">
      <w:pPr>
        <w:rPr>
          <w:b/>
          <w:szCs w:val="24"/>
        </w:rPr>
      </w:pPr>
    </w:p>
    <w:p w14:paraId="52D214C3" w14:textId="2B825285" w:rsidR="00B41AC1" w:rsidRPr="00527DF2" w:rsidRDefault="002F0227" w:rsidP="00B41AC1">
      <w:pPr>
        <w:rPr>
          <w:sz w:val="24"/>
          <w:szCs w:val="24"/>
        </w:rPr>
      </w:pPr>
      <w:r w:rsidRPr="002F0227">
        <w:rPr>
          <w:b/>
          <w:bCs/>
          <w:sz w:val="24"/>
          <w:szCs w:val="24"/>
        </w:rPr>
        <w:t xml:space="preserve">Palavras-chave: </w:t>
      </w:r>
      <w:r w:rsidR="00065CFF">
        <w:rPr>
          <w:sz w:val="24"/>
          <w:szCs w:val="24"/>
        </w:rPr>
        <w:t>Agricultura F</w:t>
      </w:r>
      <w:r w:rsidRPr="002F0227">
        <w:rPr>
          <w:sz w:val="24"/>
          <w:szCs w:val="24"/>
        </w:rPr>
        <w:t>amiliar; Produtividade; Indicadores de Sustentabilidade.</w:t>
      </w:r>
    </w:p>
    <w:p w14:paraId="60737134" w14:textId="77777777" w:rsidR="00B41AC1" w:rsidRPr="002F0227" w:rsidRDefault="00B41AC1" w:rsidP="00B41AC1">
      <w:pPr>
        <w:rPr>
          <w:sz w:val="24"/>
          <w:szCs w:val="24"/>
          <w:highlight w:val="yellow"/>
        </w:rPr>
      </w:pPr>
    </w:p>
    <w:p w14:paraId="47CAB51A" w14:textId="2EB81191" w:rsidR="00B41AC1" w:rsidRPr="0036377D" w:rsidRDefault="00B41AC1" w:rsidP="00B41AC1">
      <w:pPr>
        <w:rPr>
          <w:sz w:val="24"/>
          <w:szCs w:val="24"/>
        </w:rPr>
      </w:pPr>
      <w:r w:rsidRPr="00527DF2">
        <w:rPr>
          <w:b/>
          <w:sz w:val="24"/>
          <w:szCs w:val="24"/>
        </w:rPr>
        <w:t>Linha Temática:</w:t>
      </w:r>
      <w:r>
        <w:rPr>
          <w:b/>
          <w:sz w:val="24"/>
          <w:szCs w:val="24"/>
        </w:rPr>
        <w:t xml:space="preserve"> </w:t>
      </w:r>
      <w:r w:rsidR="00527DF2">
        <w:rPr>
          <w:sz w:val="24"/>
          <w:szCs w:val="24"/>
        </w:rPr>
        <w:t xml:space="preserve">Demais temas relevantes em </w:t>
      </w:r>
      <w:r w:rsidR="00314DDD">
        <w:rPr>
          <w:sz w:val="24"/>
          <w:szCs w:val="24"/>
        </w:rPr>
        <w:t>C</w:t>
      </w:r>
      <w:r w:rsidR="00314DDD" w:rsidRPr="00527DF2">
        <w:rPr>
          <w:sz w:val="24"/>
          <w:szCs w:val="24"/>
        </w:rPr>
        <w:t>ontabilidade</w:t>
      </w:r>
      <w:r w:rsidR="00527DF2" w:rsidRPr="00527DF2">
        <w:rPr>
          <w:sz w:val="24"/>
          <w:szCs w:val="24"/>
        </w:rPr>
        <w:t>.</w:t>
      </w:r>
    </w:p>
    <w:p w14:paraId="46927EC9" w14:textId="77777777" w:rsidR="00B41AC1" w:rsidRDefault="00B41AC1" w:rsidP="00B41AC1"/>
    <w:p w14:paraId="7D16C4C6" w14:textId="77777777" w:rsidR="00B41AC1" w:rsidRDefault="00B41AC1" w:rsidP="00B41AC1"/>
    <w:p w14:paraId="6D87E560" w14:textId="77777777" w:rsidR="00B41AC1" w:rsidRDefault="00B41AC1" w:rsidP="00B41AC1"/>
    <w:p w14:paraId="1177810C" w14:textId="77777777" w:rsidR="00B41AC1" w:rsidRDefault="00B41AC1" w:rsidP="00B41AC1"/>
    <w:p w14:paraId="309E75DD" w14:textId="77777777" w:rsidR="00B41AC1" w:rsidRDefault="00B41AC1" w:rsidP="00B41AC1"/>
    <w:p w14:paraId="4A1C6438" w14:textId="77777777" w:rsidR="00B41AC1" w:rsidRDefault="00B41AC1" w:rsidP="00B41AC1"/>
    <w:p w14:paraId="3E3D9661" w14:textId="77777777" w:rsidR="00B41AC1" w:rsidRDefault="00B41AC1" w:rsidP="00B41AC1"/>
    <w:p w14:paraId="5BBEDF81" w14:textId="77777777" w:rsidR="00B41AC1" w:rsidRDefault="00B41AC1" w:rsidP="00B41AC1"/>
    <w:p w14:paraId="449130A7" w14:textId="77777777" w:rsidR="00B41AC1" w:rsidRDefault="00B41AC1" w:rsidP="00B41AC1"/>
    <w:p w14:paraId="110459E0" w14:textId="77777777" w:rsidR="00B41AC1" w:rsidRDefault="00B41AC1" w:rsidP="00B41AC1"/>
    <w:p w14:paraId="6BD65D23" w14:textId="1307201F" w:rsidR="00B41AC1" w:rsidRDefault="00B41AC1" w:rsidP="00B41AC1"/>
    <w:p w14:paraId="56B2E3D9" w14:textId="7636090D" w:rsidR="00B41AC1" w:rsidRPr="00BE624F" w:rsidRDefault="00BE624F" w:rsidP="00B41AC1">
      <w:pPr>
        <w:rPr>
          <w:b/>
          <w:sz w:val="24"/>
          <w:szCs w:val="24"/>
        </w:rPr>
      </w:pPr>
      <w:r w:rsidRPr="00BE624F">
        <w:rPr>
          <w:b/>
          <w:sz w:val="24"/>
          <w:szCs w:val="24"/>
        </w:rPr>
        <w:lastRenderedPageBreak/>
        <w:t>1 INTRODUÇÃO</w:t>
      </w:r>
    </w:p>
    <w:p w14:paraId="3D2F11BC" w14:textId="77777777" w:rsidR="0028108E" w:rsidRDefault="0028108E" w:rsidP="00BE624F">
      <w:pPr>
        <w:ind w:firstLine="708"/>
        <w:jc w:val="both"/>
        <w:rPr>
          <w:sz w:val="24"/>
          <w:szCs w:val="24"/>
        </w:rPr>
      </w:pPr>
    </w:p>
    <w:p w14:paraId="525A2FBE" w14:textId="6B51D396" w:rsidR="00BE624F" w:rsidRPr="004C44F6" w:rsidRDefault="00BE624F" w:rsidP="00BE624F">
      <w:pPr>
        <w:ind w:firstLine="708"/>
        <w:jc w:val="both"/>
        <w:rPr>
          <w:sz w:val="24"/>
          <w:szCs w:val="24"/>
        </w:rPr>
      </w:pPr>
      <w:r w:rsidRPr="004C44F6">
        <w:rPr>
          <w:sz w:val="24"/>
          <w:szCs w:val="24"/>
        </w:rPr>
        <w:t>Encarregada por garantir a qualidade do consumo de alimentos da população, a agricultura familiar pode ser definida como o conjunto das unidades produtivas agropecuárias com exploração em regime de economia familiar, compreendendo aquelas atividades realizadas em pequenas e médias propriedades, com mão de obra da própria família (S</w:t>
      </w:r>
      <w:r w:rsidR="008A2087" w:rsidRPr="004C44F6">
        <w:rPr>
          <w:sz w:val="24"/>
          <w:szCs w:val="24"/>
        </w:rPr>
        <w:t>oares</w:t>
      </w:r>
      <w:r w:rsidR="00FE7A08" w:rsidRPr="004C44F6">
        <w:rPr>
          <w:sz w:val="24"/>
          <w:szCs w:val="24"/>
        </w:rPr>
        <w:t>,</w:t>
      </w:r>
      <w:r w:rsidRPr="004C44F6">
        <w:rPr>
          <w:sz w:val="24"/>
          <w:szCs w:val="24"/>
        </w:rPr>
        <w:t xml:space="preserve"> M</w:t>
      </w:r>
      <w:r w:rsidR="008A2087" w:rsidRPr="004C44F6">
        <w:rPr>
          <w:sz w:val="24"/>
          <w:szCs w:val="24"/>
        </w:rPr>
        <w:t>elo</w:t>
      </w:r>
      <w:r w:rsidR="00FE7A08" w:rsidRPr="004C44F6">
        <w:rPr>
          <w:sz w:val="24"/>
          <w:szCs w:val="24"/>
        </w:rPr>
        <w:t xml:space="preserve"> &amp;</w:t>
      </w:r>
      <w:r w:rsidRPr="004C44F6">
        <w:rPr>
          <w:sz w:val="24"/>
          <w:szCs w:val="24"/>
        </w:rPr>
        <w:t xml:space="preserve"> C</w:t>
      </w:r>
      <w:r w:rsidR="008A2087" w:rsidRPr="004C44F6">
        <w:rPr>
          <w:sz w:val="24"/>
          <w:szCs w:val="24"/>
        </w:rPr>
        <w:t>haves</w:t>
      </w:r>
      <w:r w:rsidRPr="004C44F6">
        <w:rPr>
          <w:sz w:val="24"/>
          <w:szCs w:val="24"/>
        </w:rPr>
        <w:t>, 2009).</w:t>
      </w:r>
    </w:p>
    <w:p w14:paraId="68E66436" w14:textId="3F58728D" w:rsidR="00BE624F" w:rsidRPr="004C44F6" w:rsidRDefault="00BE624F" w:rsidP="00BE624F">
      <w:pPr>
        <w:pStyle w:val="NormalWeb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4C44F6">
        <w:rPr>
          <w:sz w:val="24"/>
          <w:szCs w:val="24"/>
        </w:rPr>
        <w:t xml:space="preserve">A agricultura é uma das atividades de maior relevância para o </w:t>
      </w:r>
      <w:r w:rsidR="00314DDD">
        <w:rPr>
          <w:sz w:val="24"/>
          <w:szCs w:val="24"/>
        </w:rPr>
        <w:t>s</w:t>
      </w:r>
      <w:r w:rsidR="00314DDD" w:rsidRPr="004C44F6">
        <w:rPr>
          <w:sz w:val="24"/>
          <w:szCs w:val="24"/>
        </w:rPr>
        <w:t xml:space="preserve">ul </w:t>
      </w:r>
      <w:r w:rsidRPr="004C44F6">
        <w:rPr>
          <w:sz w:val="24"/>
          <w:szCs w:val="24"/>
        </w:rPr>
        <w:t>do país, sendo parte da tradição local e responsável por uma grande parte da geração de empregos do local. O fato do setor agrícola da região possuir um clima subtropical com suas quatro estações bem definidas</w:t>
      </w:r>
      <w:r w:rsidR="00DE0387">
        <w:rPr>
          <w:sz w:val="24"/>
          <w:szCs w:val="24"/>
        </w:rPr>
        <w:t>,</w:t>
      </w:r>
      <w:r w:rsidRPr="004C44F6">
        <w:rPr>
          <w:sz w:val="24"/>
          <w:szCs w:val="24"/>
        </w:rPr>
        <w:t xml:space="preserve"> contribui de forma significativa para fortalecer a economia não só da </w:t>
      </w:r>
      <w:r w:rsidR="00DE0387">
        <w:rPr>
          <w:sz w:val="24"/>
          <w:szCs w:val="24"/>
        </w:rPr>
        <w:t>R</w:t>
      </w:r>
      <w:r w:rsidRPr="004C44F6">
        <w:rPr>
          <w:sz w:val="24"/>
          <w:szCs w:val="24"/>
        </w:rPr>
        <w:t>egião Sul, mas também do país (F</w:t>
      </w:r>
      <w:r w:rsidR="005853E5" w:rsidRPr="004C44F6">
        <w:rPr>
          <w:sz w:val="24"/>
          <w:szCs w:val="24"/>
        </w:rPr>
        <w:t>urtado</w:t>
      </w:r>
      <w:r w:rsidR="00FE7A08" w:rsidRPr="004C44F6">
        <w:rPr>
          <w:sz w:val="24"/>
          <w:szCs w:val="24"/>
        </w:rPr>
        <w:t>,</w:t>
      </w:r>
      <w:r w:rsidRPr="004C44F6">
        <w:rPr>
          <w:sz w:val="24"/>
          <w:szCs w:val="24"/>
        </w:rPr>
        <w:t xml:space="preserve"> R</w:t>
      </w:r>
      <w:r w:rsidR="005853E5" w:rsidRPr="004C44F6">
        <w:rPr>
          <w:sz w:val="24"/>
          <w:szCs w:val="24"/>
        </w:rPr>
        <w:t>over</w:t>
      </w:r>
      <w:r w:rsidR="00FE7A08" w:rsidRPr="004C44F6">
        <w:rPr>
          <w:sz w:val="24"/>
          <w:szCs w:val="24"/>
        </w:rPr>
        <w:t xml:space="preserve"> &amp;</w:t>
      </w:r>
      <w:r w:rsidRPr="004C44F6">
        <w:rPr>
          <w:sz w:val="24"/>
          <w:szCs w:val="24"/>
        </w:rPr>
        <w:t xml:space="preserve"> </w:t>
      </w:r>
      <w:proofErr w:type="spellStart"/>
      <w:r w:rsidRPr="004C44F6">
        <w:rPr>
          <w:sz w:val="24"/>
          <w:szCs w:val="24"/>
        </w:rPr>
        <w:t>A</w:t>
      </w:r>
      <w:r w:rsidR="005853E5" w:rsidRPr="004C44F6">
        <w:rPr>
          <w:sz w:val="24"/>
          <w:szCs w:val="24"/>
        </w:rPr>
        <w:t>raujo</w:t>
      </w:r>
      <w:proofErr w:type="spellEnd"/>
      <w:r w:rsidRPr="004C44F6">
        <w:rPr>
          <w:sz w:val="24"/>
          <w:szCs w:val="24"/>
        </w:rPr>
        <w:t>, 2017).</w:t>
      </w:r>
    </w:p>
    <w:p w14:paraId="699F63CD" w14:textId="77777777" w:rsidR="00BE624F" w:rsidRPr="004C44F6" w:rsidRDefault="00BE624F" w:rsidP="00BE624F">
      <w:pPr>
        <w:pStyle w:val="NormalWeb"/>
        <w:spacing w:before="0" w:beforeAutospacing="0" w:after="0" w:afterAutospacing="0"/>
        <w:ind w:firstLine="708"/>
        <w:jc w:val="both"/>
        <w:rPr>
          <w:rFonts w:eastAsia="MS Mincho"/>
          <w:sz w:val="24"/>
          <w:szCs w:val="24"/>
        </w:rPr>
      </w:pPr>
      <w:r w:rsidRPr="004C44F6">
        <w:rPr>
          <w:sz w:val="24"/>
          <w:szCs w:val="24"/>
        </w:rPr>
        <w:t xml:space="preserve">De </w:t>
      </w:r>
      <w:r w:rsidRPr="004C44F6">
        <w:rPr>
          <w:rFonts w:eastAsia="MS Mincho"/>
          <w:sz w:val="24"/>
          <w:szCs w:val="24"/>
        </w:rPr>
        <w:t>acordo com o Censo Agropecuário (2006), o número de estabelecimentos na Região Sul é, em sua maioria, de propriedades de agricultores familiares. Santa Catarina é o estado dessa região em que há maior percentual de estabelecimentos familiares, verificando-se assim a relevância de estudar a agricultura familiar dessa região.</w:t>
      </w:r>
    </w:p>
    <w:p w14:paraId="22C496CD" w14:textId="5F9E4DC2" w:rsidR="00BE624F" w:rsidRPr="004C44F6" w:rsidRDefault="00BE624F" w:rsidP="00BE624F">
      <w:pPr>
        <w:pStyle w:val="NormalWeb"/>
        <w:spacing w:before="0" w:beforeAutospacing="0" w:after="0" w:afterAutospacing="0"/>
        <w:ind w:firstLine="708"/>
        <w:jc w:val="both"/>
        <w:rPr>
          <w:rFonts w:eastAsia="MS Mincho"/>
          <w:sz w:val="24"/>
          <w:szCs w:val="24"/>
        </w:rPr>
      </w:pPr>
      <w:r w:rsidRPr="004C44F6">
        <w:rPr>
          <w:sz w:val="24"/>
          <w:szCs w:val="24"/>
        </w:rPr>
        <w:t>A atividade agrícola é o principal meio de interação entre o homem e a natureza, sendo responsável por grandes transformações no meio ambiente, logo, pelos maiores impactos ambientais (M</w:t>
      </w:r>
      <w:r w:rsidR="005853E5" w:rsidRPr="004C44F6">
        <w:rPr>
          <w:sz w:val="24"/>
          <w:szCs w:val="24"/>
        </w:rPr>
        <w:t>oura</w:t>
      </w:r>
      <w:r w:rsidR="00FE7A08" w:rsidRPr="004C44F6">
        <w:rPr>
          <w:sz w:val="24"/>
          <w:szCs w:val="24"/>
        </w:rPr>
        <w:t>,</w:t>
      </w:r>
      <w:r w:rsidRPr="004C44F6">
        <w:rPr>
          <w:sz w:val="24"/>
          <w:szCs w:val="24"/>
        </w:rPr>
        <w:t xml:space="preserve"> A</w:t>
      </w:r>
      <w:r w:rsidR="005853E5" w:rsidRPr="004C44F6">
        <w:rPr>
          <w:sz w:val="24"/>
          <w:szCs w:val="24"/>
        </w:rPr>
        <w:t>lmeida</w:t>
      </w:r>
      <w:r w:rsidR="00FE7A08" w:rsidRPr="004C44F6">
        <w:rPr>
          <w:sz w:val="24"/>
          <w:szCs w:val="24"/>
        </w:rPr>
        <w:t xml:space="preserve"> &amp;</w:t>
      </w:r>
      <w:r w:rsidRPr="004C44F6">
        <w:rPr>
          <w:sz w:val="24"/>
          <w:szCs w:val="24"/>
        </w:rPr>
        <w:t xml:space="preserve"> M</w:t>
      </w:r>
      <w:r w:rsidR="005853E5" w:rsidRPr="004C44F6">
        <w:rPr>
          <w:sz w:val="24"/>
          <w:szCs w:val="24"/>
        </w:rPr>
        <w:t>iguel</w:t>
      </w:r>
      <w:r w:rsidRPr="004C44F6">
        <w:rPr>
          <w:sz w:val="24"/>
          <w:szCs w:val="24"/>
        </w:rPr>
        <w:t>, 2004). A maneira como essa atividade é conduzida afeta o meio ambiente em que se insere, portanto, buscar a sustentabilidade na agricultura é fundamental para o desenvolvimento sustentável da sociedade em geral (</w:t>
      </w:r>
      <w:proofErr w:type="spellStart"/>
      <w:r w:rsidRPr="004C44F6">
        <w:rPr>
          <w:sz w:val="24"/>
          <w:szCs w:val="24"/>
        </w:rPr>
        <w:t>C</w:t>
      </w:r>
      <w:r w:rsidR="005853E5" w:rsidRPr="004C44F6">
        <w:rPr>
          <w:sz w:val="24"/>
          <w:szCs w:val="24"/>
        </w:rPr>
        <w:t>onway</w:t>
      </w:r>
      <w:proofErr w:type="spellEnd"/>
      <w:r w:rsidR="005853E5" w:rsidRPr="004C44F6">
        <w:rPr>
          <w:sz w:val="24"/>
          <w:szCs w:val="24"/>
        </w:rPr>
        <w:t xml:space="preserve"> &amp;</w:t>
      </w:r>
      <w:r w:rsidRPr="004C44F6">
        <w:rPr>
          <w:sz w:val="24"/>
          <w:szCs w:val="24"/>
        </w:rPr>
        <w:t xml:space="preserve"> </w:t>
      </w:r>
      <w:proofErr w:type="spellStart"/>
      <w:r w:rsidRPr="004C44F6">
        <w:rPr>
          <w:sz w:val="24"/>
          <w:szCs w:val="24"/>
        </w:rPr>
        <w:t>B</w:t>
      </w:r>
      <w:r w:rsidR="005853E5" w:rsidRPr="004C44F6">
        <w:rPr>
          <w:sz w:val="24"/>
          <w:szCs w:val="24"/>
        </w:rPr>
        <w:t>arbier</w:t>
      </w:r>
      <w:proofErr w:type="spellEnd"/>
      <w:r w:rsidRPr="004C44F6">
        <w:rPr>
          <w:sz w:val="24"/>
          <w:szCs w:val="24"/>
        </w:rPr>
        <w:t>, 2013).</w:t>
      </w:r>
    </w:p>
    <w:p w14:paraId="47B6E101" w14:textId="3F2F6B5B" w:rsidR="00BE624F" w:rsidRPr="004C44F6" w:rsidRDefault="00BE624F" w:rsidP="00527DF2">
      <w:pPr>
        <w:pStyle w:val="NormalWeb"/>
        <w:spacing w:before="0" w:beforeAutospacing="0" w:after="0" w:afterAutospacing="0"/>
        <w:ind w:firstLine="708"/>
        <w:jc w:val="both"/>
        <w:rPr>
          <w:rFonts w:eastAsia="MS Mincho"/>
          <w:sz w:val="24"/>
          <w:szCs w:val="24"/>
        </w:rPr>
      </w:pPr>
      <w:r w:rsidRPr="004C44F6">
        <w:rPr>
          <w:rFonts w:eastAsia="MS Mincho"/>
          <w:sz w:val="24"/>
          <w:szCs w:val="24"/>
        </w:rPr>
        <w:t xml:space="preserve">Segundo </w:t>
      </w:r>
      <w:proofErr w:type="spellStart"/>
      <w:r w:rsidRPr="004C44F6">
        <w:rPr>
          <w:rFonts w:eastAsia="MS Mincho"/>
          <w:sz w:val="24"/>
          <w:szCs w:val="24"/>
        </w:rPr>
        <w:t>Ehlers</w:t>
      </w:r>
      <w:proofErr w:type="spellEnd"/>
      <w:r w:rsidRPr="004C44F6">
        <w:rPr>
          <w:rFonts w:eastAsia="MS Mincho"/>
          <w:sz w:val="24"/>
          <w:szCs w:val="24"/>
        </w:rPr>
        <w:t xml:space="preserve"> (1996), a sustentabilidade </w:t>
      </w:r>
      <w:r w:rsidRPr="004C44F6">
        <w:rPr>
          <w:sz w:val="24"/>
          <w:szCs w:val="24"/>
        </w:rPr>
        <w:t xml:space="preserve">refere-se ao uso de recursos biofísicos, econômicos e sociais para obter bens e serviços da agricultura, satisfazendo as necessidades das gerações presentes e futuras. </w:t>
      </w:r>
      <w:r w:rsidR="00527DF2" w:rsidRPr="004C44F6">
        <w:rPr>
          <w:sz w:val="24"/>
          <w:szCs w:val="24"/>
        </w:rPr>
        <w:t>Dessa forma, a</w:t>
      </w:r>
      <w:r w:rsidRPr="004C44F6">
        <w:rPr>
          <w:sz w:val="24"/>
          <w:szCs w:val="24"/>
        </w:rPr>
        <w:t xml:space="preserve"> sustentabilidade dos sistemas agrícolas pode ser analisada a partir das dimensõe</w:t>
      </w:r>
      <w:r w:rsidR="00527DF2" w:rsidRPr="004C44F6">
        <w:rPr>
          <w:sz w:val="24"/>
          <w:szCs w:val="24"/>
        </w:rPr>
        <w:t>s ambiental, social e econômica. Essas dimensões</w:t>
      </w:r>
      <w:r w:rsidRPr="004C44F6">
        <w:rPr>
          <w:sz w:val="24"/>
          <w:szCs w:val="24"/>
        </w:rPr>
        <w:t xml:space="preserve"> </w:t>
      </w:r>
      <w:r w:rsidR="000B6E5C">
        <w:rPr>
          <w:sz w:val="24"/>
          <w:szCs w:val="24"/>
        </w:rPr>
        <w:t>podem ser</w:t>
      </w:r>
      <w:r w:rsidRPr="004C44F6">
        <w:rPr>
          <w:sz w:val="24"/>
          <w:szCs w:val="24"/>
        </w:rPr>
        <w:t xml:space="preserve"> delimitadas a partir de cinco critérios: produtividade, estabilidade, equidade, resiliência e autonomia. O critério da produtividade avalia a eficiência do uso dos recursos e o rendimento do trabalho (R</w:t>
      </w:r>
      <w:r w:rsidR="005853E5" w:rsidRPr="004C44F6">
        <w:rPr>
          <w:sz w:val="24"/>
          <w:szCs w:val="24"/>
        </w:rPr>
        <w:t>ibas</w:t>
      </w:r>
      <w:r w:rsidR="00FE7A08" w:rsidRPr="004C44F6">
        <w:rPr>
          <w:sz w:val="24"/>
          <w:szCs w:val="24"/>
        </w:rPr>
        <w:t>,</w:t>
      </w:r>
      <w:r w:rsidRPr="004C44F6">
        <w:rPr>
          <w:sz w:val="24"/>
          <w:szCs w:val="24"/>
        </w:rPr>
        <w:t xml:space="preserve"> S</w:t>
      </w:r>
      <w:r w:rsidR="005853E5" w:rsidRPr="004C44F6">
        <w:rPr>
          <w:sz w:val="24"/>
          <w:szCs w:val="24"/>
        </w:rPr>
        <w:t>evero</w:t>
      </w:r>
      <w:r w:rsidR="00FE7A08" w:rsidRPr="004C44F6">
        <w:rPr>
          <w:sz w:val="24"/>
          <w:szCs w:val="24"/>
        </w:rPr>
        <w:t xml:space="preserve"> &amp;</w:t>
      </w:r>
      <w:r w:rsidRPr="004C44F6">
        <w:rPr>
          <w:sz w:val="24"/>
          <w:szCs w:val="24"/>
        </w:rPr>
        <w:t xml:space="preserve"> M</w:t>
      </w:r>
      <w:r w:rsidR="005853E5" w:rsidRPr="004C44F6">
        <w:rPr>
          <w:sz w:val="24"/>
          <w:szCs w:val="24"/>
        </w:rPr>
        <w:t>iguel</w:t>
      </w:r>
      <w:r w:rsidRPr="004C44F6">
        <w:rPr>
          <w:sz w:val="24"/>
          <w:szCs w:val="24"/>
        </w:rPr>
        <w:t>, 2007)</w:t>
      </w:r>
      <w:r w:rsidR="000B6E5C">
        <w:rPr>
          <w:sz w:val="24"/>
          <w:szCs w:val="24"/>
        </w:rPr>
        <w:t>, sendo o foco da presente pesquisa</w:t>
      </w:r>
      <w:r w:rsidRPr="004C44F6">
        <w:rPr>
          <w:sz w:val="24"/>
          <w:szCs w:val="24"/>
        </w:rPr>
        <w:t>.</w:t>
      </w:r>
    </w:p>
    <w:p w14:paraId="1121E74E" w14:textId="3373931B" w:rsidR="00BE624F" w:rsidRPr="004C44F6" w:rsidRDefault="00BE624F" w:rsidP="006A15BB">
      <w:pPr>
        <w:pStyle w:val="NormalWeb"/>
        <w:spacing w:before="0" w:beforeAutospacing="0" w:after="0" w:afterAutospacing="0"/>
        <w:ind w:firstLine="708"/>
        <w:jc w:val="both"/>
        <w:rPr>
          <w:rFonts w:eastAsia="MS Mincho"/>
          <w:sz w:val="24"/>
          <w:szCs w:val="24"/>
        </w:rPr>
      </w:pPr>
      <w:r w:rsidRPr="004C44F6">
        <w:rPr>
          <w:sz w:val="24"/>
          <w:szCs w:val="24"/>
        </w:rPr>
        <w:t>Conforme indicado por Passos e Pires (2008), os indicadores de sustentabilidade são instrumentos para o planejamento, monitoramento e avaliação de políticas, projetos e ações voltados para o desenvolvimento regional de modo sustentável.</w:t>
      </w:r>
      <w:r w:rsidR="006A15BB" w:rsidRPr="004C44F6">
        <w:rPr>
          <w:sz w:val="24"/>
          <w:szCs w:val="24"/>
        </w:rPr>
        <w:t xml:space="preserve"> </w:t>
      </w:r>
      <w:r w:rsidRPr="004C44F6">
        <w:rPr>
          <w:sz w:val="24"/>
          <w:szCs w:val="24"/>
        </w:rPr>
        <w:t xml:space="preserve">Diante do evidenciado, surge a pergunta de pesquisa: </w:t>
      </w:r>
      <w:r w:rsidR="00527DF2" w:rsidRPr="004C44F6">
        <w:rPr>
          <w:sz w:val="24"/>
          <w:szCs w:val="24"/>
        </w:rPr>
        <w:t xml:space="preserve">Qual a sustentabilidade de sistemas de propriedades agrícolas familiares do estado de Santa Catarina? </w:t>
      </w:r>
      <w:r w:rsidRPr="004C44F6">
        <w:rPr>
          <w:sz w:val="24"/>
          <w:szCs w:val="24"/>
        </w:rPr>
        <w:t xml:space="preserve">O propósito da pesquisa é </w:t>
      </w:r>
      <w:r w:rsidRPr="004C44F6">
        <w:rPr>
          <w:sz w:val="24"/>
          <w:szCs w:val="24"/>
          <w:shd w:val="clear" w:color="auto" w:fill="FFFFFF"/>
        </w:rPr>
        <w:t xml:space="preserve">avaliar a sustentabilidade </w:t>
      </w:r>
      <w:r w:rsidR="006D6EA3" w:rsidRPr="004C44F6">
        <w:rPr>
          <w:sz w:val="24"/>
          <w:szCs w:val="24"/>
          <w:shd w:val="clear" w:color="auto" w:fill="FFFFFF"/>
        </w:rPr>
        <w:t>d</w:t>
      </w:r>
      <w:r w:rsidR="006D6EA3">
        <w:rPr>
          <w:sz w:val="24"/>
          <w:szCs w:val="24"/>
          <w:shd w:val="clear" w:color="auto" w:fill="FFFFFF"/>
        </w:rPr>
        <w:t xml:space="preserve">as </w:t>
      </w:r>
      <w:r w:rsidR="006D6EA3" w:rsidRPr="004C44F6">
        <w:rPr>
          <w:sz w:val="24"/>
          <w:szCs w:val="24"/>
          <w:shd w:val="clear" w:color="auto" w:fill="FFFFFF"/>
        </w:rPr>
        <w:t>propriedades</w:t>
      </w:r>
      <w:r w:rsidRPr="004C44F6">
        <w:rPr>
          <w:sz w:val="24"/>
          <w:szCs w:val="24"/>
          <w:shd w:val="clear" w:color="auto" w:fill="FFFFFF"/>
        </w:rPr>
        <w:t xml:space="preserve"> </w:t>
      </w:r>
      <w:r w:rsidR="004279B4">
        <w:rPr>
          <w:sz w:val="24"/>
          <w:szCs w:val="24"/>
          <w:shd w:val="clear" w:color="auto" w:fill="FFFFFF"/>
        </w:rPr>
        <w:t>agrícolas familiares d</w:t>
      </w:r>
      <w:r w:rsidRPr="004C44F6">
        <w:rPr>
          <w:sz w:val="24"/>
          <w:szCs w:val="24"/>
          <w:shd w:val="clear" w:color="auto" w:fill="FFFFFF"/>
        </w:rPr>
        <w:t xml:space="preserve">o estado de Santa Catarina, a partir das dimensões econômicas, sociais e ambientais, pelo </w:t>
      </w:r>
      <w:r w:rsidRPr="004C44F6">
        <w:rPr>
          <w:sz w:val="24"/>
          <w:szCs w:val="24"/>
        </w:rPr>
        <w:t>critério da produtividade referente</w:t>
      </w:r>
      <w:r w:rsidR="00C92242" w:rsidRPr="004C44F6">
        <w:rPr>
          <w:sz w:val="24"/>
          <w:szCs w:val="24"/>
        </w:rPr>
        <w:t>s</w:t>
      </w:r>
      <w:r w:rsidRPr="004C44F6">
        <w:rPr>
          <w:sz w:val="24"/>
          <w:szCs w:val="24"/>
        </w:rPr>
        <w:t xml:space="preserve"> ao</w:t>
      </w:r>
      <w:r w:rsidR="00C92242" w:rsidRPr="004C44F6">
        <w:rPr>
          <w:sz w:val="24"/>
          <w:szCs w:val="24"/>
        </w:rPr>
        <w:t>s</w:t>
      </w:r>
      <w:r w:rsidRPr="004C44F6">
        <w:rPr>
          <w:sz w:val="24"/>
          <w:szCs w:val="24"/>
        </w:rPr>
        <w:t xml:space="preserve"> ano</w:t>
      </w:r>
      <w:r w:rsidR="00C92242" w:rsidRPr="004C44F6">
        <w:rPr>
          <w:sz w:val="24"/>
          <w:szCs w:val="24"/>
        </w:rPr>
        <w:t>s</w:t>
      </w:r>
      <w:r w:rsidRPr="004C44F6">
        <w:rPr>
          <w:sz w:val="24"/>
          <w:szCs w:val="24"/>
        </w:rPr>
        <w:t xml:space="preserve"> </w:t>
      </w:r>
      <w:r w:rsidR="006A15BB" w:rsidRPr="004C44F6">
        <w:rPr>
          <w:sz w:val="24"/>
          <w:szCs w:val="24"/>
        </w:rPr>
        <w:t>agrícola</w:t>
      </w:r>
      <w:r w:rsidR="00C92242" w:rsidRPr="004C44F6">
        <w:rPr>
          <w:sz w:val="24"/>
          <w:szCs w:val="24"/>
        </w:rPr>
        <w:t xml:space="preserve">s 2015/2016 e </w:t>
      </w:r>
      <w:r w:rsidR="006A15BB" w:rsidRPr="004C44F6">
        <w:rPr>
          <w:sz w:val="24"/>
          <w:szCs w:val="24"/>
        </w:rPr>
        <w:t>2016/2017</w:t>
      </w:r>
      <w:r w:rsidRPr="004C44F6">
        <w:rPr>
          <w:sz w:val="24"/>
          <w:szCs w:val="24"/>
        </w:rPr>
        <w:t xml:space="preserve">. </w:t>
      </w:r>
    </w:p>
    <w:p w14:paraId="5CB3491E" w14:textId="09E90762" w:rsidR="00BE624F" w:rsidRDefault="00BB5E94" w:rsidP="00BB5E94">
      <w:pPr>
        <w:ind w:firstLine="708"/>
        <w:jc w:val="both"/>
        <w:rPr>
          <w:sz w:val="24"/>
          <w:szCs w:val="24"/>
        </w:rPr>
      </w:pPr>
      <w:r w:rsidRPr="004C44F6">
        <w:rPr>
          <w:sz w:val="24"/>
          <w:szCs w:val="24"/>
        </w:rPr>
        <w:t xml:space="preserve">Diante da crise ambiental </w:t>
      </w:r>
      <w:r w:rsidR="008C3F47" w:rsidRPr="004C44F6">
        <w:rPr>
          <w:sz w:val="24"/>
          <w:szCs w:val="24"/>
        </w:rPr>
        <w:t>global, a academia deve atentar-se</w:t>
      </w:r>
      <w:r w:rsidRPr="004C44F6">
        <w:rPr>
          <w:sz w:val="24"/>
          <w:szCs w:val="24"/>
        </w:rPr>
        <w:t xml:space="preserve"> às questões ambientais, informando</w:t>
      </w:r>
      <w:r w:rsidR="008C3F47" w:rsidRPr="004C44F6">
        <w:rPr>
          <w:sz w:val="24"/>
          <w:szCs w:val="24"/>
        </w:rPr>
        <w:t xml:space="preserve"> e</w:t>
      </w:r>
      <w:r w:rsidRPr="004C44F6">
        <w:rPr>
          <w:sz w:val="24"/>
          <w:szCs w:val="24"/>
        </w:rPr>
        <w:t xml:space="preserve"> formando pessoas capazes de projetar fins e de </w:t>
      </w:r>
      <w:r w:rsidR="008C3F47" w:rsidRPr="004C44F6">
        <w:rPr>
          <w:sz w:val="24"/>
          <w:szCs w:val="24"/>
        </w:rPr>
        <w:t>atuar sobre a realidade social. A sustentabilidade é certamente um instrumento para esse fim (N</w:t>
      </w:r>
      <w:r w:rsidR="005853E5" w:rsidRPr="004C44F6">
        <w:rPr>
          <w:sz w:val="24"/>
          <w:szCs w:val="24"/>
        </w:rPr>
        <w:t>ovo</w:t>
      </w:r>
      <w:r w:rsidR="008C3F47" w:rsidRPr="004C44F6">
        <w:rPr>
          <w:sz w:val="24"/>
          <w:szCs w:val="24"/>
        </w:rPr>
        <w:t xml:space="preserve"> </w:t>
      </w:r>
      <w:proofErr w:type="spellStart"/>
      <w:r w:rsidR="008C3F47" w:rsidRPr="004C44F6">
        <w:rPr>
          <w:sz w:val="24"/>
          <w:szCs w:val="24"/>
        </w:rPr>
        <w:t>V</w:t>
      </w:r>
      <w:r w:rsidR="005853E5" w:rsidRPr="004C44F6">
        <w:rPr>
          <w:sz w:val="24"/>
          <w:szCs w:val="24"/>
        </w:rPr>
        <w:t>illaverde</w:t>
      </w:r>
      <w:proofErr w:type="spellEnd"/>
      <w:r w:rsidR="00A34904">
        <w:rPr>
          <w:sz w:val="24"/>
          <w:szCs w:val="24"/>
        </w:rPr>
        <w:t xml:space="preserve"> &amp; Lara</w:t>
      </w:r>
      <w:r w:rsidR="008C3F47" w:rsidRPr="004C44F6">
        <w:rPr>
          <w:sz w:val="24"/>
          <w:szCs w:val="24"/>
        </w:rPr>
        <w:t>, 1997)</w:t>
      </w:r>
      <w:r w:rsidRPr="004C44F6">
        <w:rPr>
          <w:sz w:val="24"/>
          <w:szCs w:val="24"/>
        </w:rPr>
        <w:t>. Além disso, observa-se a relevância do presente estudo para os usuários destas informações contábeis, auxiliando-os no acompanhamento da sua propriedade agrícola</w:t>
      </w:r>
      <w:r w:rsidR="008C3F47" w:rsidRPr="004C44F6">
        <w:rPr>
          <w:sz w:val="24"/>
          <w:szCs w:val="24"/>
        </w:rPr>
        <w:t>, visto que a agricultura familiar é um setor com papel fundamental na geração de riquezas para a economia do Brasil</w:t>
      </w:r>
      <w:r w:rsidRPr="004C44F6">
        <w:rPr>
          <w:sz w:val="24"/>
          <w:szCs w:val="24"/>
        </w:rPr>
        <w:t>.</w:t>
      </w:r>
    </w:p>
    <w:p w14:paraId="4BCCE1B7" w14:textId="77777777" w:rsidR="0028108E" w:rsidRPr="004C44F6" w:rsidRDefault="0028108E" w:rsidP="00BB5E94">
      <w:pPr>
        <w:ind w:firstLine="708"/>
        <w:jc w:val="both"/>
        <w:rPr>
          <w:sz w:val="24"/>
          <w:szCs w:val="24"/>
        </w:rPr>
      </w:pPr>
    </w:p>
    <w:p w14:paraId="21B31930" w14:textId="5BDFDA14" w:rsidR="00114C98" w:rsidRDefault="00BE624F" w:rsidP="00114C98">
      <w:pPr>
        <w:pStyle w:val="Ttulo1"/>
        <w:numPr>
          <w:ilvl w:val="0"/>
          <w:numId w:val="5"/>
        </w:numPr>
        <w:ind w:left="284" w:hanging="284"/>
        <w:rPr>
          <w:rFonts w:cs="Times New Roman"/>
        </w:rPr>
      </w:pPr>
      <w:r w:rsidRPr="004C44F6">
        <w:rPr>
          <w:rFonts w:cs="Times New Roman"/>
        </w:rPr>
        <w:t>REFERENCIAL TEÓRICO</w:t>
      </w:r>
    </w:p>
    <w:p w14:paraId="35BE1033" w14:textId="77777777" w:rsidR="00AD6A88" w:rsidRPr="00AD6A88" w:rsidRDefault="00AD6A88" w:rsidP="00AD6A88"/>
    <w:p w14:paraId="6ADFD216" w14:textId="10CAD10F" w:rsidR="00AD6A88" w:rsidRPr="002A1A49" w:rsidRDefault="00AD6A88" w:rsidP="00027914">
      <w:pPr>
        <w:suppressAutoHyphens w:val="0"/>
        <w:autoSpaceDE w:val="0"/>
        <w:autoSpaceDN w:val="0"/>
        <w:adjustRightInd w:val="0"/>
        <w:ind w:firstLine="708"/>
        <w:jc w:val="both"/>
        <w:rPr>
          <w:rFonts w:eastAsiaTheme="minorHAnsi"/>
          <w:sz w:val="24"/>
          <w:szCs w:val="24"/>
          <w:lang w:eastAsia="en-US"/>
        </w:rPr>
      </w:pPr>
      <w:r w:rsidRPr="00AD6A88">
        <w:rPr>
          <w:rFonts w:eastAsiaTheme="minorHAnsi"/>
          <w:sz w:val="24"/>
          <w:szCs w:val="24"/>
          <w:lang w:eastAsia="en-US"/>
        </w:rPr>
        <w:t>Esta seção exibe a sustentação teórica do presente estudo, apresentando os</w:t>
      </w:r>
      <w:r w:rsidR="002A1A49">
        <w:rPr>
          <w:rFonts w:eastAsiaTheme="minorHAnsi"/>
          <w:sz w:val="24"/>
          <w:szCs w:val="24"/>
          <w:lang w:eastAsia="en-US"/>
        </w:rPr>
        <w:t xml:space="preserve"> seguintes</w:t>
      </w:r>
      <w:r w:rsidRPr="00AD6A88">
        <w:rPr>
          <w:rFonts w:eastAsiaTheme="minorHAnsi"/>
          <w:sz w:val="24"/>
          <w:szCs w:val="24"/>
          <w:lang w:eastAsia="en-US"/>
        </w:rPr>
        <w:t xml:space="preserve"> temas:</w:t>
      </w:r>
      <w:r w:rsidR="002A1A49">
        <w:rPr>
          <w:rFonts w:eastAsiaTheme="minorHAnsi"/>
          <w:sz w:val="24"/>
          <w:szCs w:val="24"/>
          <w:lang w:eastAsia="en-US"/>
        </w:rPr>
        <w:t xml:space="preserve"> </w:t>
      </w:r>
      <w:r w:rsidRPr="00AD6A88">
        <w:rPr>
          <w:rFonts w:eastAsiaTheme="minorHAnsi"/>
          <w:sz w:val="24"/>
          <w:szCs w:val="24"/>
          <w:lang w:eastAsia="en-US"/>
        </w:rPr>
        <w:t xml:space="preserve">Agricultura Familiar, </w:t>
      </w:r>
      <w:r>
        <w:rPr>
          <w:rFonts w:eastAsiaTheme="minorHAnsi"/>
          <w:sz w:val="24"/>
          <w:szCs w:val="24"/>
          <w:lang w:eastAsia="en-US"/>
        </w:rPr>
        <w:t>Agricultura Familiar do Estado de Santa Catarina</w:t>
      </w:r>
      <w:r w:rsidRPr="00AD6A88">
        <w:rPr>
          <w:rFonts w:eastAsiaTheme="minorHAnsi"/>
          <w:sz w:val="24"/>
          <w:szCs w:val="24"/>
          <w:lang w:eastAsia="en-US"/>
        </w:rPr>
        <w:t xml:space="preserve"> e Indicadores de Sustentabilidade.</w:t>
      </w:r>
    </w:p>
    <w:p w14:paraId="11488EB1" w14:textId="7060F139" w:rsidR="00BE624F" w:rsidRPr="004C44F6" w:rsidRDefault="00BE624F" w:rsidP="00165373">
      <w:pPr>
        <w:pStyle w:val="Ttulo2"/>
        <w:numPr>
          <w:ilvl w:val="1"/>
          <w:numId w:val="5"/>
        </w:numPr>
        <w:tabs>
          <w:tab w:val="left" w:pos="426"/>
        </w:tabs>
        <w:ind w:left="0" w:firstLine="0"/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  <w:r w:rsidRPr="004C44F6">
        <w:rPr>
          <w:rFonts w:cs="Times New Roman"/>
          <w:szCs w:val="24"/>
        </w:rPr>
        <w:lastRenderedPageBreak/>
        <w:t>Agricultura Familiar</w:t>
      </w:r>
      <w:r w:rsidRPr="004C44F6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F388C">
        <w:rPr>
          <w:rStyle w:val="fontstyle01"/>
          <w:rFonts w:ascii="Times New Roman" w:hAnsi="Times New Roman" w:cs="Times New Roman"/>
          <w:color w:val="auto"/>
        </w:rPr>
        <w:t>no Estado de Santa Catarina</w:t>
      </w:r>
    </w:p>
    <w:p w14:paraId="2796E834" w14:textId="77777777" w:rsidR="00BE624F" w:rsidRPr="004C44F6" w:rsidRDefault="00BE624F" w:rsidP="00BE624F">
      <w:pPr>
        <w:rPr>
          <w:sz w:val="24"/>
          <w:szCs w:val="24"/>
        </w:rPr>
      </w:pPr>
    </w:p>
    <w:p w14:paraId="654FAD5D" w14:textId="77777777" w:rsidR="00156E2B" w:rsidRDefault="00F7263C" w:rsidP="00F7263C">
      <w:pPr>
        <w:ind w:firstLine="709"/>
        <w:jc w:val="both"/>
        <w:rPr>
          <w:rStyle w:val="fontstyle01"/>
          <w:rFonts w:ascii="Times New Roman" w:eastAsiaTheme="majorEastAsia" w:hAnsi="Times New Roman"/>
          <w:color w:val="auto"/>
        </w:rPr>
      </w:pPr>
      <w:r w:rsidRPr="00DE5C38">
        <w:rPr>
          <w:rStyle w:val="fontstyle01"/>
          <w:rFonts w:ascii="Times New Roman" w:eastAsiaTheme="majorEastAsia" w:hAnsi="Times New Roman"/>
          <w:color w:val="auto"/>
        </w:rPr>
        <w:t>A agricultura familiar é</w:t>
      </w:r>
      <w:r w:rsidR="002A04E4" w:rsidRPr="00DE5C38">
        <w:rPr>
          <w:rStyle w:val="fontstyle01"/>
          <w:rFonts w:ascii="Times New Roman" w:eastAsiaTheme="majorEastAsia" w:hAnsi="Times New Roman"/>
          <w:color w:val="auto"/>
        </w:rPr>
        <w:t xml:space="preserve"> responsável por grande parte da produção de alimentos do país, sendo fundamental</w:t>
      </w:r>
      <w:r w:rsidRPr="00DE5C38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2A04E4" w:rsidRPr="00DE5C38">
        <w:rPr>
          <w:rStyle w:val="fontstyle01"/>
          <w:rFonts w:ascii="Times New Roman" w:eastAsiaTheme="majorEastAsia" w:hAnsi="Times New Roman"/>
          <w:color w:val="auto"/>
        </w:rPr>
        <w:t>para o desenvolvimento rural e regional</w:t>
      </w:r>
      <w:r w:rsidR="002A04E4" w:rsidRPr="004C44F6">
        <w:rPr>
          <w:rStyle w:val="fontstyle01"/>
          <w:rFonts w:ascii="Times New Roman" w:eastAsiaTheme="majorEastAsia" w:hAnsi="Times New Roman"/>
          <w:color w:val="auto"/>
        </w:rPr>
        <w:t xml:space="preserve"> (</w:t>
      </w:r>
      <w:proofErr w:type="spellStart"/>
      <w:r w:rsidR="002A04E4" w:rsidRPr="004C44F6">
        <w:rPr>
          <w:rStyle w:val="fontstyle01"/>
          <w:rFonts w:ascii="Times New Roman" w:eastAsiaTheme="majorEastAsia" w:hAnsi="Times New Roman"/>
          <w:color w:val="auto"/>
        </w:rPr>
        <w:t>D</w:t>
      </w:r>
      <w:r w:rsidR="005853E5" w:rsidRPr="004C44F6">
        <w:rPr>
          <w:rStyle w:val="fontstyle01"/>
          <w:rFonts w:ascii="Times New Roman" w:eastAsiaTheme="majorEastAsia" w:hAnsi="Times New Roman"/>
          <w:color w:val="auto"/>
        </w:rPr>
        <w:t>eponti</w:t>
      </w:r>
      <w:proofErr w:type="spellEnd"/>
      <w:r w:rsidR="002A04E4" w:rsidRPr="004C44F6">
        <w:rPr>
          <w:rStyle w:val="fontstyle01"/>
          <w:rFonts w:ascii="Times New Roman" w:eastAsiaTheme="majorEastAsia" w:hAnsi="Times New Roman"/>
          <w:color w:val="auto"/>
        </w:rPr>
        <w:t xml:space="preserve">, 2014). Esse </w:t>
      </w:r>
      <w:r w:rsidR="002A04E4">
        <w:rPr>
          <w:rStyle w:val="fontstyle01"/>
          <w:rFonts w:ascii="Times New Roman" w:eastAsiaTheme="majorEastAsia" w:hAnsi="Times New Roman"/>
          <w:color w:val="auto"/>
        </w:rPr>
        <w:t xml:space="preserve">segmento </w:t>
      </w:r>
      <w:r w:rsidRPr="00F7263C">
        <w:rPr>
          <w:rStyle w:val="fontstyle01"/>
          <w:rFonts w:ascii="Times New Roman" w:eastAsiaTheme="majorEastAsia" w:hAnsi="Times New Roman"/>
          <w:color w:val="auto"/>
        </w:rPr>
        <w:t xml:space="preserve">abrange aproximadamente 70% da produção agrícola do país, beneficiando grande parte da população com essa fonte </w:t>
      </w:r>
      <w:r w:rsidRPr="004C44F6">
        <w:rPr>
          <w:rStyle w:val="fontstyle01"/>
          <w:rFonts w:ascii="Times New Roman" w:eastAsiaTheme="majorEastAsia" w:hAnsi="Times New Roman"/>
          <w:color w:val="auto"/>
        </w:rPr>
        <w:t>de renda (F</w:t>
      </w:r>
      <w:r w:rsidR="005853E5" w:rsidRPr="004C44F6">
        <w:rPr>
          <w:rStyle w:val="fontstyle01"/>
          <w:rFonts w:ascii="Times New Roman" w:eastAsiaTheme="majorEastAsia" w:hAnsi="Times New Roman"/>
          <w:color w:val="auto"/>
        </w:rPr>
        <w:t xml:space="preserve">urtado </w:t>
      </w:r>
      <w:r w:rsidR="005853E5" w:rsidRPr="004C44F6">
        <w:rPr>
          <w:rStyle w:val="fontstyle01"/>
          <w:rFonts w:ascii="Times New Roman" w:eastAsiaTheme="majorEastAsia" w:hAnsi="Times New Roman"/>
          <w:i/>
          <w:color w:val="auto"/>
        </w:rPr>
        <w:t>et al.</w:t>
      </w:r>
      <w:r w:rsidRPr="004C44F6">
        <w:rPr>
          <w:rStyle w:val="fontstyle01"/>
          <w:rFonts w:ascii="Times New Roman" w:eastAsiaTheme="majorEastAsia" w:hAnsi="Times New Roman"/>
          <w:color w:val="auto"/>
        </w:rPr>
        <w:t>, 2017).</w:t>
      </w:r>
    </w:p>
    <w:p w14:paraId="528B7070" w14:textId="7542AED9" w:rsidR="00F7263C" w:rsidRPr="00AD6A88" w:rsidRDefault="00F7263C" w:rsidP="00F7263C">
      <w:pPr>
        <w:ind w:firstLine="709"/>
        <w:jc w:val="both"/>
        <w:rPr>
          <w:rStyle w:val="fontstyle01"/>
          <w:rFonts w:ascii="Times New Roman" w:eastAsiaTheme="majorEastAsia" w:hAnsi="Times New Roman"/>
          <w:color w:val="FF0000"/>
        </w:rPr>
      </w:pPr>
      <w:r w:rsidRPr="004C44F6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DE5C38" w:rsidRPr="00DE5C38">
        <w:rPr>
          <w:rStyle w:val="fontstyle01"/>
          <w:rFonts w:ascii="Times New Roman" w:eastAsiaTheme="majorEastAsia" w:hAnsi="Times New Roman"/>
          <w:color w:val="auto"/>
        </w:rPr>
        <w:t>Cabe destacar que essa expressiva participação da atividade familiar no produto gerado pelo agronegócio brasileiro, deve-s</w:t>
      </w:r>
      <w:r w:rsidR="00DE5C38" w:rsidRPr="004F18B0">
        <w:rPr>
          <w:rStyle w:val="fontstyle01"/>
          <w:rFonts w:ascii="Times New Roman" w:eastAsiaTheme="majorEastAsia" w:hAnsi="Times New Roman"/>
          <w:color w:val="auto"/>
        </w:rPr>
        <w:t>e</w:t>
      </w:r>
      <w:r w:rsidR="00C87E9C" w:rsidRPr="004F18B0">
        <w:rPr>
          <w:rStyle w:val="fontstyle01"/>
          <w:rFonts w:ascii="Times New Roman" w:eastAsiaTheme="majorEastAsia" w:hAnsi="Times New Roman"/>
          <w:color w:val="auto"/>
        </w:rPr>
        <w:t xml:space="preserve"> ao seu inter-relacionamento com importantes segmentos da economia</w:t>
      </w:r>
      <w:r w:rsidR="00093947" w:rsidRPr="004F18B0">
        <w:rPr>
          <w:rStyle w:val="fontstyle01"/>
          <w:rFonts w:ascii="Times New Roman" w:eastAsiaTheme="majorEastAsia" w:hAnsi="Times New Roman"/>
          <w:color w:val="auto"/>
        </w:rPr>
        <w:t xml:space="preserve"> (</w:t>
      </w:r>
      <w:proofErr w:type="spellStart"/>
      <w:r w:rsidR="00093947" w:rsidRPr="004F18B0">
        <w:rPr>
          <w:sz w:val="24"/>
          <w:szCs w:val="24"/>
        </w:rPr>
        <w:t>Guilhoto</w:t>
      </w:r>
      <w:proofErr w:type="spellEnd"/>
      <w:r w:rsidR="00093947" w:rsidRPr="004F18B0">
        <w:rPr>
          <w:sz w:val="24"/>
          <w:szCs w:val="24"/>
        </w:rPr>
        <w:t xml:space="preserve">, </w:t>
      </w:r>
      <w:proofErr w:type="spellStart"/>
      <w:r w:rsidR="00093947" w:rsidRPr="004F18B0">
        <w:rPr>
          <w:sz w:val="24"/>
          <w:szCs w:val="24"/>
        </w:rPr>
        <w:t>Ichihara</w:t>
      </w:r>
      <w:proofErr w:type="spellEnd"/>
      <w:r w:rsidR="00093947" w:rsidRPr="004F18B0">
        <w:rPr>
          <w:sz w:val="24"/>
          <w:szCs w:val="24"/>
        </w:rPr>
        <w:t xml:space="preserve">, Silveira, Diniz, </w:t>
      </w:r>
      <w:proofErr w:type="spellStart"/>
      <w:r w:rsidR="00093947" w:rsidRPr="004F18B0">
        <w:rPr>
          <w:sz w:val="24"/>
          <w:szCs w:val="24"/>
        </w:rPr>
        <w:t>Azzoni</w:t>
      </w:r>
      <w:proofErr w:type="spellEnd"/>
      <w:r w:rsidR="00093947" w:rsidRPr="004F18B0">
        <w:rPr>
          <w:sz w:val="24"/>
          <w:szCs w:val="24"/>
        </w:rPr>
        <w:t xml:space="preserve"> &amp; Moreira, 2007)</w:t>
      </w:r>
      <w:r w:rsidR="00C87E9C" w:rsidRPr="004F18B0">
        <w:rPr>
          <w:rStyle w:val="fontstyle01"/>
          <w:rFonts w:ascii="Times New Roman" w:eastAsiaTheme="majorEastAsia" w:hAnsi="Times New Roman"/>
          <w:color w:val="auto"/>
        </w:rPr>
        <w:t>.</w:t>
      </w:r>
      <w:r w:rsidR="00204309" w:rsidRPr="004F18B0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DE5C38" w:rsidRPr="004F18B0">
        <w:rPr>
          <w:rStyle w:val="fontstyle01"/>
          <w:rFonts w:ascii="Times New Roman" w:eastAsiaTheme="majorEastAsia" w:hAnsi="Times New Roman"/>
          <w:color w:val="auto"/>
        </w:rPr>
        <w:t>Em</w:t>
      </w:r>
      <w:r w:rsidR="00204309" w:rsidRPr="004F18B0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FE4DC2" w:rsidRPr="004F18B0">
        <w:rPr>
          <w:rStyle w:val="fontstyle01"/>
          <w:rFonts w:ascii="Times New Roman" w:eastAsiaTheme="majorEastAsia" w:hAnsi="Times New Roman"/>
          <w:color w:val="auto"/>
        </w:rPr>
        <w:t>2017, o PIB-volume do agronegócio registrou</w:t>
      </w:r>
      <w:r w:rsidR="00DE5C38" w:rsidRPr="004F18B0">
        <w:rPr>
          <w:rStyle w:val="fontstyle01"/>
          <w:rFonts w:ascii="Times New Roman" w:eastAsiaTheme="majorEastAsia" w:hAnsi="Times New Roman"/>
          <w:color w:val="auto"/>
        </w:rPr>
        <w:t xml:space="preserve"> um</w:t>
      </w:r>
      <w:r w:rsidR="00FE4DC2" w:rsidRPr="004F18B0">
        <w:rPr>
          <w:rStyle w:val="fontstyle01"/>
          <w:rFonts w:ascii="Times New Roman" w:eastAsiaTheme="majorEastAsia" w:hAnsi="Times New Roman"/>
          <w:color w:val="auto"/>
        </w:rPr>
        <w:t xml:space="preserve"> aumento</w:t>
      </w:r>
      <w:r w:rsidR="004F18B0" w:rsidRPr="004F18B0">
        <w:rPr>
          <w:rStyle w:val="fontstyle01"/>
          <w:rFonts w:ascii="Times New Roman" w:eastAsiaTheme="majorEastAsia" w:hAnsi="Times New Roman"/>
          <w:color w:val="auto"/>
        </w:rPr>
        <w:t xml:space="preserve"> de 7,6%, impulsionado principalmente pelo setor primário, que teve</w:t>
      </w:r>
      <w:r w:rsidR="00FE4DC2" w:rsidRPr="004F18B0">
        <w:rPr>
          <w:rStyle w:val="fontstyle01"/>
          <w:rFonts w:ascii="Times New Roman" w:eastAsiaTheme="majorEastAsia" w:hAnsi="Times New Roman"/>
          <w:color w:val="auto"/>
        </w:rPr>
        <w:t xml:space="preserve"> aumentos </w:t>
      </w:r>
      <w:r w:rsidR="004F18B0" w:rsidRPr="004F18B0">
        <w:rPr>
          <w:rStyle w:val="fontstyle01"/>
          <w:rFonts w:ascii="Times New Roman" w:eastAsiaTheme="majorEastAsia" w:hAnsi="Times New Roman"/>
          <w:color w:val="auto"/>
        </w:rPr>
        <w:t>significativos em volume, sobretudo n</w:t>
      </w:r>
      <w:r w:rsidR="00FE4DC2" w:rsidRPr="004F18B0">
        <w:rPr>
          <w:rStyle w:val="fontstyle01"/>
          <w:rFonts w:ascii="Times New Roman" w:eastAsiaTheme="majorEastAsia" w:hAnsi="Times New Roman"/>
          <w:color w:val="auto"/>
        </w:rPr>
        <w:t>a agricultura, com 22</w:t>
      </w:r>
      <w:r w:rsidR="00FE4DC2" w:rsidRPr="0030077F">
        <w:rPr>
          <w:rStyle w:val="fontstyle01"/>
          <w:rFonts w:ascii="Times New Roman" w:eastAsiaTheme="majorEastAsia" w:hAnsi="Times New Roman"/>
          <w:color w:val="auto"/>
        </w:rPr>
        <w:t>,6% (CEPEA</w:t>
      </w:r>
      <w:r w:rsidR="0030077F" w:rsidRPr="0030077F">
        <w:rPr>
          <w:rStyle w:val="fontstyle01"/>
          <w:rFonts w:ascii="Times New Roman" w:eastAsiaTheme="majorEastAsia" w:hAnsi="Times New Roman"/>
          <w:color w:val="auto"/>
        </w:rPr>
        <w:t>, 2017</w:t>
      </w:r>
      <w:r w:rsidR="00FE4DC2" w:rsidRPr="0030077F">
        <w:rPr>
          <w:rStyle w:val="fontstyle01"/>
          <w:rFonts w:ascii="Times New Roman" w:eastAsiaTheme="majorEastAsia" w:hAnsi="Times New Roman"/>
          <w:color w:val="auto"/>
        </w:rPr>
        <w:t>).</w:t>
      </w:r>
    </w:p>
    <w:p w14:paraId="0DB11C8B" w14:textId="17A6872C" w:rsidR="002130C0" w:rsidRPr="002130C0" w:rsidRDefault="00275702" w:rsidP="002130C0">
      <w:pPr>
        <w:ind w:firstLine="709"/>
        <w:jc w:val="both"/>
        <w:rPr>
          <w:rStyle w:val="fontstyle01"/>
          <w:rFonts w:ascii="Times New Roman" w:eastAsiaTheme="majorEastAsia" w:hAnsi="Times New Roman"/>
          <w:color w:val="auto"/>
        </w:rPr>
      </w:pPr>
      <w:r w:rsidRPr="004C44F6">
        <w:rPr>
          <w:rStyle w:val="fontstyle01"/>
          <w:rFonts w:ascii="Times New Roman" w:eastAsiaTheme="majorEastAsia" w:hAnsi="Times New Roman"/>
          <w:color w:val="auto"/>
        </w:rPr>
        <w:t>Além da produção de alimentos, 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agricultura familiar aborda os aspectos de contr</w:t>
      </w:r>
      <w:r w:rsidR="004F18B0">
        <w:rPr>
          <w:rStyle w:val="fontstyle01"/>
          <w:rFonts w:ascii="Times New Roman" w:eastAsiaTheme="majorEastAsia" w:hAnsi="Times New Roman"/>
          <w:color w:val="auto"/>
        </w:rPr>
        <w:t xml:space="preserve">ole dos recursos da </w:t>
      </w:r>
      <w:r w:rsidR="004F18B0" w:rsidRPr="002A1A49">
        <w:rPr>
          <w:rStyle w:val="fontstyle01"/>
          <w:rFonts w:ascii="Times New Roman" w:eastAsiaTheme="majorEastAsia" w:hAnsi="Times New Roman"/>
          <w:color w:val="auto"/>
        </w:rPr>
        <w:t xml:space="preserve">propriedade, </w:t>
      </w:r>
      <w:r w:rsidR="002A04E4" w:rsidRPr="002A1A49">
        <w:rPr>
          <w:rStyle w:val="fontstyle01"/>
          <w:rFonts w:ascii="Times New Roman" w:eastAsiaTheme="majorEastAsia" w:hAnsi="Times New Roman"/>
          <w:color w:val="auto"/>
        </w:rPr>
        <w:t xml:space="preserve">o conhecimento </w:t>
      </w:r>
      <w:r w:rsidRPr="002A1A49">
        <w:rPr>
          <w:rStyle w:val="fontstyle01"/>
          <w:rFonts w:ascii="Times New Roman" w:eastAsiaTheme="majorEastAsia" w:hAnsi="Times New Roman"/>
          <w:color w:val="auto"/>
        </w:rPr>
        <w:t>em relação ao uso e combinação desses</w:t>
      </w:r>
      <w:r w:rsidR="00156E2B" w:rsidRPr="002A1A49">
        <w:rPr>
          <w:rStyle w:val="fontstyle01"/>
          <w:rFonts w:ascii="Times New Roman" w:eastAsiaTheme="majorEastAsia" w:hAnsi="Times New Roman"/>
          <w:color w:val="auto"/>
        </w:rPr>
        <w:t xml:space="preserve"> recursos </w:t>
      </w:r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>(</w:t>
      </w:r>
      <w:proofErr w:type="spellStart"/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>D</w:t>
      </w:r>
      <w:r w:rsidR="005853E5" w:rsidRPr="002A1A49">
        <w:rPr>
          <w:rStyle w:val="fontstyle01"/>
          <w:rFonts w:ascii="Times New Roman" w:eastAsiaTheme="majorEastAsia" w:hAnsi="Times New Roman"/>
          <w:color w:val="auto"/>
        </w:rPr>
        <w:t>eponti</w:t>
      </w:r>
      <w:proofErr w:type="spellEnd"/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>, 2014)</w:t>
      </w:r>
      <w:r w:rsidR="00156E2B" w:rsidRPr="002A1A49">
        <w:rPr>
          <w:rStyle w:val="fontstyle01"/>
          <w:rFonts w:ascii="Times New Roman" w:eastAsiaTheme="majorEastAsia" w:hAnsi="Times New Roman"/>
          <w:color w:val="auto"/>
        </w:rPr>
        <w:t>,</w:t>
      </w:r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 xml:space="preserve"> que é transmitido e aperfeiçoado de geração em geração (</w:t>
      </w:r>
      <w:proofErr w:type="spellStart"/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>S</w:t>
      </w:r>
      <w:r w:rsidR="005853E5" w:rsidRPr="002A1A49">
        <w:rPr>
          <w:rStyle w:val="fontstyle01"/>
          <w:rFonts w:ascii="Times New Roman" w:eastAsiaTheme="majorEastAsia" w:hAnsi="Times New Roman"/>
          <w:color w:val="auto"/>
        </w:rPr>
        <w:t>toffel</w:t>
      </w:r>
      <w:proofErr w:type="spellEnd"/>
      <w:r w:rsidR="00FE7A08" w:rsidRPr="002A1A49">
        <w:rPr>
          <w:rStyle w:val="fontstyle01"/>
          <w:rFonts w:ascii="Times New Roman" w:eastAsiaTheme="majorEastAsia" w:hAnsi="Times New Roman"/>
          <w:color w:val="auto"/>
        </w:rPr>
        <w:t>,</w:t>
      </w:r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proofErr w:type="spellStart"/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>C</w:t>
      </w:r>
      <w:r w:rsidR="005853E5" w:rsidRPr="002A1A49">
        <w:rPr>
          <w:rStyle w:val="fontstyle01"/>
          <w:rFonts w:ascii="Times New Roman" w:eastAsiaTheme="majorEastAsia" w:hAnsi="Times New Roman"/>
          <w:color w:val="auto"/>
        </w:rPr>
        <w:t>olognese</w:t>
      </w:r>
      <w:proofErr w:type="spellEnd"/>
      <w:r w:rsidR="00FE7A08" w:rsidRPr="002A1A49">
        <w:rPr>
          <w:rStyle w:val="fontstyle01"/>
          <w:rFonts w:ascii="Times New Roman" w:eastAsiaTheme="majorEastAsia" w:hAnsi="Times New Roman"/>
          <w:color w:val="auto"/>
        </w:rPr>
        <w:t xml:space="preserve"> &amp; </w:t>
      </w:r>
      <w:r w:rsidR="00A05F88" w:rsidRPr="002A1A49">
        <w:rPr>
          <w:rStyle w:val="fontstyle01"/>
          <w:rFonts w:ascii="Times New Roman" w:eastAsiaTheme="majorEastAsia" w:hAnsi="Times New Roman"/>
          <w:color w:val="auto"/>
        </w:rPr>
        <w:t>d</w:t>
      </w:r>
      <w:r w:rsidR="005853E5" w:rsidRPr="002A1A49">
        <w:rPr>
          <w:rStyle w:val="fontstyle01"/>
          <w:rFonts w:ascii="Times New Roman" w:eastAsiaTheme="majorEastAsia" w:hAnsi="Times New Roman"/>
          <w:color w:val="auto"/>
        </w:rPr>
        <w:t>a</w:t>
      </w:r>
      <w:r w:rsidR="00F7263C" w:rsidRPr="002A1A49">
        <w:rPr>
          <w:rStyle w:val="fontstyle01"/>
          <w:rFonts w:ascii="Times New Roman" w:eastAsiaTheme="majorEastAsia" w:hAnsi="Times New Roman"/>
          <w:color w:val="auto"/>
        </w:rPr>
        <w:t xml:space="preserve"> S</w:t>
      </w:r>
      <w:r w:rsidR="005853E5" w:rsidRPr="002A1A49">
        <w:rPr>
          <w:rStyle w:val="fontstyle01"/>
          <w:rFonts w:ascii="Times New Roman" w:eastAsiaTheme="majorEastAsia" w:hAnsi="Times New Roman"/>
          <w:color w:val="auto"/>
        </w:rPr>
        <w:t>ilva</w:t>
      </w:r>
      <w:r w:rsidR="004F18B0" w:rsidRPr="002A1A49">
        <w:rPr>
          <w:rStyle w:val="fontstyle01"/>
          <w:rFonts w:ascii="Times New Roman" w:eastAsiaTheme="majorEastAsia" w:hAnsi="Times New Roman"/>
          <w:color w:val="auto"/>
        </w:rPr>
        <w:t xml:space="preserve">, 2014), e o </w:t>
      </w:r>
      <w:r w:rsidR="002130C0" w:rsidRPr="002A1A49">
        <w:rPr>
          <w:rStyle w:val="fontstyle01"/>
          <w:rFonts w:ascii="Times New Roman" w:eastAsiaTheme="majorEastAsia" w:hAnsi="Times New Roman"/>
          <w:color w:val="auto"/>
        </w:rPr>
        <w:t>s</w:t>
      </w:r>
      <w:r w:rsidR="002130C0" w:rsidRPr="002A1A49">
        <w:rPr>
          <w:sz w:val="24"/>
          <w:szCs w:val="24"/>
        </w:rPr>
        <w:t>eu potencial para promoção da sustentabilidade ecológica</w:t>
      </w:r>
      <w:r w:rsidR="002A1A49" w:rsidRPr="002A1A49">
        <w:rPr>
          <w:sz w:val="24"/>
          <w:szCs w:val="24"/>
        </w:rPr>
        <w:t>, relacionado a</w:t>
      </w:r>
      <w:r w:rsidR="002130C0" w:rsidRPr="002A1A49">
        <w:rPr>
          <w:sz w:val="24"/>
          <w:szCs w:val="24"/>
        </w:rPr>
        <w:t xml:space="preserve"> capacidade das propriedades familiares de conviver de forma harmô</w:t>
      </w:r>
      <w:r w:rsidR="002A1A49" w:rsidRPr="002A1A49">
        <w:rPr>
          <w:sz w:val="24"/>
          <w:szCs w:val="24"/>
        </w:rPr>
        <w:t xml:space="preserve">nica com ecossistemas naturais </w:t>
      </w:r>
      <w:r w:rsidR="00EF7E50" w:rsidRPr="002A1A49">
        <w:rPr>
          <w:sz w:val="24"/>
          <w:szCs w:val="24"/>
        </w:rPr>
        <w:t>(</w:t>
      </w:r>
      <w:proofErr w:type="spellStart"/>
      <w:r w:rsidR="00EF7E50" w:rsidRPr="002A1A49">
        <w:rPr>
          <w:sz w:val="24"/>
          <w:szCs w:val="24"/>
        </w:rPr>
        <w:t>Altafin</w:t>
      </w:r>
      <w:proofErr w:type="spellEnd"/>
      <w:r w:rsidR="00EF7E50" w:rsidRPr="002A1A49">
        <w:rPr>
          <w:sz w:val="24"/>
          <w:szCs w:val="24"/>
        </w:rPr>
        <w:t>, 2007)</w:t>
      </w:r>
      <w:r w:rsidR="002130C0" w:rsidRPr="002A1A49">
        <w:rPr>
          <w:sz w:val="24"/>
          <w:szCs w:val="24"/>
        </w:rPr>
        <w:t>.</w:t>
      </w:r>
    </w:p>
    <w:p w14:paraId="7DF161BA" w14:textId="7F0A2440" w:rsidR="00757CA1" w:rsidRDefault="00CF7110" w:rsidP="00CF7110">
      <w:pPr>
        <w:ind w:firstLine="708"/>
        <w:jc w:val="both"/>
      </w:pPr>
      <w:r w:rsidRPr="004C44F6">
        <w:rPr>
          <w:rStyle w:val="fontstyle01"/>
          <w:rFonts w:ascii="Times New Roman" w:eastAsiaTheme="majorEastAsia" w:hAnsi="Times New Roman"/>
          <w:color w:val="auto"/>
        </w:rPr>
        <w:t>No passado</w:t>
      </w:r>
      <w:r w:rsidR="00275702" w:rsidRPr="004C44F6">
        <w:rPr>
          <w:rStyle w:val="fontstyle01"/>
          <w:rFonts w:ascii="Times New Roman" w:eastAsiaTheme="majorEastAsia" w:hAnsi="Times New Roman"/>
          <w:color w:val="auto"/>
        </w:rPr>
        <w:t>, esse trabalho servia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apenas</w:t>
      </w:r>
      <w:r w:rsidR="00275702" w:rsidRPr="004C44F6">
        <w:rPr>
          <w:rStyle w:val="fontstyle01"/>
          <w:rFonts w:ascii="Times New Roman" w:eastAsiaTheme="majorEastAsia" w:hAnsi="Times New Roman"/>
          <w:color w:val="auto"/>
        </w:rPr>
        <w:t xml:space="preserve"> para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satisfazer as necessidades familiares</w:t>
      </w:r>
      <w:r w:rsidR="00275702" w:rsidRPr="004C44F6">
        <w:rPr>
          <w:rStyle w:val="fontstyle01"/>
          <w:rFonts w:ascii="Times New Roman" w:eastAsiaTheme="majorEastAsia" w:hAnsi="Times New Roman"/>
          <w:color w:val="auto"/>
        </w:rPr>
        <w:t>;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275702" w:rsidRPr="004C44F6">
        <w:rPr>
          <w:rStyle w:val="fontstyle01"/>
          <w:rFonts w:ascii="Times New Roman" w:eastAsiaTheme="majorEastAsia" w:hAnsi="Times New Roman"/>
          <w:color w:val="auto"/>
        </w:rPr>
        <w:t>hoje, significa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mão de obra autônoma para a produção capitalista. </w:t>
      </w:r>
      <w:proofErr w:type="spellStart"/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>Stoffel</w:t>
      </w:r>
      <w:proofErr w:type="spellEnd"/>
      <w:r w:rsidR="005853E5" w:rsidRPr="002130C0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5853E5" w:rsidRPr="002130C0">
        <w:rPr>
          <w:rStyle w:val="fontstyle01"/>
          <w:rFonts w:ascii="Times New Roman" w:eastAsiaTheme="majorEastAsia" w:hAnsi="Times New Roman"/>
          <w:i/>
          <w:color w:val="auto"/>
        </w:rPr>
        <w:t>et al.</w:t>
      </w:r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 xml:space="preserve"> (2014) </w:t>
      </w:r>
      <w:r w:rsidR="009A79DE" w:rsidRPr="002130C0">
        <w:rPr>
          <w:rStyle w:val="fontstyle01"/>
          <w:rFonts w:ascii="Times New Roman" w:eastAsiaTheme="majorEastAsia" w:hAnsi="Times New Roman"/>
          <w:color w:val="auto"/>
        </w:rPr>
        <w:t>aponta</w:t>
      </w:r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 xml:space="preserve"> que a forma de trabalho das famílias a</w:t>
      </w:r>
      <w:r w:rsidR="002867E6" w:rsidRPr="002130C0">
        <w:rPr>
          <w:rStyle w:val="fontstyle01"/>
          <w:rFonts w:ascii="Times New Roman" w:eastAsiaTheme="majorEastAsia" w:hAnsi="Times New Roman"/>
          <w:color w:val="auto"/>
        </w:rPr>
        <w:t>inda é a mesma</w:t>
      </w:r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 xml:space="preserve">, </w:t>
      </w:r>
      <w:r w:rsidR="002867E6" w:rsidRPr="002130C0">
        <w:rPr>
          <w:rStyle w:val="fontstyle01"/>
          <w:rFonts w:ascii="Times New Roman" w:eastAsiaTheme="majorEastAsia" w:hAnsi="Times New Roman"/>
          <w:color w:val="auto"/>
        </w:rPr>
        <w:t>tendo em vista</w:t>
      </w:r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2867E6" w:rsidRPr="002130C0">
        <w:rPr>
          <w:rStyle w:val="fontstyle01"/>
          <w:rFonts w:ascii="Times New Roman" w:eastAsiaTheme="majorEastAsia" w:hAnsi="Times New Roman"/>
          <w:color w:val="auto"/>
        </w:rPr>
        <w:t>que a</w:t>
      </w:r>
      <w:r w:rsidR="00F7263C" w:rsidRPr="002130C0">
        <w:rPr>
          <w:rStyle w:val="fontstyle01"/>
          <w:rFonts w:ascii="Times New Roman" w:eastAsiaTheme="majorEastAsia" w:hAnsi="Times New Roman"/>
          <w:color w:val="auto"/>
        </w:rPr>
        <w:t xml:space="preserve"> terra, os meios de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produção</w:t>
      </w:r>
      <w:r w:rsidR="002867E6" w:rsidRPr="004C44F6">
        <w:rPr>
          <w:rStyle w:val="fontstyle01"/>
          <w:rFonts w:ascii="Times New Roman" w:eastAsiaTheme="majorEastAsia" w:hAnsi="Times New Roman"/>
          <w:color w:val="auto"/>
        </w:rPr>
        <w:t xml:space="preserve"> e a mão de obra utilizadas são da família; porém, “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>o modo de produção capitalista é que imprime o processo de produção e a jornada de trabalho”.</w:t>
      </w:r>
      <w:r w:rsidR="00757CA1" w:rsidRPr="00757CA1">
        <w:t xml:space="preserve"> </w:t>
      </w:r>
    </w:p>
    <w:p w14:paraId="4AECE6FE" w14:textId="3A4905F2" w:rsidR="00F7263C" w:rsidRPr="004C44F6" w:rsidRDefault="004279B4" w:rsidP="00F7263C">
      <w:pPr>
        <w:ind w:firstLine="709"/>
        <w:jc w:val="both"/>
        <w:rPr>
          <w:rStyle w:val="fontstyle01"/>
          <w:rFonts w:ascii="Times New Roman" w:eastAsiaTheme="majorEastAsia" w:hAnsi="Times New Roman"/>
          <w:color w:val="auto"/>
        </w:rPr>
      </w:pPr>
      <w:r>
        <w:rPr>
          <w:rStyle w:val="fontstyle01"/>
          <w:rFonts w:ascii="Times New Roman" w:eastAsiaTheme="majorEastAsia" w:hAnsi="Times New Roman"/>
          <w:color w:val="auto"/>
        </w:rPr>
        <w:t>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agricultura familiar possui mais condições de sustentabilidade do que grandes produtores empresariais, </w:t>
      </w:r>
      <w:r w:rsidR="002867E6" w:rsidRPr="004C44F6">
        <w:rPr>
          <w:rStyle w:val="fontstyle01"/>
          <w:rFonts w:ascii="Times New Roman" w:eastAsiaTheme="majorEastAsia" w:hAnsi="Times New Roman"/>
          <w:color w:val="auto"/>
        </w:rPr>
        <w:t>pelo fato de a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familiar incorporar estratégias de equilíbrio entre os parâmetros econômicos, sociais e </w:t>
      </w:r>
      <w:r w:rsidR="00F7263C" w:rsidRPr="009A79DE">
        <w:rPr>
          <w:rStyle w:val="fontstyle01"/>
          <w:rFonts w:ascii="Times New Roman" w:eastAsiaTheme="majorEastAsia" w:hAnsi="Times New Roman"/>
          <w:color w:val="auto"/>
        </w:rPr>
        <w:t>ambientais (</w:t>
      </w:r>
      <w:proofErr w:type="spellStart"/>
      <w:r w:rsidR="00F7263C" w:rsidRPr="009A79DE">
        <w:rPr>
          <w:rStyle w:val="fontstyle01"/>
          <w:rFonts w:ascii="Times New Roman" w:eastAsiaTheme="majorEastAsia" w:hAnsi="Times New Roman"/>
          <w:color w:val="auto"/>
        </w:rPr>
        <w:t>S</w:t>
      </w:r>
      <w:r w:rsidR="005853E5" w:rsidRPr="009A79DE">
        <w:rPr>
          <w:rStyle w:val="fontstyle01"/>
          <w:rFonts w:ascii="Times New Roman" w:eastAsiaTheme="majorEastAsia" w:hAnsi="Times New Roman"/>
          <w:color w:val="auto"/>
        </w:rPr>
        <w:t>toffel</w:t>
      </w:r>
      <w:proofErr w:type="spellEnd"/>
      <w:r w:rsidR="005853E5" w:rsidRPr="009A79DE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5853E5" w:rsidRPr="009A79DE">
        <w:rPr>
          <w:rStyle w:val="fontstyle01"/>
          <w:rFonts w:ascii="Times New Roman" w:eastAsiaTheme="majorEastAsia" w:hAnsi="Times New Roman"/>
          <w:i/>
          <w:color w:val="auto"/>
        </w:rPr>
        <w:t>et al.</w:t>
      </w:r>
      <w:r w:rsidR="00F7263C" w:rsidRPr="009A79DE">
        <w:rPr>
          <w:rStyle w:val="fontstyle01"/>
          <w:rFonts w:ascii="Times New Roman" w:eastAsiaTheme="majorEastAsia" w:hAnsi="Times New Roman"/>
          <w:color w:val="auto"/>
        </w:rPr>
        <w:t>, 2014). A sustentabilidade na agricultura é essencial para atingir uma sociedade sustentável que se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 preocupa com a saúde ambiental, justiça social e viabilidade econômica entre os diferentes setores da população (M</w:t>
      </w:r>
      <w:r w:rsidR="00494F9B" w:rsidRPr="004C44F6">
        <w:rPr>
          <w:rStyle w:val="fontstyle01"/>
          <w:rFonts w:ascii="Times New Roman" w:eastAsiaTheme="majorEastAsia" w:hAnsi="Times New Roman"/>
          <w:color w:val="auto"/>
        </w:rPr>
        <w:t>elo &amp; Cândido</w:t>
      </w:r>
      <w:r w:rsidR="00F7263C" w:rsidRPr="004C44F6">
        <w:rPr>
          <w:rStyle w:val="fontstyle01"/>
          <w:rFonts w:ascii="Times New Roman" w:eastAsiaTheme="majorEastAsia" w:hAnsi="Times New Roman"/>
          <w:color w:val="auto"/>
        </w:rPr>
        <w:t xml:space="preserve">, 2013). </w:t>
      </w:r>
    </w:p>
    <w:p w14:paraId="7D666EE5" w14:textId="392A3A81" w:rsidR="00F7263C" w:rsidRPr="004C44F6" w:rsidRDefault="00F7263C" w:rsidP="00AD6A88">
      <w:pPr>
        <w:ind w:firstLine="709"/>
        <w:jc w:val="both"/>
        <w:rPr>
          <w:rStyle w:val="fontstyle01"/>
          <w:rFonts w:ascii="Times New Roman" w:eastAsiaTheme="majorEastAsia" w:hAnsi="Times New Roman"/>
          <w:color w:val="auto"/>
        </w:rPr>
      </w:pPr>
      <w:r w:rsidRPr="004C44F6">
        <w:rPr>
          <w:rStyle w:val="fontstyle01"/>
          <w:rFonts w:ascii="Times New Roman" w:eastAsiaTheme="majorEastAsia" w:hAnsi="Times New Roman"/>
          <w:color w:val="auto"/>
        </w:rPr>
        <w:t>Nesse sentido</w:t>
      </w:r>
      <w:r w:rsidR="00CE1880" w:rsidRPr="004C44F6">
        <w:rPr>
          <w:rStyle w:val="fontstyle01"/>
          <w:rFonts w:ascii="Times New Roman" w:eastAsiaTheme="majorEastAsia" w:hAnsi="Times New Roman"/>
          <w:color w:val="auto"/>
        </w:rPr>
        <w:t>,</w:t>
      </w:r>
      <w:r w:rsidRPr="004C44F6">
        <w:rPr>
          <w:rStyle w:val="fontstyle01"/>
          <w:rFonts w:ascii="Times New Roman" w:eastAsiaTheme="majorEastAsia" w:hAnsi="Times New Roman"/>
          <w:color w:val="auto"/>
        </w:rPr>
        <w:t xml:space="preserve"> alguns autores argumentam que em decorrência da preocupação crescente com o conceito da sustentabilidade, a implantação da agricultura familiar em subsistemas coorden</w:t>
      </w:r>
      <w:r w:rsidR="002867E6" w:rsidRPr="004C44F6">
        <w:rPr>
          <w:rStyle w:val="fontstyle01"/>
          <w:rFonts w:ascii="Times New Roman" w:eastAsiaTheme="majorEastAsia" w:hAnsi="Times New Roman"/>
          <w:color w:val="auto"/>
        </w:rPr>
        <w:t>ados será mais valorizada</w:t>
      </w:r>
      <w:r w:rsidR="00CE1880" w:rsidRPr="004C44F6">
        <w:rPr>
          <w:rStyle w:val="fontstyle01"/>
          <w:rFonts w:ascii="Times New Roman" w:eastAsiaTheme="majorEastAsia" w:hAnsi="Times New Roman"/>
          <w:color w:val="auto"/>
        </w:rPr>
        <w:t>,</w:t>
      </w:r>
      <w:r w:rsidR="002867E6" w:rsidRPr="004C44F6">
        <w:rPr>
          <w:rStyle w:val="fontstyle01"/>
          <w:rFonts w:ascii="Times New Roman" w:eastAsiaTheme="majorEastAsia" w:hAnsi="Times New Roman"/>
          <w:color w:val="auto"/>
        </w:rPr>
        <w:t xml:space="preserve"> pois</w:t>
      </w:r>
      <w:r w:rsidRPr="004C44F6">
        <w:rPr>
          <w:rStyle w:val="fontstyle01"/>
          <w:rFonts w:ascii="Times New Roman" w:eastAsiaTheme="majorEastAsia" w:hAnsi="Times New Roman"/>
          <w:color w:val="auto"/>
        </w:rPr>
        <w:t xml:space="preserve"> fortalece as “opções ambientais e socialmente corretas, além de economicamente viáveis e institucionalmente amparadas, respondendo a uma pressão da sociedade na busca por modelos de produção sustentáveis” </w:t>
      </w:r>
      <w:r w:rsidR="00494F9B" w:rsidRPr="004C44F6">
        <w:rPr>
          <w:rStyle w:val="fontstyle01"/>
          <w:rFonts w:ascii="Times New Roman" w:eastAsiaTheme="majorEastAsia" w:hAnsi="Times New Roman"/>
          <w:color w:val="auto"/>
        </w:rPr>
        <w:t>(</w:t>
      </w:r>
      <w:r w:rsidR="004279B4">
        <w:rPr>
          <w:sz w:val="24"/>
          <w:szCs w:val="24"/>
        </w:rPr>
        <w:t xml:space="preserve">Souza; </w:t>
      </w:r>
      <w:proofErr w:type="spellStart"/>
      <w:r w:rsidR="004279B4" w:rsidRPr="009A79DE">
        <w:rPr>
          <w:sz w:val="24"/>
          <w:szCs w:val="24"/>
        </w:rPr>
        <w:t>Buainain</w:t>
      </w:r>
      <w:proofErr w:type="spellEnd"/>
      <w:r w:rsidR="004279B4" w:rsidRPr="009A79DE">
        <w:rPr>
          <w:sz w:val="24"/>
          <w:szCs w:val="24"/>
        </w:rPr>
        <w:t>,</w:t>
      </w:r>
      <w:r w:rsidR="004279B4">
        <w:rPr>
          <w:sz w:val="24"/>
          <w:szCs w:val="24"/>
        </w:rPr>
        <w:t xml:space="preserve"> </w:t>
      </w:r>
      <w:r w:rsidR="004279B4" w:rsidRPr="009A79DE">
        <w:rPr>
          <w:sz w:val="24"/>
          <w:szCs w:val="24"/>
        </w:rPr>
        <w:t>2013</w:t>
      </w:r>
      <w:r w:rsidR="004279B4">
        <w:rPr>
          <w:sz w:val="24"/>
          <w:szCs w:val="24"/>
        </w:rPr>
        <w:t xml:space="preserve">; </w:t>
      </w:r>
      <w:proofErr w:type="spellStart"/>
      <w:r w:rsidR="00494F9B" w:rsidRPr="004C44F6">
        <w:rPr>
          <w:rStyle w:val="fontstyle01"/>
          <w:rFonts w:ascii="Times New Roman" w:eastAsiaTheme="majorEastAsia" w:hAnsi="Times New Roman"/>
          <w:color w:val="auto"/>
        </w:rPr>
        <w:t>Stoffel</w:t>
      </w:r>
      <w:proofErr w:type="spellEnd"/>
      <w:r w:rsidR="00494F9B" w:rsidRPr="004C44F6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r w:rsidR="00494F9B" w:rsidRPr="004C44F6">
        <w:rPr>
          <w:rStyle w:val="fontstyle01"/>
          <w:rFonts w:ascii="Times New Roman" w:eastAsiaTheme="majorEastAsia" w:hAnsi="Times New Roman"/>
          <w:i/>
          <w:color w:val="auto"/>
        </w:rPr>
        <w:t>et al.</w:t>
      </w:r>
      <w:r w:rsidR="00494F9B" w:rsidRPr="004C44F6">
        <w:rPr>
          <w:rStyle w:val="fontstyle01"/>
          <w:rFonts w:ascii="Times New Roman" w:eastAsiaTheme="majorEastAsia" w:hAnsi="Times New Roman"/>
          <w:color w:val="auto"/>
        </w:rPr>
        <w:t xml:space="preserve">, </w:t>
      </w:r>
      <w:r w:rsidR="00494F9B" w:rsidRPr="009A79DE">
        <w:rPr>
          <w:rStyle w:val="fontstyle01"/>
          <w:rFonts w:ascii="Times New Roman" w:eastAsiaTheme="majorEastAsia" w:hAnsi="Times New Roman"/>
          <w:color w:val="auto"/>
        </w:rPr>
        <w:t>2014</w:t>
      </w:r>
      <w:r w:rsidR="009A79DE" w:rsidRPr="009A79DE">
        <w:rPr>
          <w:rStyle w:val="fontstyle01"/>
          <w:rFonts w:ascii="Times New Roman" w:eastAsiaTheme="majorEastAsia" w:hAnsi="Times New Roman"/>
          <w:color w:val="auto"/>
        </w:rPr>
        <w:t>,</w:t>
      </w:r>
      <w:r w:rsidR="00494F9B" w:rsidRPr="009A79DE">
        <w:rPr>
          <w:rStyle w:val="fontstyle01"/>
          <w:rFonts w:ascii="Times New Roman" w:eastAsiaTheme="majorEastAsia" w:hAnsi="Times New Roman"/>
          <w:color w:val="auto"/>
        </w:rPr>
        <w:t>).</w:t>
      </w:r>
      <w:r w:rsidR="00AD6A88" w:rsidRPr="00AD6A88">
        <w:rPr>
          <w:rStyle w:val="fontstyle01"/>
          <w:rFonts w:ascii="Times New Roman" w:eastAsiaTheme="majorEastAsia" w:hAnsi="Times New Roman"/>
          <w:color w:val="auto"/>
        </w:rPr>
        <w:t xml:space="preserve"> </w:t>
      </w:r>
    </w:p>
    <w:p w14:paraId="078F8075" w14:textId="2A33C0FD" w:rsidR="0023633C" w:rsidRDefault="00CF7110" w:rsidP="00490466">
      <w:pPr>
        <w:ind w:firstLine="709"/>
        <w:jc w:val="both"/>
        <w:rPr>
          <w:rStyle w:val="fontstyle01"/>
          <w:rFonts w:ascii="Times New Roman" w:eastAsiaTheme="majorEastAsia" w:hAnsi="Times New Roman"/>
          <w:color w:val="auto"/>
        </w:rPr>
      </w:pPr>
      <w:r>
        <w:rPr>
          <w:rStyle w:val="fontstyle01"/>
          <w:rFonts w:ascii="Times New Roman" w:eastAsiaTheme="majorEastAsia" w:hAnsi="Times New Roman"/>
          <w:color w:val="auto"/>
        </w:rPr>
        <w:t>Apesar do enfoque dado à sustentabilidade da agricultura familiar, não há meios de verificar</w:t>
      </w:r>
      <w:r w:rsidR="001D5E0A">
        <w:rPr>
          <w:rStyle w:val="fontstyle01"/>
          <w:rFonts w:ascii="Times New Roman" w:eastAsiaTheme="majorEastAsia" w:hAnsi="Times New Roman"/>
          <w:color w:val="auto"/>
        </w:rPr>
        <w:t xml:space="preserve">, pelo </w:t>
      </w:r>
      <w:r w:rsidR="001D5E0A" w:rsidRPr="001D5E0A">
        <w:rPr>
          <w:rStyle w:val="fontstyle01"/>
          <w:rFonts w:ascii="Times New Roman" w:eastAsiaTheme="majorEastAsia" w:hAnsi="Times New Roman"/>
          <w:i/>
          <w:color w:val="auto"/>
        </w:rPr>
        <w:t>software</w:t>
      </w:r>
      <w:r w:rsidR="001D5E0A">
        <w:rPr>
          <w:rStyle w:val="fontstyle01"/>
          <w:rFonts w:ascii="Times New Roman" w:eastAsiaTheme="majorEastAsia" w:hAnsi="Times New Roman"/>
          <w:color w:val="auto"/>
        </w:rPr>
        <w:t xml:space="preserve"> </w:t>
      </w:r>
      <w:proofErr w:type="spellStart"/>
      <w:r w:rsidR="001D5E0A">
        <w:rPr>
          <w:rStyle w:val="fontstyle01"/>
          <w:rFonts w:ascii="Times New Roman" w:eastAsiaTheme="majorEastAsia" w:hAnsi="Times New Roman"/>
          <w:color w:val="auto"/>
        </w:rPr>
        <w:t>Contagri</w:t>
      </w:r>
      <w:proofErr w:type="spellEnd"/>
      <w:r w:rsidR="001D5E0A">
        <w:rPr>
          <w:rStyle w:val="fontstyle01"/>
          <w:rFonts w:ascii="Times New Roman" w:eastAsiaTheme="majorEastAsia" w:hAnsi="Times New Roman"/>
          <w:color w:val="auto"/>
        </w:rPr>
        <w:t>,</w:t>
      </w:r>
      <w:r>
        <w:rPr>
          <w:rStyle w:val="fontstyle01"/>
          <w:rFonts w:ascii="Times New Roman" w:eastAsiaTheme="majorEastAsia" w:hAnsi="Times New Roman"/>
          <w:color w:val="auto"/>
        </w:rPr>
        <w:t xml:space="preserve"> se as propriedades base desse estudo utilizam me</w:t>
      </w:r>
      <w:r w:rsidR="001D5E0A">
        <w:rPr>
          <w:rStyle w:val="fontstyle01"/>
          <w:rFonts w:ascii="Times New Roman" w:eastAsiaTheme="majorEastAsia" w:hAnsi="Times New Roman"/>
          <w:color w:val="auto"/>
        </w:rPr>
        <w:t xml:space="preserve">ios orgânicos em suas produções. </w:t>
      </w:r>
      <w:r w:rsidR="002867E6">
        <w:rPr>
          <w:rStyle w:val="fontstyle01"/>
          <w:rFonts w:ascii="Times New Roman" w:eastAsiaTheme="majorEastAsia" w:hAnsi="Times New Roman"/>
          <w:color w:val="auto"/>
        </w:rPr>
        <w:t xml:space="preserve">Dessa forma, </w:t>
      </w:r>
      <w:r w:rsidR="001D5E0A">
        <w:rPr>
          <w:rStyle w:val="fontstyle01"/>
          <w:rFonts w:ascii="Times New Roman" w:eastAsiaTheme="majorEastAsia" w:hAnsi="Times New Roman"/>
          <w:color w:val="auto"/>
        </w:rPr>
        <w:t>não é possível afirmar que tais propriedades</w:t>
      </w:r>
      <w:r w:rsidR="00613037">
        <w:rPr>
          <w:rStyle w:val="fontstyle01"/>
          <w:rFonts w:ascii="Times New Roman" w:eastAsiaTheme="majorEastAsia" w:hAnsi="Times New Roman"/>
          <w:color w:val="auto"/>
        </w:rPr>
        <w:t xml:space="preserve"> são</w:t>
      </w:r>
      <w:r w:rsidR="00F7263C" w:rsidRPr="00F7263C">
        <w:rPr>
          <w:rStyle w:val="fontstyle01"/>
          <w:rFonts w:ascii="Times New Roman" w:eastAsiaTheme="majorEastAsia" w:hAnsi="Times New Roman"/>
          <w:color w:val="auto"/>
        </w:rPr>
        <w:t xml:space="preserve"> orgânicas ou não orgânicas.</w:t>
      </w:r>
    </w:p>
    <w:p w14:paraId="203A5C5D" w14:textId="3CF97618" w:rsidR="006B130A" w:rsidRPr="006B130A" w:rsidRDefault="00067398" w:rsidP="00490466">
      <w:pPr>
        <w:ind w:firstLine="709"/>
        <w:jc w:val="both"/>
        <w:rPr>
          <w:sz w:val="24"/>
          <w:szCs w:val="24"/>
        </w:rPr>
      </w:pPr>
      <w:r w:rsidRPr="006B130A">
        <w:rPr>
          <w:sz w:val="24"/>
          <w:szCs w:val="24"/>
        </w:rPr>
        <w:t xml:space="preserve">Segundo </w:t>
      </w:r>
      <w:proofErr w:type="spellStart"/>
      <w:r w:rsidRPr="006B130A">
        <w:rPr>
          <w:sz w:val="24"/>
          <w:szCs w:val="24"/>
        </w:rPr>
        <w:t>Guilhoto</w:t>
      </w:r>
      <w:proofErr w:type="spellEnd"/>
      <w:r w:rsidRPr="006B130A">
        <w:rPr>
          <w:sz w:val="24"/>
          <w:szCs w:val="24"/>
        </w:rPr>
        <w:t xml:space="preserve"> </w:t>
      </w:r>
      <w:r w:rsidRPr="006B130A">
        <w:rPr>
          <w:i/>
          <w:sz w:val="24"/>
          <w:szCs w:val="24"/>
        </w:rPr>
        <w:t xml:space="preserve">et al. </w:t>
      </w:r>
      <w:r w:rsidRPr="006B130A">
        <w:rPr>
          <w:sz w:val="24"/>
          <w:szCs w:val="24"/>
        </w:rPr>
        <w:t>(2007)</w:t>
      </w:r>
      <w:r w:rsidR="006B130A" w:rsidRPr="006B130A">
        <w:rPr>
          <w:sz w:val="24"/>
          <w:szCs w:val="24"/>
        </w:rPr>
        <w:t>, entre os anos de 1995 a 2005, o agronegócio correspondia a 30% do PIB do Brasil. Desse valor, 10% correspondia ao segmento familiar do agronegócio. Percebe-se assim a grande contribuição que a agricultura familiar e a pecuária familiar trazem para a economia brasileira.</w:t>
      </w:r>
    </w:p>
    <w:p w14:paraId="250C101B" w14:textId="663582C0" w:rsidR="00B361B4" w:rsidRPr="005B3524" w:rsidRDefault="002A1A49" w:rsidP="00D2049B">
      <w:pPr>
        <w:ind w:firstLine="708"/>
        <w:jc w:val="both"/>
        <w:rPr>
          <w:rStyle w:val="fontstyle01"/>
          <w:rFonts w:ascii="Times New Roman" w:hAnsi="Times New Roman"/>
          <w:color w:val="auto"/>
        </w:rPr>
      </w:pPr>
      <w:r w:rsidRPr="005B3524">
        <w:rPr>
          <w:sz w:val="24"/>
          <w:szCs w:val="24"/>
        </w:rPr>
        <w:t>Em</w:t>
      </w:r>
      <w:r w:rsidR="00D11C8E" w:rsidRPr="005B3524">
        <w:rPr>
          <w:sz w:val="24"/>
          <w:szCs w:val="24"/>
        </w:rPr>
        <w:t xml:space="preserve"> 2006, o total de estabelecimentos</w:t>
      </w:r>
      <w:r w:rsidR="001B127E" w:rsidRPr="005B3524">
        <w:rPr>
          <w:sz w:val="24"/>
          <w:szCs w:val="24"/>
        </w:rPr>
        <w:t xml:space="preserve"> de agricultura familiar</w:t>
      </w:r>
      <w:r w:rsidR="005B3524" w:rsidRPr="005B3524">
        <w:rPr>
          <w:sz w:val="24"/>
          <w:szCs w:val="24"/>
        </w:rPr>
        <w:t xml:space="preserve"> do estado de Santa Catarina</w:t>
      </w:r>
      <w:r w:rsidR="001B127E" w:rsidRPr="005B3524">
        <w:rPr>
          <w:sz w:val="24"/>
          <w:szCs w:val="24"/>
        </w:rPr>
        <w:t xml:space="preserve"> equivalia </w:t>
      </w:r>
      <w:r w:rsidR="005B3524" w:rsidRPr="005B3524">
        <w:rPr>
          <w:sz w:val="24"/>
          <w:szCs w:val="24"/>
        </w:rPr>
        <w:t xml:space="preserve">a </w:t>
      </w:r>
      <w:r w:rsidR="001B127E" w:rsidRPr="005B3524">
        <w:rPr>
          <w:sz w:val="24"/>
          <w:szCs w:val="24"/>
        </w:rPr>
        <w:t>mais de 168 mil, de um total de 193.663 propriedades</w:t>
      </w:r>
      <w:r w:rsidR="008A2D82" w:rsidRPr="005B3524">
        <w:rPr>
          <w:sz w:val="24"/>
          <w:szCs w:val="24"/>
        </w:rPr>
        <w:t xml:space="preserve">, ou seja, correspondia a 87% do total. </w:t>
      </w:r>
      <w:r w:rsidR="008C1C71" w:rsidRPr="005B3524">
        <w:rPr>
          <w:sz w:val="24"/>
          <w:szCs w:val="24"/>
        </w:rPr>
        <w:t>Com este valor, Santa Catarina se tornou</w:t>
      </w:r>
      <w:r w:rsidR="005B3524" w:rsidRPr="005B3524">
        <w:rPr>
          <w:sz w:val="24"/>
          <w:szCs w:val="24"/>
        </w:rPr>
        <w:t>-se</w:t>
      </w:r>
      <w:r w:rsidR="008420F8" w:rsidRPr="005B3524">
        <w:rPr>
          <w:sz w:val="24"/>
          <w:szCs w:val="24"/>
        </w:rPr>
        <w:t xml:space="preserve"> uma das unidades da federação </w:t>
      </w:r>
      <w:r w:rsidR="00D2049B" w:rsidRPr="005B3524">
        <w:rPr>
          <w:rStyle w:val="fontstyle01"/>
          <w:rFonts w:ascii="Times New Roman" w:eastAsiaTheme="majorEastAsia" w:hAnsi="Times New Roman"/>
          <w:color w:val="auto"/>
        </w:rPr>
        <w:t>com os maiores percentuais de agricultores familiares do país</w:t>
      </w:r>
      <w:r w:rsidR="005201A1" w:rsidRPr="005B3524">
        <w:rPr>
          <w:rStyle w:val="fontstyle01"/>
          <w:rFonts w:ascii="Times New Roman" w:eastAsiaTheme="majorEastAsia" w:hAnsi="Times New Roman"/>
          <w:color w:val="auto"/>
        </w:rPr>
        <w:t xml:space="preserve">. Em </w:t>
      </w:r>
      <w:r w:rsidR="003660AB" w:rsidRPr="005B3524">
        <w:rPr>
          <w:rStyle w:val="fontstyle01"/>
          <w:rFonts w:ascii="Times New Roman" w:eastAsiaTheme="majorEastAsia" w:hAnsi="Times New Roman"/>
          <w:color w:val="auto"/>
        </w:rPr>
        <w:t>contrapartida</w:t>
      </w:r>
      <w:r w:rsidR="005201A1" w:rsidRPr="005B3524">
        <w:rPr>
          <w:rStyle w:val="fontstyle01"/>
          <w:rFonts w:ascii="Times New Roman" w:eastAsiaTheme="majorEastAsia" w:hAnsi="Times New Roman"/>
          <w:color w:val="auto"/>
        </w:rPr>
        <w:t>, o valor</w:t>
      </w:r>
      <w:r w:rsidR="00052E9F" w:rsidRPr="005B3524">
        <w:rPr>
          <w:rStyle w:val="fontstyle01"/>
          <w:rFonts w:ascii="Times New Roman" w:eastAsiaTheme="majorEastAsia" w:hAnsi="Times New Roman"/>
          <w:color w:val="auto"/>
        </w:rPr>
        <w:t xml:space="preserve"> da área</w:t>
      </w:r>
      <w:r w:rsidR="005201A1" w:rsidRPr="005B3524">
        <w:rPr>
          <w:rStyle w:val="fontstyle01"/>
          <w:rFonts w:ascii="Times New Roman" w:eastAsiaTheme="majorEastAsia" w:hAnsi="Times New Roman"/>
          <w:color w:val="auto"/>
        </w:rPr>
        <w:t xml:space="preserve"> total de terras </w:t>
      </w:r>
      <w:r w:rsidR="005B3524" w:rsidRPr="005B3524">
        <w:rPr>
          <w:rStyle w:val="fontstyle01"/>
          <w:rFonts w:ascii="Times New Roman" w:eastAsiaTheme="majorEastAsia" w:hAnsi="Times New Roman"/>
          <w:color w:val="auto"/>
        </w:rPr>
        <w:t xml:space="preserve">desses produtores </w:t>
      </w:r>
      <w:r w:rsidR="005201A1" w:rsidRPr="005B3524">
        <w:rPr>
          <w:rStyle w:val="fontstyle01"/>
          <w:rFonts w:ascii="Times New Roman" w:eastAsiaTheme="majorEastAsia" w:hAnsi="Times New Roman"/>
          <w:color w:val="auto"/>
        </w:rPr>
        <w:t>(em hectares)</w:t>
      </w:r>
      <w:r w:rsidR="00DB198C" w:rsidRPr="005B3524">
        <w:rPr>
          <w:rStyle w:val="fontstyle01"/>
          <w:rFonts w:ascii="Times New Roman" w:eastAsiaTheme="majorEastAsia" w:hAnsi="Times New Roman"/>
          <w:color w:val="auto"/>
        </w:rPr>
        <w:t xml:space="preserve"> correspondi</w:t>
      </w:r>
      <w:r w:rsidR="00052E9F" w:rsidRPr="005B3524">
        <w:rPr>
          <w:rStyle w:val="fontstyle01"/>
          <w:rFonts w:ascii="Times New Roman" w:eastAsiaTheme="majorEastAsia" w:hAnsi="Times New Roman"/>
          <w:color w:val="auto"/>
        </w:rPr>
        <w:t>a</w:t>
      </w:r>
      <w:r w:rsidR="00DB198C" w:rsidRPr="005B3524">
        <w:rPr>
          <w:rStyle w:val="fontstyle01"/>
          <w:rFonts w:ascii="Times New Roman" w:eastAsiaTheme="majorEastAsia" w:hAnsi="Times New Roman"/>
          <w:color w:val="auto"/>
        </w:rPr>
        <w:t xml:space="preserve"> a apenas 44% do total</w:t>
      </w:r>
      <w:r w:rsidR="008731EE" w:rsidRPr="005B3524">
        <w:rPr>
          <w:rStyle w:val="fontstyle01"/>
          <w:rFonts w:ascii="Times New Roman" w:eastAsiaTheme="majorEastAsia" w:hAnsi="Times New Roman"/>
          <w:color w:val="auto"/>
        </w:rPr>
        <w:t xml:space="preserve">. </w:t>
      </w:r>
      <w:r w:rsidR="000F388C">
        <w:rPr>
          <w:rStyle w:val="fontstyle01"/>
          <w:rFonts w:ascii="Times New Roman" w:eastAsiaTheme="majorEastAsia" w:hAnsi="Times New Roman"/>
          <w:color w:val="auto"/>
        </w:rPr>
        <w:t>A</w:t>
      </w:r>
      <w:r w:rsidR="008731EE" w:rsidRPr="005B3524">
        <w:rPr>
          <w:rStyle w:val="fontstyle01"/>
          <w:rFonts w:ascii="Times New Roman" w:eastAsiaTheme="majorEastAsia" w:hAnsi="Times New Roman"/>
          <w:color w:val="auto"/>
        </w:rPr>
        <w:t>ssim</w:t>
      </w:r>
      <w:r w:rsidR="00E26CB3" w:rsidRPr="005B3524">
        <w:rPr>
          <w:rStyle w:val="fontstyle01"/>
          <w:rFonts w:ascii="Times New Roman" w:eastAsiaTheme="majorEastAsia" w:hAnsi="Times New Roman"/>
          <w:color w:val="auto"/>
        </w:rPr>
        <w:t>,</w:t>
      </w:r>
      <w:r w:rsidR="009F3821" w:rsidRPr="005B3524">
        <w:rPr>
          <w:sz w:val="24"/>
          <w:szCs w:val="24"/>
          <w:shd w:val="clear" w:color="auto" w:fill="FFFFFF"/>
        </w:rPr>
        <w:t xml:space="preserve"> </w:t>
      </w:r>
      <w:r w:rsidR="00420689" w:rsidRPr="005B3524">
        <w:rPr>
          <w:sz w:val="24"/>
          <w:szCs w:val="24"/>
          <w:shd w:val="clear" w:color="auto" w:fill="FFFFFF"/>
        </w:rPr>
        <w:t>per</w:t>
      </w:r>
      <w:r w:rsidR="002341EE" w:rsidRPr="005B3524">
        <w:rPr>
          <w:sz w:val="24"/>
          <w:szCs w:val="24"/>
          <w:shd w:val="clear" w:color="auto" w:fill="FFFFFF"/>
        </w:rPr>
        <w:t xml:space="preserve">cebe-se </w:t>
      </w:r>
      <w:r w:rsidR="003660AB" w:rsidRPr="005B3524">
        <w:rPr>
          <w:sz w:val="24"/>
          <w:szCs w:val="24"/>
          <w:shd w:val="clear" w:color="auto" w:fill="FFFFFF"/>
        </w:rPr>
        <w:t xml:space="preserve">que o estado apresenta </w:t>
      </w:r>
      <w:r w:rsidR="009F3821" w:rsidRPr="005B3524">
        <w:rPr>
          <w:sz w:val="24"/>
          <w:szCs w:val="24"/>
          <w:shd w:val="clear" w:color="auto" w:fill="FFFFFF"/>
        </w:rPr>
        <w:t xml:space="preserve">uma elevada participação </w:t>
      </w:r>
      <w:r w:rsidR="00E26CB3" w:rsidRPr="005B3524">
        <w:rPr>
          <w:sz w:val="24"/>
          <w:szCs w:val="24"/>
          <w:shd w:val="clear" w:color="auto" w:fill="FFFFFF"/>
        </w:rPr>
        <w:t>n</w:t>
      </w:r>
      <w:r w:rsidR="009F3821" w:rsidRPr="005B3524">
        <w:rPr>
          <w:sz w:val="24"/>
          <w:szCs w:val="24"/>
          <w:shd w:val="clear" w:color="auto" w:fill="FFFFFF"/>
        </w:rPr>
        <w:t>a agricultura familiar no</w:t>
      </w:r>
      <w:r w:rsidR="00282368" w:rsidRPr="005B3524">
        <w:rPr>
          <w:sz w:val="24"/>
          <w:szCs w:val="24"/>
          <w:shd w:val="clear" w:color="auto" w:fill="FFFFFF"/>
        </w:rPr>
        <w:t xml:space="preserve"> que diz respeito </w:t>
      </w:r>
      <w:r w:rsidR="00282368" w:rsidRPr="005B3524">
        <w:rPr>
          <w:sz w:val="24"/>
          <w:szCs w:val="24"/>
          <w:shd w:val="clear" w:color="auto" w:fill="FFFFFF"/>
        </w:rPr>
        <w:lastRenderedPageBreak/>
        <w:t>ao</w:t>
      </w:r>
      <w:r w:rsidR="009F3821" w:rsidRPr="005B3524">
        <w:rPr>
          <w:sz w:val="24"/>
          <w:szCs w:val="24"/>
          <w:shd w:val="clear" w:color="auto" w:fill="FFFFFF"/>
        </w:rPr>
        <w:t xml:space="preserve"> número de estabelecimentos, </w:t>
      </w:r>
      <w:r w:rsidR="0084453A" w:rsidRPr="005B3524">
        <w:rPr>
          <w:sz w:val="24"/>
          <w:szCs w:val="24"/>
          <w:shd w:val="clear" w:color="auto" w:fill="FFFFFF"/>
        </w:rPr>
        <w:t>porém uma</w:t>
      </w:r>
      <w:r w:rsidR="009F3821" w:rsidRPr="005B3524">
        <w:rPr>
          <w:sz w:val="24"/>
          <w:szCs w:val="24"/>
          <w:shd w:val="clear" w:color="auto" w:fill="FFFFFF"/>
        </w:rPr>
        <w:t xml:space="preserve"> baixa participação na posse d</w:t>
      </w:r>
      <w:r w:rsidR="005D466E" w:rsidRPr="005B3524">
        <w:rPr>
          <w:sz w:val="24"/>
          <w:szCs w:val="24"/>
          <w:shd w:val="clear" w:color="auto" w:fill="FFFFFF"/>
        </w:rPr>
        <w:t>e</w:t>
      </w:r>
      <w:r w:rsidR="009F3821" w:rsidRPr="005B3524">
        <w:rPr>
          <w:sz w:val="24"/>
          <w:szCs w:val="24"/>
          <w:shd w:val="clear" w:color="auto" w:fill="FFFFFF"/>
        </w:rPr>
        <w:t xml:space="preserve"> terra</w:t>
      </w:r>
      <w:r w:rsidR="005D466E" w:rsidRPr="005B3524">
        <w:rPr>
          <w:sz w:val="24"/>
          <w:szCs w:val="24"/>
          <w:shd w:val="clear" w:color="auto" w:fill="FFFFFF"/>
        </w:rPr>
        <w:t>s</w:t>
      </w:r>
      <w:r w:rsidR="00AC646B" w:rsidRPr="005B3524">
        <w:rPr>
          <w:sz w:val="24"/>
          <w:szCs w:val="24"/>
          <w:shd w:val="clear" w:color="auto" w:fill="FFFFFF"/>
        </w:rPr>
        <w:t>, o que indica um</w:t>
      </w:r>
      <w:r w:rsidR="007C2C7A" w:rsidRPr="005B3524">
        <w:rPr>
          <w:sz w:val="24"/>
          <w:szCs w:val="24"/>
          <w:shd w:val="clear" w:color="auto" w:fill="FFFFFF"/>
        </w:rPr>
        <w:t>a</w:t>
      </w:r>
      <w:r w:rsidR="00AC646B" w:rsidRPr="005B3524">
        <w:rPr>
          <w:sz w:val="24"/>
          <w:szCs w:val="24"/>
          <w:shd w:val="clear" w:color="auto" w:fill="FFFFFF"/>
        </w:rPr>
        <w:t xml:space="preserve"> desigual</w:t>
      </w:r>
      <w:r w:rsidR="00C00C90" w:rsidRPr="005B3524">
        <w:rPr>
          <w:sz w:val="24"/>
          <w:szCs w:val="24"/>
          <w:shd w:val="clear" w:color="auto" w:fill="FFFFFF"/>
        </w:rPr>
        <w:t xml:space="preserve">dade na distribuição das </w:t>
      </w:r>
      <w:r w:rsidR="005B3524" w:rsidRPr="005B3524">
        <w:rPr>
          <w:sz w:val="24"/>
          <w:szCs w:val="24"/>
          <w:shd w:val="clear" w:color="auto" w:fill="FFFFFF"/>
        </w:rPr>
        <w:t>áreas</w:t>
      </w:r>
      <w:r w:rsidR="009F3821" w:rsidRPr="005B3524">
        <w:rPr>
          <w:sz w:val="24"/>
          <w:szCs w:val="24"/>
          <w:shd w:val="clear" w:color="auto" w:fill="FFFFFF"/>
        </w:rPr>
        <w:t xml:space="preserve"> </w:t>
      </w:r>
      <w:r w:rsidR="005B3524" w:rsidRPr="005B3524">
        <w:rPr>
          <w:sz w:val="24"/>
          <w:szCs w:val="24"/>
          <w:shd w:val="clear" w:color="auto" w:fill="FFFFFF"/>
        </w:rPr>
        <w:t xml:space="preserve">de produção </w:t>
      </w:r>
      <w:r w:rsidR="0084453A" w:rsidRPr="005B3524">
        <w:rPr>
          <w:sz w:val="24"/>
          <w:szCs w:val="24"/>
          <w:shd w:val="clear" w:color="auto" w:fill="FFFFFF"/>
        </w:rPr>
        <w:t>(Mattei, 2010).</w:t>
      </w:r>
    </w:p>
    <w:p w14:paraId="5812B8E1" w14:textId="101940C3" w:rsidR="007D2B1C" w:rsidRDefault="007D2B1C" w:rsidP="007D2B1C">
      <w:pPr>
        <w:ind w:firstLine="708"/>
        <w:jc w:val="both"/>
        <w:rPr>
          <w:sz w:val="24"/>
          <w:szCs w:val="24"/>
        </w:rPr>
      </w:pPr>
      <w:r w:rsidRPr="007D2B1C">
        <w:rPr>
          <w:sz w:val="24"/>
          <w:szCs w:val="24"/>
        </w:rPr>
        <w:t>Em agosto de 2017,</w:t>
      </w:r>
      <w:r>
        <w:rPr>
          <w:sz w:val="24"/>
          <w:szCs w:val="24"/>
        </w:rPr>
        <w:t xml:space="preserve"> </w:t>
      </w:r>
      <w:r w:rsidR="003C740B">
        <w:rPr>
          <w:sz w:val="24"/>
          <w:szCs w:val="24"/>
        </w:rPr>
        <w:t xml:space="preserve">como reconhecimento </w:t>
      </w:r>
      <w:r w:rsidR="009174EF">
        <w:rPr>
          <w:sz w:val="24"/>
          <w:szCs w:val="24"/>
        </w:rPr>
        <w:t>da importância</w:t>
      </w:r>
      <w:r w:rsidR="003C740B">
        <w:rPr>
          <w:sz w:val="24"/>
          <w:szCs w:val="24"/>
        </w:rPr>
        <w:t xml:space="preserve"> da agricultura familiar </w:t>
      </w:r>
      <w:r w:rsidR="009174EF">
        <w:rPr>
          <w:sz w:val="24"/>
          <w:szCs w:val="24"/>
        </w:rPr>
        <w:t>catarinense</w:t>
      </w:r>
      <w:r>
        <w:rPr>
          <w:sz w:val="24"/>
          <w:szCs w:val="24"/>
        </w:rPr>
        <w:t>, lançou-se o Núcleo de Inovação Tecnológica para Agricultura Familiar (NITA).</w:t>
      </w:r>
      <w:r w:rsidRPr="007D2B1C">
        <w:rPr>
          <w:sz w:val="24"/>
          <w:szCs w:val="24"/>
        </w:rPr>
        <w:t xml:space="preserve"> </w:t>
      </w:r>
      <w:r>
        <w:rPr>
          <w:sz w:val="24"/>
          <w:szCs w:val="24"/>
        </w:rPr>
        <w:t>Esse núcleo foi criado para servir como um elo entre as empresas desenvolvedoras de inovações com os</w:t>
      </w:r>
      <w:r w:rsidR="00114C98">
        <w:rPr>
          <w:sz w:val="24"/>
          <w:szCs w:val="24"/>
        </w:rPr>
        <w:t xml:space="preserve"> agricultores, buscando</w:t>
      </w:r>
      <w:r>
        <w:rPr>
          <w:sz w:val="24"/>
          <w:szCs w:val="24"/>
        </w:rPr>
        <w:t xml:space="preserve"> identificar </w:t>
      </w:r>
      <w:r w:rsidR="002A1A49">
        <w:rPr>
          <w:sz w:val="24"/>
          <w:szCs w:val="24"/>
        </w:rPr>
        <w:t>as demandas</w:t>
      </w:r>
      <w:r w:rsidRPr="00EC0299">
        <w:rPr>
          <w:sz w:val="24"/>
          <w:szCs w:val="24"/>
        </w:rPr>
        <w:t xml:space="preserve"> e os gargalos tecnológicos</w:t>
      </w:r>
      <w:r w:rsidR="002A1A49">
        <w:rPr>
          <w:sz w:val="24"/>
          <w:szCs w:val="24"/>
        </w:rPr>
        <w:t xml:space="preserve"> existentes </w:t>
      </w:r>
      <w:r w:rsidR="00BB5214" w:rsidRPr="00EC0299">
        <w:rPr>
          <w:sz w:val="24"/>
          <w:szCs w:val="24"/>
        </w:rPr>
        <w:t>(</w:t>
      </w:r>
      <w:hyperlink r:id="rId8" w:history="1">
        <w:r w:rsidR="00EC0299" w:rsidRPr="00EC0299">
          <w:rPr>
            <w:rStyle w:val="Hyperlink"/>
            <w:color w:val="auto"/>
            <w:sz w:val="24"/>
            <w:szCs w:val="24"/>
          </w:rPr>
          <w:t>http://www.sc.gov.br/index.php/noticias/temas/agricultura-e-pesca/santa-catarina-passa-a-contar-com-nucleo-de-inovacao-tecnologica-para-agricultura-familiar</w:t>
        </w:r>
      </w:hyperlink>
      <w:r w:rsidR="00BB5214" w:rsidRPr="00EC0299">
        <w:rPr>
          <w:sz w:val="24"/>
          <w:szCs w:val="24"/>
        </w:rPr>
        <w:t>)</w:t>
      </w:r>
      <w:r w:rsidRPr="00EC0299">
        <w:rPr>
          <w:sz w:val="24"/>
          <w:szCs w:val="24"/>
        </w:rPr>
        <w:t>.</w:t>
      </w:r>
    </w:p>
    <w:p w14:paraId="1FFBEB44" w14:textId="77777777" w:rsidR="00B453AA" w:rsidRDefault="00B453AA" w:rsidP="00490466">
      <w:pPr>
        <w:jc w:val="both"/>
        <w:rPr>
          <w:szCs w:val="24"/>
        </w:rPr>
      </w:pPr>
      <w:r>
        <w:rPr>
          <w:sz w:val="24"/>
          <w:szCs w:val="24"/>
        </w:rPr>
        <w:tab/>
      </w:r>
      <w:r w:rsidR="000423AC" w:rsidRPr="00EC0299">
        <w:rPr>
          <w:sz w:val="24"/>
          <w:szCs w:val="24"/>
        </w:rPr>
        <w:t>E</w:t>
      </w:r>
      <w:r w:rsidR="00AC42D0" w:rsidRPr="00EC0299">
        <w:rPr>
          <w:sz w:val="24"/>
          <w:szCs w:val="24"/>
        </w:rPr>
        <w:t>sse segmento é</w:t>
      </w:r>
      <w:r w:rsidR="0037267D" w:rsidRPr="00EC0299">
        <w:rPr>
          <w:sz w:val="24"/>
          <w:szCs w:val="24"/>
        </w:rPr>
        <w:t xml:space="preserve"> responsável pela maior parte da produção</w:t>
      </w:r>
      <w:r w:rsidR="00AC42D0" w:rsidRPr="00EC0299">
        <w:rPr>
          <w:sz w:val="24"/>
          <w:szCs w:val="24"/>
        </w:rPr>
        <w:t xml:space="preserve"> agrícola do estado</w:t>
      </w:r>
      <w:r w:rsidR="0037267D" w:rsidRPr="00EC0299">
        <w:rPr>
          <w:sz w:val="24"/>
          <w:szCs w:val="24"/>
        </w:rPr>
        <w:t xml:space="preserve">. </w:t>
      </w:r>
      <w:r w:rsidR="00AC42D0" w:rsidRPr="00EC0299">
        <w:rPr>
          <w:sz w:val="24"/>
          <w:szCs w:val="24"/>
        </w:rPr>
        <w:t>No ano de</w:t>
      </w:r>
      <w:r w:rsidR="0037267D" w:rsidRPr="00EC0299">
        <w:rPr>
          <w:sz w:val="24"/>
          <w:szCs w:val="24"/>
        </w:rPr>
        <w:t xml:space="preserve"> 2006, 67% do valor total da produção dos estabelecimentos agropecuários </w:t>
      </w:r>
      <w:r w:rsidR="000423AC" w:rsidRPr="00EC0299">
        <w:rPr>
          <w:sz w:val="24"/>
          <w:szCs w:val="24"/>
        </w:rPr>
        <w:t>correspondeu à</w:t>
      </w:r>
      <w:r w:rsidR="00AC42D0" w:rsidRPr="00EC0299">
        <w:rPr>
          <w:sz w:val="24"/>
          <w:szCs w:val="24"/>
        </w:rPr>
        <w:t xml:space="preserve"> agricultura familiar, enquanto no Brasil foram 36%</w:t>
      </w:r>
      <w:r w:rsidR="000423AC" w:rsidRPr="00EC0299">
        <w:rPr>
          <w:sz w:val="24"/>
          <w:szCs w:val="24"/>
        </w:rPr>
        <w:t>. C</w:t>
      </w:r>
      <w:r w:rsidR="009174EF" w:rsidRPr="00EC0299">
        <w:rPr>
          <w:sz w:val="24"/>
          <w:szCs w:val="24"/>
        </w:rPr>
        <w:t>onstata</w:t>
      </w:r>
      <w:r w:rsidR="000423AC" w:rsidRPr="00EC0299">
        <w:rPr>
          <w:sz w:val="24"/>
          <w:szCs w:val="24"/>
        </w:rPr>
        <w:t xml:space="preserve"> </w:t>
      </w:r>
      <w:r w:rsidR="009174EF" w:rsidRPr="00EC0299">
        <w:rPr>
          <w:sz w:val="24"/>
          <w:szCs w:val="24"/>
        </w:rPr>
        <w:t>a grande</w:t>
      </w:r>
      <w:r w:rsidR="000423AC" w:rsidRPr="00EC0299">
        <w:rPr>
          <w:sz w:val="24"/>
          <w:szCs w:val="24"/>
        </w:rPr>
        <w:t xml:space="preserve"> participação e </w:t>
      </w:r>
      <w:r w:rsidR="0037267D" w:rsidRPr="00EC0299">
        <w:rPr>
          <w:sz w:val="24"/>
          <w:szCs w:val="24"/>
        </w:rPr>
        <w:t xml:space="preserve">representatividade </w:t>
      </w:r>
      <w:r w:rsidR="009174EF" w:rsidRPr="00EC0299">
        <w:rPr>
          <w:sz w:val="24"/>
          <w:szCs w:val="24"/>
        </w:rPr>
        <w:t>catarinense nesse aspecto</w:t>
      </w:r>
      <w:r w:rsidR="002A1A49">
        <w:rPr>
          <w:sz w:val="24"/>
          <w:szCs w:val="24"/>
        </w:rPr>
        <w:t>. A</w:t>
      </w:r>
      <w:r w:rsidR="0037267D" w:rsidRPr="00E015CA">
        <w:rPr>
          <w:sz w:val="24"/>
          <w:szCs w:val="24"/>
        </w:rPr>
        <w:t xml:space="preserve"> importância </w:t>
      </w:r>
      <w:r w:rsidR="002A1A49">
        <w:rPr>
          <w:sz w:val="24"/>
          <w:szCs w:val="24"/>
        </w:rPr>
        <w:t>do estado de Santa Catarina nessa atividade fica ainda</w:t>
      </w:r>
      <w:r w:rsidR="0037267D" w:rsidRPr="00E015CA">
        <w:rPr>
          <w:sz w:val="24"/>
          <w:szCs w:val="24"/>
        </w:rPr>
        <w:t xml:space="preserve"> mais evidente quando comparada à dos 10 estados </w:t>
      </w:r>
      <w:r w:rsidR="002A1A49">
        <w:rPr>
          <w:sz w:val="24"/>
          <w:szCs w:val="24"/>
        </w:rPr>
        <w:t>com</w:t>
      </w:r>
      <w:r w:rsidR="0037267D" w:rsidRPr="00E015CA">
        <w:rPr>
          <w:sz w:val="24"/>
          <w:szCs w:val="24"/>
        </w:rPr>
        <w:t xml:space="preserve"> maior valor de produção do país. Em 2006, o valor da produção de Santa Catarina representou 5,5% do total do país, </w:t>
      </w:r>
      <w:r w:rsidR="0090186D">
        <w:rPr>
          <w:sz w:val="24"/>
          <w:szCs w:val="24"/>
        </w:rPr>
        <w:t>ocupando a 7ª posição nacional. Já n</w:t>
      </w:r>
      <w:r w:rsidR="0037267D" w:rsidRPr="00E015CA">
        <w:rPr>
          <w:sz w:val="24"/>
          <w:szCs w:val="24"/>
        </w:rPr>
        <w:t>a agricultura familiar represent</w:t>
      </w:r>
      <w:r w:rsidR="0090186D">
        <w:rPr>
          <w:sz w:val="24"/>
          <w:szCs w:val="24"/>
        </w:rPr>
        <w:t xml:space="preserve">ou 10,2% </w:t>
      </w:r>
      <w:r w:rsidR="0037267D" w:rsidRPr="00E015CA">
        <w:rPr>
          <w:sz w:val="24"/>
          <w:szCs w:val="24"/>
        </w:rPr>
        <w:t xml:space="preserve">e </w:t>
      </w:r>
      <w:r w:rsidR="0090186D">
        <w:rPr>
          <w:sz w:val="24"/>
          <w:szCs w:val="24"/>
        </w:rPr>
        <w:t>ocupou a 3ª posição nacional, ficando</w:t>
      </w:r>
      <w:r w:rsidR="0037267D" w:rsidRPr="00E015CA">
        <w:rPr>
          <w:sz w:val="24"/>
          <w:szCs w:val="24"/>
        </w:rPr>
        <w:t xml:space="preserve"> atrás </w:t>
      </w:r>
      <w:r w:rsidR="0090186D">
        <w:rPr>
          <w:sz w:val="24"/>
          <w:szCs w:val="24"/>
        </w:rPr>
        <w:t>dos</w:t>
      </w:r>
      <w:r w:rsidR="0037267D" w:rsidRPr="00E015CA">
        <w:rPr>
          <w:sz w:val="24"/>
          <w:szCs w:val="24"/>
        </w:rPr>
        <w:t xml:space="preserve"> estados </w:t>
      </w:r>
      <w:r w:rsidR="0090186D">
        <w:rPr>
          <w:sz w:val="24"/>
          <w:szCs w:val="24"/>
        </w:rPr>
        <w:t>de Rio Grande do Sul e do Paraná</w:t>
      </w:r>
      <w:r w:rsidR="009174EF">
        <w:rPr>
          <w:sz w:val="24"/>
          <w:szCs w:val="24"/>
        </w:rPr>
        <w:t>, que possuem um maior número de</w:t>
      </w:r>
      <w:r w:rsidR="009C32DE">
        <w:rPr>
          <w:sz w:val="24"/>
          <w:szCs w:val="24"/>
        </w:rPr>
        <w:t xml:space="preserve"> agric</w:t>
      </w:r>
      <w:r w:rsidR="009174EF">
        <w:rPr>
          <w:sz w:val="24"/>
          <w:szCs w:val="24"/>
        </w:rPr>
        <w:t xml:space="preserve">ultores </w:t>
      </w:r>
      <w:r w:rsidR="009174EF" w:rsidRPr="00EC0299">
        <w:rPr>
          <w:sz w:val="24"/>
          <w:szCs w:val="24"/>
        </w:rPr>
        <w:t>familiares (</w:t>
      </w:r>
      <w:hyperlink r:id="rId9" w:history="1">
        <w:r w:rsidR="00EC0299" w:rsidRPr="00EC0299">
          <w:rPr>
            <w:rStyle w:val="Hyperlink"/>
            <w:color w:val="auto"/>
            <w:sz w:val="24"/>
            <w:szCs w:val="24"/>
          </w:rPr>
          <w:t>http://nita.org.br/importancia-da-agricultura-familiar-em-santa-catarina/</w:t>
        </w:r>
      </w:hyperlink>
      <w:r w:rsidR="009174EF" w:rsidRPr="00EC0299">
        <w:rPr>
          <w:sz w:val="24"/>
          <w:szCs w:val="24"/>
        </w:rPr>
        <w:t>).</w:t>
      </w:r>
    </w:p>
    <w:p w14:paraId="6F84874D" w14:textId="67579653" w:rsidR="00BE624F" w:rsidRPr="00DE0387" w:rsidRDefault="00783749" w:rsidP="00490466">
      <w:pPr>
        <w:jc w:val="both"/>
        <w:rPr>
          <w:szCs w:val="24"/>
        </w:rPr>
      </w:pPr>
      <w:r>
        <w:rPr>
          <w:sz w:val="24"/>
          <w:szCs w:val="24"/>
        </w:rPr>
        <w:br/>
      </w:r>
      <w:r w:rsidR="001D5E0A" w:rsidRPr="00490466">
        <w:rPr>
          <w:b/>
          <w:sz w:val="24"/>
          <w:szCs w:val="24"/>
        </w:rPr>
        <w:t>2.</w:t>
      </w:r>
      <w:r w:rsidR="00881C6C">
        <w:rPr>
          <w:b/>
          <w:sz w:val="24"/>
          <w:szCs w:val="24"/>
        </w:rPr>
        <w:t>2</w:t>
      </w:r>
      <w:r w:rsidR="00881C6C" w:rsidRPr="00490466">
        <w:rPr>
          <w:b/>
          <w:sz w:val="24"/>
          <w:szCs w:val="24"/>
        </w:rPr>
        <w:t xml:space="preserve"> </w:t>
      </w:r>
      <w:r w:rsidR="00BE624F" w:rsidRPr="00490466">
        <w:rPr>
          <w:b/>
          <w:sz w:val="24"/>
          <w:szCs w:val="24"/>
        </w:rPr>
        <w:t>Indicadores de Sustentabilidade</w:t>
      </w:r>
    </w:p>
    <w:p w14:paraId="1D8641BA" w14:textId="77777777" w:rsidR="00175F81" w:rsidRPr="00175F81" w:rsidRDefault="00175F81" w:rsidP="00175F81"/>
    <w:p w14:paraId="4A4786CA" w14:textId="709DAAEF" w:rsidR="00BE624F" w:rsidRPr="00881C6C" w:rsidRDefault="00BE624F" w:rsidP="00BE624F">
      <w:pPr>
        <w:pStyle w:val="Textodecomentrio"/>
        <w:spacing w:after="0"/>
        <w:rPr>
          <w:rFonts w:ascii="Times New Roman" w:hAnsi="Times New Roman" w:cs="Times New Roman"/>
          <w:color w:val="FF0000"/>
        </w:rPr>
      </w:pPr>
      <w:r w:rsidRPr="16699F1E">
        <w:rPr>
          <w:rFonts w:ascii="Times New Roman" w:hAnsi="Times New Roman" w:cs="Times New Roman"/>
        </w:rPr>
        <w:t xml:space="preserve">Um indicador é uma medida que resume informações relevantes de uma ocorrência </w:t>
      </w:r>
      <w:r w:rsidRPr="004C44F6">
        <w:rPr>
          <w:rFonts w:ascii="Times New Roman" w:hAnsi="Times New Roman" w:cs="Times New Roman"/>
        </w:rPr>
        <w:t>específica (M</w:t>
      </w:r>
      <w:r w:rsidR="006C098F" w:rsidRPr="004C44F6">
        <w:rPr>
          <w:rFonts w:ascii="Times New Roman" w:hAnsi="Times New Roman" w:cs="Times New Roman"/>
        </w:rPr>
        <w:t xml:space="preserve">cQueen &amp; </w:t>
      </w:r>
      <w:proofErr w:type="spellStart"/>
      <w:r w:rsidR="006C098F" w:rsidRPr="004C44F6">
        <w:rPr>
          <w:rFonts w:ascii="Times New Roman" w:hAnsi="Times New Roman" w:cs="Times New Roman"/>
        </w:rPr>
        <w:t>Noa</w:t>
      </w:r>
      <w:r w:rsidR="00865BC7">
        <w:rPr>
          <w:rFonts w:ascii="Times New Roman" w:hAnsi="Times New Roman" w:cs="Times New Roman"/>
        </w:rPr>
        <w:t>c</w:t>
      </w:r>
      <w:r w:rsidR="006C098F" w:rsidRPr="004C44F6">
        <w:rPr>
          <w:rFonts w:ascii="Times New Roman" w:hAnsi="Times New Roman" w:cs="Times New Roman"/>
        </w:rPr>
        <w:t>k</w:t>
      </w:r>
      <w:proofErr w:type="spellEnd"/>
      <w:r w:rsidRPr="004C44F6">
        <w:rPr>
          <w:rFonts w:ascii="Times New Roman" w:hAnsi="Times New Roman" w:cs="Times New Roman"/>
        </w:rPr>
        <w:t xml:space="preserve">, 1988). O </w:t>
      </w:r>
      <w:r w:rsidRPr="16699F1E">
        <w:rPr>
          <w:rFonts w:ascii="Times New Roman" w:hAnsi="Times New Roman" w:cs="Times New Roman"/>
        </w:rPr>
        <w:t>indicador deve ter significância na avaliação do sistema; validade, objetividade e consistência; deve dispor de coerência e serem sensíveis às mudanças no tempo e nos sistemas; deve ser de fácil entendimento para que a população local possa entender o processo; possuir mensuração simples; deve-se permitir vasta participação dos atores envolvidos na sua definiçã</w:t>
      </w:r>
      <w:r w:rsidRPr="004C44F6">
        <w:rPr>
          <w:rFonts w:ascii="Times New Roman" w:hAnsi="Times New Roman" w:cs="Times New Roman"/>
        </w:rPr>
        <w:t>o e também deve permitir a relação com outros indicadores, facilitando a interação entre eles (</w:t>
      </w:r>
      <w:proofErr w:type="spellStart"/>
      <w:r w:rsidRPr="004C44F6">
        <w:rPr>
          <w:rFonts w:ascii="Times New Roman" w:hAnsi="Times New Roman" w:cs="Times New Roman"/>
        </w:rPr>
        <w:t>C</w:t>
      </w:r>
      <w:r w:rsidR="006C098F" w:rsidRPr="004C44F6">
        <w:rPr>
          <w:rFonts w:ascii="Times New Roman" w:hAnsi="Times New Roman" w:cs="Times New Roman"/>
        </w:rPr>
        <w:t>amino</w:t>
      </w:r>
      <w:proofErr w:type="spellEnd"/>
      <w:r w:rsidR="006C098F" w:rsidRPr="004C44F6">
        <w:rPr>
          <w:rFonts w:ascii="Times New Roman" w:hAnsi="Times New Roman" w:cs="Times New Roman"/>
        </w:rPr>
        <w:t xml:space="preserve"> &amp;</w:t>
      </w:r>
      <w:r w:rsidRPr="004C44F6">
        <w:rPr>
          <w:rFonts w:ascii="Times New Roman" w:hAnsi="Times New Roman" w:cs="Times New Roman"/>
        </w:rPr>
        <w:t xml:space="preserve"> M</w:t>
      </w:r>
      <w:r w:rsidR="006C098F" w:rsidRPr="004C44F6">
        <w:t>ü</w:t>
      </w:r>
      <w:r w:rsidR="006C098F" w:rsidRPr="004C44F6">
        <w:rPr>
          <w:rFonts w:ascii="Times New Roman" w:hAnsi="Times New Roman" w:cs="Times New Roman"/>
        </w:rPr>
        <w:t>ller</w:t>
      </w:r>
      <w:r w:rsidRPr="004C44F6">
        <w:rPr>
          <w:rFonts w:ascii="Times New Roman" w:hAnsi="Times New Roman" w:cs="Times New Roman"/>
        </w:rPr>
        <w:t xml:space="preserve">, 1993, </w:t>
      </w:r>
      <w:proofErr w:type="spellStart"/>
      <w:r w:rsidRPr="004C44F6">
        <w:rPr>
          <w:rFonts w:ascii="Times New Roman" w:hAnsi="Times New Roman" w:cs="Times New Roman"/>
        </w:rPr>
        <w:t>M</w:t>
      </w:r>
      <w:r w:rsidR="006C098F" w:rsidRPr="004C44F6">
        <w:rPr>
          <w:rFonts w:ascii="Times New Roman" w:hAnsi="Times New Roman" w:cs="Times New Roman"/>
        </w:rPr>
        <w:t>arzall</w:t>
      </w:r>
      <w:proofErr w:type="spellEnd"/>
      <w:r w:rsidRPr="004C44F6">
        <w:rPr>
          <w:rFonts w:ascii="Times New Roman" w:hAnsi="Times New Roman" w:cs="Times New Roman"/>
        </w:rPr>
        <w:t xml:space="preserve">, 1999, </w:t>
      </w:r>
      <w:proofErr w:type="spellStart"/>
      <w:r w:rsidR="00FE7A08" w:rsidRPr="00490466">
        <w:rPr>
          <w:rFonts w:ascii="Times New Roman" w:hAnsi="Times New Roman" w:cs="Times New Roman"/>
        </w:rPr>
        <w:t>Masera</w:t>
      </w:r>
      <w:proofErr w:type="spellEnd"/>
      <w:r w:rsidR="00FE7A08" w:rsidRPr="00490466">
        <w:rPr>
          <w:rFonts w:ascii="Times New Roman" w:hAnsi="Times New Roman" w:cs="Times New Roman"/>
        </w:rPr>
        <w:t xml:space="preserve">, </w:t>
      </w:r>
      <w:proofErr w:type="spellStart"/>
      <w:r w:rsidR="00FE7A08" w:rsidRPr="00490466">
        <w:rPr>
          <w:rFonts w:ascii="Times New Roman" w:hAnsi="Times New Roman" w:cs="Times New Roman"/>
        </w:rPr>
        <w:t>Astier</w:t>
      </w:r>
      <w:proofErr w:type="spellEnd"/>
      <w:r w:rsidR="00FE7A08" w:rsidRPr="00490466">
        <w:rPr>
          <w:rFonts w:ascii="Times New Roman" w:hAnsi="Times New Roman" w:cs="Times New Roman"/>
        </w:rPr>
        <w:t xml:space="preserve"> &amp;  Lopez-</w:t>
      </w:r>
      <w:proofErr w:type="spellStart"/>
      <w:r w:rsidR="00FE7A08" w:rsidRPr="00490466">
        <w:rPr>
          <w:rFonts w:ascii="Times New Roman" w:hAnsi="Times New Roman" w:cs="Times New Roman"/>
        </w:rPr>
        <w:t>Ridaura</w:t>
      </w:r>
      <w:proofErr w:type="spellEnd"/>
      <w:r w:rsidRPr="00881C6C">
        <w:rPr>
          <w:rFonts w:ascii="Times New Roman" w:hAnsi="Times New Roman" w:cs="Times New Roman"/>
          <w:i/>
          <w:iCs/>
        </w:rPr>
        <w:t xml:space="preserve">, </w:t>
      </w:r>
      <w:r w:rsidRPr="00881C6C">
        <w:rPr>
          <w:rFonts w:ascii="Times New Roman" w:hAnsi="Times New Roman" w:cs="Times New Roman"/>
        </w:rPr>
        <w:t>2000).</w:t>
      </w:r>
    </w:p>
    <w:p w14:paraId="79F15B11" w14:textId="245FC629" w:rsidR="00BE624F" w:rsidRPr="00613037" w:rsidRDefault="00A369CB" w:rsidP="00BE624F">
      <w:pPr>
        <w:tabs>
          <w:tab w:val="left" w:pos="6521"/>
        </w:tabs>
        <w:jc w:val="both"/>
        <w:rPr>
          <w:sz w:val="24"/>
          <w:szCs w:val="24"/>
        </w:rPr>
      </w:pPr>
      <w:r w:rsidRPr="00A05F88">
        <w:rPr>
          <w:color w:val="FF0000"/>
          <w:sz w:val="24"/>
          <w:szCs w:val="24"/>
        </w:rPr>
        <w:t xml:space="preserve">            </w:t>
      </w:r>
      <w:r w:rsidR="00BE624F" w:rsidRPr="00A05F88">
        <w:rPr>
          <w:sz w:val="24"/>
          <w:szCs w:val="24"/>
        </w:rPr>
        <w:t>Silva</w:t>
      </w:r>
      <w:r w:rsidR="00A05F88" w:rsidRPr="00A05F88">
        <w:rPr>
          <w:sz w:val="24"/>
          <w:szCs w:val="24"/>
        </w:rPr>
        <w:t xml:space="preserve">, </w:t>
      </w:r>
      <w:proofErr w:type="spellStart"/>
      <w:r w:rsidR="00A05F88" w:rsidRPr="00A05F88">
        <w:rPr>
          <w:sz w:val="24"/>
          <w:szCs w:val="24"/>
        </w:rPr>
        <w:t>Lingnau</w:t>
      </w:r>
      <w:proofErr w:type="spellEnd"/>
      <w:r w:rsidR="00A05F88" w:rsidRPr="00A05F88">
        <w:rPr>
          <w:sz w:val="24"/>
          <w:szCs w:val="24"/>
        </w:rPr>
        <w:t>, Godoy e</w:t>
      </w:r>
      <w:r w:rsidR="00A05F88" w:rsidRPr="00A05F88">
        <w:rPr>
          <w:iCs/>
          <w:sz w:val="24"/>
          <w:szCs w:val="24"/>
        </w:rPr>
        <w:t xml:space="preserve"> </w:t>
      </w:r>
      <w:proofErr w:type="spellStart"/>
      <w:r w:rsidR="00A05F88" w:rsidRPr="00A05F88">
        <w:rPr>
          <w:iCs/>
          <w:sz w:val="24"/>
          <w:szCs w:val="24"/>
        </w:rPr>
        <w:t>Bortoluzzi</w:t>
      </w:r>
      <w:proofErr w:type="spellEnd"/>
      <w:r w:rsidR="00A05F88" w:rsidRPr="00A05F88">
        <w:rPr>
          <w:iCs/>
          <w:sz w:val="24"/>
          <w:szCs w:val="24"/>
        </w:rPr>
        <w:t xml:space="preserve"> </w:t>
      </w:r>
      <w:r w:rsidR="00BE624F" w:rsidRPr="00A05F88">
        <w:rPr>
          <w:sz w:val="24"/>
          <w:szCs w:val="24"/>
        </w:rPr>
        <w:t xml:space="preserve">(2016) </w:t>
      </w:r>
      <w:r w:rsidR="00BE624F" w:rsidRPr="00BE624F">
        <w:rPr>
          <w:sz w:val="24"/>
          <w:szCs w:val="24"/>
        </w:rPr>
        <w:t>apresentam que a avaliação da sustentabilidade é uma junção do conjunto de indicadores que abordem aspectos e</w:t>
      </w:r>
      <w:r w:rsidR="00464613">
        <w:rPr>
          <w:sz w:val="24"/>
          <w:szCs w:val="24"/>
        </w:rPr>
        <w:t>conômicos, sociais e ambientais. O</w:t>
      </w:r>
      <w:r w:rsidR="00AD15F9">
        <w:rPr>
          <w:sz w:val="24"/>
          <w:szCs w:val="24"/>
        </w:rPr>
        <w:t>s indicadores tê</w:t>
      </w:r>
      <w:r w:rsidR="00BE624F" w:rsidRPr="00BE624F">
        <w:rPr>
          <w:sz w:val="24"/>
          <w:szCs w:val="24"/>
        </w:rPr>
        <w:t>m a função de estabelecer uma visão integrada dos componentes da su</w:t>
      </w:r>
      <w:r w:rsidR="00BE624F" w:rsidRPr="00613037">
        <w:rPr>
          <w:sz w:val="24"/>
          <w:szCs w:val="24"/>
        </w:rPr>
        <w:t xml:space="preserve">stentabilidade e possibilitar a verificação dos resultados. </w:t>
      </w:r>
      <w:r w:rsidR="00BE624F" w:rsidRPr="004C44F6">
        <w:rPr>
          <w:sz w:val="24"/>
          <w:szCs w:val="24"/>
          <w:shd w:val="clear" w:color="auto" w:fill="FFFFFF"/>
        </w:rPr>
        <w:t>Ribas</w:t>
      </w:r>
      <w:r w:rsidR="0041199C" w:rsidRPr="004C44F6">
        <w:rPr>
          <w:sz w:val="24"/>
          <w:szCs w:val="24"/>
          <w:shd w:val="clear" w:color="auto" w:fill="FFFFFF"/>
        </w:rPr>
        <w:t xml:space="preserve"> </w:t>
      </w:r>
      <w:r w:rsidR="0041199C" w:rsidRPr="004C44F6">
        <w:rPr>
          <w:i/>
          <w:sz w:val="24"/>
          <w:szCs w:val="24"/>
          <w:shd w:val="clear" w:color="auto" w:fill="FFFFFF"/>
        </w:rPr>
        <w:t>et al.</w:t>
      </w:r>
      <w:r w:rsidR="00BE624F" w:rsidRPr="004C44F6">
        <w:rPr>
          <w:sz w:val="24"/>
          <w:szCs w:val="24"/>
          <w:shd w:val="clear" w:color="auto" w:fill="FFFFFF"/>
        </w:rPr>
        <w:t xml:space="preserve"> (2007) apontam </w:t>
      </w:r>
      <w:r w:rsidR="00BE624F" w:rsidRPr="00613037">
        <w:rPr>
          <w:sz w:val="24"/>
          <w:szCs w:val="24"/>
          <w:shd w:val="clear" w:color="auto" w:fill="FFFFFF"/>
        </w:rPr>
        <w:t xml:space="preserve">que os </w:t>
      </w:r>
      <w:r w:rsidR="00BE624F" w:rsidRPr="00613037">
        <w:rPr>
          <w:sz w:val="24"/>
          <w:szCs w:val="24"/>
        </w:rPr>
        <w:t>indicadores usados para a avaliação dos critérios de sustentabilidade são: produtividade, equidade, estabi</w:t>
      </w:r>
      <w:r w:rsidR="00464613" w:rsidRPr="00613037">
        <w:rPr>
          <w:sz w:val="24"/>
          <w:szCs w:val="24"/>
        </w:rPr>
        <w:t>lidade, resiliência e autonomia</w:t>
      </w:r>
      <w:r w:rsidR="00BE624F" w:rsidRPr="00613037">
        <w:rPr>
          <w:sz w:val="24"/>
          <w:szCs w:val="24"/>
        </w:rPr>
        <w:t xml:space="preserve">. </w:t>
      </w:r>
    </w:p>
    <w:p w14:paraId="3B3F9070" w14:textId="53C5FA9C" w:rsidR="00BE624F" w:rsidRPr="00613037" w:rsidRDefault="00464613" w:rsidP="00464613">
      <w:pPr>
        <w:tabs>
          <w:tab w:val="left" w:pos="6521"/>
        </w:tabs>
        <w:ind w:firstLine="709"/>
        <w:jc w:val="both"/>
        <w:rPr>
          <w:sz w:val="24"/>
          <w:szCs w:val="24"/>
        </w:rPr>
      </w:pPr>
      <w:r w:rsidRPr="00613037">
        <w:rPr>
          <w:sz w:val="24"/>
          <w:szCs w:val="24"/>
        </w:rPr>
        <w:t>A presente pesquisa tem como enfoque</w:t>
      </w:r>
      <w:r w:rsidR="00BE624F" w:rsidRPr="00613037">
        <w:rPr>
          <w:sz w:val="24"/>
          <w:szCs w:val="24"/>
        </w:rPr>
        <w:t xml:space="preserve"> o</w:t>
      </w:r>
      <w:r w:rsidRPr="00613037">
        <w:rPr>
          <w:sz w:val="24"/>
          <w:szCs w:val="24"/>
        </w:rPr>
        <w:t xml:space="preserve"> critério da produtividade, que</w:t>
      </w:r>
      <w:r w:rsidR="00A369CB" w:rsidRPr="00613037">
        <w:rPr>
          <w:sz w:val="24"/>
          <w:szCs w:val="24"/>
          <w:shd w:val="clear" w:color="auto" w:fill="FFFFFF"/>
        </w:rPr>
        <w:t xml:space="preserve"> estuda</w:t>
      </w:r>
      <w:r w:rsidR="00BE624F" w:rsidRPr="00613037">
        <w:rPr>
          <w:sz w:val="24"/>
          <w:szCs w:val="24"/>
          <w:shd w:val="clear" w:color="auto" w:fill="FFFFFF"/>
        </w:rPr>
        <w:t xml:space="preserve"> a eficiência da utilização dos recursos e o rendimento do trabalho</w:t>
      </w:r>
      <w:r w:rsidRPr="00613037">
        <w:rPr>
          <w:sz w:val="24"/>
          <w:szCs w:val="24"/>
          <w:shd w:val="clear" w:color="auto" w:fill="FFFFFF"/>
        </w:rPr>
        <w:t xml:space="preserve">. </w:t>
      </w:r>
      <w:r w:rsidR="00A369CB" w:rsidRPr="00613037">
        <w:rPr>
          <w:sz w:val="24"/>
          <w:szCs w:val="24"/>
          <w:shd w:val="clear" w:color="auto" w:fill="FFFFFF"/>
        </w:rPr>
        <w:t xml:space="preserve">A análise desse critério divide-se em </w:t>
      </w:r>
      <w:r w:rsidRPr="00613037">
        <w:rPr>
          <w:sz w:val="24"/>
          <w:szCs w:val="24"/>
          <w:shd w:val="clear" w:color="auto" w:fill="FFFFFF"/>
        </w:rPr>
        <w:t xml:space="preserve">três </w:t>
      </w:r>
      <w:r w:rsidR="00A369CB" w:rsidRPr="00613037">
        <w:rPr>
          <w:sz w:val="24"/>
          <w:szCs w:val="24"/>
          <w:shd w:val="clear" w:color="auto" w:fill="FFFFFF"/>
        </w:rPr>
        <w:t>dimensões</w:t>
      </w:r>
      <w:r w:rsidR="00D97A65" w:rsidRPr="00613037">
        <w:rPr>
          <w:sz w:val="24"/>
          <w:szCs w:val="24"/>
          <w:shd w:val="clear" w:color="auto" w:fill="FFFFFF"/>
        </w:rPr>
        <w:t xml:space="preserve">: econômica, social e ambiental; </w:t>
      </w:r>
      <w:r w:rsidR="007411EC" w:rsidRPr="00613037">
        <w:rPr>
          <w:sz w:val="24"/>
          <w:szCs w:val="24"/>
          <w:shd w:val="clear" w:color="auto" w:fill="FFFFFF"/>
        </w:rPr>
        <w:t xml:space="preserve">que são </w:t>
      </w:r>
      <w:r w:rsidR="00D97A65" w:rsidRPr="00613037">
        <w:rPr>
          <w:sz w:val="24"/>
          <w:szCs w:val="24"/>
          <w:shd w:val="clear" w:color="auto" w:fill="FFFFFF"/>
        </w:rPr>
        <w:t xml:space="preserve">medidas </w:t>
      </w:r>
      <w:r w:rsidR="00945C9F" w:rsidRPr="00613037">
        <w:rPr>
          <w:sz w:val="24"/>
          <w:szCs w:val="24"/>
          <w:shd w:val="clear" w:color="auto" w:fill="FFFFFF"/>
        </w:rPr>
        <w:t>através de indicadores.</w:t>
      </w:r>
    </w:p>
    <w:p w14:paraId="5662AE3B" w14:textId="02571412" w:rsidR="008853C1" w:rsidRPr="004C44F6" w:rsidRDefault="00945C9F" w:rsidP="00945C9F">
      <w:pPr>
        <w:suppressAutoHyphens w:val="0"/>
        <w:autoSpaceDE w:val="0"/>
        <w:autoSpaceDN w:val="0"/>
        <w:adjustRightInd w:val="0"/>
        <w:ind w:firstLine="708"/>
        <w:jc w:val="both"/>
        <w:rPr>
          <w:rFonts w:eastAsiaTheme="minorEastAsia"/>
          <w:sz w:val="24"/>
          <w:szCs w:val="24"/>
          <w:lang w:eastAsia="en-US"/>
        </w:rPr>
      </w:pPr>
      <w:r w:rsidRPr="00613037">
        <w:rPr>
          <w:sz w:val="24"/>
          <w:szCs w:val="24"/>
        </w:rPr>
        <w:t>A</w:t>
      </w:r>
      <w:r w:rsidR="007411EC" w:rsidRPr="00613037">
        <w:rPr>
          <w:sz w:val="24"/>
          <w:szCs w:val="24"/>
        </w:rPr>
        <w:t xml:space="preserve"> dimensão econômica </w:t>
      </w:r>
      <w:r w:rsidRPr="00613037">
        <w:rPr>
          <w:sz w:val="24"/>
          <w:szCs w:val="24"/>
        </w:rPr>
        <w:t xml:space="preserve">é obtida a partir do indicador VA/KI, que possui dois parâmetros: </w:t>
      </w:r>
      <w:r w:rsidR="007411EC" w:rsidRPr="00613037">
        <w:rPr>
          <w:sz w:val="24"/>
          <w:szCs w:val="24"/>
        </w:rPr>
        <w:t>o valor agregado (VA) e o capital imobilizado da unidade de produção agrícola (KI).</w:t>
      </w:r>
      <w:r w:rsidR="007411EC" w:rsidRPr="00613037">
        <w:rPr>
          <w:rFonts w:eastAsiaTheme="minorEastAsia"/>
          <w:sz w:val="24"/>
          <w:szCs w:val="24"/>
          <w:lang w:eastAsia="en-US"/>
        </w:rPr>
        <w:t xml:space="preserve"> Essa dimensão </w:t>
      </w:r>
      <w:r w:rsidR="00BE624F" w:rsidRPr="00613037">
        <w:rPr>
          <w:rFonts w:eastAsiaTheme="minorEastAsia"/>
          <w:sz w:val="24"/>
          <w:szCs w:val="24"/>
          <w:lang w:eastAsia="en-US"/>
        </w:rPr>
        <w:t>avalia a capacidade que uma unidade de produção agrícola tem de gerar riqueza em relação ao capital inve</w:t>
      </w:r>
      <w:r w:rsidR="007411EC" w:rsidRPr="00613037">
        <w:rPr>
          <w:rFonts w:eastAsiaTheme="minorEastAsia"/>
          <w:sz w:val="24"/>
          <w:szCs w:val="24"/>
          <w:lang w:eastAsia="en-US"/>
        </w:rPr>
        <w:t>stido em atividades produtivas. Já a dimensão social</w:t>
      </w:r>
      <w:r w:rsidRPr="00613037">
        <w:rPr>
          <w:rFonts w:eastAsiaTheme="minorEastAsia"/>
          <w:sz w:val="24"/>
          <w:szCs w:val="24"/>
          <w:lang w:eastAsia="en-US"/>
        </w:rPr>
        <w:t>,</w:t>
      </w:r>
      <w:r w:rsidR="007411EC" w:rsidRPr="00613037">
        <w:rPr>
          <w:rFonts w:eastAsiaTheme="minorEastAsia"/>
          <w:sz w:val="24"/>
          <w:szCs w:val="24"/>
          <w:lang w:eastAsia="en-US"/>
        </w:rPr>
        <w:t xml:space="preserve"> </w:t>
      </w:r>
      <w:r w:rsidR="007411EC" w:rsidRPr="00613037">
        <w:rPr>
          <w:sz w:val="24"/>
          <w:szCs w:val="24"/>
        </w:rPr>
        <w:t>permite</w:t>
      </w:r>
      <w:r w:rsidR="007411EC" w:rsidRPr="00613037">
        <w:rPr>
          <w:rFonts w:eastAsiaTheme="minorEastAsia"/>
          <w:sz w:val="24"/>
          <w:szCs w:val="24"/>
          <w:lang w:eastAsia="en-US"/>
        </w:rPr>
        <w:t xml:space="preserve"> avaliar a riqueza produzida por cada unidade de mão-de-obra familiar utilizada na unidade de produção agrícola. Portanto, </w:t>
      </w:r>
      <w:r w:rsidRPr="00613037">
        <w:rPr>
          <w:rFonts w:eastAsiaTheme="minorEastAsia"/>
          <w:sz w:val="24"/>
          <w:szCs w:val="24"/>
          <w:lang w:eastAsia="en-US"/>
        </w:rPr>
        <w:t xml:space="preserve">a partir dos </w:t>
      </w:r>
      <w:r w:rsidR="00D97A65" w:rsidRPr="00613037">
        <w:rPr>
          <w:rFonts w:eastAsiaTheme="minorEastAsia"/>
          <w:sz w:val="24"/>
          <w:szCs w:val="24"/>
          <w:lang w:eastAsia="en-US"/>
        </w:rPr>
        <w:t>parâmetros</w:t>
      </w:r>
      <w:r w:rsidRPr="00613037">
        <w:rPr>
          <w:rFonts w:eastAsiaTheme="minorEastAsia"/>
          <w:sz w:val="24"/>
          <w:szCs w:val="24"/>
          <w:lang w:eastAsia="en-US"/>
        </w:rPr>
        <w:t xml:space="preserve"> VA</w:t>
      </w:r>
      <w:r w:rsidR="007411EC" w:rsidRPr="00613037">
        <w:rPr>
          <w:rFonts w:eastAsiaTheme="minorEastAsia"/>
          <w:sz w:val="24"/>
          <w:szCs w:val="24"/>
          <w:lang w:eastAsia="en-US"/>
        </w:rPr>
        <w:t xml:space="preserve"> e unidade de trabalho humano familiar (</w:t>
      </w:r>
      <w:proofErr w:type="spellStart"/>
      <w:r w:rsidR="007411EC" w:rsidRPr="00613037">
        <w:rPr>
          <w:rFonts w:eastAsiaTheme="minorEastAsia"/>
          <w:sz w:val="24"/>
          <w:szCs w:val="24"/>
          <w:lang w:eastAsia="en-US"/>
        </w:rPr>
        <w:t>UTHf</w:t>
      </w:r>
      <w:proofErr w:type="spellEnd"/>
      <w:r w:rsidR="007411EC" w:rsidRPr="00613037">
        <w:rPr>
          <w:rFonts w:eastAsiaTheme="minorEastAsia"/>
          <w:sz w:val="24"/>
          <w:szCs w:val="24"/>
          <w:lang w:eastAsia="en-US"/>
        </w:rPr>
        <w:t>)</w:t>
      </w:r>
      <w:r w:rsidRPr="00613037">
        <w:rPr>
          <w:rFonts w:eastAsiaTheme="minorEastAsia"/>
          <w:sz w:val="24"/>
          <w:szCs w:val="24"/>
          <w:lang w:eastAsia="en-US"/>
        </w:rPr>
        <w:t xml:space="preserve"> obtêm-se o indicador VA/</w:t>
      </w:r>
      <w:proofErr w:type="spellStart"/>
      <w:r w:rsidRPr="00613037">
        <w:rPr>
          <w:rFonts w:eastAsiaTheme="minorEastAsia"/>
          <w:sz w:val="24"/>
          <w:szCs w:val="24"/>
          <w:lang w:eastAsia="en-US"/>
        </w:rPr>
        <w:t>UTHf</w:t>
      </w:r>
      <w:proofErr w:type="spellEnd"/>
      <w:r w:rsidRPr="00613037">
        <w:rPr>
          <w:rFonts w:eastAsiaTheme="minorEastAsia"/>
          <w:sz w:val="24"/>
          <w:szCs w:val="24"/>
          <w:lang w:eastAsia="en-US"/>
        </w:rPr>
        <w:t xml:space="preserve">. </w:t>
      </w:r>
      <w:r w:rsidR="007411EC" w:rsidRPr="00613037">
        <w:rPr>
          <w:rFonts w:eastAsiaTheme="minorEastAsia"/>
          <w:sz w:val="24"/>
          <w:szCs w:val="24"/>
          <w:lang w:eastAsia="en-US"/>
        </w:rPr>
        <w:t xml:space="preserve">A dimensão </w:t>
      </w:r>
      <w:r w:rsidR="00BE624F" w:rsidRPr="00613037">
        <w:rPr>
          <w:rFonts w:eastAsiaTheme="minorEastAsia"/>
          <w:sz w:val="24"/>
          <w:szCs w:val="24"/>
          <w:lang w:eastAsia="en-US"/>
        </w:rPr>
        <w:t>a</w:t>
      </w:r>
      <w:r w:rsidR="00BE624F" w:rsidRPr="00613037">
        <w:rPr>
          <w:sz w:val="24"/>
          <w:szCs w:val="24"/>
        </w:rPr>
        <w:t>mbiental</w:t>
      </w:r>
      <w:r w:rsidR="007411EC" w:rsidRPr="00613037">
        <w:rPr>
          <w:sz w:val="24"/>
          <w:szCs w:val="24"/>
        </w:rPr>
        <w:t>, por sua vez, utiliza o</w:t>
      </w:r>
      <w:r w:rsidRPr="00613037">
        <w:rPr>
          <w:sz w:val="24"/>
          <w:szCs w:val="24"/>
        </w:rPr>
        <w:t xml:space="preserve"> indicador VA/AAA, com o</w:t>
      </w:r>
      <w:r w:rsidR="007411EC" w:rsidRPr="00613037">
        <w:rPr>
          <w:sz w:val="24"/>
          <w:szCs w:val="24"/>
        </w:rPr>
        <w:t xml:space="preserve">s </w:t>
      </w:r>
      <w:r w:rsidR="00D97A65" w:rsidRPr="00613037">
        <w:rPr>
          <w:sz w:val="24"/>
          <w:szCs w:val="24"/>
        </w:rPr>
        <w:t>parâmetros</w:t>
      </w:r>
      <w:r w:rsidR="007411EC" w:rsidRPr="00613037">
        <w:rPr>
          <w:sz w:val="24"/>
          <w:szCs w:val="24"/>
        </w:rPr>
        <w:t xml:space="preserve"> </w:t>
      </w:r>
      <w:r w:rsidRPr="00613037">
        <w:rPr>
          <w:sz w:val="24"/>
          <w:szCs w:val="24"/>
        </w:rPr>
        <w:t xml:space="preserve">VA e </w:t>
      </w:r>
      <w:r w:rsidR="00AD15F9" w:rsidRPr="00613037">
        <w:rPr>
          <w:sz w:val="24"/>
          <w:szCs w:val="24"/>
        </w:rPr>
        <w:t>área de ação antrópica, em hectares (AAA)</w:t>
      </w:r>
      <w:r w:rsidRPr="00613037">
        <w:rPr>
          <w:sz w:val="24"/>
          <w:szCs w:val="24"/>
        </w:rPr>
        <w:t xml:space="preserve">. </w:t>
      </w:r>
      <w:r w:rsidR="00AD15F9" w:rsidRPr="00613037">
        <w:rPr>
          <w:sz w:val="24"/>
          <w:szCs w:val="24"/>
        </w:rPr>
        <w:t>Essa dimensão</w:t>
      </w:r>
      <w:r w:rsidR="00BE624F" w:rsidRPr="00613037">
        <w:rPr>
          <w:sz w:val="24"/>
          <w:szCs w:val="24"/>
        </w:rPr>
        <w:t xml:space="preserve"> </w:t>
      </w:r>
      <w:r w:rsidR="00BE624F" w:rsidRPr="00613037">
        <w:rPr>
          <w:rFonts w:eastAsiaTheme="minorEastAsia"/>
          <w:sz w:val="24"/>
          <w:szCs w:val="24"/>
          <w:lang w:eastAsia="en-US"/>
        </w:rPr>
        <w:t xml:space="preserve">possibilita uma avaliação da riqueza gerada nas áreas empregues com atividades agrícolas e </w:t>
      </w:r>
      <w:r w:rsidR="00BE624F" w:rsidRPr="004C44F6">
        <w:rPr>
          <w:rFonts w:eastAsiaTheme="minorEastAsia"/>
          <w:sz w:val="24"/>
          <w:szCs w:val="24"/>
          <w:lang w:eastAsia="en-US"/>
        </w:rPr>
        <w:t>extrativistas</w:t>
      </w:r>
      <w:r w:rsidR="00AD15F9" w:rsidRPr="004C44F6">
        <w:rPr>
          <w:rFonts w:eastAsiaTheme="minorEastAsia"/>
          <w:sz w:val="24"/>
          <w:szCs w:val="24"/>
          <w:lang w:eastAsia="en-US"/>
        </w:rPr>
        <w:t xml:space="preserve"> (R</w:t>
      </w:r>
      <w:r w:rsidR="00EC06BF" w:rsidRPr="004C44F6">
        <w:rPr>
          <w:rFonts w:eastAsiaTheme="minorEastAsia"/>
          <w:sz w:val="24"/>
          <w:szCs w:val="24"/>
          <w:lang w:eastAsia="en-US"/>
        </w:rPr>
        <w:t>ibas</w:t>
      </w:r>
      <w:r w:rsidR="0041199C" w:rsidRPr="004C44F6">
        <w:rPr>
          <w:rFonts w:eastAsiaTheme="minorEastAsia"/>
          <w:sz w:val="24"/>
          <w:szCs w:val="24"/>
          <w:lang w:eastAsia="en-US"/>
        </w:rPr>
        <w:t xml:space="preserve"> </w:t>
      </w:r>
      <w:r w:rsidR="0041199C" w:rsidRPr="004C44F6">
        <w:rPr>
          <w:rFonts w:eastAsiaTheme="minorEastAsia"/>
          <w:i/>
          <w:sz w:val="24"/>
          <w:szCs w:val="24"/>
          <w:lang w:eastAsia="en-US"/>
        </w:rPr>
        <w:t>et al.</w:t>
      </w:r>
      <w:r w:rsidR="00AD15F9" w:rsidRPr="004C44F6">
        <w:rPr>
          <w:rFonts w:eastAsiaTheme="minorEastAsia"/>
          <w:sz w:val="24"/>
          <w:szCs w:val="24"/>
          <w:lang w:eastAsia="en-US"/>
        </w:rPr>
        <w:t>, 2007)</w:t>
      </w:r>
      <w:r w:rsidR="00BE624F" w:rsidRPr="004C44F6">
        <w:rPr>
          <w:rFonts w:eastAsiaTheme="minorEastAsia"/>
          <w:sz w:val="24"/>
          <w:szCs w:val="24"/>
          <w:lang w:eastAsia="en-US"/>
        </w:rPr>
        <w:t>.</w:t>
      </w:r>
    </w:p>
    <w:p w14:paraId="315E77B2" w14:textId="786B98B6" w:rsidR="008853C1" w:rsidRPr="004C44F6" w:rsidRDefault="008853C1" w:rsidP="008853C1">
      <w:pPr>
        <w:ind w:firstLine="708"/>
        <w:rPr>
          <w:sz w:val="24"/>
          <w:szCs w:val="24"/>
        </w:rPr>
      </w:pPr>
      <w:r w:rsidRPr="004C44F6">
        <w:rPr>
          <w:sz w:val="24"/>
          <w:szCs w:val="24"/>
        </w:rPr>
        <w:t>Segundo Ribas</w:t>
      </w:r>
      <w:r w:rsidR="0041199C" w:rsidRPr="004C44F6">
        <w:rPr>
          <w:sz w:val="24"/>
          <w:szCs w:val="24"/>
        </w:rPr>
        <w:t xml:space="preserve"> </w:t>
      </w:r>
      <w:r w:rsidR="0041199C" w:rsidRPr="004C44F6">
        <w:rPr>
          <w:i/>
          <w:sz w:val="24"/>
          <w:szCs w:val="24"/>
        </w:rPr>
        <w:t>et al.</w:t>
      </w:r>
      <w:r w:rsidRPr="004C44F6">
        <w:rPr>
          <w:sz w:val="24"/>
          <w:szCs w:val="24"/>
        </w:rPr>
        <w:t xml:space="preserve"> (2007, p. 10):</w:t>
      </w:r>
    </w:p>
    <w:p w14:paraId="1022B478" w14:textId="77777777" w:rsidR="008853C1" w:rsidRPr="00613037" w:rsidRDefault="008853C1" w:rsidP="008853C1">
      <w:pPr>
        <w:ind w:firstLine="708"/>
      </w:pPr>
    </w:p>
    <w:p w14:paraId="1E721A0A" w14:textId="77777777" w:rsidR="008853C1" w:rsidRPr="00613037" w:rsidRDefault="008853C1" w:rsidP="008853C1">
      <w:pPr>
        <w:suppressAutoHyphens w:val="0"/>
        <w:autoSpaceDE w:val="0"/>
        <w:autoSpaceDN w:val="0"/>
        <w:adjustRightInd w:val="0"/>
        <w:ind w:left="2268"/>
        <w:jc w:val="both"/>
        <w:rPr>
          <w:rFonts w:eastAsiaTheme="minorEastAsia"/>
          <w:lang w:eastAsia="en-US"/>
        </w:rPr>
      </w:pPr>
      <w:r w:rsidRPr="00613037">
        <w:lastRenderedPageBreak/>
        <w:t xml:space="preserve">O valor agregado </w:t>
      </w:r>
      <w:r w:rsidRPr="00613037">
        <w:rPr>
          <w:rFonts w:eastAsiaTheme="minorEastAsia"/>
          <w:lang w:eastAsia="en-US"/>
        </w:rPr>
        <w:t xml:space="preserve">corresponde à riqueza líquida produzida no estabelecimento agrícola, ou seja, o valor final dos produtos gerados no decorrer do ano no estabelecimento agrícola (produção vendida, a produção consumida pela família, a produção estocada, a produção utilizada na forma de pagamento de serviços de terceiros e a variação do rebanho animal) descontado do valor dos insumos, do custo em manutenção de instalações/ equipamentos, serviços de terceiros utilizados no decorrer de um ano agrícola assim como a depreciação dos equipamentos e benfeitorias. </w:t>
      </w:r>
    </w:p>
    <w:p w14:paraId="1A5DBF30" w14:textId="77777777" w:rsidR="008853C1" w:rsidRPr="00613037" w:rsidRDefault="008853C1" w:rsidP="008853C1">
      <w:pPr>
        <w:suppressAutoHyphens w:val="0"/>
        <w:autoSpaceDE w:val="0"/>
        <w:autoSpaceDN w:val="0"/>
        <w:adjustRightInd w:val="0"/>
        <w:ind w:left="2268"/>
        <w:jc w:val="both"/>
        <w:rPr>
          <w:rFonts w:eastAsiaTheme="minorEastAsia"/>
          <w:lang w:eastAsia="en-US"/>
        </w:rPr>
      </w:pPr>
    </w:p>
    <w:p w14:paraId="794CFBB3" w14:textId="116DC3F1" w:rsidR="00AD15F9" w:rsidRDefault="008853C1" w:rsidP="00490466">
      <w:pPr>
        <w:suppressAutoHyphens w:val="0"/>
        <w:autoSpaceDE w:val="0"/>
        <w:autoSpaceDN w:val="0"/>
        <w:adjustRightInd w:val="0"/>
        <w:jc w:val="both"/>
        <w:rPr>
          <w:rFonts w:eastAsiaTheme="minorEastAsia"/>
          <w:sz w:val="24"/>
          <w:szCs w:val="24"/>
          <w:lang w:eastAsia="en-US"/>
        </w:rPr>
      </w:pPr>
      <w:r w:rsidRPr="00613037">
        <w:rPr>
          <w:rFonts w:eastAsiaTheme="minorHAnsi"/>
          <w:szCs w:val="24"/>
          <w:lang w:eastAsia="en-US"/>
        </w:rPr>
        <w:tab/>
      </w:r>
      <w:r w:rsidR="00AD15F9" w:rsidRPr="00613037">
        <w:rPr>
          <w:rFonts w:eastAsiaTheme="minorHAnsi"/>
          <w:sz w:val="24"/>
          <w:szCs w:val="24"/>
          <w:lang w:eastAsia="en-US"/>
        </w:rPr>
        <w:t>O</w:t>
      </w:r>
      <w:r w:rsidRPr="00613037">
        <w:rPr>
          <w:rFonts w:eastAsiaTheme="minorEastAsia"/>
          <w:sz w:val="24"/>
          <w:szCs w:val="24"/>
          <w:lang w:eastAsia="en-US"/>
        </w:rPr>
        <w:t xml:space="preserve"> capital imobilizado diz respeito aos valores de ativos como terra, máquinas, equipamentos e utensílios, e a área de ação antrópica equivale a superfície agrária útil (SAU) explorada pelo homem. Por fim, a unidade de trabalho humano familiar refere-se à quantidade de trabalhadores que atuam na propriedade agrícola (R</w:t>
      </w:r>
      <w:r w:rsidR="00EC06BF">
        <w:rPr>
          <w:rFonts w:eastAsiaTheme="minorEastAsia"/>
          <w:sz w:val="24"/>
          <w:szCs w:val="24"/>
          <w:lang w:eastAsia="en-US"/>
        </w:rPr>
        <w:t xml:space="preserve">ibas </w:t>
      </w:r>
      <w:r w:rsidR="00EC06BF">
        <w:rPr>
          <w:rFonts w:eastAsiaTheme="minorEastAsia"/>
          <w:i/>
          <w:sz w:val="24"/>
          <w:szCs w:val="24"/>
          <w:lang w:eastAsia="en-US"/>
        </w:rPr>
        <w:t>et al.</w:t>
      </w:r>
      <w:r w:rsidRPr="00613037">
        <w:rPr>
          <w:rFonts w:eastAsiaTheme="minorEastAsia"/>
          <w:sz w:val="24"/>
          <w:szCs w:val="24"/>
          <w:lang w:eastAsia="en-US"/>
        </w:rPr>
        <w:t>, 2007).</w:t>
      </w:r>
    </w:p>
    <w:p w14:paraId="3B02A627" w14:textId="77777777" w:rsidR="007C2C7A" w:rsidRPr="00AD15F9" w:rsidRDefault="007C2C7A" w:rsidP="00AD15F9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EastAsia"/>
          <w:sz w:val="24"/>
          <w:szCs w:val="24"/>
          <w:lang w:eastAsia="en-US"/>
        </w:rPr>
      </w:pPr>
    </w:p>
    <w:p w14:paraId="3F3DB113" w14:textId="58B43C05" w:rsidR="00BE624F" w:rsidRDefault="00997CAB" w:rsidP="00997CAB">
      <w:pPr>
        <w:pStyle w:val="Ttulo1"/>
        <w:numPr>
          <w:ilvl w:val="0"/>
          <w:numId w:val="0"/>
        </w:numPr>
        <w:tabs>
          <w:tab w:val="left" w:pos="284"/>
        </w:tabs>
        <w:ind w:left="432" w:hanging="432"/>
      </w:pPr>
      <w:r>
        <w:t xml:space="preserve">3   </w:t>
      </w:r>
      <w:r w:rsidR="00BE624F">
        <w:t>METODOLOGIA</w:t>
      </w:r>
    </w:p>
    <w:p w14:paraId="3CBEFCBF" w14:textId="77777777" w:rsidR="00BE624F" w:rsidRPr="007C25B0" w:rsidRDefault="00BE624F" w:rsidP="00BE624F"/>
    <w:p w14:paraId="05F2F2DF" w14:textId="6FC31E84" w:rsidR="00BE624F" w:rsidRPr="00BE624F" w:rsidRDefault="00BE624F" w:rsidP="00BE624F">
      <w:pPr>
        <w:ind w:firstLine="709"/>
        <w:jc w:val="both"/>
        <w:rPr>
          <w:sz w:val="24"/>
          <w:szCs w:val="24"/>
        </w:rPr>
      </w:pPr>
      <w:r w:rsidRPr="00BE624F">
        <w:rPr>
          <w:sz w:val="24"/>
          <w:szCs w:val="24"/>
        </w:rPr>
        <w:t>A presente pesquisa é caracterizada como descritiva, onde se apresenta e estuda a sustentabilidade de sistemas da agricultura familiar. A abordagem do estudo é classificada como qualitativa, sendo por meio de levantamento bibliográfico e documental.</w:t>
      </w:r>
      <w:r w:rsidR="00126563">
        <w:rPr>
          <w:sz w:val="24"/>
          <w:szCs w:val="24"/>
        </w:rPr>
        <w:t xml:space="preserve"> </w:t>
      </w:r>
    </w:p>
    <w:p w14:paraId="545C136D" w14:textId="4ABE0C7F" w:rsidR="00BE624F" w:rsidRPr="00BE624F" w:rsidRDefault="00C92242" w:rsidP="00C92242">
      <w:pPr>
        <w:ind w:firstLine="708"/>
        <w:jc w:val="both"/>
        <w:rPr>
          <w:sz w:val="24"/>
          <w:szCs w:val="24"/>
        </w:rPr>
      </w:pPr>
      <w:r w:rsidRPr="00BE624F">
        <w:rPr>
          <w:sz w:val="24"/>
          <w:szCs w:val="24"/>
        </w:rPr>
        <w:t>Optou-se por analisar as propriedades de agricultura familiar de Santa Catarina, de forma não probabilística, visto que nesse estado a agricultura é uma das principais atividades econômicas.</w:t>
      </w:r>
      <w:r>
        <w:rPr>
          <w:sz w:val="24"/>
          <w:szCs w:val="24"/>
        </w:rPr>
        <w:t xml:space="preserve"> </w:t>
      </w:r>
      <w:r w:rsidR="00BE624F" w:rsidRPr="00BE624F">
        <w:rPr>
          <w:sz w:val="24"/>
          <w:szCs w:val="24"/>
        </w:rPr>
        <w:t xml:space="preserve">Os dados secundários foram coletados por meio do sistema </w:t>
      </w:r>
      <w:proofErr w:type="spellStart"/>
      <w:r w:rsidR="00BE624F" w:rsidRPr="00BE624F">
        <w:rPr>
          <w:sz w:val="24"/>
          <w:szCs w:val="24"/>
        </w:rPr>
        <w:t>Contagri</w:t>
      </w:r>
      <w:proofErr w:type="spellEnd"/>
      <w:r w:rsidR="00BE624F" w:rsidRPr="00BE624F">
        <w:rPr>
          <w:sz w:val="24"/>
          <w:szCs w:val="24"/>
        </w:rPr>
        <w:t>, disponibilizado pela Empresa de Pesquisa Agropecuária e Extensão Rural de Santa Catarina (</w:t>
      </w:r>
      <w:proofErr w:type="spellStart"/>
      <w:r w:rsidR="00126563">
        <w:rPr>
          <w:sz w:val="24"/>
          <w:szCs w:val="24"/>
        </w:rPr>
        <w:t>Epagri</w:t>
      </w:r>
      <w:proofErr w:type="spellEnd"/>
      <w:r w:rsidR="00126563">
        <w:rPr>
          <w:sz w:val="24"/>
          <w:szCs w:val="24"/>
        </w:rPr>
        <w:t>). Referem-se</w:t>
      </w:r>
      <w:r>
        <w:rPr>
          <w:sz w:val="24"/>
          <w:szCs w:val="24"/>
        </w:rPr>
        <w:t xml:space="preserve"> </w:t>
      </w:r>
      <w:r w:rsidR="00BE624F" w:rsidRPr="00BE624F">
        <w:rPr>
          <w:sz w:val="24"/>
          <w:szCs w:val="24"/>
        </w:rPr>
        <w:t>ao</w:t>
      </w:r>
      <w:r>
        <w:rPr>
          <w:sz w:val="24"/>
          <w:szCs w:val="24"/>
        </w:rPr>
        <w:t>s</w:t>
      </w:r>
      <w:r w:rsidR="00BE624F" w:rsidRPr="00BE624F">
        <w:rPr>
          <w:sz w:val="24"/>
          <w:szCs w:val="24"/>
        </w:rPr>
        <w:t xml:space="preserve"> ano</w:t>
      </w:r>
      <w:r>
        <w:rPr>
          <w:sz w:val="24"/>
          <w:szCs w:val="24"/>
        </w:rPr>
        <w:t>s</w:t>
      </w:r>
      <w:r w:rsidR="00BE624F" w:rsidRPr="00BE624F">
        <w:rPr>
          <w:sz w:val="24"/>
          <w:szCs w:val="24"/>
        </w:rPr>
        <w:t xml:space="preserve"> agrícola</w:t>
      </w:r>
      <w:r>
        <w:rPr>
          <w:sz w:val="24"/>
          <w:szCs w:val="24"/>
        </w:rPr>
        <w:t>s</w:t>
      </w:r>
      <w:r w:rsidR="00BE624F" w:rsidRPr="00BE624F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2015/2016 e </w:t>
      </w:r>
      <w:r w:rsidR="005F3710">
        <w:rPr>
          <w:sz w:val="24"/>
          <w:szCs w:val="24"/>
        </w:rPr>
        <w:t>2016/2017</w:t>
      </w:r>
      <w:r>
        <w:rPr>
          <w:sz w:val="24"/>
          <w:szCs w:val="24"/>
        </w:rPr>
        <w:t>, de modo a permitir uma comparação entre determinados períodos</w:t>
      </w:r>
      <w:r w:rsidR="00126563">
        <w:rPr>
          <w:sz w:val="24"/>
          <w:szCs w:val="24"/>
        </w:rPr>
        <w:t>, observando similaridades e possíveis divergências.</w:t>
      </w:r>
      <w:r w:rsidR="00BE624F" w:rsidRPr="00BE624F">
        <w:rPr>
          <w:sz w:val="24"/>
          <w:szCs w:val="24"/>
        </w:rPr>
        <w:t xml:space="preserve"> </w:t>
      </w:r>
    </w:p>
    <w:p w14:paraId="3DEC5208" w14:textId="2B76980E" w:rsidR="006A15BB" w:rsidRPr="00613037" w:rsidRDefault="005F3710" w:rsidP="006A15BB">
      <w:pPr>
        <w:ind w:firstLine="708"/>
        <w:jc w:val="both"/>
        <w:rPr>
          <w:sz w:val="24"/>
          <w:szCs w:val="24"/>
        </w:rPr>
      </w:pPr>
      <w:r w:rsidRPr="00613037">
        <w:rPr>
          <w:sz w:val="24"/>
          <w:szCs w:val="24"/>
        </w:rPr>
        <w:t xml:space="preserve">O </w:t>
      </w:r>
      <w:proofErr w:type="spellStart"/>
      <w:r w:rsidRPr="00613037">
        <w:rPr>
          <w:sz w:val="24"/>
          <w:szCs w:val="24"/>
        </w:rPr>
        <w:t>Contagri</w:t>
      </w:r>
      <w:proofErr w:type="spellEnd"/>
      <w:r w:rsidRPr="00613037">
        <w:rPr>
          <w:sz w:val="24"/>
          <w:szCs w:val="24"/>
        </w:rPr>
        <w:t xml:space="preserve"> é um sistema de contabilidade agrícola, </w:t>
      </w:r>
      <w:r w:rsidR="009E1AF3" w:rsidRPr="00613037">
        <w:rPr>
          <w:sz w:val="24"/>
          <w:szCs w:val="24"/>
        </w:rPr>
        <w:t>que</w:t>
      </w:r>
      <w:r w:rsidRPr="00613037">
        <w:rPr>
          <w:sz w:val="24"/>
          <w:szCs w:val="24"/>
        </w:rPr>
        <w:t xml:space="preserve"> tem como objetivo </w:t>
      </w:r>
      <w:r w:rsidR="009E1AF3" w:rsidRPr="00613037">
        <w:rPr>
          <w:sz w:val="24"/>
          <w:szCs w:val="24"/>
        </w:rPr>
        <w:t xml:space="preserve">o gerenciamento das </w:t>
      </w:r>
      <w:r w:rsidRPr="00613037">
        <w:rPr>
          <w:sz w:val="24"/>
          <w:szCs w:val="24"/>
        </w:rPr>
        <w:t xml:space="preserve">propriedades rurais. </w:t>
      </w:r>
      <w:r w:rsidR="009E1AF3" w:rsidRPr="00613037">
        <w:rPr>
          <w:sz w:val="24"/>
          <w:szCs w:val="24"/>
        </w:rPr>
        <w:t>Esse</w:t>
      </w:r>
      <w:r w:rsidRPr="00613037">
        <w:rPr>
          <w:sz w:val="24"/>
          <w:szCs w:val="24"/>
        </w:rPr>
        <w:t xml:space="preserve"> </w:t>
      </w:r>
      <w:r w:rsidR="00AD15F9" w:rsidRPr="00613037">
        <w:rPr>
          <w:sz w:val="24"/>
          <w:szCs w:val="24"/>
        </w:rPr>
        <w:t xml:space="preserve">sistema </w:t>
      </w:r>
      <w:r w:rsidRPr="00613037">
        <w:rPr>
          <w:sz w:val="24"/>
          <w:szCs w:val="24"/>
        </w:rPr>
        <w:t>pode ser utilizado pelos agricultores como um instrumento de administração rural (F</w:t>
      </w:r>
      <w:r w:rsidR="00EC0299">
        <w:rPr>
          <w:sz w:val="24"/>
          <w:szCs w:val="24"/>
        </w:rPr>
        <w:t xml:space="preserve">urtado </w:t>
      </w:r>
      <w:r w:rsidR="00EC0299">
        <w:rPr>
          <w:i/>
          <w:sz w:val="24"/>
          <w:szCs w:val="24"/>
        </w:rPr>
        <w:t>et al.</w:t>
      </w:r>
      <w:r w:rsidRPr="00613037">
        <w:rPr>
          <w:sz w:val="24"/>
          <w:szCs w:val="24"/>
        </w:rPr>
        <w:t xml:space="preserve">, 2017). </w:t>
      </w:r>
      <w:r w:rsidR="00AD15F9" w:rsidRPr="00613037">
        <w:rPr>
          <w:sz w:val="24"/>
          <w:szCs w:val="24"/>
        </w:rPr>
        <w:t>Por meio de</w:t>
      </w:r>
      <w:r w:rsidR="00B453AA">
        <w:rPr>
          <w:sz w:val="24"/>
          <w:szCs w:val="24"/>
        </w:rPr>
        <w:t>st</w:t>
      </w:r>
      <w:r w:rsidR="00AD15F9" w:rsidRPr="00613037">
        <w:rPr>
          <w:sz w:val="24"/>
          <w:szCs w:val="24"/>
        </w:rPr>
        <w:t>e</w:t>
      </w:r>
      <w:r w:rsidR="009E1AF3" w:rsidRPr="00613037">
        <w:rPr>
          <w:sz w:val="24"/>
          <w:szCs w:val="24"/>
        </w:rPr>
        <w:t xml:space="preserve">, </w:t>
      </w:r>
      <w:r w:rsidRPr="00613037">
        <w:rPr>
          <w:sz w:val="24"/>
          <w:szCs w:val="24"/>
        </w:rPr>
        <w:t>é possível efetuar a contabili</w:t>
      </w:r>
      <w:r w:rsidR="009E1AF3" w:rsidRPr="00613037">
        <w:rPr>
          <w:sz w:val="24"/>
          <w:szCs w:val="24"/>
        </w:rPr>
        <w:t>dade individual das propriedades,</w:t>
      </w:r>
      <w:r w:rsidRPr="00613037">
        <w:rPr>
          <w:sz w:val="24"/>
          <w:szCs w:val="24"/>
        </w:rPr>
        <w:t xml:space="preserve"> analisar resultados técnico/eco</w:t>
      </w:r>
      <w:r w:rsidR="009E1AF3" w:rsidRPr="00613037">
        <w:rPr>
          <w:sz w:val="24"/>
          <w:szCs w:val="24"/>
        </w:rPr>
        <w:t xml:space="preserve">nômicos globais da propriedade, </w:t>
      </w:r>
      <w:r w:rsidRPr="00613037">
        <w:rPr>
          <w:sz w:val="24"/>
          <w:szCs w:val="24"/>
        </w:rPr>
        <w:t>veri</w:t>
      </w:r>
      <w:r w:rsidR="009E1AF3" w:rsidRPr="00613037">
        <w:rPr>
          <w:sz w:val="24"/>
          <w:szCs w:val="24"/>
        </w:rPr>
        <w:t>fi</w:t>
      </w:r>
      <w:r w:rsidR="00AD15F9" w:rsidRPr="00613037">
        <w:rPr>
          <w:sz w:val="24"/>
          <w:szCs w:val="24"/>
        </w:rPr>
        <w:t xml:space="preserve">car o custo total da produção, além de </w:t>
      </w:r>
      <w:r w:rsidR="009E1AF3" w:rsidRPr="00613037">
        <w:rPr>
          <w:sz w:val="24"/>
          <w:szCs w:val="24"/>
        </w:rPr>
        <w:t>comparar</w:t>
      </w:r>
      <w:r w:rsidR="00AD15F9" w:rsidRPr="00613037">
        <w:rPr>
          <w:sz w:val="24"/>
          <w:szCs w:val="24"/>
        </w:rPr>
        <w:t xml:space="preserve"> as</w:t>
      </w:r>
      <w:r w:rsidR="009E1AF3" w:rsidRPr="00613037">
        <w:rPr>
          <w:sz w:val="24"/>
          <w:szCs w:val="24"/>
        </w:rPr>
        <w:t xml:space="preserve"> propriedades </w:t>
      </w:r>
      <w:r w:rsidRPr="00613037">
        <w:rPr>
          <w:rFonts w:eastAsia="MS Mincho"/>
          <w:sz w:val="24"/>
          <w:szCs w:val="24"/>
          <w:lang w:eastAsia="en-US"/>
        </w:rPr>
        <w:t>(</w:t>
      </w:r>
      <w:proofErr w:type="spellStart"/>
      <w:r w:rsidR="00633CBE">
        <w:rPr>
          <w:sz w:val="24"/>
          <w:szCs w:val="24"/>
        </w:rPr>
        <w:t>Epagri</w:t>
      </w:r>
      <w:proofErr w:type="spellEnd"/>
      <w:r w:rsidR="00633CBE">
        <w:rPr>
          <w:sz w:val="24"/>
          <w:szCs w:val="24"/>
        </w:rPr>
        <w:t>, 2017</w:t>
      </w:r>
      <w:r w:rsidRPr="00613037">
        <w:rPr>
          <w:rFonts w:eastAsia="MS Mincho"/>
          <w:sz w:val="24"/>
          <w:szCs w:val="24"/>
          <w:lang w:eastAsia="en-US"/>
        </w:rPr>
        <w:t>).</w:t>
      </w:r>
      <w:r w:rsidR="00AD15F9" w:rsidRPr="00613037">
        <w:rPr>
          <w:rFonts w:eastAsia="MS Mincho"/>
          <w:sz w:val="24"/>
          <w:szCs w:val="24"/>
          <w:lang w:eastAsia="en-US"/>
        </w:rPr>
        <w:t xml:space="preserve"> </w:t>
      </w:r>
      <w:r w:rsidR="009E1AF3" w:rsidRPr="00613037">
        <w:rPr>
          <w:sz w:val="24"/>
          <w:szCs w:val="24"/>
        </w:rPr>
        <w:t>Seu</w:t>
      </w:r>
      <w:r w:rsidRPr="00613037">
        <w:rPr>
          <w:sz w:val="24"/>
          <w:szCs w:val="24"/>
        </w:rPr>
        <w:t xml:space="preserve"> banco de dados </w:t>
      </w:r>
      <w:r w:rsidR="009E1AF3" w:rsidRPr="00613037">
        <w:rPr>
          <w:sz w:val="24"/>
          <w:szCs w:val="24"/>
        </w:rPr>
        <w:t xml:space="preserve">possui </w:t>
      </w:r>
      <w:r w:rsidR="00E56D59" w:rsidRPr="00613037">
        <w:rPr>
          <w:sz w:val="24"/>
          <w:szCs w:val="24"/>
        </w:rPr>
        <w:t>informações acerca das</w:t>
      </w:r>
      <w:r w:rsidRPr="00613037">
        <w:rPr>
          <w:sz w:val="24"/>
          <w:szCs w:val="24"/>
        </w:rPr>
        <w:t xml:space="preserve"> propriedades agrícolas </w:t>
      </w:r>
      <w:r w:rsidR="00E56D59" w:rsidRPr="00613037">
        <w:rPr>
          <w:sz w:val="24"/>
          <w:szCs w:val="24"/>
        </w:rPr>
        <w:t xml:space="preserve">da Região Sul, </w:t>
      </w:r>
      <w:r w:rsidR="00AD15F9" w:rsidRPr="00613037">
        <w:rPr>
          <w:sz w:val="24"/>
          <w:szCs w:val="24"/>
        </w:rPr>
        <w:t>sendo que a</w:t>
      </w:r>
      <w:r w:rsidRPr="00613037">
        <w:rPr>
          <w:sz w:val="24"/>
          <w:szCs w:val="24"/>
        </w:rPr>
        <w:t xml:space="preserve"> amostra desse estudo abrange 73 pro</w:t>
      </w:r>
      <w:r w:rsidR="00E56D59" w:rsidRPr="00613037">
        <w:rPr>
          <w:sz w:val="24"/>
          <w:szCs w:val="24"/>
        </w:rPr>
        <w:t>priedades rurais do estado de</w:t>
      </w:r>
      <w:r w:rsidRPr="00613037">
        <w:rPr>
          <w:sz w:val="24"/>
          <w:szCs w:val="24"/>
        </w:rPr>
        <w:t xml:space="preserve"> Santa Catarina</w:t>
      </w:r>
      <w:r w:rsidR="005130F3">
        <w:rPr>
          <w:sz w:val="24"/>
          <w:szCs w:val="24"/>
        </w:rPr>
        <w:t xml:space="preserve"> em ambos os períodos</w:t>
      </w:r>
      <w:r w:rsidRPr="00613037">
        <w:rPr>
          <w:sz w:val="24"/>
          <w:szCs w:val="24"/>
        </w:rPr>
        <w:t>.</w:t>
      </w:r>
      <w:r w:rsidR="006A15BB" w:rsidRPr="00613037">
        <w:rPr>
          <w:sz w:val="24"/>
          <w:szCs w:val="24"/>
        </w:rPr>
        <w:t xml:space="preserve"> </w:t>
      </w:r>
    </w:p>
    <w:p w14:paraId="7FCFEF01" w14:textId="1EAF0E37" w:rsidR="00A01AAE" w:rsidRPr="00613037" w:rsidRDefault="00504AC0" w:rsidP="00C92242">
      <w:pPr>
        <w:ind w:firstLine="708"/>
        <w:jc w:val="both"/>
        <w:rPr>
          <w:sz w:val="24"/>
          <w:szCs w:val="24"/>
        </w:rPr>
      </w:pPr>
      <w:r w:rsidRPr="00613037">
        <w:rPr>
          <w:sz w:val="24"/>
          <w:szCs w:val="24"/>
        </w:rPr>
        <w:t xml:space="preserve">Decidiu-se </w:t>
      </w:r>
      <w:r w:rsidR="006A15BB" w:rsidRPr="00613037">
        <w:rPr>
          <w:sz w:val="24"/>
          <w:szCs w:val="24"/>
        </w:rPr>
        <w:t>utilizar o critério da produ</w:t>
      </w:r>
      <w:r w:rsidR="00C92242">
        <w:rPr>
          <w:sz w:val="24"/>
          <w:szCs w:val="24"/>
        </w:rPr>
        <w:t xml:space="preserve">tividade para analisar as dimensões econômica, social e ambiental das propriedades agrícolas, que avalia </w:t>
      </w:r>
      <w:r w:rsidR="00C92242" w:rsidRPr="00BE624F">
        <w:rPr>
          <w:sz w:val="24"/>
          <w:szCs w:val="24"/>
        </w:rPr>
        <w:t>a eficiência do uso dos recursos e o rendimento do trabalho</w:t>
      </w:r>
      <w:r w:rsidR="00C92242">
        <w:rPr>
          <w:sz w:val="24"/>
          <w:szCs w:val="24"/>
        </w:rPr>
        <w:t xml:space="preserve">. Esses índices são mensurados </w:t>
      </w:r>
      <w:r w:rsidR="006A15BB" w:rsidRPr="00613037">
        <w:rPr>
          <w:sz w:val="24"/>
          <w:szCs w:val="24"/>
        </w:rPr>
        <w:t xml:space="preserve">por meio </w:t>
      </w:r>
      <w:r w:rsidR="00C92242">
        <w:rPr>
          <w:sz w:val="24"/>
          <w:szCs w:val="24"/>
        </w:rPr>
        <w:t xml:space="preserve">de indicadores e de </w:t>
      </w:r>
      <w:r w:rsidR="00D97A65" w:rsidRPr="00613037">
        <w:rPr>
          <w:sz w:val="24"/>
          <w:szCs w:val="24"/>
        </w:rPr>
        <w:t>seus respectivos parâmetros</w:t>
      </w:r>
      <w:r w:rsidR="00C92242">
        <w:rPr>
          <w:sz w:val="24"/>
          <w:szCs w:val="24"/>
        </w:rPr>
        <w:t xml:space="preserve">, que podem ser </w:t>
      </w:r>
      <w:r w:rsidR="00D97A65" w:rsidRPr="00613037">
        <w:rPr>
          <w:sz w:val="24"/>
          <w:szCs w:val="24"/>
        </w:rPr>
        <w:t>observados no Quadro 1.</w:t>
      </w:r>
      <w:r w:rsidR="00C92242">
        <w:rPr>
          <w:sz w:val="24"/>
          <w:szCs w:val="24"/>
        </w:rPr>
        <w:t xml:space="preserve"> </w:t>
      </w:r>
    </w:p>
    <w:p w14:paraId="154E2CDA" w14:textId="77777777" w:rsidR="00D97A65" w:rsidRPr="00D97A65" w:rsidRDefault="00D97A65" w:rsidP="00D97A65">
      <w:pPr>
        <w:ind w:firstLine="708"/>
        <w:jc w:val="both"/>
        <w:rPr>
          <w:sz w:val="24"/>
          <w:szCs w:val="24"/>
        </w:rPr>
      </w:pPr>
    </w:p>
    <w:p w14:paraId="69C85334" w14:textId="2CE59D4A" w:rsidR="00BE624F" w:rsidRPr="00504AC0" w:rsidRDefault="00BE624F" w:rsidP="005C0239">
      <w:r w:rsidRPr="00504AC0">
        <w:t>Quadro 1 - Indicadores e parâmetros utilizados na pesquisa.</w:t>
      </w:r>
    </w:p>
    <w:tbl>
      <w:tblPr>
        <w:tblpPr w:leftFromText="180" w:rightFromText="180" w:bottomFromText="160" w:vertAnchor="text" w:horzAnchor="margin" w:tblpX="-39" w:tblpY="105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126"/>
        <w:gridCol w:w="6565"/>
      </w:tblGrid>
      <w:tr w:rsidR="00504AC0" w:rsidRPr="00504AC0" w14:paraId="66EBE46D" w14:textId="77777777" w:rsidTr="005A1FDD">
        <w:trPr>
          <w:trHeight w:val="20"/>
        </w:trPr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E8CD" w14:textId="77777777" w:rsidR="00BE624F" w:rsidRPr="00504AC0" w:rsidRDefault="00BE624F" w:rsidP="005A1FD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04AC0">
              <w:rPr>
                <w:b/>
                <w:bCs/>
                <w:lang w:eastAsia="en-US"/>
              </w:rPr>
              <w:t>CRITÉRIO DA PRODUTIVIDADE</w:t>
            </w:r>
          </w:p>
        </w:tc>
      </w:tr>
      <w:tr w:rsidR="00504AC0" w:rsidRPr="00504AC0" w14:paraId="7C8963D3" w14:textId="77777777" w:rsidTr="005A1FDD">
        <w:trPr>
          <w:trHeight w:val="2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0F48" w14:textId="77777777" w:rsidR="00BE624F" w:rsidRPr="00504AC0" w:rsidRDefault="00BE624F" w:rsidP="005A1FD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04AC0">
              <w:rPr>
                <w:b/>
                <w:bCs/>
                <w:lang w:eastAsia="en-US"/>
              </w:rPr>
              <w:t>Dimensão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DCED" w14:textId="77777777" w:rsidR="00BE624F" w:rsidRPr="00504AC0" w:rsidRDefault="00BE624F" w:rsidP="005A1FD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04AC0">
              <w:rPr>
                <w:b/>
                <w:bCs/>
                <w:lang w:eastAsia="en-US"/>
              </w:rPr>
              <w:t>Indicador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4A8B" w14:textId="77777777" w:rsidR="00BE624F" w:rsidRPr="00504AC0" w:rsidRDefault="00BE624F" w:rsidP="005A1FD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504AC0">
              <w:rPr>
                <w:b/>
                <w:bCs/>
                <w:lang w:eastAsia="en-US"/>
              </w:rPr>
              <w:t>Parâmetro</w:t>
            </w:r>
          </w:p>
        </w:tc>
      </w:tr>
      <w:tr w:rsidR="00504AC0" w:rsidRPr="00504AC0" w14:paraId="21E27E33" w14:textId="77777777" w:rsidTr="005A1FDD">
        <w:trPr>
          <w:trHeight w:val="2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91BC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Econômica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AB58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VA/KI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24D7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lang w:eastAsia="en-US"/>
              </w:rPr>
            </w:pPr>
            <w:r w:rsidRPr="00504AC0">
              <w:rPr>
                <w:rFonts w:eastAsiaTheme="minorEastAsia"/>
                <w:lang w:eastAsia="en-US"/>
              </w:rPr>
              <w:t>VA = Valor Agregado, medido em reais.</w:t>
            </w:r>
          </w:p>
          <w:p w14:paraId="0A4205BB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lang w:eastAsia="en-US"/>
              </w:rPr>
            </w:pPr>
            <w:r w:rsidRPr="00504AC0">
              <w:rPr>
                <w:rFonts w:eastAsiaTheme="minorEastAsia"/>
                <w:lang w:eastAsia="en-US"/>
              </w:rPr>
              <w:t xml:space="preserve"> KI = Capital Imobilizado da unidade de produção agrícola, medido em reais. </w:t>
            </w:r>
          </w:p>
        </w:tc>
      </w:tr>
      <w:tr w:rsidR="00504AC0" w:rsidRPr="00504AC0" w14:paraId="3CFC9A76" w14:textId="77777777" w:rsidTr="00D8044A">
        <w:trPr>
          <w:trHeight w:val="32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024E6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Social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5223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VA/</w:t>
            </w:r>
            <w:proofErr w:type="spellStart"/>
            <w:r w:rsidRPr="00504AC0">
              <w:rPr>
                <w:lang w:eastAsia="en-US"/>
              </w:rPr>
              <w:t>UTHf</w:t>
            </w:r>
            <w:proofErr w:type="spellEnd"/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E699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lang w:eastAsia="en-US"/>
              </w:rPr>
            </w:pPr>
            <w:r w:rsidRPr="00504AC0">
              <w:rPr>
                <w:rFonts w:eastAsiaTheme="minorEastAsia"/>
                <w:lang w:eastAsia="en-US"/>
              </w:rPr>
              <w:t xml:space="preserve">VA = Valor Agregado, medido em reais. </w:t>
            </w:r>
          </w:p>
          <w:p w14:paraId="112E6C47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lang w:eastAsia="en-US"/>
              </w:rPr>
            </w:pPr>
            <w:proofErr w:type="spellStart"/>
            <w:r w:rsidRPr="00504AC0">
              <w:rPr>
                <w:rFonts w:eastAsiaTheme="minorEastAsia"/>
                <w:lang w:eastAsia="en-US"/>
              </w:rPr>
              <w:t>UTHf</w:t>
            </w:r>
            <w:proofErr w:type="spellEnd"/>
            <w:r w:rsidRPr="00504AC0">
              <w:rPr>
                <w:rFonts w:eastAsiaTheme="minorEastAsia"/>
                <w:lang w:eastAsia="en-US"/>
              </w:rPr>
              <w:t xml:space="preserve"> = Unidade de Trabalho Humano Familiar.</w:t>
            </w:r>
          </w:p>
        </w:tc>
      </w:tr>
      <w:tr w:rsidR="00504AC0" w:rsidRPr="00504AC0" w14:paraId="13960EE8" w14:textId="77777777" w:rsidTr="00D8044A">
        <w:trPr>
          <w:trHeight w:val="56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8353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Ambiental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D48E" w14:textId="77777777" w:rsidR="00BE624F" w:rsidRPr="00504AC0" w:rsidRDefault="00BE624F" w:rsidP="005A1FDD">
            <w:pPr>
              <w:spacing w:line="276" w:lineRule="auto"/>
              <w:rPr>
                <w:lang w:eastAsia="en-US"/>
              </w:rPr>
            </w:pPr>
            <w:r w:rsidRPr="00504AC0">
              <w:rPr>
                <w:lang w:eastAsia="en-US"/>
              </w:rPr>
              <w:t>VA/AAA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176A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EastAsia"/>
                <w:lang w:eastAsia="en-US"/>
              </w:rPr>
            </w:pPr>
            <w:r w:rsidRPr="00504AC0">
              <w:rPr>
                <w:rFonts w:eastAsiaTheme="minorEastAsia"/>
                <w:lang w:eastAsia="en-US"/>
              </w:rPr>
              <w:t xml:space="preserve">VA = Valor Agregado, medido em reais. </w:t>
            </w:r>
          </w:p>
          <w:p w14:paraId="093A1075" w14:textId="77777777" w:rsidR="00BE624F" w:rsidRPr="00504AC0" w:rsidRDefault="00BE624F" w:rsidP="005A1FDD">
            <w:pPr>
              <w:suppressAutoHyphens w:val="0"/>
              <w:autoSpaceDE w:val="0"/>
              <w:autoSpaceDN w:val="0"/>
              <w:adjustRightInd w:val="0"/>
              <w:rPr>
                <w:rFonts w:eastAsiaTheme="minorEastAsia"/>
                <w:lang w:eastAsia="en-US"/>
              </w:rPr>
            </w:pPr>
            <w:r w:rsidRPr="00504AC0">
              <w:rPr>
                <w:rFonts w:eastAsiaTheme="minorEastAsia"/>
                <w:lang w:eastAsia="en-US"/>
              </w:rPr>
              <w:t>AAA = Área de Ação Antrópica, em hectares.</w:t>
            </w:r>
          </w:p>
        </w:tc>
      </w:tr>
    </w:tbl>
    <w:p w14:paraId="7EC688CF" w14:textId="7C942752" w:rsidR="00BE624F" w:rsidRDefault="00BE624F" w:rsidP="00D8044A">
      <w:r w:rsidRPr="00504AC0">
        <w:t>Fonte: Adaptado de Ribas</w:t>
      </w:r>
      <w:r w:rsidR="00EC0299">
        <w:t xml:space="preserve"> </w:t>
      </w:r>
      <w:r w:rsidR="00EC0299">
        <w:rPr>
          <w:i/>
        </w:rPr>
        <w:t>et al.</w:t>
      </w:r>
      <w:r w:rsidRPr="00504AC0">
        <w:t xml:space="preserve"> (2007).</w:t>
      </w:r>
    </w:p>
    <w:p w14:paraId="5AB575AA" w14:textId="7E6FE4C7" w:rsidR="00B04B1C" w:rsidRDefault="00B04B1C" w:rsidP="00B23149"/>
    <w:p w14:paraId="25A8A752" w14:textId="25F2177E" w:rsidR="00B04B1C" w:rsidRPr="002F59AE" w:rsidRDefault="00AE4040" w:rsidP="002E16C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03FD9" w:rsidRPr="002F59AE">
        <w:rPr>
          <w:sz w:val="24"/>
          <w:szCs w:val="24"/>
        </w:rPr>
        <w:t xml:space="preserve">sustentabilidade </w:t>
      </w:r>
      <w:r w:rsidR="00C00C90">
        <w:rPr>
          <w:sz w:val="24"/>
          <w:szCs w:val="24"/>
        </w:rPr>
        <w:t>das</w:t>
      </w:r>
      <w:r w:rsidR="007549EB">
        <w:rPr>
          <w:sz w:val="24"/>
          <w:szCs w:val="24"/>
        </w:rPr>
        <w:t xml:space="preserve"> </w:t>
      </w:r>
      <w:r w:rsidR="00F52045">
        <w:rPr>
          <w:sz w:val="24"/>
          <w:szCs w:val="24"/>
        </w:rPr>
        <w:t xml:space="preserve">propriedades agrícolas </w:t>
      </w:r>
      <w:r w:rsidR="00C00C90">
        <w:rPr>
          <w:sz w:val="24"/>
          <w:szCs w:val="24"/>
        </w:rPr>
        <w:t>será analisada</w:t>
      </w:r>
      <w:r w:rsidR="00291FF1">
        <w:rPr>
          <w:sz w:val="24"/>
          <w:szCs w:val="24"/>
        </w:rPr>
        <w:t xml:space="preserve"> </w:t>
      </w:r>
      <w:r w:rsidR="007668EB">
        <w:rPr>
          <w:sz w:val="24"/>
          <w:szCs w:val="24"/>
        </w:rPr>
        <w:t>por meio dos indicadores e parâmetros descritos acima</w:t>
      </w:r>
      <w:r w:rsidR="00F52045">
        <w:rPr>
          <w:sz w:val="24"/>
          <w:szCs w:val="24"/>
        </w:rPr>
        <w:t>, que compõem o critério da produtividade</w:t>
      </w:r>
      <w:r w:rsidR="007668EB">
        <w:rPr>
          <w:sz w:val="24"/>
          <w:szCs w:val="24"/>
        </w:rPr>
        <w:t>.</w:t>
      </w:r>
    </w:p>
    <w:p w14:paraId="0406E303" w14:textId="77777777" w:rsidR="00BE624F" w:rsidRPr="00BE624F" w:rsidRDefault="00BE624F" w:rsidP="00BE624F">
      <w:pPr>
        <w:rPr>
          <w:sz w:val="24"/>
          <w:szCs w:val="24"/>
        </w:rPr>
      </w:pPr>
    </w:p>
    <w:p w14:paraId="50491FC6" w14:textId="7EF2EDC7" w:rsidR="00936667" w:rsidRDefault="00083E9A" w:rsidP="00490466">
      <w:pPr>
        <w:pStyle w:val="Ttulo1"/>
        <w:numPr>
          <w:ilvl w:val="0"/>
          <w:numId w:val="0"/>
        </w:numPr>
        <w:tabs>
          <w:tab w:val="left" w:pos="284"/>
        </w:tabs>
        <w:ind w:left="284" w:hanging="284"/>
        <w:rPr>
          <w:szCs w:val="24"/>
        </w:rPr>
      </w:pPr>
      <w:r>
        <w:rPr>
          <w:szCs w:val="24"/>
        </w:rPr>
        <w:lastRenderedPageBreak/>
        <w:t xml:space="preserve">4 </w:t>
      </w:r>
      <w:r w:rsidR="00936667" w:rsidRPr="00BE624F">
        <w:rPr>
          <w:szCs w:val="24"/>
        </w:rPr>
        <w:t>ANÁLISE DOS RESULTADOS</w:t>
      </w:r>
    </w:p>
    <w:p w14:paraId="0857EA82" w14:textId="77777777" w:rsidR="00F04A65" w:rsidRPr="00F04A65" w:rsidRDefault="00F04A65" w:rsidP="00F04A65"/>
    <w:p w14:paraId="16284CB0" w14:textId="391C9ABB" w:rsidR="00F04A65" w:rsidRPr="00EA5FC9" w:rsidRDefault="00F04A65" w:rsidP="00EA5F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A5FC9">
        <w:rPr>
          <w:sz w:val="24"/>
          <w:szCs w:val="24"/>
        </w:rPr>
        <w:t xml:space="preserve">Esta seção exibe a </w:t>
      </w:r>
      <w:r w:rsidR="00EA5FC9" w:rsidRPr="00EA5FC9">
        <w:rPr>
          <w:sz w:val="24"/>
          <w:szCs w:val="24"/>
        </w:rPr>
        <w:t>caracterização geral das propriedades de agricultura familiar do estado de Santa Catarina</w:t>
      </w:r>
      <w:r w:rsidRPr="00EA5FC9">
        <w:rPr>
          <w:sz w:val="24"/>
          <w:szCs w:val="24"/>
        </w:rPr>
        <w:t xml:space="preserve">, </w:t>
      </w:r>
      <w:r w:rsidR="00EA5FC9" w:rsidRPr="00EA5FC9">
        <w:rPr>
          <w:sz w:val="24"/>
          <w:szCs w:val="24"/>
        </w:rPr>
        <w:t>a aná</w:t>
      </w:r>
      <w:r w:rsidRPr="00EA5FC9">
        <w:rPr>
          <w:sz w:val="24"/>
          <w:szCs w:val="24"/>
        </w:rPr>
        <w:t>lise das dimensões econômica</w:t>
      </w:r>
      <w:r w:rsidR="00EA5FC9">
        <w:rPr>
          <w:sz w:val="24"/>
          <w:szCs w:val="24"/>
        </w:rPr>
        <w:t>,</w:t>
      </w:r>
      <w:r w:rsidRPr="00EA5FC9">
        <w:rPr>
          <w:sz w:val="24"/>
          <w:szCs w:val="24"/>
        </w:rPr>
        <w:t xml:space="preserve"> social e ambiental, </w:t>
      </w:r>
      <w:r w:rsidR="00EA5FC9">
        <w:rPr>
          <w:sz w:val="24"/>
          <w:szCs w:val="24"/>
        </w:rPr>
        <w:t>além da aná</w:t>
      </w:r>
      <w:r w:rsidRPr="00EA5FC9">
        <w:rPr>
          <w:sz w:val="24"/>
          <w:szCs w:val="24"/>
        </w:rPr>
        <w:t xml:space="preserve">lise global dos três indicadores do critério da </w:t>
      </w:r>
      <w:r w:rsidR="00EA5FC9">
        <w:rPr>
          <w:sz w:val="24"/>
          <w:szCs w:val="24"/>
        </w:rPr>
        <w:t>produtividade.</w:t>
      </w:r>
    </w:p>
    <w:p w14:paraId="737B3323" w14:textId="3DA3E521" w:rsidR="00936667" w:rsidRDefault="00083E9A" w:rsidP="00490466">
      <w:pPr>
        <w:pStyle w:val="Ttulo2"/>
        <w:numPr>
          <w:ilvl w:val="0"/>
          <w:numId w:val="0"/>
        </w:numPr>
        <w:tabs>
          <w:tab w:val="left" w:pos="426"/>
        </w:tabs>
        <w:ind w:left="360" w:hanging="360"/>
        <w:rPr>
          <w:szCs w:val="24"/>
        </w:rPr>
      </w:pPr>
      <w:r>
        <w:rPr>
          <w:szCs w:val="24"/>
        </w:rPr>
        <w:t xml:space="preserve">4.1 </w:t>
      </w:r>
      <w:r w:rsidR="00936667" w:rsidRPr="00126563">
        <w:rPr>
          <w:szCs w:val="24"/>
        </w:rPr>
        <w:t xml:space="preserve">Caracterização geral das propriedades familiares </w:t>
      </w:r>
    </w:p>
    <w:p w14:paraId="38A6B140" w14:textId="77777777" w:rsidR="00126563" w:rsidRPr="00126563" w:rsidRDefault="00126563" w:rsidP="00126563"/>
    <w:p w14:paraId="5865AD44" w14:textId="625CD821" w:rsidR="00936667" w:rsidRPr="00756E69" w:rsidRDefault="00936667" w:rsidP="00D1734F">
      <w:pPr>
        <w:ind w:firstLine="578"/>
        <w:jc w:val="both"/>
        <w:rPr>
          <w:sz w:val="24"/>
          <w:szCs w:val="24"/>
        </w:rPr>
      </w:pPr>
      <w:r w:rsidRPr="00756E69">
        <w:rPr>
          <w:sz w:val="24"/>
          <w:szCs w:val="24"/>
        </w:rPr>
        <w:t>A agricultura familiar é responsável por grande parte da produção de alimentos que são direcionados para o atendimento imediato de sua produção. Além disso, por não utilizar grande quantidade de maquinários e equipamentos, esse segmento da agricultura acaba não substituindo a mão-de-obra pelas máquinas, gerando empregos dessa maneira (F</w:t>
      </w:r>
      <w:r w:rsidR="006704A7">
        <w:rPr>
          <w:sz w:val="24"/>
          <w:szCs w:val="24"/>
        </w:rPr>
        <w:t xml:space="preserve">urtado </w:t>
      </w:r>
      <w:r w:rsidR="006704A7">
        <w:rPr>
          <w:i/>
          <w:sz w:val="24"/>
          <w:szCs w:val="24"/>
        </w:rPr>
        <w:t>et al</w:t>
      </w:r>
      <w:r w:rsidR="00FC2026">
        <w:rPr>
          <w:i/>
          <w:sz w:val="24"/>
          <w:szCs w:val="24"/>
        </w:rPr>
        <w:t xml:space="preserve">., </w:t>
      </w:r>
      <w:r w:rsidRPr="00756E69">
        <w:rPr>
          <w:sz w:val="24"/>
          <w:szCs w:val="24"/>
        </w:rPr>
        <w:t xml:space="preserve">2017). </w:t>
      </w:r>
    </w:p>
    <w:p w14:paraId="4FB4E4BE" w14:textId="26913796" w:rsidR="00936667" w:rsidRPr="00A74668" w:rsidRDefault="00936667" w:rsidP="00D1734F">
      <w:pPr>
        <w:ind w:firstLine="578"/>
        <w:jc w:val="both"/>
        <w:rPr>
          <w:color w:val="FF0000"/>
          <w:sz w:val="24"/>
          <w:szCs w:val="24"/>
        </w:rPr>
      </w:pPr>
      <w:r w:rsidRPr="00756E69">
        <w:rPr>
          <w:sz w:val="24"/>
          <w:szCs w:val="24"/>
        </w:rPr>
        <w:t xml:space="preserve">Na Tabela 1, pode-se observar a composição do capital dos proprietários familiares, assim como a soma de seus valores (em reais). O capital é composto basicamente pelo valor da terra de produção, pelas </w:t>
      </w:r>
      <w:r w:rsidR="00CD343B" w:rsidRPr="00756E69">
        <w:rPr>
          <w:sz w:val="24"/>
          <w:szCs w:val="24"/>
        </w:rPr>
        <w:t>máquinas e equipamentos</w:t>
      </w:r>
      <w:r w:rsidR="00CD343B">
        <w:rPr>
          <w:sz w:val="24"/>
          <w:szCs w:val="24"/>
        </w:rPr>
        <w:t xml:space="preserve"> utilizados no plantio</w:t>
      </w:r>
      <w:r w:rsidRPr="00756E69">
        <w:rPr>
          <w:sz w:val="24"/>
          <w:szCs w:val="24"/>
        </w:rPr>
        <w:t>, pelo giro agrícola, pelas construções, pelos animais e pelas culturas permanentes. Os dados referem-se aos dois anos agrícolas estudados</w:t>
      </w:r>
      <w:r>
        <w:rPr>
          <w:color w:val="FF0000"/>
          <w:sz w:val="24"/>
          <w:szCs w:val="24"/>
        </w:rPr>
        <w:t xml:space="preserve">. </w:t>
      </w:r>
    </w:p>
    <w:p w14:paraId="69B81B19" w14:textId="77777777" w:rsidR="00936667" w:rsidRPr="00A74668" w:rsidRDefault="00936667" w:rsidP="00936667">
      <w:pPr>
        <w:ind w:firstLine="576"/>
        <w:rPr>
          <w:color w:val="FF0000"/>
        </w:rPr>
      </w:pPr>
      <w:r>
        <w:rPr>
          <w:color w:val="FF0000"/>
        </w:rPr>
        <w:t xml:space="preserve"> </w:t>
      </w:r>
    </w:p>
    <w:p w14:paraId="0D85CD33" w14:textId="02B311CD" w:rsidR="002622A8" w:rsidRPr="00561331" w:rsidRDefault="00936667" w:rsidP="00F956DB">
      <w:r w:rsidRPr="00561331">
        <w:t>Tabela 1 – Capital das propriedades agrícolas</w:t>
      </w:r>
      <w:r>
        <w:t xml:space="preserve"> </w:t>
      </w:r>
    </w:p>
    <w:tbl>
      <w:tblPr>
        <w:tblW w:w="901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1162"/>
        <w:gridCol w:w="1163"/>
        <w:gridCol w:w="1166"/>
        <w:gridCol w:w="1163"/>
        <w:gridCol w:w="1163"/>
        <w:gridCol w:w="1166"/>
      </w:tblGrid>
      <w:tr w:rsidR="002622A8" w:rsidRPr="002622A8" w14:paraId="19E4132A" w14:textId="77777777" w:rsidTr="00490466">
        <w:trPr>
          <w:trHeight w:val="57"/>
        </w:trPr>
        <w:tc>
          <w:tcPr>
            <w:tcW w:w="20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0488E" w14:textId="77777777" w:rsidR="00936667" w:rsidRPr="002622A8" w:rsidRDefault="00936667" w:rsidP="00263D91">
            <w:pPr>
              <w:suppressAutoHyphens w:val="0"/>
              <w:rPr>
                <w:b/>
                <w:bCs/>
              </w:rPr>
            </w:pPr>
            <w:r w:rsidRPr="002622A8">
              <w:rPr>
                <w:b/>
                <w:bCs/>
              </w:rPr>
              <w:t> </w:t>
            </w:r>
          </w:p>
        </w:tc>
        <w:tc>
          <w:tcPr>
            <w:tcW w:w="3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C7616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2015/2016</w:t>
            </w:r>
          </w:p>
        </w:tc>
        <w:tc>
          <w:tcPr>
            <w:tcW w:w="3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78CADF43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2016/2017</w:t>
            </w:r>
          </w:p>
        </w:tc>
      </w:tr>
      <w:tr w:rsidR="00773E62" w:rsidRPr="002622A8" w14:paraId="53D4A791" w14:textId="77777777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FF59E" w14:textId="77777777" w:rsidR="00936667" w:rsidRPr="002622A8" w:rsidRDefault="00936667" w:rsidP="00263D91">
            <w:pPr>
              <w:suppressAutoHyphens w:val="0"/>
              <w:rPr>
                <w:b/>
                <w:bCs/>
              </w:rPr>
            </w:pPr>
            <w:r w:rsidRPr="002622A8">
              <w:rPr>
                <w:b/>
                <w:bCs/>
              </w:rPr>
              <w:t>CAPITAL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3E938E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TOTAL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AF6A4F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MÉDIA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8E0341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DESVIO PADRÃO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121FDB6A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TOTAL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14:paraId="6B311C4A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MÉDIA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56173838" w14:textId="77777777" w:rsidR="00936667" w:rsidRPr="002622A8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2622A8">
              <w:rPr>
                <w:b/>
                <w:bCs/>
              </w:rPr>
              <w:t>DESVIO PADRÃO</w:t>
            </w:r>
          </w:p>
        </w:tc>
      </w:tr>
      <w:tr w:rsidR="00A073A9" w:rsidRPr="002622A8" w14:paraId="7BBC5D97" w14:textId="5F498B72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D3CBF" w14:textId="77777777" w:rsidR="00A073A9" w:rsidRPr="002622A8" w:rsidRDefault="00A073A9" w:rsidP="00A073A9">
            <w:pPr>
              <w:suppressAutoHyphens w:val="0"/>
            </w:pPr>
            <w:r w:rsidRPr="002622A8">
              <w:t>Terra</w:t>
            </w:r>
          </w:p>
        </w:tc>
        <w:tc>
          <w:tcPr>
            <w:tcW w:w="1162" w:type="dxa"/>
            <w:vAlign w:val="center"/>
          </w:tcPr>
          <w:p w14:paraId="2377857C" w14:textId="4A64A4AA" w:rsidR="00A073A9" w:rsidRPr="002622A8" w:rsidRDefault="00A073A9" w:rsidP="00A073A9">
            <w:pPr>
              <w:suppressAutoHyphens w:val="0"/>
              <w:jc w:val="right"/>
            </w:pPr>
            <w:r w:rsidRPr="002622A8">
              <w:t>6</w:t>
            </w:r>
            <w:r>
              <w:t>.</w:t>
            </w:r>
            <w:r w:rsidRPr="002622A8">
              <w:t>946</w:t>
            </w:r>
            <w:r>
              <w:t>.</w:t>
            </w:r>
            <w:r w:rsidRPr="002622A8">
              <w:t>677</w:t>
            </w:r>
          </w:p>
        </w:tc>
        <w:tc>
          <w:tcPr>
            <w:tcW w:w="1163" w:type="dxa"/>
            <w:vAlign w:val="center"/>
          </w:tcPr>
          <w:p w14:paraId="3B489D32" w14:textId="727B7CD6" w:rsidR="00A073A9" w:rsidRPr="002622A8" w:rsidRDefault="00A073A9" w:rsidP="00A073A9">
            <w:pPr>
              <w:suppressAutoHyphens w:val="0"/>
              <w:jc w:val="right"/>
            </w:pPr>
            <w:r w:rsidRPr="002622A8">
              <w:t>95</w:t>
            </w:r>
            <w:r>
              <w:t>.</w:t>
            </w:r>
            <w:r w:rsidRPr="002622A8">
              <w:t>159,96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6BC35503" w14:textId="06712152" w:rsidR="00A073A9" w:rsidRPr="002622A8" w:rsidRDefault="00A073A9" w:rsidP="00A073A9">
            <w:pPr>
              <w:suppressAutoHyphens w:val="0"/>
              <w:jc w:val="right"/>
            </w:pPr>
            <w:r w:rsidRPr="002622A8">
              <w:t>102</w:t>
            </w:r>
            <w:r>
              <w:t>.</w:t>
            </w:r>
            <w:r w:rsidRPr="002622A8">
              <w:t>107,17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vAlign w:val="bottom"/>
          </w:tcPr>
          <w:p w14:paraId="3FA149BA" w14:textId="553A1314" w:rsidR="00A073A9" w:rsidRPr="00E40290" w:rsidRDefault="0040602A" w:rsidP="00A073A9">
            <w:pPr>
              <w:suppressAutoHyphens w:val="0"/>
              <w:jc w:val="right"/>
            </w:pPr>
            <w:r w:rsidRPr="00E40290">
              <w:rPr>
                <w:color w:val="000000"/>
              </w:rPr>
              <w:t>6.413.863</w:t>
            </w:r>
          </w:p>
        </w:tc>
        <w:tc>
          <w:tcPr>
            <w:tcW w:w="1163" w:type="dxa"/>
            <w:vAlign w:val="bottom"/>
          </w:tcPr>
          <w:p w14:paraId="2996454E" w14:textId="137A63A3" w:rsidR="00A073A9" w:rsidRPr="00E40290" w:rsidRDefault="00A073A9" w:rsidP="00A073A9">
            <w:pPr>
              <w:suppressAutoHyphens w:val="0"/>
              <w:jc w:val="right"/>
            </w:pPr>
            <w:r w:rsidRPr="00E40290">
              <w:rPr>
                <w:color w:val="000000"/>
              </w:rPr>
              <w:t>87</w:t>
            </w:r>
            <w:r w:rsidR="0040602A" w:rsidRPr="00E40290"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861,14</w:t>
            </w:r>
          </w:p>
        </w:tc>
        <w:tc>
          <w:tcPr>
            <w:tcW w:w="1166" w:type="dxa"/>
            <w:vAlign w:val="bottom"/>
          </w:tcPr>
          <w:p w14:paraId="04ED87EC" w14:textId="594D1F68" w:rsidR="00A073A9" w:rsidRPr="00E40290" w:rsidRDefault="00A073A9" w:rsidP="00A073A9">
            <w:pPr>
              <w:suppressAutoHyphens w:val="0"/>
              <w:jc w:val="right"/>
            </w:pPr>
            <w:r w:rsidRPr="00E40290">
              <w:rPr>
                <w:color w:val="000000"/>
              </w:rPr>
              <w:t>94</w:t>
            </w:r>
            <w:r w:rsidR="0040602A" w:rsidRPr="00E40290"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396,11</w:t>
            </w:r>
          </w:p>
        </w:tc>
      </w:tr>
      <w:tr w:rsidR="00E40290" w:rsidRPr="002622A8" w14:paraId="61A5A08F" w14:textId="051431DD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F6D35" w14:textId="3C8B413E" w:rsidR="00E40290" w:rsidRPr="002622A8" w:rsidRDefault="00E40290" w:rsidP="00E40290">
            <w:pPr>
              <w:suppressAutoHyphens w:val="0"/>
            </w:pPr>
            <w:r w:rsidRPr="002622A8">
              <w:t>Máquinas</w:t>
            </w:r>
          </w:p>
        </w:tc>
        <w:tc>
          <w:tcPr>
            <w:tcW w:w="1162" w:type="dxa"/>
            <w:vAlign w:val="center"/>
          </w:tcPr>
          <w:p w14:paraId="72C9A1AE" w14:textId="5BAF56F6" w:rsidR="00E40290" w:rsidRPr="002622A8" w:rsidRDefault="00E40290" w:rsidP="00E40290">
            <w:pPr>
              <w:suppressAutoHyphens w:val="0"/>
              <w:jc w:val="right"/>
            </w:pPr>
            <w:r w:rsidRPr="002622A8">
              <w:t>2</w:t>
            </w:r>
            <w:r>
              <w:t>.</w:t>
            </w:r>
            <w:r w:rsidRPr="002622A8">
              <w:t>120</w:t>
            </w:r>
            <w:r>
              <w:t>.</w:t>
            </w:r>
            <w:r w:rsidRPr="002622A8">
              <w:t>564</w:t>
            </w:r>
          </w:p>
        </w:tc>
        <w:tc>
          <w:tcPr>
            <w:tcW w:w="1163" w:type="dxa"/>
            <w:vAlign w:val="center"/>
          </w:tcPr>
          <w:p w14:paraId="3C4C8B78" w14:textId="28221374" w:rsidR="00E40290" w:rsidRPr="002622A8" w:rsidRDefault="00E40290" w:rsidP="00E40290">
            <w:pPr>
              <w:suppressAutoHyphens w:val="0"/>
              <w:jc w:val="right"/>
            </w:pPr>
            <w:r w:rsidRPr="002622A8">
              <w:t>29</w:t>
            </w:r>
            <w:r>
              <w:t>.</w:t>
            </w:r>
            <w:r w:rsidRPr="002622A8">
              <w:t>048,82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5F8F4CCA" w14:textId="3E510F89" w:rsidR="00E40290" w:rsidRPr="002622A8" w:rsidRDefault="00E40290" w:rsidP="00E40290">
            <w:pPr>
              <w:suppressAutoHyphens w:val="0"/>
              <w:jc w:val="right"/>
            </w:pPr>
            <w:r w:rsidRPr="002622A8">
              <w:t>21</w:t>
            </w:r>
            <w:r>
              <w:t>.</w:t>
            </w:r>
            <w:r w:rsidRPr="002622A8">
              <w:t>948,39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vAlign w:val="bottom"/>
          </w:tcPr>
          <w:p w14:paraId="1781C531" w14:textId="3DB4AC0C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261</w:t>
            </w:r>
            <w:r>
              <w:rPr>
                <w:color w:val="000000"/>
              </w:rPr>
              <w:t>.741</w:t>
            </w:r>
          </w:p>
        </w:tc>
        <w:tc>
          <w:tcPr>
            <w:tcW w:w="1163" w:type="dxa"/>
            <w:vAlign w:val="bottom"/>
          </w:tcPr>
          <w:p w14:paraId="68769A2D" w14:textId="57391E7D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30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982,75</w:t>
            </w:r>
          </w:p>
        </w:tc>
        <w:tc>
          <w:tcPr>
            <w:tcW w:w="1166" w:type="dxa"/>
            <w:vAlign w:val="bottom"/>
          </w:tcPr>
          <w:p w14:paraId="2905A516" w14:textId="66A1288F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27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215,57</w:t>
            </w:r>
          </w:p>
        </w:tc>
      </w:tr>
      <w:tr w:rsidR="00E40290" w:rsidRPr="002622A8" w14:paraId="1363391D" w14:textId="7804E9BA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D804B" w14:textId="77777777" w:rsidR="00E40290" w:rsidRPr="002622A8" w:rsidRDefault="00E40290" w:rsidP="00E40290">
            <w:pPr>
              <w:suppressAutoHyphens w:val="0"/>
            </w:pPr>
            <w:r w:rsidRPr="002622A8">
              <w:t>Giro</w:t>
            </w:r>
          </w:p>
        </w:tc>
        <w:tc>
          <w:tcPr>
            <w:tcW w:w="1162" w:type="dxa"/>
            <w:vAlign w:val="center"/>
          </w:tcPr>
          <w:p w14:paraId="6F878A51" w14:textId="70A7FA73" w:rsidR="00E40290" w:rsidRPr="002622A8" w:rsidRDefault="00E40290" w:rsidP="00E40290">
            <w:pPr>
              <w:suppressAutoHyphens w:val="0"/>
              <w:jc w:val="right"/>
            </w:pPr>
            <w:r w:rsidRPr="002622A8">
              <w:t>983</w:t>
            </w:r>
            <w:r>
              <w:t>.</w:t>
            </w:r>
            <w:r w:rsidRPr="002622A8">
              <w:t>688</w:t>
            </w:r>
          </w:p>
        </w:tc>
        <w:tc>
          <w:tcPr>
            <w:tcW w:w="1163" w:type="dxa"/>
            <w:vAlign w:val="center"/>
          </w:tcPr>
          <w:p w14:paraId="3DD2281B" w14:textId="203B9078" w:rsidR="00E40290" w:rsidRPr="002622A8" w:rsidRDefault="00E40290" w:rsidP="00E40290">
            <w:pPr>
              <w:suppressAutoHyphens w:val="0"/>
              <w:jc w:val="right"/>
            </w:pPr>
            <w:r w:rsidRPr="002622A8">
              <w:t>13</w:t>
            </w:r>
            <w:r>
              <w:t>.</w:t>
            </w:r>
            <w:r w:rsidRPr="002622A8">
              <w:t>475,18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42597631" w14:textId="46CDDA6A" w:rsidR="00E40290" w:rsidRPr="002622A8" w:rsidRDefault="00E40290" w:rsidP="00E40290">
            <w:pPr>
              <w:suppressAutoHyphens w:val="0"/>
              <w:jc w:val="right"/>
            </w:pPr>
            <w:r w:rsidRPr="002622A8">
              <w:t>10</w:t>
            </w:r>
            <w:r>
              <w:t>.</w:t>
            </w:r>
            <w:r w:rsidRPr="002622A8">
              <w:t>788,96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vAlign w:val="bottom"/>
          </w:tcPr>
          <w:p w14:paraId="7D17FC3B" w14:textId="6CFCE92D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113</w:t>
            </w:r>
            <w:r>
              <w:rPr>
                <w:color w:val="000000"/>
              </w:rPr>
              <w:t>.066</w:t>
            </w:r>
          </w:p>
        </w:tc>
        <w:tc>
          <w:tcPr>
            <w:tcW w:w="1163" w:type="dxa"/>
            <w:vAlign w:val="bottom"/>
          </w:tcPr>
          <w:p w14:paraId="1C3459BF" w14:textId="45538690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15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247,48</w:t>
            </w:r>
          </w:p>
        </w:tc>
        <w:tc>
          <w:tcPr>
            <w:tcW w:w="1166" w:type="dxa"/>
            <w:vAlign w:val="bottom"/>
          </w:tcPr>
          <w:p w14:paraId="1F63C709" w14:textId="13F98648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8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845,24</w:t>
            </w:r>
          </w:p>
        </w:tc>
      </w:tr>
      <w:tr w:rsidR="00E40290" w:rsidRPr="002622A8" w14:paraId="15880F35" w14:textId="7AE3259E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2B997" w14:textId="77777777" w:rsidR="00E40290" w:rsidRPr="002622A8" w:rsidRDefault="00E40290" w:rsidP="00E40290">
            <w:pPr>
              <w:suppressAutoHyphens w:val="0"/>
            </w:pPr>
            <w:r w:rsidRPr="002622A8">
              <w:t>Construções</w:t>
            </w:r>
          </w:p>
        </w:tc>
        <w:tc>
          <w:tcPr>
            <w:tcW w:w="1162" w:type="dxa"/>
            <w:vAlign w:val="center"/>
          </w:tcPr>
          <w:p w14:paraId="77271A2D" w14:textId="6C8828D5" w:rsidR="00E40290" w:rsidRPr="002622A8" w:rsidRDefault="00E40290" w:rsidP="00E40290">
            <w:pPr>
              <w:suppressAutoHyphens w:val="0"/>
              <w:jc w:val="right"/>
            </w:pPr>
            <w:r w:rsidRPr="002622A8">
              <w:t>1</w:t>
            </w:r>
            <w:r>
              <w:t>.</w:t>
            </w:r>
            <w:r w:rsidRPr="002622A8">
              <w:t>332</w:t>
            </w:r>
            <w:r>
              <w:t>.</w:t>
            </w:r>
            <w:r w:rsidRPr="002622A8">
              <w:t>358</w:t>
            </w:r>
          </w:p>
        </w:tc>
        <w:tc>
          <w:tcPr>
            <w:tcW w:w="1163" w:type="dxa"/>
            <w:vAlign w:val="center"/>
          </w:tcPr>
          <w:p w14:paraId="32243340" w14:textId="01687ACC" w:rsidR="00E40290" w:rsidRPr="002622A8" w:rsidRDefault="00E40290" w:rsidP="00E40290">
            <w:pPr>
              <w:suppressAutoHyphens w:val="0"/>
              <w:jc w:val="right"/>
            </w:pPr>
            <w:r w:rsidRPr="002622A8">
              <w:t>18</w:t>
            </w:r>
            <w:r>
              <w:t>.</w:t>
            </w:r>
            <w:r w:rsidRPr="002622A8">
              <w:t>251,48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31CEDE51" w14:textId="6240FC5B" w:rsidR="00E40290" w:rsidRPr="002622A8" w:rsidRDefault="00E40290" w:rsidP="00E40290">
            <w:pPr>
              <w:suppressAutoHyphens w:val="0"/>
              <w:jc w:val="right"/>
            </w:pPr>
            <w:r w:rsidRPr="002622A8">
              <w:t>20</w:t>
            </w:r>
            <w:r>
              <w:t>.</w:t>
            </w:r>
            <w:r w:rsidRPr="002622A8">
              <w:t>251,01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vAlign w:val="bottom"/>
          </w:tcPr>
          <w:p w14:paraId="68338883" w14:textId="6EB2043E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393</w:t>
            </w:r>
            <w:r>
              <w:rPr>
                <w:color w:val="000000"/>
              </w:rPr>
              <w:t>.072</w:t>
            </w:r>
          </w:p>
        </w:tc>
        <w:tc>
          <w:tcPr>
            <w:tcW w:w="1163" w:type="dxa"/>
            <w:vAlign w:val="bottom"/>
          </w:tcPr>
          <w:p w14:paraId="1C09078C" w14:textId="305E2465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19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083,18</w:t>
            </w:r>
          </w:p>
        </w:tc>
        <w:tc>
          <w:tcPr>
            <w:tcW w:w="1166" w:type="dxa"/>
            <w:vAlign w:val="bottom"/>
          </w:tcPr>
          <w:p w14:paraId="2173464D" w14:textId="40F1B6AB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19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372,42</w:t>
            </w:r>
          </w:p>
        </w:tc>
      </w:tr>
      <w:tr w:rsidR="00E40290" w:rsidRPr="002622A8" w14:paraId="72D3ED2F" w14:textId="51AD4728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C2E83" w14:textId="77777777" w:rsidR="00E40290" w:rsidRPr="002622A8" w:rsidRDefault="00E40290" w:rsidP="00E40290">
            <w:pPr>
              <w:suppressAutoHyphens w:val="0"/>
            </w:pPr>
            <w:r w:rsidRPr="002622A8">
              <w:t>Animais</w:t>
            </w:r>
          </w:p>
        </w:tc>
        <w:tc>
          <w:tcPr>
            <w:tcW w:w="1162" w:type="dxa"/>
            <w:vAlign w:val="center"/>
          </w:tcPr>
          <w:p w14:paraId="7F8FAE88" w14:textId="3E935BE7" w:rsidR="00E40290" w:rsidRPr="002622A8" w:rsidRDefault="00E40290" w:rsidP="00E40290">
            <w:pPr>
              <w:suppressAutoHyphens w:val="0"/>
              <w:jc w:val="right"/>
            </w:pPr>
            <w:r w:rsidRPr="002622A8">
              <w:t>560</w:t>
            </w:r>
            <w:r>
              <w:t>.</w:t>
            </w:r>
            <w:r w:rsidRPr="002622A8">
              <w:t>480</w:t>
            </w:r>
          </w:p>
        </w:tc>
        <w:tc>
          <w:tcPr>
            <w:tcW w:w="1163" w:type="dxa"/>
            <w:vAlign w:val="center"/>
          </w:tcPr>
          <w:p w14:paraId="462791EA" w14:textId="0E62DA97" w:rsidR="00E40290" w:rsidRPr="002622A8" w:rsidRDefault="00E40290" w:rsidP="00E40290">
            <w:pPr>
              <w:suppressAutoHyphens w:val="0"/>
              <w:jc w:val="right"/>
            </w:pPr>
            <w:r w:rsidRPr="002622A8">
              <w:t>7</w:t>
            </w:r>
            <w:r>
              <w:t>.</w:t>
            </w:r>
            <w:r w:rsidRPr="002622A8">
              <w:t>677,81</w:t>
            </w:r>
          </w:p>
        </w:tc>
        <w:tc>
          <w:tcPr>
            <w:tcW w:w="1166" w:type="dxa"/>
            <w:tcBorders>
              <w:right w:val="single" w:sz="4" w:space="0" w:color="auto"/>
            </w:tcBorders>
            <w:vAlign w:val="center"/>
          </w:tcPr>
          <w:p w14:paraId="7715973F" w14:textId="721E25D1" w:rsidR="00E40290" w:rsidRPr="002622A8" w:rsidRDefault="00E40290" w:rsidP="00E40290">
            <w:pPr>
              <w:suppressAutoHyphens w:val="0"/>
              <w:jc w:val="right"/>
            </w:pPr>
            <w:r w:rsidRPr="002622A8">
              <w:t>9</w:t>
            </w:r>
            <w:r>
              <w:t>.</w:t>
            </w:r>
            <w:r w:rsidRPr="002622A8">
              <w:t>223,29</w:t>
            </w:r>
          </w:p>
        </w:tc>
        <w:tc>
          <w:tcPr>
            <w:tcW w:w="1163" w:type="dxa"/>
            <w:tcBorders>
              <w:left w:val="single" w:sz="4" w:space="0" w:color="auto"/>
            </w:tcBorders>
            <w:vAlign w:val="bottom"/>
          </w:tcPr>
          <w:p w14:paraId="1258328B" w14:textId="31133A3D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555</w:t>
            </w:r>
            <w:r>
              <w:rPr>
                <w:color w:val="000000"/>
              </w:rPr>
              <w:t>.399</w:t>
            </w:r>
          </w:p>
        </w:tc>
        <w:tc>
          <w:tcPr>
            <w:tcW w:w="1163" w:type="dxa"/>
            <w:vAlign w:val="bottom"/>
          </w:tcPr>
          <w:p w14:paraId="5C97AC47" w14:textId="26A7079E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7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608,21</w:t>
            </w:r>
          </w:p>
        </w:tc>
        <w:tc>
          <w:tcPr>
            <w:tcW w:w="1166" w:type="dxa"/>
            <w:vAlign w:val="bottom"/>
          </w:tcPr>
          <w:p w14:paraId="41B8F8F5" w14:textId="70DBF277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E40290">
              <w:rPr>
                <w:color w:val="000000"/>
              </w:rPr>
              <w:t>125,93</w:t>
            </w:r>
          </w:p>
        </w:tc>
      </w:tr>
      <w:tr w:rsidR="00E40290" w:rsidRPr="002622A8" w14:paraId="42C4C14C" w14:textId="72989162" w:rsidTr="00490466">
        <w:trPr>
          <w:trHeight w:val="57"/>
        </w:trPr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F0F39" w14:textId="77777777" w:rsidR="00E40290" w:rsidRPr="002622A8" w:rsidRDefault="00E40290" w:rsidP="00E40290">
            <w:pPr>
              <w:suppressAutoHyphens w:val="0"/>
            </w:pPr>
            <w:r w:rsidRPr="002622A8">
              <w:t>Culturas permanentes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620E5F20" w14:textId="06733FCA" w:rsidR="00E40290" w:rsidRPr="002622A8" w:rsidRDefault="00E40290" w:rsidP="00E40290">
            <w:pPr>
              <w:suppressAutoHyphens w:val="0"/>
              <w:jc w:val="right"/>
            </w:pPr>
            <w:r w:rsidRPr="002622A8">
              <w:t>4</w:t>
            </w:r>
            <w:r>
              <w:t>.</w:t>
            </w:r>
            <w:r w:rsidRPr="002622A8">
              <w:t>734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14:paraId="5C6438A6" w14:textId="45D0CD3B" w:rsidR="00E40290" w:rsidRPr="002622A8" w:rsidRDefault="00E40290" w:rsidP="00E40290">
            <w:pPr>
              <w:suppressAutoHyphens w:val="0"/>
              <w:jc w:val="right"/>
            </w:pPr>
            <w:r w:rsidRPr="002622A8">
              <w:t>64,85</w:t>
            </w:r>
          </w:p>
        </w:tc>
        <w:tc>
          <w:tcPr>
            <w:tcW w:w="11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DE12F9" w14:textId="765E1F8E" w:rsidR="00E40290" w:rsidRPr="002622A8" w:rsidRDefault="00E40290" w:rsidP="00E40290">
            <w:pPr>
              <w:suppressAutoHyphens w:val="0"/>
              <w:jc w:val="right"/>
            </w:pPr>
            <w:r w:rsidRPr="002622A8">
              <w:t>329,35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618A85B0" w14:textId="7A593C86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</w:t>
            </w:r>
            <w:r>
              <w:rPr>
                <w:color w:val="000000"/>
              </w:rPr>
              <w:t>.974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vAlign w:val="bottom"/>
          </w:tcPr>
          <w:p w14:paraId="1A37A9B9" w14:textId="5D317D73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27,04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bottom"/>
          </w:tcPr>
          <w:p w14:paraId="6476F08D" w14:textId="6490A25A" w:rsidR="00E40290" w:rsidRPr="00E40290" w:rsidRDefault="00E40290" w:rsidP="00E40290">
            <w:pPr>
              <w:suppressAutoHyphens w:val="0"/>
              <w:jc w:val="right"/>
            </w:pPr>
            <w:r w:rsidRPr="00E40290">
              <w:rPr>
                <w:color w:val="000000"/>
              </w:rPr>
              <w:t>159,87</w:t>
            </w:r>
          </w:p>
        </w:tc>
      </w:tr>
    </w:tbl>
    <w:p w14:paraId="1138597A" w14:textId="7FB40C5A" w:rsidR="00936667" w:rsidRPr="00381FE4" w:rsidRDefault="009B1ADA" w:rsidP="00F956DB">
      <w:r w:rsidRPr="009D1953">
        <w:t xml:space="preserve">Fonte: </w:t>
      </w:r>
      <w:r w:rsidR="00D8044A">
        <w:t>A</w:t>
      </w:r>
      <w:r>
        <w:t>utores com base nos dados da pesquisa (2018).</w:t>
      </w:r>
    </w:p>
    <w:p w14:paraId="39CD6122" w14:textId="77777777" w:rsidR="00936667" w:rsidRPr="00A74668" w:rsidRDefault="00936667" w:rsidP="00936667">
      <w:pPr>
        <w:jc w:val="center"/>
        <w:rPr>
          <w:color w:val="FF0000"/>
        </w:rPr>
      </w:pPr>
    </w:p>
    <w:p w14:paraId="6A3739D1" w14:textId="69A0AA65" w:rsidR="001C0582" w:rsidRPr="00CD343B" w:rsidRDefault="001C0582" w:rsidP="001C0582">
      <w:pPr>
        <w:ind w:firstLine="709"/>
        <w:jc w:val="both"/>
        <w:rPr>
          <w:sz w:val="24"/>
          <w:szCs w:val="24"/>
        </w:rPr>
      </w:pPr>
      <w:r w:rsidRPr="00CD343B">
        <w:rPr>
          <w:sz w:val="24"/>
          <w:szCs w:val="24"/>
        </w:rPr>
        <w:t>Verifica-se, com base na comparação entre o desvio padrão e a média das riquezas, que há dispersão entre os dados</w:t>
      </w:r>
      <w:r w:rsidR="00CD343B" w:rsidRPr="00CD343B">
        <w:rPr>
          <w:sz w:val="24"/>
          <w:szCs w:val="24"/>
        </w:rPr>
        <w:t xml:space="preserve">, em ambos </w:t>
      </w:r>
      <w:r w:rsidR="00E170DC">
        <w:rPr>
          <w:sz w:val="24"/>
          <w:szCs w:val="24"/>
        </w:rPr>
        <w:t xml:space="preserve">os </w:t>
      </w:r>
      <w:r w:rsidR="00CD343B" w:rsidRPr="00CD343B">
        <w:rPr>
          <w:sz w:val="24"/>
          <w:szCs w:val="24"/>
        </w:rPr>
        <w:t>períodos</w:t>
      </w:r>
      <w:r w:rsidRPr="00CD343B">
        <w:rPr>
          <w:sz w:val="24"/>
          <w:szCs w:val="24"/>
        </w:rPr>
        <w:t xml:space="preserve">. Desse modo, infere-se que certos agricultores detêm maior capital em relação aos </w:t>
      </w:r>
      <w:r w:rsidR="00CD343B" w:rsidRPr="00CD343B">
        <w:rPr>
          <w:sz w:val="24"/>
          <w:szCs w:val="24"/>
        </w:rPr>
        <w:t>demais</w:t>
      </w:r>
      <w:r w:rsidRPr="00CD343B">
        <w:rPr>
          <w:sz w:val="24"/>
          <w:szCs w:val="24"/>
        </w:rPr>
        <w:t>. O item com maior agregação de valor é a terra, seguido das máquinas e equipamentos. Em contrapartida, as culturas permanentes apresentam menor grandeza de capital.</w:t>
      </w:r>
    </w:p>
    <w:p w14:paraId="3FE31144" w14:textId="45A9123A" w:rsidR="00383C20" w:rsidRPr="00E170DC" w:rsidRDefault="00CD343B" w:rsidP="00383C20">
      <w:pPr>
        <w:ind w:firstLine="709"/>
        <w:jc w:val="both"/>
        <w:rPr>
          <w:sz w:val="24"/>
          <w:szCs w:val="24"/>
        </w:rPr>
      </w:pPr>
      <w:r w:rsidRPr="00E170DC">
        <w:rPr>
          <w:sz w:val="24"/>
          <w:szCs w:val="24"/>
        </w:rPr>
        <w:t>Com base na Tabela 1</w:t>
      </w:r>
      <w:r w:rsidR="001C0582" w:rsidRPr="00E170DC">
        <w:rPr>
          <w:sz w:val="24"/>
          <w:szCs w:val="24"/>
        </w:rPr>
        <w:t>, percebe-</w:t>
      </w:r>
      <w:r w:rsidRPr="00E170DC">
        <w:rPr>
          <w:sz w:val="24"/>
          <w:szCs w:val="24"/>
        </w:rPr>
        <w:t>se</w:t>
      </w:r>
      <w:r w:rsidR="00E170DC" w:rsidRPr="00E170DC">
        <w:rPr>
          <w:sz w:val="24"/>
          <w:szCs w:val="24"/>
        </w:rPr>
        <w:t xml:space="preserve"> que, no geral, </w:t>
      </w:r>
      <w:r w:rsidR="00F956DB">
        <w:rPr>
          <w:sz w:val="24"/>
          <w:szCs w:val="24"/>
        </w:rPr>
        <w:t>os</w:t>
      </w:r>
      <w:r w:rsidRPr="00E170DC">
        <w:rPr>
          <w:sz w:val="24"/>
          <w:szCs w:val="24"/>
        </w:rPr>
        <w:t xml:space="preserve"> proprietários</w:t>
      </w:r>
      <w:r w:rsidR="001C0582" w:rsidRPr="00E170DC">
        <w:rPr>
          <w:sz w:val="24"/>
          <w:szCs w:val="24"/>
        </w:rPr>
        <w:t xml:space="preserve"> </w:t>
      </w:r>
      <w:r w:rsidR="00F956DB">
        <w:rPr>
          <w:sz w:val="24"/>
          <w:szCs w:val="24"/>
        </w:rPr>
        <w:t>diminuíram seus capitais imobilizados</w:t>
      </w:r>
      <w:r w:rsidR="001C0582" w:rsidRPr="00E170DC">
        <w:rPr>
          <w:sz w:val="24"/>
          <w:szCs w:val="24"/>
        </w:rPr>
        <w:t xml:space="preserve"> no ano agrícola de 2016/2017</w:t>
      </w:r>
      <w:r w:rsidR="00E170DC" w:rsidRPr="00E170DC">
        <w:rPr>
          <w:sz w:val="24"/>
          <w:szCs w:val="24"/>
        </w:rPr>
        <w:t>.</w:t>
      </w:r>
      <w:r w:rsidR="001C0582" w:rsidRPr="00E170DC">
        <w:rPr>
          <w:sz w:val="24"/>
          <w:szCs w:val="24"/>
        </w:rPr>
        <w:t xml:space="preserve"> O ativo que apresentou maior variação </w:t>
      </w:r>
      <w:r w:rsidR="00CB50C7" w:rsidRPr="00E170DC">
        <w:rPr>
          <w:sz w:val="24"/>
          <w:szCs w:val="24"/>
        </w:rPr>
        <w:t>corresponde</w:t>
      </w:r>
      <w:r w:rsidR="001C0582" w:rsidRPr="00E170DC">
        <w:rPr>
          <w:sz w:val="24"/>
          <w:szCs w:val="24"/>
        </w:rPr>
        <w:t xml:space="preserve"> a</w:t>
      </w:r>
      <w:r w:rsidR="00CB50C7" w:rsidRPr="00E170DC">
        <w:rPr>
          <w:sz w:val="24"/>
          <w:szCs w:val="24"/>
        </w:rPr>
        <w:t>s</w:t>
      </w:r>
      <w:r w:rsidR="001C0582" w:rsidRPr="00E170DC">
        <w:rPr>
          <w:sz w:val="24"/>
          <w:szCs w:val="24"/>
        </w:rPr>
        <w:t xml:space="preserve"> cultura</w:t>
      </w:r>
      <w:r w:rsidR="00CB50C7" w:rsidRPr="00E170DC">
        <w:rPr>
          <w:sz w:val="24"/>
          <w:szCs w:val="24"/>
        </w:rPr>
        <w:t>s</w:t>
      </w:r>
      <w:r w:rsidR="001C0582" w:rsidRPr="00E170DC">
        <w:rPr>
          <w:sz w:val="24"/>
          <w:szCs w:val="24"/>
        </w:rPr>
        <w:t xml:space="preserve"> permanente</w:t>
      </w:r>
      <w:r w:rsidR="00CB50C7" w:rsidRPr="00E170DC">
        <w:rPr>
          <w:sz w:val="24"/>
          <w:szCs w:val="24"/>
        </w:rPr>
        <w:t>s, que tiveram</w:t>
      </w:r>
      <w:r w:rsidR="001C0582" w:rsidRPr="00E170DC">
        <w:rPr>
          <w:sz w:val="24"/>
          <w:szCs w:val="24"/>
        </w:rPr>
        <w:t xml:space="preserve"> uma </w:t>
      </w:r>
      <w:r w:rsidRPr="00E170DC">
        <w:rPr>
          <w:sz w:val="24"/>
          <w:szCs w:val="24"/>
        </w:rPr>
        <w:t>redução de aprox</w:t>
      </w:r>
      <w:r w:rsidR="00CB50C7" w:rsidRPr="00E170DC">
        <w:rPr>
          <w:sz w:val="24"/>
          <w:szCs w:val="24"/>
        </w:rPr>
        <w:t>imadamente 58%. Vale destacar que esse item, apesar de ter oscilado significativamente, torna-se pouco relevante em comparação ao total, visto que equivale a menos de 0,05% do capital das propriedades. No que se</w:t>
      </w:r>
      <w:r w:rsidRPr="00E170DC">
        <w:rPr>
          <w:sz w:val="24"/>
          <w:szCs w:val="24"/>
        </w:rPr>
        <w:t xml:space="preserve"> </w:t>
      </w:r>
      <w:r w:rsidR="00CB50C7" w:rsidRPr="00E170DC">
        <w:rPr>
          <w:sz w:val="24"/>
          <w:szCs w:val="24"/>
        </w:rPr>
        <w:t>refere</w:t>
      </w:r>
      <w:r w:rsidRPr="00E170DC">
        <w:rPr>
          <w:sz w:val="24"/>
          <w:szCs w:val="24"/>
        </w:rPr>
        <w:t xml:space="preserve"> aos animais</w:t>
      </w:r>
      <w:r w:rsidR="00CB50C7" w:rsidRPr="00E170DC">
        <w:rPr>
          <w:sz w:val="24"/>
          <w:szCs w:val="24"/>
        </w:rPr>
        <w:t xml:space="preserve"> e a terra, observa-se </w:t>
      </w:r>
      <w:r w:rsidR="00E170DC" w:rsidRPr="00E170DC">
        <w:rPr>
          <w:sz w:val="24"/>
          <w:szCs w:val="24"/>
        </w:rPr>
        <w:t xml:space="preserve">o mesmo comportamento: </w:t>
      </w:r>
      <w:r w:rsidR="00CB50C7" w:rsidRPr="00E170DC">
        <w:rPr>
          <w:sz w:val="24"/>
          <w:szCs w:val="24"/>
        </w:rPr>
        <w:t>redução dos seus valores</w:t>
      </w:r>
      <w:r w:rsidR="00151241" w:rsidRPr="00E170DC">
        <w:rPr>
          <w:sz w:val="24"/>
          <w:szCs w:val="24"/>
        </w:rPr>
        <w:t xml:space="preserve"> totais e médios. </w:t>
      </w:r>
      <w:r w:rsidR="00E170DC" w:rsidRPr="00E170DC">
        <w:rPr>
          <w:sz w:val="24"/>
          <w:szCs w:val="24"/>
        </w:rPr>
        <w:t>Nesses casos, o</w:t>
      </w:r>
      <w:r w:rsidR="00151241" w:rsidRPr="00E170DC">
        <w:rPr>
          <w:sz w:val="24"/>
          <w:szCs w:val="24"/>
        </w:rPr>
        <w:t xml:space="preserve"> desvio padrão</w:t>
      </w:r>
      <w:r w:rsidR="00E170DC" w:rsidRPr="00E170DC">
        <w:rPr>
          <w:sz w:val="24"/>
          <w:szCs w:val="24"/>
        </w:rPr>
        <w:t xml:space="preserve"> </w:t>
      </w:r>
      <w:r w:rsidR="00151241" w:rsidRPr="00E170DC">
        <w:rPr>
          <w:sz w:val="24"/>
          <w:szCs w:val="24"/>
        </w:rPr>
        <w:t xml:space="preserve">aponta que </w:t>
      </w:r>
      <w:r w:rsidR="00E170DC" w:rsidRPr="00E170DC">
        <w:rPr>
          <w:sz w:val="24"/>
          <w:szCs w:val="24"/>
        </w:rPr>
        <w:t>os valores desses bens tendem a estar mais próximo</w:t>
      </w:r>
      <w:r w:rsidR="00151241" w:rsidRPr="00E170DC">
        <w:rPr>
          <w:sz w:val="24"/>
          <w:szCs w:val="24"/>
        </w:rPr>
        <w:t>s da média em 2016/2017 que em 2015/2016</w:t>
      </w:r>
      <w:r w:rsidR="00383C20" w:rsidRPr="00E170DC">
        <w:rPr>
          <w:sz w:val="24"/>
          <w:szCs w:val="24"/>
        </w:rPr>
        <w:t>, considerando que quanto menor o desvio padrão, as variáveis estarão mais próximas do valor esperado. No que diz respeito às máquinas utilizadas nas plantações, ao capital de giro (ativo circulante) e às construções dos proprietários, nota-se um aumento dos seus valores totais de aproximadamente 6,66%, 13,15% e 4,56%, respectivamente.</w:t>
      </w:r>
      <w:r w:rsidR="00E170DC" w:rsidRPr="00E170DC">
        <w:rPr>
          <w:sz w:val="24"/>
          <w:szCs w:val="24"/>
        </w:rPr>
        <w:t xml:space="preserve"> As médias, por sua vez, também aumentaram; e os desvios padrões indicam maior dispersão dos dados quanto ao ano agrícola de 2015/2016.</w:t>
      </w:r>
    </w:p>
    <w:p w14:paraId="30ECBFD6" w14:textId="2FD984DA" w:rsidR="00936667" w:rsidRPr="00E170DC" w:rsidRDefault="00936667" w:rsidP="00E170DC">
      <w:pPr>
        <w:ind w:firstLine="709"/>
        <w:jc w:val="both"/>
        <w:rPr>
          <w:color w:val="FF0000"/>
          <w:sz w:val="24"/>
          <w:szCs w:val="24"/>
        </w:rPr>
      </w:pPr>
      <w:r w:rsidRPr="00381FE4">
        <w:rPr>
          <w:sz w:val="24"/>
          <w:szCs w:val="24"/>
        </w:rPr>
        <w:t xml:space="preserve">Consideram-se culturas permanentes as atividades agrícolas que </w:t>
      </w:r>
      <w:r w:rsidRPr="002C51E4">
        <w:rPr>
          <w:sz w:val="24"/>
          <w:szCs w:val="24"/>
        </w:rPr>
        <w:t>não são sujeitas ao replantio após a colheita, uma vez que propiciam mais de uma colheita ou produção, bem como apresentam prazo d</w:t>
      </w:r>
      <w:r w:rsidR="00726FEC" w:rsidRPr="002C51E4">
        <w:rPr>
          <w:sz w:val="24"/>
          <w:szCs w:val="24"/>
        </w:rPr>
        <w:t>e vida útil superior a um ano (R</w:t>
      </w:r>
      <w:r w:rsidR="00AD2FC2" w:rsidRPr="002C51E4">
        <w:rPr>
          <w:sz w:val="24"/>
          <w:szCs w:val="24"/>
        </w:rPr>
        <w:t>esolução</w:t>
      </w:r>
      <w:r w:rsidR="00726FEC" w:rsidRPr="002C51E4">
        <w:rPr>
          <w:sz w:val="24"/>
          <w:szCs w:val="24"/>
        </w:rPr>
        <w:t xml:space="preserve"> CFC 909). </w:t>
      </w:r>
      <w:r w:rsidRPr="002C51E4">
        <w:rPr>
          <w:sz w:val="24"/>
          <w:szCs w:val="24"/>
        </w:rPr>
        <w:t xml:space="preserve">Segundo </w:t>
      </w:r>
      <w:r w:rsidRPr="00381FE4">
        <w:rPr>
          <w:sz w:val="24"/>
          <w:szCs w:val="24"/>
        </w:rPr>
        <w:t xml:space="preserve">a Resolução CFC 909, que aprovou a </w:t>
      </w:r>
      <w:hyperlink r:id="rId10">
        <w:r w:rsidRPr="009B2DA7">
          <w:rPr>
            <w:rStyle w:val="Hyperlink"/>
            <w:color w:val="auto"/>
            <w:sz w:val="24"/>
            <w:szCs w:val="24"/>
            <w:u w:val="none"/>
          </w:rPr>
          <w:t>NBC T-10 - Atividades Agropecuárias</w:t>
        </w:r>
      </w:hyperlink>
      <w:r w:rsidRPr="00381FE4">
        <w:rPr>
          <w:sz w:val="24"/>
          <w:szCs w:val="24"/>
        </w:rPr>
        <w:t xml:space="preserve">, os gastos dessa cultura são </w:t>
      </w:r>
      <w:r w:rsidRPr="00381FE4">
        <w:rPr>
          <w:sz w:val="24"/>
          <w:szCs w:val="24"/>
        </w:rPr>
        <w:lastRenderedPageBreak/>
        <w:t>acumulados na conta “Cultura Permanente em Formação – Imobilizado” durante sua formação. Ao atingir sua maturidade e estar em condições de produzir, o saldo dessa conta deve ser transferido para a conta "Cultura Permanente Formada – Imobilizado”, especificando-se o tipo de cultura. Tal conta está sujeita à exaustão, a partir do</w:t>
      </w:r>
      <w:r w:rsidR="00726FEC">
        <w:rPr>
          <w:sz w:val="24"/>
          <w:szCs w:val="24"/>
        </w:rPr>
        <w:t xml:space="preserve"> mês em que começar a produzir.</w:t>
      </w:r>
    </w:p>
    <w:p w14:paraId="05884B37" w14:textId="0F464DF7" w:rsidR="00936667" w:rsidRPr="00381FE4" w:rsidRDefault="00936667" w:rsidP="00936667">
      <w:pPr>
        <w:ind w:firstLine="709"/>
        <w:jc w:val="both"/>
        <w:rPr>
          <w:sz w:val="24"/>
          <w:szCs w:val="24"/>
          <w:bdr w:val="none" w:sz="0" w:space="0" w:color="auto" w:frame="1"/>
        </w:rPr>
      </w:pPr>
      <w:r w:rsidRPr="00381FE4">
        <w:rPr>
          <w:sz w:val="24"/>
          <w:szCs w:val="24"/>
        </w:rPr>
        <w:t>O item “Giro” refere-se ao Capital de Giro (Ativo Circulante), que é a quantidade</w:t>
      </w:r>
      <w:r w:rsidRPr="00381FE4">
        <w:rPr>
          <w:sz w:val="24"/>
          <w:szCs w:val="24"/>
          <w:bdr w:val="none" w:sz="0" w:space="0" w:color="auto" w:frame="1"/>
        </w:rPr>
        <w:t xml:space="preserve"> de dinheiro que a empresa precisa para operar regularmente. Este recurso financeiro está alocado nos estoques, nas contas a receber, no caixa e na própria conta corrente da empresa (O</w:t>
      </w:r>
      <w:r w:rsidR="00724661">
        <w:rPr>
          <w:sz w:val="24"/>
          <w:szCs w:val="24"/>
          <w:bdr w:val="none" w:sz="0" w:space="0" w:color="auto" w:frame="1"/>
        </w:rPr>
        <w:t>liveira</w:t>
      </w:r>
      <w:r w:rsidRPr="00381FE4">
        <w:rPr>
          <w:sz w:val="24"/>
          <w:szCs w:val="24"/>
          <w:bdr w:val="none" w:sz="0" w:space="0" w:color="auto" w:frame="1"/>
        </w:rPr>
        <w:t>, 2015).</w:t>
      </w:r>
      <w:r w:rsidR="00726FEC">
        <w:rPr>
          <w:sz w:val="24"/>
          <w:szCs w:val="24"/>
          <w:bdr w:val="none" w:sz="0" w:space="0" w:color="auto" w:frame="1"/>
        </w:rPr>
        <w:t xml:space="preserve"> No ano agrícola 2015/2016 e 2016/2017, esse ativo correspondeu à 8,23% e 9,48% do total das riquezas, respectivamente.</w:t>
      </w:r>
    </w:p>
    <w:p w14:paraId="58BA219F" w14:textId="77777777" w:rsidR="00936667" w:rsidRPr="00A13042" w:rsidRDefault="00936667" w:rsidP="00936667">
      <w:pPr>
        <w:ind w:firstLine="709"/>
        <w:jc w:val="both"/>
        <w:rPr>
          <w:sz w:val="24"/>
          <w:szCs w:val="24"/>
        </w:rPr>
      </w:pPr>
      <w:r w:rsidRPr="00A13042">
        <w:rPr>
          <w:sz w:val="24"/>
          <w:szCs w:val="24"/>
        </w:rPr>
        <w:t xml:space="preserve">Os valores dos parâmetros utilizados na análise das propriedades pelo critério da produtividade são apresentados na Tabela 2, abrangendo a renda da operação agrícola (valor agregado medido em reais), o capital imobilizado, a unidade </w:t>
      </w:r>
      <w:r w:rsidRPr="00A13042">
        <w:rPr>
          <w:rFonts w:eastAsiaTheme="minorEastAsia"/>
          <w:sz w:val="24"/>
          <w:szCs w:val="24"/>
          <w:lang w:eastAsia="en-US"/>
        </w:rPr>
        <w:t>de trabalho humano familiar</w:t>
      </w:r>
      <w:r w:rsidRPr="00A13042">
        <w:rPr>
          <w:sz w:val="24"/>
          <w:szCs w:val="24"/>
        </w:rPr>
        <w:t xml:space="preserve"> e a área </w:t>
      </w:r>
      <w:r w:rsidRPr="00A13042">
        <w:rPr>
          <w:rFonts w:eastAsiaTheme="minorEastAsia"/>
          <w:sz w:val="24"/>
          <w:szCs w:val="24"/>
          <w:lang w:eastAsia="en-US"/>
        </w:rPr>
        <w:t>de ação antrópica (em hectares), tratando-se dos últimos anos agrícolas.</w:t>
      </w:r>
    </w:p>
    <w:p w14:paraId="4EDE2D5E" w14:textId="3F987012" w:rsidR="004716B6" w:rsidRPr="009D1953" w:rsidRDefault="004716B6" w:rsidP="00726FEC">
      <w:pPr>
        <w:jc w:val="both"/>
        <w:rPr>
          <w:sz w:val="24"/>
          <w:szCs w:val="24"/>
        </w:rPr>
      </w:pPr>
    </w:p>
    <w:p w14:paraId="1BA01363" w14:textId="49B4DF33" w:rsidR="00936667" w:rsidRPr="009D1953" w:rsidRDefault="00936667" w:rsidP="00F956DB">
      <w:r w:rsidRPr="009D1953">
        <w:t xml:space="preserve">Tabela 2 – </w:t>
      </w:r>
      <w:r w:rsidR="00915EEF">
        <w:t>Parâmetros</w:t>
      </w:r>
      <w:r w:rsidRPr="009D1953">
        <w:t xml:space="preserve"> do critério da Produtividade</w:t>
      </w:r>
    </w:p>
    <w:tbl>
      <w:tblPr>
        <w:tblW w:w="9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1"/>
        <w:gridCol w:w="1204"/>
        <w:gridCol w:w="1007"/>
        <w:gridCol w:w="1138"/>
        <w:gridCol w:w="1204"/>
        <w:gridCol w:w="1007"/>
        <w:gridCol w:w="1007"/>
      </w:tblGrid>
      <w:tr w:rsidR="004716B6" w:rsidRPr="009D1953" w14:paraId="5ED10F88" w14:textId="77777777" w:rsidTr="00490466">
        <w:trPr>
          <w:trHeight w:val="20"/>
        </w:trPr>
        <w:tc>
          <w:tcPr>
            <w:tcW w:w="25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148DCF" w14:textId="77777777" w:rsidR="00936667" w:rsidRPr="009D1953" w:rsidRDefault="00936667" w:rsidP="00263D91">
            <w:pPr>
              <w:suppressAutoHyphens w:val="0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913E08" w14:textId="77777777" w:rsidR="00936667" w:rsidRPr="009D1953" w:rsidRDefault="00936667" w:rsidP="00263D91">
            <w:pPr>
              <w:suppressAutoHyphens w:val="0"/>
              <w:jc w:val="right"/>
              <w:rPr>
                <w:b/>
                <w:bCs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10567BC" w14:textId="77777777" w:rsidR="00936667" w:rsidRPr="009D1953" w:rsidRDefault="00936667" w:rsidP="00263D91">
            <w:pPr>
              <w:suppressAutoHyphens w:val="0"/>
              <w:jc w:val="right"/>
              <w:rPr>
                <w:b/>
                <w:bCs/>
              </w:rPr>
            </w:pPr>
            <w:r w:rsidRPr="009D1953">
              <w:rPr>
                <w:b/>
                <w:bCs/>
              </w:rPr>
              <w:t>2015/2016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69854A" w14:textId="77777777" w:rsidR="00936667" w:rsidRPr="009D1953" w:rsidRDefault="00936667" w:rsidP="00263D91">
            <w:pPr>
              <w:suppressAutoHyphens w:val="0"/>
              <w:jc w:val="right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62B5A9A" w14:textId="77777777" w:rsidR="00936667" w:rsidRPr="004716B6" w:rsidRDefault="00936667" w:rsidP="00263D91">
            <w:pPr>
              <w:suppressAutoHyphens w:val="0"/>
              <w:jc w:val="right"/>
              <w:rPr>
                <w:b/>
                <w:bCs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83F7CF1" w14:textId="77777777" w:rsidR="00936667" w:rsidRPr="004716B6" w:rsidRDefault="00936667" w:rsidP="00263D91">
            <w:pPr>
              <w:suppressAutoHyphens w:val="0"/>
              <w:jc w:val="right"/>
              <w:rPr>
                <w:b/>
                <w:bCs/>
              </w:rPr>
            </w:pPr>
            <w:r w:rsidRPr="004716B6">
              <w:rPr>
                <w:b/>
                <w:bCs/>
              </w:rPr>
              <w:t>2016/2017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6A90FD4" w14:textId="77777777" w:rsidR="00936667" w:rsidRPr="004716B6" w:rsidRDefault="00936667" w:rsidP="00263D91">
            <w:pPr>
              <w:suppressAutoHyphens w:val="0"/>
              <w:jc w:val="right"/>
              <w:rPr>
                <w:b/>
                <w:bCs/>
              </w:rPr>
            </w:pPr>
          </w:p>
        </w:tc>
      </w:tr>
      <w:tr w:rsidR="004716B6" w:rsidRPr="009D1953" w14:paraId="3D7AF36C" w14:textId="77777777" w:rsidTr="00490466">
        <w:trPr>
          <w:trHeight w:val="20"/>
        </w:trPr>
        <w:tc>
          <w:tcPr>
            <w:tcW w:w="25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DB43E" w14:textId="77777777" w:rsidR="00936667" w:rsidRPr="009D1953" w:rsidRDefault="00936667" w:rsidP="00263D91">
            <w:pPr>
              <w:suppressAutoHyphens w:val="0"/>
              <w:rPr>
                <w:b/>
                <w:bCs/>
              </w:rPr>
            </w:pPr>
            <w:r w:rsidRPr="009D1953">
              <w:rPr>
                <w:b/>
                <w:bCs/>
              </w:rPr>
              <w:t>PARÂMETROS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1086E36" w14:textId="77777777" w:rsidR="00936667" w:rsidRPr="009D1953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9D1953">
              <w:rPr>
                <w:b/>
                <w:bCs/>
              </w:rPr>
              <w:t>TOTAL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78F698" w14:textId="77777777" w:rsidR="00936667" w:rsidRPr="009D1953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9D1953">
              <w:rPr>
                <w:b/>
                <w:bCs/>
              </w:rPr>
              <w:t>MÉDIA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8EB0E" w14:textId="77777777" w:rsidR="00936667" w:rsidRPr="009D1953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9D1953">
              <w:rPr>
                <w:b/>
                <w:bCs/>
              </w:rPr>
              <w:t>DESVIO PADRÃO</w:t>
            </w:r>
          </w:p>
        </w:tc>
        <w:tc>
          <w:tcPr>
            <w:tcW w:w="12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77E36A7" w14:textId="77777777" w:rsidR="00936667" w:rsidRPr="004716B6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4716B6">
              <w:rPr>
                <w:b/>
                <w:bCs/>
              </w:rPr>
              <w:t>TOTAL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00371D8" w14:textId="77777777" w:rsidR="00936667" w:rsidRPr="004716B6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4716B6">
              <w:rPr>
                <w:b/>
                <w:bCs/>
              </w:rPr>
              <w:t>MÉDIA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F3348C2" w14:textId="77777777" w:rsidR="00936667" w:rsidRPr="004716B6" w:rsidRDefault="00936667" w:rsidP="00263D91">
            <w:pPr>
              <w:suppressAutoHyphens w:val="0"/>
              <w:jc w:val="center"/>
              <w:rPr>
                <w:b/>
                <w:bCs/>
              </w:rPr>
            </w:pPr>
            <w:r w:rsidRPr="004716B6">
              <w:rPr>
                <w:b/>
                <w:bCs/>
              </w:rPr>
              <w:t>DESVIO PADRÃO</w:t>
            </w:r>
          </w:p>
        </w:tc>
      </w:tr>
      <w:tr w:rsidR="004716B6" w:rsidRPr="004716B6" w14:paraId="0971D21F" w14:textId="77777777" w:rsidTr="00490466">
        <w:trPr>
          <w:trHeight w:val="20"/>
        </w:trPr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D951DF" w14:textId="77777777" w:rsidR="004716B6" w:rsidRPr="009D1953" w:rsidRDefault="004716B6" w:rsidP="004716B6">
            <w:pPr>
              <w:suppressAutoHyphens w:val="0"/>
            </w:pPr>
            <w:r w:rsidRPr="009D1953">
              <w:t xml:space="preserve">Renda da Operação Agrícola 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26B779" w14:textId="1016FE91" w:rsidR="004716B6" w:rsidRPr="009D1953" w:rsidRDefault="004716B6" w:rsidP="004716B6">
            <w:pPr>
              <w:suppressAutoHyphens w:val="0"/>
              <w:jc w:val="right"/>
            </w:pPr>
            <w:r w:rsidRPr="009D1953">
              <w:t>767</w:t>
            </w:r>
            <w:r>
              <w:t>.</w:t>
            </w:r>
            <w:r w:rsidRPr="009D1953">
              <w:t>659,04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59602C" w14:textId="42ACF81C" w:rsidR="004716B6" w:rsidRPr="009D1953" w:rsidRDefault="004716B6" w:rsidP="004716B6">
            <w:pPr>
              <w:suppressAutoHyphens w:val="0"/>
              <w:jc w:val="right"/>
            </w:pPr>
            <w:r w:rsidRPr="009D1953">
              <w:t>10</w:t>
            </w:r>
            <w:r>
              <w:t>.</w:t>
            </w:r>
            <w:r w:rsidRPr="009D1953">
              <w:t>515,88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CB28D6" w14:textId="00B711E2" w:rsidR="004716B6" w:rsidRPr="009D1953" w:rsidRDefault="004716B6" w:rsidP="004716B6">
            <w:pPr>
              <w:suppressAutoHyphens w:val="0"/>
              <w:jc w:val="right"/>
            </w:pPr>
            <w:r w:rsidRPr="009D1953">
              <w:t>5</w:t>
            </w:r>
            <w:r>
              <w:t>.</w:t>
            </w:r>
            <w:r w:rsidRPr="009D1953">
              <w:t>648,89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A8410" w14:textId="161EB374" w:rsidR="004716B6" w:rsidRPr="004716B6" w:rsidRDefault="004716B6" w:rsidP="004716B6">
            <w:pPr>
              <w:suppressAutoHyphens w:val="0"/>
              <w:jc w:val="right"/>
            </w:pPr>
            <w:r w:rsidRPr="004716B6">
              <w:t>957.190,07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9505A" w14:textId="32D73771" w:rsidR="004716B6" w:rsidRPr="004716B6" w:rsidRDefault="004716B6" w:rsidP="004716B6">
            <w:pPr>
              <w:suppressAutoHyphens w:val="0"/>
              <w:jc w:val="right"/>
            </w:pPr>
            <w:r w:rsidRPr="004716B6">
              <w:t>13.112,19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C4DCF" w14:textId="7DAE6346" w:rsidR="004716B6" w:rsidRPr="004716B6" w:rsidRDefault="004716B6" w:rsidP="004716B6">
            <w:pPr>
              <w:suppressAutoHyphens w:val="0"/>
              <w:jc w:val="right"/>
            </w:pPr>
            <w:r w:rsidRPr="004716B6">
              <w:t>7.522,68</w:t>
            </w:r>
          </w:p>
        </w:tc>
      </w:tr>
      <w:tr w:rsidR="004716B6" w:rsidRPr="004716B6" w14:paraId="51204EE7" w14:textId="77777777" w:rsidTr="00490466">
        <w:trPr>
          <w:trHeight w:val="20"/>
        </w:trPr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96B385" w14:textId="77777777" w:rsidR="004716B6" w:rsidRPr="009D1953" w:rsidRDefault="004716B6" w:rsidP="004716B6">
            <w:pPr>
              <w:suppressAutoHyphens w:val="0"/>
            </w:pPr>
            <w:r w:rsidRPr="009D1953">
              <w:t xml:space="preserve">Capital Imobilizado 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71E15D" w14:textId="33648C58" w:rsidR="004716B6" w:rsidRPr="009D1953" w:rsidRDefault="004716B6" w:rsidP="004716B6">
            <w:pPr>
              <w:suppressAutoHyphens w:val="0"/>
              <w:jc w:val="right"/>
            </w:pPr>
            <w:r w:rsidRPr="009D1953">
              <w:t>4</w:t>
            </w:r>
            <w:r>
              <w:t>.</w:t>
            </w:r>
            <w:r w:rsidRPr="009D1953">
              <w:t>940</w:t>
            </w:r>
            <w:r>
              <w:t>.</w:t>
            </w:r>
            <w:r w:rsidRPr="009D1953">
              <w:t>773,21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9DF83EC" w14:textId="5B395CE1" w:rsidR="004716B6" w:rsidRPr="009D1953" w:rsidRDefault="004716B6" w:rsidP="004716B6">
            <w:pPr>
              <w:suppressAutoHyphens w:val="0"/>
              <w:jc w:val="right"/>
            </w:pPr>
            <w:r w:rsidRPr="009D1953">
              <w:t>67</w:t>
            </w:r>
            <w:r>
              <w:t>.</w:t>
            </w:r>
            <w:r w:rsidRPr="009D1953">
              <w:t>681,82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D4FE75" w14:textId="0A35B810" w:rsidR="004716B6" w:rsidRPr="009D1953" w:rsidRDefault="004716B6" w:rsidP="004716B6">
            <w:pPr>
              <w:suppressAutoHyphens w:val="0"/>
              <w:jc w:val="right"/>
            </w:pPr>
            <w:r w:rsidRPr="009D1953">
              <w:t>61</w:t>
            </w:r>
            <w:r>
              <w:t>.</w:t>
            </w:r>
            <w:r w:rsidRPr="009D1953">
              <w:t>641,34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327C96" w14:textId="6CE38EF5" w:rsidR="004716B6" w:rsidRPr="004716B6" w:rsidRDefault="004716B6" w:rsidP="004716B6">
            <w:pPr>
              <w:suppressAutoHyphens w:val="0"/>
              <w:jc w:val="right"/>
            </w:pPr>
            <w:r w:rsidRPr="004716B6">
              <w:t>4.699.793,52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7E2552A" w14:textId="0576BCC7" w:rsidR="004716B6" w:rsidRPr="004716B6" w:rsidRDefault="004716B6" w:rsidP="004716B6">
            <w:pPr>
              <w:suppressAutoHyphens w:val="0"/>
              <w:jc w:val="right"/>
            </w:pPr>
            <w:r w:rsidRPr="004716B6">
              <w:t>64.380,73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EA21D3" w14:textId="3734BFC9" w:rsidR="004716B6" w:rsidRPr="004716B6" w:rsidRDefault="004716B6" w:rsidP="004716B6">
            <w:pPr>
              <w:suppressAutoHyphens w:val="0"/>
              <w:jc w:val="right"/>
            </w:pPr>
            <w:r w:rsidRPr="004716B6">
              <w:t>51.949,93</w:t>
            </w:r>
          </w:p>
        </w:tc>
      </w:tr>
      <w:tr w:rsidR="004716B6" w:rsidRPr="004716B6" w14:paraId="6E82C5C9" w14:textId="77777777" w:rsidTr="00490466">
        <w:trPr>
          <w:trHeight w:val="20"/>
        </w:trPr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7FD70C" w14:textId="77777777" w:rsidR="004716B6" w:rsidRPr="009D1953" w:rsidRDefault="004716B6" w:rsidP="004716B6">
            <w:pPr>
              <w:suppressAutoHyphens w:val="0"/>
            </w:pPr>
            <w:r w:rsidRPr="009D1953">
              <w:t>UTH Familiar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69CD1D" w14:textId="77777777" w:rsidR="004716B6" w:rsidRPr="009D1953" w:rsidRDefault="004716B6" w:rsidP="004716B6">
            <w:pPr>
              <w:suppressAutoHyphens w:val="0"/>
              <w:jc w:val="right"/>
            </w:pPr>
            <w:r w:rsidRPr="009D1953">
              <w:t>189,10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EE9EA2" w14:textId="77777777" w:rsidR="004716B6" w:rsidRPr="009D1953" w:rsidRDefault="004716B6" w:rsidP="004716B6">
            <w:pPr>
              <w:suppressAutoHyphens w:val="0"/>
              <w:jc w:val="right"/>
            </w:pPr>
            <w:r w:rsidRPr="009D1953">
              <w:t>2,59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48A988" w14:textId="77777777" w:rsidR="004716B6" w:rsidRPr="009D1953" w:rsidRDefault="004716B6" w:rsidP="004716B6">
            <w:pPr>
              <w:suppressAutoHyphens w:val="0"/>
              <w:jc w:val="right"/>
            </w:pPr>
            <w:r w:rsidRPr="009D1953">
              <w:t>0,9051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9CA9D7" w14:textId="7C0C9C5F" w:rsidR="004716B6" w:rsidRPr="004716B6" w:rsidRDefault="004716B6" w:rsidP="004716B6">
            <w:pPr>
              <w:suppressAutoHyphens w:val="0"/>
              <w:jc w:val="right"/>
            </w:pPr>
            <w:r w:rsidRPr="004716B6">
              <w:t>183,82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2C5201" w14:textId="0AD7F1B6" w:rsidR="004716B6" w:rsidRPr="004716B6" w:rsidRDefault="004716B6" w:rsidP="004716B6">
            <w:pPr>
              <w:suppressAutoHyphens w:val="0"/>
              <w:jc w:val="right"/>
            </w:pPr>
            <w:r w:rsidRPr="004716B6">
              <w:t>2,52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52D358" w14:textId="196076B6" w:rsidR="004716B6" w:rsidRPr="004716B6" w:rsidRDefault="004716B6" w:rsidP="004716B6">
            <w:pPr>
              <w:suppressAutoHyphens w:val="0"/>
              <w:jc w:val="right"/>
            </w:pPr>
            <w:r w:rsidRPr="004716B6">
              <w:t>0,81</w:t>
            </w:r>
          </w:p>
        </w:tc>
      </w:tr>
      <w:tr w:rsidR="004716B6" w:rsidRPr="004716B6" w14:paraId="28216314" w14:textId="77777777" w:rsidTr="00490466">
        <w:trPr>
          <w:trHeight w:val="20"/>
        </w:trPr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EAA2BD" w14:textId="77777777" w:rsidR="004716B6" w:rsidRPr="009D1953" w:rsidRDefault="004716B6" w:rsidP="004716B6">
            <w:pPr>
              <w:suppressAutoHyphens w:val="0"/>
            </w:pPr>
            <w:r w:rsidRPr="009D1953">
              <w:t>Área de ação antrópica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971E3BC" w14:textId="3368EC2E" w:rsidR="004716B6" w:rsidRPr="009D1953" w:rsidRDefault="004716B6" w:rsidP="004716B6">
            <w:pPr>
              <w:suppressAutoHyphens w:val="0"/>
              <w:jc w:val="right"/>
            </w:pPr>
            <w:r w:rsidRPr="009D1953">
              <w:t>1</w:t>
            </w:r>
            <w:r>
              <w:t>.</w:t>
            </w:r>
            <w:r w:rsidRPr="009D1953">
              <w:t>202,66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13A6A2F" w14:textId="77777777" w:rsidR="004716B6" w:rsidRPr="009D1953" w:rsidRDefault="004716B6" w:rsidP="004716B6">
            <w:pPr>
              <w:suppressAutoHyphens w:val="0"/>
              <w:jc w:val="right"/>
            </w:pPr>
            <w:r w:rsidRPr="009D1953">
              <w:t>16,47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083A1C" w14:textId="77777777" w:rsidR="004716B6" w:rsidRPr="009D1953" w:rsidRDefault="004716B6" w:rsidP="004716B6">
            <w:pPr>
              <w:suppressAutoHyphens w:val="0"/>
              <w:jc w:val="right"/>
            </w:pPr>
            <w:r w:rsidRPr="009D1953">
              <w:t>12,54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BA9FE05" w14:textId="49E2F0B1" w:rsidR="004716B6" w:rsidRPr="004716B6" w:rsidRDefault="004716B6" w:rsidP="004716B6">
            <w:pPr>
              <w:suppressAutoHyphens w:val="0"/>
              <w:jc w:val="right"/>
            </w:pPr>
            <w:r w:rsidRPr="004716B6">
              <w:t>1.193,29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382C1FB" w14:textId="1714C166" w:rsidR="004716B6" w:rsidRPr="004716B6" w:rsidRDefault="004716B6" w:rsidP="004716B6">
            <w:pPr>
              <w:suppressAutoHyphens w:val="0"/>
              <w:jc w:val="right"/>
            </w:pPr>
            <w:r w:rsidRPr="004716B6">
              <w:t>16,35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A58B4EB" w14:textId="124C3196" w:rsidR="004716B6" w:rsidRPr="004716B6" w:rsidRDefault="004716B6" w:rsidP="004716B6">
            <w:pPr>
              <w:suppressAutoHyphens w:val="0"/>
              <w:jc w:val="right"/>
            </w:pPr>
            <w:r w:rsidRPr="004716B6">
              <w:t>12,00</w:t>
            </w:r>
          </w:p>
        </w:tc>
      </w:tr>
    </w:tbl>
    <w:p w14:paraId="20304642" w14:textId="394ACC89" w:rsidR="009B1ADA" w:rsidRDefault="009B1ADA" w:rsidP="009B1ADA">
      <w:r w:rsidRPr="009D1953">
        <w:t xml:space="preserve">Fonte: </w:t>
      </w:r>
      <w:r w:rsidR="007E2E1D">
        <w:t>A</w:t>
      </w:r>
      <w:r>
        <w:t>utores com base nos dados da pesquisa (2018).</w:t>
      </w:r>
    </w:p>
    <w:p w14:paraId="3FDC173E" w14:textId="77777777" w:rsidR="004716B6" w:rsidRPr="00F956DB" w:rsidRDefault="004716B6" w:rsidP="004716B6"/>
    <w:p w14:paraId="60F94869" w14:textId="059576B8" w:rsidR="00107F4D" w:rsidRPr="00F956DB" w:rsidRDefault="00915EEF" w:rsidP="00915EEF">
      <w:pPr>
        <w:ind w:firstLine="709"/>
        <w:jc w:val="both"/>
        <w:rPr>
          <w:sz w:val="24"/>
          <w:szCs w:val="24"/>
        </w:rPr>
      </w:pPr>
      <w:r w:rsidRPr="00F956DB">
        <w:rPr>
          <w:sz w:val="24"/>
          <w:szCs w:val="24"/>
        </w:rPr>
        <w:t>Conforme</w:t>
      </w:r>
      <w:r w:rsidR="00936667" w:rsidRPr="00F956DB">
        <w:rPr>
          <w:sz w:val="24"/>
          <w:szCs w:val="24"/>
        </w:rPr>
        <w:t xml:space="preserve"> </w:t>
      </w:r>
      <w:r w:rsidRPr="00F956DB">
        <w:rPr>
          <w:sz w:val="24"/>
          <w:szCs w:val="24"/>
        </w:rPr>
        <w:t xml:space="preserve">a tabela </w:t>
      </w:r>
      <w:r w:rsidR="00EC6392">
        <w:rPr>
          <w:sz w:val="24"/>
          <w:szCs w:val="24"/>
        </w:rPr>
        <w:t>2</w:t>
      </w:r>
      <w:r w:rsidR="00936667" w:rsidRPr="00F956DB">
        <w:rPr>
          <w:sz w:val="24"/>
          <w:szCs w:val="24"/>
        </w:rPr>
        <w:t xml:space="preserve">, </w:t>
      </w:r>
      <w:r w:rsidR="00F956DB" w:rsidRPr="00F956DB">
        <w:rPr>
          <w:sz w:val="24"/>
          <w:szCs w:val="24"/>
        </w:rPr>
        <w:t xml:space="preserve">é possível constatar </w:t>
      </w:r>
      <w:r w:rsidRPr="00F956DB">
        <w:rPr>
          <w:sz w:val="24"/>
          <w:szCs w:val="24"/>
        </w:rPr>
        <w:t xml:space="preserve">que </w:t>
      </w:r>
      <w:r w:rsidR="00107F4D" w:rsidRPr="00F956DB">
        <w:rPr>
          <w:sz w:val="24"/>
          <w:szCs w:val="24"/>
        </w:rPr>
        <w:t xml:space="preserve">há dispersão entre as propriedades nos </w:t>
      </w:r>
      <w:r w:rsidRPr="00F956DB">
        <w:rPr>
          <w:sz w:val="24"/>
          <w:szCs w:val="24"/>
        </w:rPr>
        <w:t>quesitos analisados, sendo maior em 2015/2016</w:t>
      </w:r>
      <w:r w:rsidR="00107F4D" w:rsidRPr="00F956DB">
        <w:rPr>
          <w:sz w:val="24"/>
          <w:szCs w:val="24"/>
        </w:rPr>
        <w:t>,</w:t>
      </w:r>
      <w:r w:rsidRPr="00F956DB">
        <w:rPr>
          <w:sz w:val="24"/>
          <w:szCs w:val="24"/>
        </w:rPr>
        <w:t xml:space="preserve"> ao trata</w:t>
      </w:r>
      <w:r w:rsidR="00107F4D" w:rsidRPr="00F956DB">
        <w:rPr>
          <w:sz w:val="24"/>
          <w:szCs w:val="24"/>
        </w:rPr>
        <w:t>r</w:t>
      </w:r>
      <w:r w:rsidRPr="00F956DB">
        <w:rPr>
          <w:sz w:val="24"/>
          <w:szCs w:val="24"/>
        </w:rPr>
        <w:t xml:space="preserve">-se do capital imobilizado, da unidade de trabalho familiar e da área de ação antrópica. O desvio padrão só foi maior em 2016/2017 no parâmetro renda da operação agrícola. </w:t>
      </w:r>
    </w:p>
    <w:p w14:paraId="1DA53BCA" w14:textId="4C343B4F" w:rsidR="00F956DB" w:rsidRPr="00F956DB" w:rsidRDefault="00107F4D" w:rsidP="00F956DB">
      <w:pPr>
        <w:ind w:firstLine="709"/>
        <w:jc w:val="both"/>
        <w:rPr>
          <w:sz w:val="24"/>
          <w:szCs w:val="24"/>
        </w:rPr>
      </w:pPr>
      <w:r w:rsidRPr="00F956DB">
        <w:rPr>
          <w:sz w:val="24"/>
          <w:szCs w:val="24"/>
        </w:rPr>
        <w:t xml:space="preserve">Identifica-se que o parâmetro que oscilou de forma mais significativa foi a renda da operação agrícola, com um aumento de </w:t>
      </w:r>
      <w:r w:rsidR="00F956DB" w:rsidRPr="00F956DB">
        <w:rPr>
          <w:sz w:val="24"/>
          <w:szCs w:val="24"/>
        </w:rPr>
        <w:t>aproximadamente 24,69%. Importante destacar o crescimento dos agricultores familiares, ao apresentarem esse dado positivo no segundo período. Os demais parâmetros tiveram seus valores totais reduzidos, menos de 5% nos três casos.</w:t>
      </w:r>
    </w:p>
    <w:p w14:paraId="7F027FE4" w14:textId="321AD749" w:rsidR="00BE624F" w:rsidRPr="00E7485B" w:rsidRDefault="007745B4" w:rsidP="007745B4">
      <w:pPr>
        <w:pStyle w:val="Ttulo2"/>
        <w:numPr>
          <w:ilvl w:val="0"/>
          <w:numId w:val="0"/>
        </w:numPr>
        <w:tabs>
          <w:tab w:val="left" w:pos="426"/>
        </w:tabs>
        <w:ind w:left="360" w:hanging="360"/>
        <w:rPr>
          <w:szCs w:val="24"/>
        </w:rPr>
      </w:pPr>
      <w:r>
        <w:rPr>
          <w:szCs w:val="24"/>
        </w:rPr>
        <w:t xml:space="preserve">4.2 </w:t>
      </w:r>
      <w:r w:rsidR="00BE624F" w:rsidRPr="00E7485B">
        <w:rPr>
          <w:szCs w:val="24"/>
        </w:rPr>
        <w:t>Dimensão econômica</w:t>
      </w:r>
    </w:p>
    <w:p w14:paraId="1DF14365" w14:textId="77777777" w:rsidR="00BE624F" w:rsidRPr="00A74668" w:rsidRDefault="00BE624F" w:rsidP="00BE624F">
      <w:pPr>
        <w:jc w:val="both"/>
        <w:rPr>
          <w:color w:val="FF0000"/>
          <w:sz w:val="24"/>
          <w:szCs w:val="24"/>
        </w:rPr>
      </w:pPr>
    </w:p>
    <w:p w14:paraId="5C9D7B60" w14:textId="29612A25" w:rsidR="00EF4B54" w:rsidRDefault="00EF4B54" w:rsidP="00EF4B54">
      <w:pPr>
        <w:ind w:firstLine="709"/>
        <w:jc w:val="both"/>
        <w:rPr>
          <w:rFonts w:eastAsia="Calibri"/>
          <w:color w:val="000000" w:themeColor="text1"/>
          <w:sz w:val="24"/>
          <w:szCs w:val="24"/>
        </w:rPr>
      </w:pPr>
      <w:r w:rsidRPr="00554C8F">
        <w:rPr>
          <w:rFonts w:eastAsia="Calibri"/>
          <w:sz w:val="24"/>
          <w:szCs w:val="24"/>
        </w:rPr>
        <w:t>A dimensão e</w:t>
      </w:r>
      <w:r w:rsidR="00C00C90">
        <w:rPr>
          <w:rFonts w:eastAsia="Calibri"/>
          <w:sz w:val="24"/>
          <w:szCs w:val="24"/>
        </w:rPr>
        <w:t>conômica avalia a capacidade</w:t>
      </w:r>
      <w:r w:rsidRPr="00554C8F">
        <w:rPr>
          <w:rFonts w:eastAsia="Calibri"/>
          <w:sz w:val="24"/>
          <w:szCs w:val="24"/>
        </w:rPr>
        <w:t xml:space="preserve"> </w:t>
      </w:r>
      <w:r w:rsidR="00C00C90">
        <w:rPr>
          <w:rFonts w:eastAsia="Calibri"/>
          <w:sz w:val="24"/>
          <w:szCs w:val="24"/>
        </w:rPr>
        <w:t>d</w:t>
      </w:r>
      <w:r w:rsidRPr="00554C8F">
        <w:rPr>
          <w:rFonts w:eastAsia="Calibri"/>
          <w:sz w:val="24"/>
          <w:szCs w:val="24"/>
        </w:rPr>
        <w:t xml:space="preserve">a unidade de produção agrícola </w:t>
      </w:r>
      <w:r w:rsidR="00F52045">
        <w:rPr>
          <w:rFonts w:eastAsia="Calibri"/>
          <w:sz w:val="24"/>
          <w:szCs w:val="24"/>
        </w:rPr>
        <w:t>em</w:t>
      </w:r>
      <w:r w:rsidR="00C00C90">
        <w:rPr>
          <w:rFonts w:eastAsia="Calibri"/>
          <w:sz w:val="24"/>
          <w:szCs w:val="24"/>
        </w:rPr>
        <w:t xml:space="preserve"> </w:t>
      </w:r>
      <w:r w:rsidRPr="00554C8F">
        <w:rPr>
          <w:rFonts w:eastAsia="Calibri"/>
          <w:sz w:val="24"/>
          <w:szCs w:val="24"/>
        </w:rPr>
        <w:t>gerar riqueza em relação ao capital investido nas mesmas.</w:t>
      </w:r>
      <w:r w:rsidRPr="009973CF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>A</w:t>
      </w:r>
      <w:r w:rsidRPr="00BB0541">
        <w:rPr>
          <w:rFonts w:eastAsia="Calibri"/>
          <w:color w:val="000000" w:themeColor="text1"/>
          <w:sz w:val="24"/>
          <w:szCs w:val="24"/>
        </w:rPr>
        <w:t xml:space="preserve"> relação da dimensão econômica com </w:t>
      </w:r>
      <w:r>
        <w:rPr>
          <w:rFonts w:eastAsia="Calibri"/>
          <w:color w:val="000000" w:themeColor="text1"/>
          <w:sz w:val="24"/>
          <w:szCs w:val="24"/>
        </w:rPr>
        <w:t>a</w:t>
      </w:r>
      <w:r w:rsidRPr="00BB0541">
        <w:rPr>
          <w:rFonts w:eastAsia="Calibri"/>
          <w:color w:val="000000" w:themeColor="text1"/>
          <w:sz w:val="24"/>
          <w:szCs w:val="24"/>
        </w:rPr>
        <w:t xml:space="preserve"> sustentabilidade</w:t>
      </w:r>
      <w:r>
        <w:rPr>
          <w:rFonts w:eastAsia="Calibri"/>
          <w:color w:val="000000" w:themeColor="text1"/>
          <w:sz w:val="24"/>
          <w:szCs w:val="24"/>
        </w:rPr>
        <w:t xml:space="preserve"> se relaciona à</w:t>
      </w:r>
      <w:r w:rsidRPr="00BB0541">
        <w:rPr>
          <w:rFonts w:eastAsia="Calibri"/>
          <w:color w:val="000000" w:themeColor="text1"/>
          <w:sz w:val="24"/>
          <w:szCs w:val="24"/>
        </w:rPr>
        <w:t xml:space="preserve"> viabilidade econômica em função </w:t>
      </w:r>
      <w:r w:rsidR="007E7772">
        <w:rPr>
          <w:rFonts w:eastAsia="Calibri"/>
          <w:color w:val="000000" w:themeColor="text1"/>
          <w:sz w:val="24"/>
          <w:szCs w:val="24"/>
        </w:rPr>
        <w:t>do capital</w:t>
      </w:r>
      <w:r w:rsidRPr="00BB0541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disponível para </w:t>
      </w:r>
      <w:r w:rsidRPr="00BB0541">
        <w:rPr>
          <w:rFonts w:eastAsia="Calibri"/>
          <w:color w:val="000000" w:themeColor="text1"/>
          <w:sz w:val="24"/>
          <w:szCs w:val="24"/>
        </w:rPr>
        <w:t>exploração agropecuária.</w:t>
      </w:r>
    </w:p>
    <w:p w14:paraId="01EAA99A" w14:textId="283527EC" w:rsidR="007E2E1D" w:rsidRDefault="00EF4B54" w:rsidP="00F948CB">
      <w:pPr>
        <w:ind w:firstLine="709"/>
        <w:jc w:val="both"/>
        <w:rPr>
          <w:rFonts w:eastAsia="Calibri"/>
          <w:color w:val="000000" w:themeColor="text1"/>
          <w:sz w:val="24"/>
          <w:szCs w:val="24"/>
        </w:rPr>
      </w:pPr>
      <w:r w:rsidRPr="00BB0541">
        <w:rPr>
          <w:rFonts w:eastAsia="Calibri"/>
          <w:color w:val="000000" w:themeColor="text1"/>
          <w:sz w:val="24"/>
          <w:szCs w:val="24"/>
        </w:rPr>
        <w:t>O Gráfico 1 apresenta o Valor Agregado (VA) pelo Capital Im</w:t>
      </w:r>
      <w:r>
        <w:rPr>
          <w:rFonts w:eastAsia="Calibri"/>
          <w:color w:val="000000" w:themeColor="text1"/>
          <w:sz w:val="24"/>
          <w:szCs w:val="24"/>
        </w:rPr>
        <w:t>obi</w:t>
      </w:r>
      <w:r w:rsidR="007E7772">
        <w:rPr>
          <w:rFonts w:eastAsia="Calibri"/>
          <w:color w:val="000000" w:themeColor="text1"/>
          <w:sz w:val="24"/>
          <w:szCs w:val="24"/>
        </w:rPr>
        <w:t>lizado (KI), medido em reais, quanto ao</w:t>
      </w:r>
      <w:r>
        <w:rPr>
          <w:rFonts w:eastAsia="Calibri"/>
          <w:color w:val="000000" w:themeColor="text1"/>
          <w:sz w:val="24"/>
          <w:szCs w:val="24"/>
        </w:rPr>
        <w:t xml:space="preserve"> ano agrícola 2015/2016</w:t>
      </w:r>
      <w:r w:rsidR="00DD2FCF">
        <w:rPr>
          <w:rFonts w:eastAsia="Calibri"/>
          <w:color w:val="000000" w:themeColor="text1"/>
          <w:sz w:val="24"/>
          <w:szCs w:val="24"/>
        </w:rPr>
        <w:t xml:space="preserve">. Nele é possível identificar as propriedades </w:t>
      </w:r>
      <w:r w:rsidR="00DD2FCF">
        <w:rPr>
          <w:color w:val="000000" w:themeColor="text1"/>
          <w:sz w:val="24"/>
          <w:szCs w:val="24"/>
        </w:rPr>
        <w:t>que possuem</w:t>
      </w:r>
      <w:r w:rsidR="00DD2FCF" w:rsidRPr="00BB0541">
        <w:rPr>
          <w:rFonts w:eastAsia="Calibri"/>
          <w:color w:val="000000" w:themeColor="text1"/>
          <w:sz w:val="24"/>
          <w:szCs w:val="24"/>
        </w:rPr>
        <w:t xml:space="preserve"> uma grande capacidade de gerar riqueza em relação ao </w:t>
      </w:r>
      <w:r w:rsidR="00DD2FCF">
        <w:rPr>
          <w:rFonts w:eastAsia="Calibri"/>
          <w:color w:val="000000" w:themeColor="text1"/>
          <w:sz w:val="24"/>
          <w:szCs w:val="24"/>
        </w:rPr>
        <w:t xml:space="preserve">seu </w:t>
      </w:r>
      <w:r w:rsidR="00DD2FCF" w:rsidRPr="00BB0541">
        <w:rPr>
          <w:rFonts w:eastAsia="Calibri"/>
          <w:color w:val="000000" w:themeColor="text1"/>
          <w:sz w:val="24"/>
          <w:szCs w:val="24"/>
        </w:rPr>
        <w:t>capital investido</w:t>
      </w:r>
      <w:r w:rsidR="00DD2FCF">
        <w:rPr>
          <w:rFonts w:eastAsia="Calibri"/>
          <w:color w:val="000000" w:themeColor="text1"/>
          <w:sz w:val="24"/>
          <w:szCs w:val="24"/>
        </w:rPr>
        <w:t>, sendo aquelas que apresentam um pico maior no gráfico, onde três propriedades se destacam</w:t>
      </w:r>
      <w:r w:rsidR="00F948CB">
        <w:rPr>
          <w:rFonts w:eastAsia="Calibri"/>
          <w:color w:val="000000" w:themeColor="text1"/>
          <w:sz w:val="24"/>
          <w:szCs w:val="24"/>
        </w:rPr>
        <w:t>. Essas unidades de produção, classificadas nos números 10, 40 e 32 apresentaram maior sustentabilidade em relação as demais.</w:t>
      </w:r>
      <w:r w:rsidR="00DD2FCF">
        <w:rPr>
          <w:rFonts w:eastAsia="Calibri"/>
          <w:color w:val="000000" w:themeColor="text1"/>
          <w:sz w:val="24"/>
          <w:szCs w:val="24"/>
        </w:rPr>
        <w:t xml:space="preserve"> </w:t>
      </w:r>
      <w:r w:rsidR="00F948CB">
        <w:rPr>
          <w:rFonts w:eastAsia="Calibri"/>
          <w:color w:val="000000" w:themeColor="text1"/>
          <w:sz w:val="24"/>
          <w:szCs w:val="24"/>
        </w:rPr>
        <w:t>A</w:t>
      </w:r>
      <w:r w:rsidR="00DD2FCF" w:rsidRPr="00BB0541">
        <w:rPr>
          <w:rFonts w:eastAsia="Calibri"/>
          <w:color w:val="000000" w:themeColor="text1"/>
          <w:sz w:val="24"/>
          <w:szCs w:val="24"/>
        </w:rPr>
        <w:t>o contrário</w:t>
      </w:r>
      <w:r w:rsidR="00DD2FCF">
        <w:rPr>
          <w:rFonts w:eastAsia="Calibri"/>
          <w:color w:val="000000" w:themeColor="text1"/>
          <w:sz w:val="24"/>
          <w:szCs w:val="24"/>
        </w:rPr>
        <w:t>, aquelas</w:t>
      </w:r>
      <w:r w:rsidR="00DD2FCF" w:rsidRPr="00BB0541">
        <w:rPr>
          <w:rFonts w:eastAsia="Calibri"/>
          <w:color w:val="000000" w:themeColor="text1"/>
          <w:sz w:val="24"/>
          <w:szCs w:val="24"/>
        </w:rPr>
        <w:t xml:space="preserve"> que </w:t>
      </w:r>
      <w:r w:rsidR="00DD2FCF">
        <w:rPr>
          <w:rFonts w:eastAsia="Calibri"/>
          <w:color w:val="000000" w:themeColor="text1"/>
          <w:sz w:val="24"/>
          <w:szCs w:val="24"/>
        </w:rPr>
        <w:t>apresentaram valores próximos a</w:t>
      </w:r>
      <w:r w:rsidR="00DD2FCF" w:rsidRPr="00BB0541">
        <w:rPr>
          <w:rFonts w:eastAsia="Calibri"/>
          <w:color w:val="000000" w:themeColor="text1"/>
          <w:sz w:val="24"/>
          <w:szCs w:val="24"/>
        </w:rPr>
        <w:t xml:space="preserve"> zero</w:t>
      </w:r>
      <w:r w:rsidR="00DD2FCF">
        <w:rPr>
          <w:rFonts w:eastAsia="Calibri"/>
          <w:color w:val="000000" w:themeColor="text1"/>
          <w:sz w:val="24"/>
          <w:szCs w:val="24"/>
        </w:rPr>
        <w:t>, possuem menor capacidade de geração de riqueza em r</w:t>
      </w:r>
      <w:r w:rsidR="00F948CB">
        <w:rPr>
          <w:rFonts w:eastAsia="Calibri"/>
          <w:color w:val="000000" w:themeColor="text1"/>
          <w:sz w:val="24"/>
          <w:szCs w:val="24"/>
        </w:rPr>
        <w:t>elação ao seu capital investido, ou seja, menor sustentabilidade frente ao indicador econômico.</w:t>
      </w:r>
    </w:p>
    <w:p w14:paraId="43955193" w14:textId="010BDC47" w:rsidR="006D6EA3" w:rsidRDefault="006D6EA3" w:rsidP="006D6EA3">
      <w:pPr>
        <w:jc w:val="both"/>
        <w:rPr>
          <w:rFonts w:eastAsia="Calibri"/>
          <w:color w:val="000000" w:themeColor="text1"/>
          <w:sz w:val="24"/>
          <w:szCs w:val="24"/>
        </w:rPr>
      </w:pPr>
    </w:p>
    <w:p w14:paraId="3F0E4AD6" w14:textId="2200AE9C" w:rsidR="00DD2FCF" w:rsidRDefault="00DD2FCF" w:rsidP="006D6EA3">
      <w:pPr>
        <w:jc w:val="both"/>
        <w:rPr>
          <w:rFonts w:eastAsia="Calibri"/>
          <w:color w:val="000000" w:themeColor="text1"/>
          <w:sz w:val="24"/>
          <w:szCs w:val="24"/>
        </w:rPr>
      </w:pPr>
    </w:p>
    <w:p w14:paraId="0F374D73" w14:textId="77777777" w:rsidR="00F948CB" w:rsidRDefault="00F948CB" w:rsidP="006D6EA3">
      <w:pPr>
        <w:jc w:val="both"/>
        <w:rPr>
          <w:rFonts w:eastAsia="Calibri"/>
          <w:color w:val="000000" w:themeColor="text1"/>
          <w:sz w:val="24"/>
          <w:szCs w:val="24"/>
        </w:rPr>
      </w:pPr>
    </w:p>
    <w:p w14:paraId="778C9AF2" w14:textId="77777777" w:rsidR="007E2E1D" w:rsidRDefault="007E2E1D" w:rsidP="007549EB"/>
    <w:p w14:paraId="3A66CD11" w14:textId="493E5696" w:rsidR="00BE624F" w:rsidRPr="00E7485B" w:rsidRDefault="00BE624F" w:rsidP="007549EB">
      <w:r w:rsidRPr="00E7485B">
        <w:lastRenderedPageBreak/>
        <w:t>Gráfico 1 – Valor Agregado por</w:t>
      </w:r>
      <w:r w:rsidRPr="00E7485B">
        <w:rPr>
          <w:rFonts w:eastAsiaTheme="minorEastAsia"/>
          <w:lang w:eastAsia="en-US"/>
        </w:rPr>
        <w:t xml:space="preserve"> Capital Imobilizado</w:t>
      </w:r>
      <w:r w:rsidR="00A74668" w:rsidRPr="00E7485B">
        <w:rPr>
          <w:rFonts w:eastAsiaTheme="minorEastAsia"/>
          <w:lang w:eastAsia="en-US"/>
        </w:rPr>
        <w:t xml:space="preserve"> (2015/2016)</w:t>
      </w:r>
    </w:p>
    <w:p w14:paraId="14D5D401" w14:textId="77777777" w:rsidR="00BE624F" w:rsidRPr="00A74668" w:rsidRDefault="00BE624F" w:rsidP="00BE624F">
      <w:pPr>
        <w:jc w:val="center"/>
        <w:rPr>
          <w:color w:val="FF0000"/>
        </w:rPr>
      </w:pPr>
      <w:r w:rsidRPr="00A74668">
        <w:rPr>
          <w:noProof/>
          <w:color w:val="FF0000"/>
        </w:rPr>
        <w:drawing>
          <wp:inline distT="0" distB="0" distL="0" distR="0" wp14:anchorId="01EC95EA" wp14:editId="151BD2AB">
            <wp:extent cx="5742000" cy="1980000"/>
            <wp:effectExtent l="0" t="0" r="11430" b="127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9F9F47" w14:textId="51F8273E" w:rsidR="009B1ADA" w:rsidRDefault="009B1ADA" w:rsidP="009B1ADA">
      <w:r w:rsidRPr="009D1953">
        <w:t xml:space="preserve">Fonte: </w:t>
      </w:r>
      <w:r w:rsidR="007E2E1D">
        <w:t>A</w:t>
      </w:r>
      <w:r>
        <w:t>utores com base nos dados da pesquisa (2018).</w:t>
      </w:r>
    </w:p>
    <w:p w14:paraId="3CF3CD16" w14:textId="7DD2F220" w:rsidR="00BE624F" w:rsidRDefault="00BE624F" w:rsidP="00BE624F">
      <w:pPr>
        <w:rPr>
          <w:color w:val="FF0000"/>
          <w:szCs w:val="24"/>
        </w:rPr>
      </w:pPr>
    </w:p>
    <w:p w14:paraId="04B7CECC" w14:textId="41547A47" w:rsidR="007E2E1D" w:rsidRDefault="00110856" w:rsidP="007E2E1D">
      <w:pPr>
        <w:ind w:firstLine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O </w:t>
      </w:r>
      <w:r w:rsidR="007E7772">
        <w:rPr>
          <w:rFonts w:eastAsia="Calibri"/>
          <w:color w:val="000000" w:themeColor="text1"/>
          <w:sz w:val="24"/>
          <w:szCs w:val="24"/>
        </w:rPr>
        <w:t>Gráfico 2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  <w:r w:rsidR="0028108E" w:rsidRPr="00BB0541">
        <w:rPr>
          <w:rFonts w:eastAsia="Calibri"/>
          <w:color w:val="000000" w:themeColor="text1"/>
          <w:sz w:val="24"/>
          <w:szCs w:val="24"/>
        </w:rPr>
        <w:t>exib</w:t>
      </w:r>
      <w:r w:rsidR="0028108E">
        <w:rPr>
          <w:rFonts w:eastAsia="Calibri"/>
          <w:color w:val="000000" w:themeColor="text1"/>
          <w:sz w:val="24"/>
          <w:szCs w:val="24"/>
        </w:rPr>
        <w:t xml:space="preserve">e </w:t>
      </w:r>
      <w:r w:rsidR="00890A45" w:rsidRPr="00BB0541">
        <w:rPr>
          <w:rFonts w:eastAsia="Calibri"/>
          <w:color w:val="000000" w:themeColor="text1"/>
          <w:sz w:val="24"/>
          <w:szCs w:val="24"/>
        </w:rPr>
        <w:t>o Valor Agregado (VA) pelo Capital Im</w:t>
      </w:r>
      <w:r w:rsidR="00890A45">
        <w:rPr>
          <w:rFonts w:eastAsia="Calibri"/>
          <w:color w:val="000000" w:themeColor="text1"/>
          <w:sz w:val="24"/>
          <w:szCs w:val="24"/>
        </w:rPr>
        <w:t xml:space="preserve">obilizado (KI), medido em reais, </w:t>
      </w:r>
      <w:r w:rsidR="007E7772">
        <w:rPr>
          <w:rFonts w:eastAsia="Calibri"/>
          <w:color w:val="000000" w:themeColor="text1"/>
          <w:sz w:val="24"/>
          <w:szCs w:val="24"/>
        </w:rPr>
        <w:t>em relação ao</w:t>
      </w:r>
      <w:r w:rsidR="00890A45">
        <w:rPr>
          <w:rFonts w:eastAsia="Calibri"/>
          <w:color w:val="000000" w:themeColor="text1"/>
          <w:sz w:val="24"/>
          <w:szCs w:val="24"/>
        </w:rPr>
        <w:t xml:space="preserve"> </w:t>
      </w:r>
      <w:r w:rsidR="007E7772">
        <w:rPr>
          <w:rFonts w:eastAsia="Calibri"/>
          <w:color w:val="000000" w:themeColor="text1"/>
          <w:sz w:val="24"/>
          <w:szCs w:val="24"/>
        </w:rPr>
        <w:t xml:space="preserve">ano </w:t>
      </w:r>
      <w:r w:rsidR="00890A45">
        <w:rPr>
          <w:rFonts w:eastAsia="Calibri"/>
          <w:color w:val="000000" w:themeColor="text1"/>
          <w:sz w:val="24"/>
          <w:szCs w:val="24"/>
        </w:rPr>
        <w:t>agrícola 2016/2017.</w:t>
      </w:r>
      <w:r w:rsidR="007E2E1D">
        <w:rPr>
          <w:rFonts w:eastAsia="Calibri"/>
          <w:color w:val="000000" w:themeColor="text1"/>
          <w:sz w:val="24"/>
          <w:szCs w:val="24"/>
        </w:rPr>
        <w:t xml:space="preserve"> </w:t>
      </w:r>
      <w:r w:rsidR="007E2E1D">
        <w:rPr>
          <w:color w:val="000000" w:themeColor="text1"/>
          <w:sz w:val="24"/>
          <w:szCs w:val="24"/>
        </w:rPr>
        <w:t xml:space="preserve">Em 2016/2017, percebe-se que duas propriedades se destacam das demais pela maior capacidade em gerar riqueza sobre seu capital, classificadas nos números 2 e 14. Há outras unidades que possuem um índice relativamente bom, porém são menores em comparação a essas propriedades. Aquelas com menor índice encontram-se entre os números 67 a 72, que </w:t>
      </w:r>
      <w:r w:rsidR="007E2E1D">
        <w:rPr>
          <w:rFonts w:eastAsia="Calibri"/>
          <w:color w:val="000000" w:themeColor="text1"/>
          <w:sz w:val="24"/>
          <w:szCs w:val="24"/>
        </w:rPr>
        <w:t>apresentaram valores próximos a</w:t>
      </w:r>
      <w:r w:rsidR="007E2E1D" w:rsidRPr="00BB0541">
        <w:rPr>
          <w:rFonts w:eastAsia="Calibri"/>
          <w:color w:val="000000" w:themeColor="text1"/>
          <w:sz w:val="24"/>
          <w:szCs w:val="24"/>
        </w:rPr>
        <w:t xml:space="preserve"> </w:t>
      </w:r>
      <w:r w:rsidR="007E2E1D">
        <w:rPr>
          <w:rFonts w:eastAsia="Calibri"/>
          <w:color w:val="000000" w:themeColor="text1"/>
          <w:sz w:val="24"/>
          <w:szCs w:val="24"/>
        </w:rPr>
        <w:t>zero, como pode ser observado no Gráfico 2.</w:t>
      </w:r>
    </w:p>
    <w:p w14:paraId="7876B0E9" w14:textId="77777777" w:rsidR="007E2E1D" w:rsidRDefault="007E2E1D" w:rsidP="007549EB">
      <w:pPr>
        <w:rPr>
          <w:rFonts w:eastAsia="Calibri"/>
          <w:color w:val="000000" w:themeColor="text1"/>
          <w:sz w:val="24"/>
          <w:szCs w:val="24"/>
        </w:rPr>
      </w:pPr>
    </w:p>
    <w:p w14:paraId="08E6AC6B" w14:textId="2E11B5C2" w:rsidR="00803188" w:rsidRPr="006F1243" w:rsidRDefault="00803188" w:rsidP="007549EB">
      <w:pPr>
        <w:rPr>
          <w:rFonts w:eastAsiaTheme="minorEastAsia"/>
          <w:lang w:eastAsia="en-US"/>
        </w:rPr>
      </w:pPr>
      <w:r>
        <w:t xml:space="preserve">Gráfico 2 - </w:t>
      </w:r>
      <w:r w:rsidRPr="006F1243">
        <w:t>Valor Agregado por</w:t>
      </w:r>
      <w:r w:rsidRPr="006F1243">
        <w:rPr>
          <w:rFonts w:eastAsiaTheme="minorEastAsia"/>
          <w:lang w:eastAsia="en-US"/>
        </w:rPr>
        <w:t xml:space="preserve"> Capital Imobilizado (2016/2017)</w:t>
      </w:r>
    </w:p>
    <w:p w14:paraId="147143BD" w14:textId="77777777" w:rsidR="00803188" w:rsidRPr="006F1243" w:rsidRDefault="00803188" w:rsidP="00803188">
      <w:pPr>
        <w:jc w:val="center"/>
      </w:pPr>
      <w:r>
        <w:rPr>
          <w:noProof/>
        </w:rPr>
        <w:drawing>
          <wp:inline distT="0" distB="0" distL="0" distR="0" wp14:anchorId="3A895F22" wp14:editId="2809E934">
            <wp:extent cx="5742000" cy="1980000"/>
            <wp:effectExtent l="0" t="0" r="11430" b="127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B19624" w14:textId="559E676A" w:rsidR="009B1ADA" w:rsidRDefault="009B1ADA" w:rsidP="009B1ADA">
      <w:r w:rsidRPr="009D1953">
        <w:t xml:space="preserve">Fonte: </w:t>
      </w:r>
      <w:r w:rsidR="007E2E1D">
        <w:t>A</w:t>
      </w:r>
      <w:r>
        <w:t>utores com base nos dados da pesquisa (2018).</w:t>
      </w:r>
    </w:p>
    <w:p w14:paraId="38F22F37" w14:textId="77777777" w:rsidR="006D6EA3" w:rsidRDefault="006D6EA3" w:rsidP="009B1ADA"/>
    <w:p w14:paraId="51C4352D" w14:textId="720695A6" w:rsidR="00803188" w:rsidRDefault="00FE66F8" w:rsidP="00FE66F8">
      <w:p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1C76D7">
        <w:rPr>
          <w:color w:val="000000" w:themeColor="text1"/>
          <w:sz w:val="24"/>
          <w:szCs w:val="24"/>
        </w:rPr>
        <w:t xml:space="preserve">omparando os anos agrícolas 2015/2016 e 2016/2017, </w:t>
      </w:r>
      <w:r>
        <w:rPr>
          <w:color w:val="000000" w:themeColor="text1"/>
          <w:sz w:val="24"/>
          <w:szCs w:val="24"/>
        </w:rPr>
        <w:t xml:space="preserve">nota-se </w:t>
      </w:r>
      <w:r w:rsidR="001C76D7">
        <w:rPr>
          <w:color w:val="000000" w:themeColor="text1"/>
          <w:sz w:val="24"/>
          <w:szCs w:val="24"/>
        </w:rPr>
        <w:t>que no segundo ano estudado</w:t>
      </w:r>
      <w:r>
        <w:rPr>
          <w:color w:val="000000" w:themeColor="text1"/>
          <w:sz w:val="24"/>
          <w:szCs w:val="24"/>
        </w:rPr>
        <w:t>,</w:t>
      </w:r>
      <w:r w:rsidR="001C76D7">
        <w:rPr>
          <w:color w:val="000000" w:themeColor="text1"/>
          <w:sz w:val="24"/>
          <w:szCs w:val="24"/>
        </w:rPr>
        <w:t xml:space="preserve"> as propriedades </w:t>
      </w:r>
      <w:r>
        <w:rPr>
          <w:color w:val="000000" w:themeColor="text1"/>
          <w:sz w:val="24"/>
          <w:szCs w:val="24"/>
        </w:rPr>
        <w:t xml:space="preserve">aumentaram sua </w:t>
      </w:r>
      <w:r>
        <w:rPr>
          <w:rFonts w:eastAsia="Calibri"/>
          <w:color w:val="000000" w:themeColor="text1"/>
          <w:sz w:val="24"/>
          <w:szCs w:val="24"/>
        </w:rPr>
        <w:t>sustentabilidade em relação a dimensão econômica de forma significativa. Essa observação pode ser confirmada ao verificar as escalas verticais em ambos os gráficos.</w:t>
      </w:r>
    </w:p>
    <w:p w14:paraId="3D21F076" w14:textId="15729E71" w:rsidR="00BE624F" w:rsidRPr="00C71E3D" w:rsidRDefault="007745B4" w:rsidP="00490466">
      <w:pPr>
        <w:pStyle w:val="Ttulo2"/>
        <w:numPr>
          <w:ilvl w:val="0"/>
          <w:numId w:val="0"/>
        </w:numPr>
        <w:tabs>
          <w:tab w:val="left" w:pos="426"/>
        </w:tabs>
        <w:rPr>
          <w:szCs w:val="24"/>
        </w:rPr>
      </w:pPr>
      <w:r>
        <w:rPr>
          <w:szCs w:val="24"/>
        </w:rPr>
        <w:t xml:space="preserve">4.3 </w:t>
      </w:r>
      <w:r w:rsidR="00BE624F" w:rsidRPr="00C71E3D">
        <w:rPr>
          <w:szCs w:val="24"/>
        </w:rPr>
        <w:t>Dimensão social</w:t>
      </w:r>
    </w:p>
    <w:p w14:paraId="5A12B8EE" w14:textId="77777777" w:rsidR="00BE624F" w:rsidRPr="00A74668" w:rsidRDefault="00BE624F" w:rsidP="00BE624F">
      <w:pPr>
        <w:jc w:val="both"/>
        <w:rPr>
          <w:color w:val="FF0000"/>
          <w:sz w:val="24"/>
          <w:szCs w:val="24"/>
        </w:rPr>
      </w:pPr>
    </w:p>
    <w:p w14:paraId="091F9AFB" w14:textId="1251B9B6" w:rsidR="00C71E3D" w:rsidRPr="00E22505" w:rsidRDefault="00C71E3D" w:rsidP="00C71E3D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E22505">
        <w:rPr>
          <w:sz w:val="24"/>
          <w:szCs w:val="24"/>
        </w:rPr>
        <w:t xml:space="preserve">A dimensão social </w:t>
      </w:r>
      <w:r w:rsidRPr="00E22505">
        <w:rPr>
          <w:rFonts w:eastAsiaTheme="minorEastAsia"/>
          <w:sz w:val="24"/>
          <w:szCs w:val="24"/>
          <w:lang w:eastAsia="en-US"/>
        </w:rPr>
        <w:t xml:space="preserve">proporciona a avaliação da riqueza produzida por cada unidade de mão-de-obra familiar utilizada na </w:t>
      </w:r>
      <w:r w:rsidR="00FE66F8">
        <w:rPr>
          <w:rFonts w:eastAsiaTheme="minorEastAsia"/>
          <w:sz w:val="24"/>
          <w:szCs w:val="24"/>
          <w:lang w:eastAsia="en-US"/>
        </w:rPr>
        <w:t>produção agrícola, o</w:t>
      </w:r>
      <w:r w:rsidRPr="00E22505">
        <w:rPr>
          <w:rFonts w:eastAsiaTheme="minorEastAsia"/>
          <w:sz w:val="24"/>
          <w:szCs w:val="24"/>
          <w:lang w:eastAsia="en-US"/>
        </w:rPr>
        <w:t xml:space="preserve">nde </w:t>
      </w:r>
      <w:r w:rsidRPr="00E22505">
        <w:rPr>
          <w:sz w:val="24"/>
          <w:szCs w:val="24"/>
        </w:rPr>
        <w:t>um alto VA/</w:t>
      </w:r>
      <w:proofErr w:type="spellStart"/>
      <w:r w:rsidRPr="00E22505">
        <w:rPr>
          <w:sz w:val="24"/>
          <w:szCs w:val="24"/>
        </w:rPr>
        <w:t>UTHf</w:t>
      </w:r>
      <w:proofErr w:type="spellEnd"/>
      <w:r w:rsidRPr="00E22505">
        <w:rPr>
          <w:sz w:val="24"/>
          <w:szCs w:val="24"/>
        </w:rPr>
        <w:t xml:space="preserve"> </w:t>
      </w:r>
      <w:r w:rsidR="00FE66F8">
        <w:rPr>
          <w:sz w:val="24"/>
          <w:szCs w:val="24"/>
        </w:rPr>
        <w:t>indica</w:t>
      </w:r>
      <w:r w:rsidRPr="00E22505">
        <w:rPr>
          <w:sz w:val="24"/>
          <w:szCs w:val="24"/>
        </w:rPr>
        <w:t xml:space="preserve"> uma maior sustenta</w:t>
      </w:r>
      <w:r w:rsidR="00FE66F8">
        <w:rPr>
          <w:sz w:val="24"/>
          <w:szCs w:val="24"/>
        </w:rPr>
        <w:t>bilidade da propriedade</w:t>
      </w:r>
      <w:r w:rsidRPr="00E22505">
        <w:rPr>
          <w:sz w:val="24"/>
          <w:szCs w:val="24"/>
        </w:rPr>
        <w:t xml:space="preserve">. </w:t>
      </w:r>
      <w:r w:rsidR="00D05A9C">
        <w:rPr>
          <w:rFonts w:eastAsia="Calibri"/>
          <w:sz w:val="24"/>
          <w:szCs w:val="24"/>
        </w:rPr>
        <w:t xml:space="preserve">A </w:t>
      </w:r>
      <w:r w:rsidRPr="00E22505">
        <w:rPr>
          <w:rFonts w:eastAsia="Calibri"/>
          <w:sz w:val="24"/>
          <w:szCs w:val="24"/>
        </w:rPr>
        <w:t xml:space="preserve">dimensão social </w:t>
      </w:r>
      <w:r w:rsidR="00D05A9C">
        <w:rPr>
          <w:rFonts w:eastAsia="Calibri"/>
          <w:sz w:val="24"/>
          <w:szCs w:val="24"/>
        </w:rPr>
        <w:t xml:space="preserve">é associada a sustentabilidade pela </w:t>
      </w:r>
      <w:r w:rsidRPr="00E22505">
        <w:rPr>
          <w:sz w:val="24"/>
          <w:szCs w:val="24"/>
        </w:rPr>
        <w:t xml:space="preserve">capacidade </w:t>
      </w:r>
      <w:r w:rsidR="00D05A9C">
        <w:rPr>
          <w:sz w:val="24"/>
          <w:szCs w:val="24"/>
        </w:rPr>
        <w:t xml:space="preserve">de reprodução social e </w:t>
      </w:r>
      <w:r w:rsidRPr="00E22505">
        <w:rPr>
          <w:sz w:val="24"/>
          <w:szCs w:val="24"/>
        </w:rPr>
        <w:t>de acesso a bens e serviços</w:t>
      </w:r>
      <w:r w:rsidR="00D05A9C">
        <w:rPr>
          <w:sz w:val="24"/>
          <w:szCs w:val="24"/>
        </w:rPr>
        <w:t>,</w:t>
      </w:r>
      <w:r w:rsidRPr="00E22505">
        <w:rPr>
          <w:sz w:val="24"/>
          <w:szCs w:val="24"/>
        </w:rPr>
        <w:t xml:space="preserve"> estando diretamente relacionado com justiça social e viabilidade econômica.</w:t>
      </w:r>
    </w:p>
    <w:p w14:paraId="1C894FA0" w14:textId="5BCF18A8" w:rsidR="00C71E3D" w:rsidRDefault="00110856" w:rsidP="00C71E3D">
      <w:p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</w:t>
      </w:r>
      <w:r w:rsidR="00D05A9C">
        <w:rPr>
          <w:color w:val="000000" w:themeColor="text1"/>
          <w:sz w:val="24"/>
          <w:szCs w:val="24"/>
        </w:rPr>
        <w:t xml:space="preserve">Gráfico 3, </w:t>
      </w:r>
      <w:r w:rsidR="007745B4">
        <w:rPr>
          <w:color w:val="000000" w:themeColor="text1"/>
          <w:sz w:val="24"/>
          <w:szCs w:val="24"/>
        </w:rPr>
        <w:t xml:space="preserve">apresenta-se </w:t>
      </w:r>
      <w:r w:rsidR="00D05A9C">
        <w:rPr>
          <w:color w:val="000000" w:themeColor="text1"/>
          <w:sz w:val="24"/>
          <w:szCs w:val="24"/>
        </w:rPr>
        <w:t xml:space="preserve">o valor agregado das propriedades em relação à quantidade </w:t>
      </w:r>
      <w:r w:rsidR="00C71E3D" w:rsidRPr="008F1C50">
        <w:rPr>
          <w:color w:val="000000" w:themeColor="text1"/>
          <w:sz w:val="24"/>
          <w:szCs w:val="24"/>
        </w:rPr>
        <w:t>de mão de obra familiar</w:t>
      </w:r>
      <w:r w:rsidR="00D05A9C">
        <w:rPr>
          <w:color w:val="000000" w:themeColor="text1"/>
          <w:sz w:val="24"/>
          <w:szCs w:val="24"/>
        </w:rPr>
        <w:t>, referentes ao ano agrícola</w:t>
      </w:r>
      <w:r w:rsidR="00C71E3D">
        <w:rPr>
          <w:color w:val="000000" w:themeColor="text1"/>
          <w:sz w:val="24"/>
          <w:szCs w:val="24"/>
        </w:rPr>
        <w:t xml:space="preserve"> 2015/2016.</w:t>
      </w:r>
    </w:p>
    <w:p w14:paraId="227D37A7" w14:textId="77777777" w:rsidR="00C71E3D" w:rsidRPr="00C71E3D" w:rsidRDefault="00C71E3D" w:rsidP="00BE624F">
      <w:pPr>
        <w:jc w:val="center"/>
      </w:pPr>
    </w:p>
    <w:p w14:paraId="2EF07393" w14:textId="7636B578" w:rsidR="00BE624F" w:rsidRPr="00C71E3D" w:rsidRDefault="00BE624F" w:rsidP="007549EB">
      <w:pPr>
        <w:rPr>
          <w:rFonts w:eastAsiaTheme="minorEastAsia"/>
          <w:lang w:eastAsia="en-US"/>
        </w:rPr>
      </w:pPr>
      <w:r w:rsidRPr="00C71E3D">
        <w:lastRenderedPageBreak/>
        <w:t xml:space="preserve">Gráfico </w:t>
      </w:r>
      <w:r w:rsidR="00C71E3D" w:rsidRPr="00C71E3D">
        <w:t>3</w:t>
      </w:r>
      <w:r w:rsidRPr="00C71E3D">
        <w:t xml:space="preserve"> –</w:t>
      </w:r>
      <w:r w:rsidRPr="00C71E3D">
        <w:rPr>
          <w:rFonts w:eastAsiaTheme="minorEastAsia"/>
          <w:lang w:eastAsia="en-US"/>
        </w:rPr>
        <w:t xml:space="preserve"> Valor Agregado por Unidade de Trabalho Humano Familiar</w:t>
      </w:r>
      <w:r w:rsidR="00A74668" w:rsidRPr="00C71E3D">
        <w:rPr>
          <w:rFonts w:eastAsiaTheme="minorEastAsia"/>
          <w:lang w:eastAsia="en-US"/>
        </w:rPr>
        <w:t xml:space="preserve"> (2015/2016)</w:t>
      </w:r>
    </w:p>
    <w:p w14:paraId="598EA970" w14:textId="77777777" w:rsidR="00BE624F" w:rsidRPr="00A74668" w:rsidRDefault="00BE624F" w:rsidP="00BE624F">
      <w:pPr>
        <w:tabs>
          <w:tab w:val="left" w:pos="2552"/>
        </w:tabs>
        <w:jc w:val="center"/>
        <w:rPr>
          <w:color w:val="FF0000"/>
        </w:rPr>
      </w:pPr>
      <w:r w:rsidRPr="00A74668">
        <w:rPr>
          <w:noProof/>
          <w:color w:val="FF0000"/>
        </w:rPr>
        <w:drawing>
          <wp:inline distT="0" distB="0" distL="0" distR="0" wp14:anchorId="6A567797" wp14:editId="6F0A40D6">
            <wp:extent cx="5742000" cy="1980000"/>
            <wp:effectExtent l="0" t="0" r="11430" b="12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2D9AB02" w14:textId="32F1DA4C" w:rsidR="009B1ADA" w:rsidRDefault="009B1ADA" w:rsidP="009B1ADA">
      <w:r w:rsidRPr="009D1953">
        <w:t xml:space="preserve">Fonte: </w:t>
      </w:r>
      <w:r w:rsidR="007745B4">
        <w:t>A</w:t>
      </w:r>
      <w:r>
        <w:t>utores com base nos dados da pesquisa (2018).</w:t>
      </w:r>
    </w:p>
    <w:p w14:paraId="55C91794" w14:textId="1E9A6A06" w:rsidR="0021491B" w:rsidRDefault="0021491B" w:rsidP="00BE624F">
      <w:pPr>
        <w:jc w:val="center"/>
        <w:rPr>
          <w:color w:val="FF0000"/>
        </w:rPr>
      </w:pPr>
    </w:p>
    <w:p w14:paraId="15B85AC0" w14:textId="53449C72" w:rsidR="0021491B" w:rsidRDefault="0021491B" w:rsidP="0021491B">
      <w:pPr>
        <w:ind w:firstLine="709"/>
        <w:jc w:val="both"/>
        <w:rPr>
          <w:color w:val="000000" w:themeColor="text1"/>
          <w:sz w:val="24"/>
          <w:szCs w:val="24"/>
        </w:rPr>
      </w:pPr>
      <w:r w:rsidRPr="008F1C50">
        <w:rPr>
          <w:color w:val="000000" w:themeColor="text1"/>
          <w:sz w:val="24"/>
          <w:szCs w:val="24"/>
        </w:rPr>
        <w:t xml:space="preserve">Nessa dimensão </w:t>
      </w:r>
      <w:r w:rsidR="00F52045">
        <w:rPr>
          <w:color w:val="000000" w:themeColor="text1"/>
          <w:sz w:val="24"/>
          <w:szCs w:val="24"/>
        </w:rPr>
        <w:t>compreend</w:t>
      </w:r>
      <w:r w:rsidR="00D05A9C">
        <w:rPr>
          <w:color w:val="000000" w:themeColor="text1"/>
          <w:sz w:val="24"/>
          <w:szCs w:val="24"/>
        </w:rPr>
        <w:t>e-se</w:t>
      </w:r>
      <w:r w:rsidRPr="008F1C50">
        <w:rPr>
          <w:color w:val="000000" w:themeColor="text1"/>
          <w:sz w:val="24"/>
          <w:szCs w:val="24"/>
        </w:rPr>
        <w:t xml:space="preserve"> que não há muita dispersão entre as propriedades, com exceção de algu</w:t>
      </w:r>
      <w:r w:rsidR="00F9575B">
        <w:rPr>
          <w:color w:val="000000" w:themeColor="text1"/>
          <w:sz w:val="24"/>
          <w:szCs w:val="24"/>
        </w:rPr>
        <w:t xml:space="preserve">mas que ultrapassaram os R$ 10.000 por </w:t>
      </w:r>
      <w:proofErr w:type="spellStart"/>
      <w:r w:rsidRPr="008F1C50">
        <w:rPr>
          <w:color w:val="000000" w:themeColor="text1"/>
          <w:sz w:val="24"/>
          <w:szCs w:val="24"/>
        </w:rPr>
        <w:t>UTHf</w:t>
      </w:r>
      <w:proofErr w:type="spellEnd"/>
      <w:r w:rsidRPr="008F1C50">
        <w:rPr>
          <w:color w:val="000000" w:themeColor="text1"/>
          <w:sz w:val="24"/>
          <w:szCs w:val="24"/>
        </w:rPr>
        <w:t>. O maior va</w:t>
      </w:r>
      <w:r w:rsidR="00F9575B">
        <w:rPr>
          <w:color w:val="000000" w:themeColor="text1"/>
          <w:sz w:val="24"/>
          <w:szCs w:val="24"/>
        </w:rPr>
        <w:t xml:space="preserve">lor é de aproximadamente 30.000 por </w:t>
      </w:r>
      <w:proofErr w:type="spellStart"/>
      <w:r w:rsidRPr="008F1C50">
        <w:rPr>
          <w:color w:val="000000" w:themeColor="text1"/>
          <w:sz w:val="24"/>
          <w:szCs w:val="24"/>
        </w:rPr>
        <w:t>UTHf</w:t>
      </w:r>
      <w:proofErr w:type="spellEnd"/>
      <w:r w:rsidRPr="008F1C50">
        <w:rPr>
          <w:color w:val="000000" w:themeColor="text1"/>
          <w:sz w:val="24"/>
          <w:szCs w:val="24"/>
        </w:rPr>
        <w:t xml:space="preserve"> e os menores beiram à zero.</w:t>
      </w:r>
      <w:r>
        <w:rPr>
          <w:color w:val="000000" w:themeColor="text1"/>
          <w:sz w:val="24"/>
          <w:szCs w:val="24"/>
        </w:rPr>
        <w:t xml:space="preserve"> </w:t>
      </w:r>
      <w:r w:rsidR="00D05A9C">
        <w:rPr>
          <w:color w:val="000000" w:themeColor="text1"/>
          <w:sz w:val="24"/>
          <w:szCs w:val="24"/>
        </w:rPr>
        <w:t>Considera-se, dessa forma, que a</w:t>
      </w:r>
      <w:r>
        <w:rPr>
          <w:color w:val="000000" w:themeColor="text1"/>
          <w:sz w:val="24"/>
          <w:szCs w:val="24"/>
        </w:rPr>
        <w:t xml:space="preserve">s propriedades, no geral, </w:t>
      </w:r>
      <w:r w:rsidR="00D05A9C">
        <w:rPr>
          <w:color w:val="000000" w:themeColor="text1"/>
          <w:sz w:val="24"/>
          <w:szCs w:val="24"/>
        </w:rPr>
        <w:t xml:space="preserve">apresentam uma </w:t>
      </w:r>
      <w:r>
        <w:rPr>
          <w:color w:val="000000" w:themeColor="text1"/>
          <w:sz w:val="24"/>
          <w:szCs w:val="24"/>
        </w:rPr>
        <w:t>s</w:t>
      </w:r>
      <w:r w:rsidR="00D05A9C">
        <w:rPr>
          <w:color w:val="000000" w:themeColor="text1"/>
          <w:sz w:val="24"/>
          <w:szCs w:val="24"/>
        </w:rPr>
        <w:t xml:space="preserve">ustentabilidade similar nessa dimensão. </w:t>
      </w:r>
      <w:r w:rsidRPr="008F1C50">
        <w:rPr>
          <w:color w:val="000000" w:themeColor="text1"/>
          <w:sz w:val="24"/>
          <w:szCs w:val="24"/>
        </w:rPr>
        <w:t xml:space="preserve">Isso demonstra que na maioria das </w:t>
      </w:r>
      <w:r w:rsidR="00D05A9C">
        <w:rPr>
          <w:color w:val="000000" w:themeColor="text1"/>
          <w:sz w:val="24"/>
          <w:szCs w:val="24"/>
        </w:rPr>
        <w:t>unidades de produção</w:t>
      </w:r>
      <w:r w:rsidRPr="008F1C50">
        <w:rPr>
          <w:color w:val="000000" w:themeColor="text1"/>
          <w:sz w:val="24"/>
          <w:szCs w:val="24"/>
        </w:rPr>
        <w:t>, a riqueza líquida produzida por cada unidade de mão-de-obra não ultrapassa os R$</w:t>
      </w:r>
      <w:r w:rsidR="00586355">
        <w:rPr>
          <w:color w:val="000000" w:themeColor="text1"/>
          <w:sz w:val="24"/>
          <w:szCs w:val="24"/>
        </w:rPr>
        <w:t xml:space="preserve"> </w:t>
      </w:r>
      <w:r w:rsidRPr="008F1C50">
        <w:rPr>
          <w:color w:val="000000" w:themeColor="text1"/>
          <w:sz w:val="24"/>
          <w:szCs w:val="24"/>
        </w:rPr>
        <w:t>10.000,00.</w:t>
      </w:r>
      <w:r w:rsidRPr="00E66D2F">
        <w:rPr>
          <w:color w:val="000000" w:themeColor="text1"/>
          <w:sz w:val="24"/>
          <w:szCs w:val="24"/>
        </w:rPr>
        <w:t xml:space="preserve"> </w:t>
      </w:r>
    </w:p>
    <w:p w14:paraId="286B32BE" w14:textId="247A90FD" w:rsidR="00840F78" w:rsidRDefault="00110856" w:rsidP="00840F78">
      <w:pPr>
        <w:ind w:firstLine="709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Pr="008F1C50">
        <w:rPr>
          <w:color w:val="000000" w:themeColor="text1"/>
          <w:sz w:val="24"/>
          <w:szCs w:val="24"/>
        </w:rPr>
        <w:t xml:space="preserve"> </w:t>
      </w:r>
      <w:r w:rsidR="0021491B" w:rsidRPr="008F1C50">
        <w:rPr>
          <w:color w:val="000000" w:themeColor="text1"/>
          <w:sz w:val="24"/>
          <w:szCs w:val="24"/>
        </w:rPr>
        <w:t xml:space="preserve">Gráfico </w:t>
      </w:r>
      <w:r w:rsidR="0021491B">
        <w:rPr>
          <w:color w:val="000000" w:themeColor="text1"/>
          <w:sz w:val="24"/>
          <w:szCs w:val="24"/>
        </w:rPr>
        <w:t>4</w:t>
      </w:r>
      <w:r w:rsidR="0021491B" w:rsidRPr="008F1C50">
        <w:rPr>
          <w:color w:val="000000" w:themeColor="text1"/>
          <w:sz w:val="24"/>
          <w:szCs w:val="24"/>
        </w:rPr>
        <w:t xml:space="preserve"> </w:t>
      </w:r>
      <w:r w:rsidR="00586355">
        <w:rPr>
          <w:color w:val="000000" w:themeColor="text1"/>
          <w:sz w:val="24"/>
          <w:szCs w:val="24"/>
        </w:rPr>
        <w:t>apresenta</w:t>
      </w:r>
      <w:r>
        <w:rPr>
          <w:color w:val="000000" w:themeColor="text1"/>
          <w:sz w:val="24"/>
          <w:szCs w:val="24"/>
        </w:rPr>
        <w:t xml:space="preserve"> </w:t>
      </w:r>
      <w:r w:rsidR="0021491B">
        <w:rPr>
          <w:color w:val="000000" w:themeColor="text1"/>
          <w:sz w:val="24"/>
          <w:szCs w:val="24"/>
        </w:rPr>
        <w:t>o valor agregado por unid</w:t>
      </w:r>
      <w:r w:rsidR="00586355">
        <w:rPr>
          <w:color w:val="000000" w:themeColor="text1"/>
          <w:sz w:val="24"/>
          <w:szCs w:val="24"/>
        </w:rPr>
        <w:t>ade de trabalho humano familiar, referente ao ano agrícola</w:t>
      </w:r>
      <w:r w:rsidR="0021491B">
        <w:rPr>
          <w:color w:val="000000" w:themeColor="text1"/>
          <w:sz w:val="24"/>
          <w:szCs w:val="24"/>
        </w:rPr>
        <w:t xml:space="preserve"> 2016/2017.</w:t>
      </w:r>
      <w:r w:rsidR="00840F78">
        <w:rPr>
          <w:color w:val="000000" w:themeColor="text1"/>
          <w:sz w:val="24"/>
          <w:szCs w:val="24"/>
        </w:rPr>
        <w:t xml:space="preserve"> É possível constatar que as propriedades exibiram uma sustentabilidade semelhante ao ano 2015/2016. Destaca-se a propriedade classificada no número 54, com aproximadamente R$ 30.000 por </w:t>
      </w:r>
      <w:proofErr w:type="spellStart"/>
      <w:r w:rsidR="00840F78">
        <w:rPr>
          <w:color w:val="000000" w:themeColor="text1"/>
          <w:sz w:val="24"/>
          <w:szCs w:val="24"/>
        </w:rPr>
        <w:t>UTHf</w:t>
      </w:r>
      <w:proofErr w:type="spellEnd"/>
      <w:r w:rsidR="00840F78">
        <w:rPr>
          <w:color w:val="000000" w:themeColor="text1"/>
          <w:sz w:val="24"/>
          <w:szCs w:val="24"/>
        </w:rPr>
        <w:t xml:space="preserve">, seguido pela classificada no número 1, com cerca de R$ 20.000 por </w:t>
      </w:r>
      <w:proofErr w:type="spellStart"/>
      <w:r w:rsidR="00840F78">
        <w:rPr>
          <w:color w:val="000000" w:themeColor="text1"/>
          <w:sz w:val="24"/>
          <w:szCs w:val="24"/>
        </w:rPr>
        <w:t>UTHf</w:t>
      </w:r>
      <w:proofErr w:type="spellEnd"/>
      <w:r w:rsidR="00840F78">
        <w:rPr>
          <w:color w:val="000000" w:themeColor="text1"/>
          <w:sz w:val="24"/>
          <w:szCs w:val="24"/>
        </w:rPr>
        <w:t>. Essas unidades produtivas foram as que tiveram maior sustentabilidade no quesito social.</w:t>
      </w:r>
    </w:p>
    <w:p w14:paraId="3A194F25" w14:textId="5CC5F117" w:rsidR="00C64FD9" w:rsidRDefault="00C64FD9" w:rsidP="0021491B">
      <w:pPr>
        <w:ind w:firstLine="709"/>
        <w:jc w:val="both"/>
        <w:rPr>
          <w:color w:val="000000" w:themeColor="text1"/>
          <w:sz w:val="24"/>
          <w:szCs w:val="24"/>
        </w:rPr>
      </w:pPr>
    </w:p>
    <w:p w14:paraId="340662B8" w14:textId="46C1E69C" w:rsidR="00F4042B" w:rsidRDefault="00F4042B" w:rsidP="007549EB">
      <w:pPr>
        <w:rPr>
          <w:rFonts w:eastAsiaTheme="minorEastAsia"/>
          <w:lang w:eastAsia="en-US"/>
        </w:rPr>
      </w:pPr>
      <w:r>
        <w:t>Gráfico 4</w:t>
      </w:r>
      <w:r w:rsidRPr="006F1243">
        <w:t xml:space="preserve"> –</w:t>
      </w:r>
      <w:r w:rsidRPr="006F1243">
        <w:rPr>
          <w:rFonts w:eastAsiaTheme="minorEastAsia"/>
          <w:lang w:eastAsia="en-US"/>
        </w:rPr>
        <w:t xml:space="preserve"> Valor Agregado por Unidade d</w:t>
      </w:r>
      <w:r w:rsidR="00586355">
        <w:rPr>
          <w:rFonts w:eastAsiaTheme="minorEastAsia"/>
          <w:lang w:eastAsia="en-US"/>
        </w:rPr>
        <w:t>e Trabalho Humano Familiar (2016/2017</w:t>
      </w:r>
      <w:r w:rsidRPr="006F1243">
        <w:rPr>
          <w:rFonts w:eastAsiaTheme="minorEastAsia"/>
          <w:lang w:eastAsia="en-US"/>
        </w:rPr>
        <w:t>)</w:t>
      </w:r>
    </w:p>
    <w:p w14:paraId="17B8BEC6" w14:textId="48798EB7" w:rsidR="00783749" w:rsidRDefault="00783749" w:rsidP="007549EB">
      <w:pPr>
        <w:rPr>
          <w:rFonts w:eastAsiaTheme="minorEastAsia"/>
          <w:lang w:eastAsia="en-US"/>
        </w:rPr>
      </w:pPr>
      <w:r>
        <w:rPr>
          <w:noProof/>
        </w:rPr>
        <w:drawing>
          <wp:inline distT="0" distB="0" distL="0" distR="0" wp14:anchorId="7A64D5DF" wp14:editId="14C3BEB4">
            <wp:extent cx="5742000" cy="1980000"/>
            <wp:effectExtent l="0" t="0" r="11430" b="127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8253F3" w14:textId="0D190EF5" w:rsidR="009B1ADA" w:rsidRDefault="009B1ADA" w:rsidP="009B1ADA">
      <w:r w:rsidRPr="009D1953">
        <w:t xml:space="preserve">Fonte: </w:t>
      </w:r>
      <w:r w:rsidR="00F03FF5">
        <w:t>A</w:t>
      </w:r>
      <w:r>
        <w:t>utores com base nos dados da pesquisa (2018).</w:t>
      </w:r>
    </w:p>
    <w:p w14:paraId="49817422" w14:textId="77777777" w:rsidR="004F63A7" w:rsidRDefault="004F63A7" w:rsidP="009B1ADA"/>
    <w:p w14:paraId="6DADDFEA" w14:textId="437AEDE3" w:rsidR="004F63A7" w:rsidRPr="006F1243" w:rsidRDefault="004F63A7" w:rsidP="004F63A7">
      <w:pPr>
        <w:ind w:firstLine="708"/>
        <w:jc w:val="both"/>
        <w:rPr>
          <w:szCs w:val="24"/>
        </w:rPr>
      </w:pPr>
      <w:r>
        <w:rPr>
          <w:color w:val="000000" w:themeColor="text1"/>
          <w:sz w:val="24"/>
          <w:szCs w:val="24"/>
        </w:rPr>
        <w:t>Comparando os dois gráficos</w:t>
      </w:r>
      <w:r w:rsidR="0030077F">
        <w:rPr>
          <w:color w:val="000000" w:themeColor="text1"/>
          <w:sz w:val="24"/>
          <w:szCs w:val="24"/>
        </w:rPr>
        <w:t xml:space="preserve"> dessa dimensão,</w:t>
      </w:r>
      <w:r>
        <w:rPr>
          <w:color w:val="000000" w:themeColor="text1"/>
          <w:sz w:val="24"/>
          <w:szCs w:val="24"/>
        </w:rPr>
        <w:t xml:space="preserve"> </w:t>
      </w:r>
      <w:r w:rsidR="0030077F">
        <w:rPr>
          <w:color w:val="000000" w:themeColor="text1"/>
          <w:sz w:val="24"/>
          <w:szCs w:val="24"/>
        </w:rPr>
        <w:t>verifica-se um comportamento homogêneo entre os dois anos estudados sobre a sustentabilidade dos agricultores familiares, visto q</w:t>
      </w:r>
      <w:r w:rsidR="00F9575B">
        <w:rPr>
          <w:color w:val="000000" w:themeColor="text1"/>
          <w:sz w:val="24"/>
          <w:szCs w:val="24"/>
        </w:rPr>
        <w:t>ue na maioria das propriedades, o valor agregado gerado por cada mão-de-obra familiar corresponde a um valor entre R$ 5.000 e R$ 10.000.</w:t>
      </w:r>
    </w:p>
    <w:p w14:paraId="044A1139" w14:textId="245CA636" w:rsidR="00BE624F" w:rsidRPr="004F63A7" w:rsidRDefault="00790C97" w:rsidP="00DD6B93">
      <w:pPr>
        <w:pStyle w:val="Ttulo2"/>
        <w:numPr>
          <w:ilvl w:val="0"/>
          <w:numId w:val="0"/>
        </w:numPr>
        <w:ind w:left="576" w:hanging="576"/>
        <w:rPr>
          <w:szCs w:val="24"/>
        </w:rPr>
      </w:pPr>
      <w:r>
        <w:rPr>
          <w:szCs w:val="24"/>
        </w:rPr>
        <w:t xml:space="preserve">4.4 </w:t>
      </w:r>
      <w:r w:rsidR="00BE624F" w:rsidRPr="004F63A7">
        <w:rPr>
          <w:szCs w:val="24"/>
        </w:rPr>
        <w:t xml:space="preserve">Dimensão ambiental </w:t>
      </w:r>
    </w:p>
    <w:p w14:paraId="7C188F47" w14:textId="77777777" w:rsidR="00DD2FCF" w:rsidRDefault="00DD2FCF" w:rsidP="006C76F9">
      <w:pPr>
        <w:suppressAutoHyphens w:val="0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</w:p>
    <w:p w14:paraId="7D46D1D3" w14:textId="57B2A95F" w:rsidR="00982A30" w:rsidRPr="006C76F9" w:rsidRDefault="00982A30" w:rsidP="006C76F9">
      <w:pPr>
        <w:suppressAutoHyphens w:val="0"/>
        <w:autoSpaceDE w:val="0"/>
        <w:autoSpaceDN w:val="0"/>
        <w:adjustRightInd w:val="0"/>
        <w:ind w:firstLine="709"/>
        <w:jc w:val="both"/>
        <w:rPr>
          <w:rFonts w:eastAsia="Calibri"/>
          <w:sz w:val="24"/>
          <w:szCs w:val="24"/>
        </w:rPr>
      </w:pPr>
      <w:r w:rsidRPr="004F63A7">
        <w:rPr>
          <w:sz w:val="24"/>
          <w:szCs w:val="24"/>
        </w:rPr>
        <w:t xml:space="preserve">A dimensão ambiental </w:t>
      </w:r>
      <w:r w:rsidR="00475CF1" w:rsidRPr="004F63A7">
        <w:rPr>
          <w:sz w:val="24"/>
          <w:szCs w:val="24"/>
        </w:rPr>
        <w:t xml:space="preserve">avalia a capacidade </w:t>
      </w:r>
      <w:r w:rsidR="00FE144B" w:rsidRPr="004F63A7">
        <w:rPr>
          <w:sz w:val="24"/>
          <w:szCs w:val="24"/>
        </w:rPr>
        <w:t>de a</w:t>
      </w:r>
      <w:r w:rsidR="00CA4B22" w:rsidRPr="004F63A7">
        <w:rPr>
          <w:sz w:val="24"/>
          <w:szCs w:val="24"/>
        </w:rPr>
        <w:t xml:space="preserve"> </w:t>
      </w:r>
      <w:r w:rsidR="00B34262" w:rsidRPr="004F63A7">
        <w:rPr>
          <w:sz w:val="24"/>
          <w:szCs w:val="24"/>
        </w:rPr>
        <w:t>unidade de produção agrícola gerar riqueza em relação a área de ação antrópica, em hectares.</w:t>
      </w:r>
      <w:r w:rsidR="006C76F9">
        <w:rPr>
          <w:sz w:val="24"/>
          <w:szCs w:val="24"/>
        </w:rPr>
        <w:t xml:space="preserve"> </w:t>
      </w:r>
      <w:r w:rsidR="006C76F9" w:rsidRPr="004F5865">
        <w:rPr>
          <w:rFonts w:eastAsia="Calibri"/>
          <w:sz w:val="24"/>
          <w:szCs w:val="24"/>
        </w:rPr>
        <w:t xml:space="preserve">A relação da dimensão ambiental com </w:t>
      </w:r>
      <w:r w:rsidR="006C76F9" w:rsidRPr="004F5865">
        <w:rPr>
          <w:rFonts w:eastAsia="Calibri"/>
          <w:sz w:val="24"/>
          <w:szCs w:val="24"/>
        </w:rPr>
        <w:lastRenderedPageBreak/>
        <w:t xml:space="preserve">o conceito de sustentabilidade é manter “as equivalências de entradas e saídas de matéria, energia e de informações” (Almeida, 1995 </w:t>
      </w:r>
      <w:r w:rsidR="006C76F9" w:rsidRPr="004F5865">
        <w:rPr>
          <w:rFonts w:eastAsia="Calibri"/>
          <w:i/>
          <w:sz w:val="24"/>
          <w:szCs w:val="24"/>
        </w:rPr>
        <w:t xml:space="preserve">apud </w:t>
      </w:r>
      <w:r w:rsidR="006C76F9" w:rsidRPr="004F5865">
        <w:rPr>
          <w:rFonts w:eastAsia="Calibri"/>
          <w:sz w:val="24"/>
          <w:szCs w:val="24"/>
        </w:rPr>
        <w:t>Moura, 2002, p. 72).</w:t>
      </w:r>
    </w:p>
    <w:p w14:paraId="63E12048" w14:textId="5E901842" w:rsidR="00110856" w:rsidRDefault="00BE624F" w:rsidP="00613037">
      <w:pPr>
        <w:ind w:firstLine="709"/>
        <w:jc w:val="both"/>
        <w:rPr>
          <w:rFonts w:eastAsiaTheme="minorEastAsia"/>
          <w:sz w:val="24"/>
          <w:szCs w:val="24"/>
          <w:lang w:eastAsia="en-US"/>
        </w:rPr>
      </w:pPr>
      <w:r w:rsidRPr="004F63A7">
        <w:rPr>
          <w:sz w:val="24"/>
          <w:szCs w:val="24"/>
        </w:rPr>
        <w:t xml:space="preserve">O Gráfico </w:t>
      </w:r>
      <w:r w:rsidR="00AE7304" w:rsidRPr="004F63A7">
        <w:rPr>
          <w:sz w:val="24"/>
          <w:szCs w:val="24"/>
        </w:rPr>
        <w:t>5</w:t>
      </w:r>
      <w:r w:rsidRPr="004F63A7">
        <w:rPr>
          <w:sz w:val="24"/>
          <w:szCs w:val="24"/>
        </w:rPr>
        <w:t xml:space="preserve"> exibe o Valor Agregado</w:t>
      </w:r>
      <w:r w:rsidR="00FA047A" w:rsidRPr="004F63A7">
        <w:rPr>
          <w:sz w:val="24"/>
          <w:szCs w:val="24"/>
        </w:rPr>
        <w:t xml:space="preserve"> (VA)</w:t>
      </w:r>
      <w:r w:rsidRPr="004F63A7">
        <w:rPr>
          <w:sz w:val="24"/>
          <w:szCs w:val="24"/>
        </w:rPr>
        <w:t xml:space="preserve"> por </w:t>
      </w:r>
      <w:r w:rsidRPr="004F63A7">
        <w:rPr>
          <w:rFonts w:eastAsiaTheme="minorEastAsia"/>
          <w:sz w:val="24"/>
          <w:szCs w:val="24"/>
          <w:lang w:eastAsia="en-US"/>
        </w:rPr>
        <w:t>Área de Ação Antrópica (AAA)</w:t>
      </w:r>
      <w:r w:rsidR="00BD3172" w:rsidRPr="004F63A7">
        <w:rPr>
          <w:rFonts w:eastAsiaTheme="minorEastAsia"/>
          <w:sz w:val="24"/>
          <w:szCs w:val="24"/>
          <w:lang w:eastAsia="en-US"/>
        </w:rPr>
        <w:t xml:space="preserve"> em relação ao ano agrícola 2015/2016</w:t>
      </w:r>
      <w:r w:rsidRPr="004F63A7">
        <w:rPr>
          <w:rFonts w:eastAsiaTheme="minorEastAsia"/>
          <w:sz w:val="24"/>
          <w:szCs w:val="24"/>
          <w:lang w:eastAsia="en-US"/>
        </w:rPr>
        <w:t xml:space="preserve">. </w:t>
      </w:r>
      <w:r w:rsidR="00F6396F" w:rsidRPr="004F63A7">
        <w:rPr>
          <w:rFonts w:eastAsiaTheme="minorEastAsia"/>
          <w:sz w:val="24"/>
          <w:szCs w:val="24"/>
          <w:lang w:eastAsia="en-US"/>
        </w:rPr>
        <w:t>Analisando</w:t>
      </w:r>
      <w:r w:rsidR="009A738F" w:rsidRPr="004F63A7">
        <w:rPr>
          <w:rFonts w:eastAsiaTheme="minorEastAsia"/>
          <w:sz w:val="24"/>
          <w:szCs w:val="24"/>
          <w:lang w:eastAsia="en-US"/>
        </w:rPr>
        <w:t>-o</w:t>
      </w:r>
      <w:r w:rsidR="00F6396F" w:rsidRPr="004F63A7">
        <w:rPr>
          <w:rFonts w:eastAsiaTheme="minorEastAsia"/>
          <w:sz w:val="24"/>
          <w:szCs w:val="24"/>
          <w:lang w:eastAsia="en-US"/>
        </w:rPr>
        <w:t xml:space="preserve">, nota-se que a maioria das propriedades estudadas </w:t>
      </w:r>
      <w:r w:rsidR="009C0DFB" w:rsidRPr="004F63A7">
        <w:rPr>
          <w:rFonts w:eastAsiaTheme="minorEastAsia"/>
          <w:sz w:val="24"/>
          <w:szCs w:val="24"/>
          <w:lang w:eastAsia="en-US"/>
        </w:rPr>
        <w:t xml:space="preserve">geram riquezas </w:t>
      </w:r>
      <w:r w:rsidR="0062219B" w:rsidRPr="004F63A7">
        <w:rPr>
          <w:rFonts w:eastAsiaTheme="minorEastAsia"/>
          <w:sz w:val="24"/>
          <w:szCs w:val="24"/>
          <w:lang w:eastAsia="en-US"/>
        </w:rPr>
        <w:t xml:space="preserve">que não ultrapassam os </w:t>
      </w:r>
      <w:r w:rsidR="00145C3D" w:rsidRPr="004F63A7">
        <w:rPr>
          <w:rFonts w:eastAsiaTheme="minorEastAsia"/>
          <w:sz w:val="24"/>
          <w:szCs w:val="24"/>
          <w:lang w:eastAsia="en-US"/>
        </w:rPr>
        <w:t>R$</w:t>
      </w:r>
      <w:r w:rsidR="00F9575B">
        <w:rPr>
          <w:rFonts w:eastAsiaTheme="minorEastAsia"/>
          <w:sz w:val="24"/>
          <w:szCs w:val="24"/>
          <w:lang w:eastAsia="en-US"/>
        </w:rPr>
        <w:t xml:space="preserve"> </w:t>
      </w:r>
      <w:r w:rsidR="006C76F9">
        <w:rPr>
          <w:rFonts w:eastAsiaTheme="minorEastAsia"/>
          <w:sz w:val="24"/>
          <w:szCs w:val="24"/>
          <w:lang w:eastAsia="en-US"/>
        </w:rPr>
        <w:t>1</w:t>
      </w:r>
      <w:r w:rsidR="00145C3D" w:rsidRPr="004F63A7">
        <w:rPr>
          <w:rFonts w:eastAsiaTheme="minorEastAsia"/>
          <w:sz w:val="24"/>
          <w:szCs w:val="24"/>
          <w:lang w:eastAsia="en-US"/>
        </w:rPr>
        <w:t>.000,00</w:t>
      </w:r>
      <w:r w:rsidR="00F9575B">
        <w:rPr>
          <w:rFonts w:eastAsiaTheme="minorEastAsia"/>
          <w:sz w:val="24"/>
          <w:szCs w:val="24"/>
          <w:lang w:eastAsia="en-US"/>
        </w:rPr>
        <w:t xml:space="preserve"> por </w:t>
      </w:r>
      <w:r w:rsidR="0062219B" w:rsidRPr="004F63A7">
        <w:rPr>
          <w:rFonts w:eastAsiaTheme="minorEastAsia"/>
          <w:sz w:val="24"/>
          <w:szCs w:val="24"/>
          <w:lang w:eastAsia="en-US"/>
        </w:rPr>
        <w:t>hectare</w:t>
      </w:r>
      <w:r w:rsidR="00F9575B">
        <w:rPr>
          <w:rFonts w:eastAsiaTheme="minorEastAsia"/>
          <w:sz w:val="24"/>
          <w:szCs w:val="24"/>
          <w:lang w:eastAsia="en-US"/>
        </w:rPr>
        <w:t>, indicando que p</w:t>
      </w:r>
      <w:r w:rsidR="00FA047A" w:rsidRPr="003459C4">
        <w:rPr>
          <w:rFonts w:eastAsiaTheme="minorEastAsia"/>
          <w:sz w:val="24"/>
          <w:szCs w:val="24"/>
          <w:lang w:eastAsia="en-US"/>
        </w:rPr>
        <w:t>ossuem um baixo VA</w:t>
      </w:r>
      <w:r w:rsidR="00DC19D6" w:rsidRPr="003459C4">
        <w:rPr>
          <w:rFonts w:eastAsiaTheme="minorEastAsia"/>
          <w:sz w:val="24"/>
          <w:szCs w:val="24"/>
          <w:lang w:eastAsia="en-US"/>
        </w:rPr>
        <w:t xml:space="preserve"> </w:t>
      </w:r>
      <w:r w:rsidR="00F9575B">
        <w:rPr>
          <w:rFonts w:eastAsiaTheme="minorEastAsia"/>
          <w:sz w:val="24"/>
          <w:szCs w:val="24"/>
          <w:lang w:eastAsia="en-US"/>
        </w:rPr>
        <w:t>em relação à sua área produtiva.</w:t>
      </w:r>
      <w:r w:rsidR="008E6774" w:rsidRPr="003459C4">
        <w:rPr>
          <w:rFonts w:eastAsiaTheme="minorEastAsia"/>
          <w:sz w:val="24"/>
          <w:szCs w:val="24"/>
          <w:lang w:eastAsia="en-US"/>
        </w:rPr>
        <w:t xml:space="preserve"> </w:t>
      </w:r>
      <w:r w:rsidR="00F9575B">
        <w:rPr>
          <w:rFonts w:eastAsiaTheme="minorEastAsia"/>
          <w:sz w:val="24"/>
          <w:szCs w:val="24"/>
          <w:lang w:eastAsia="en-US"/>
        </w:rPr>
        <w:t xml:space="preserve">Uma das </w:t>
      </w:r>
      <w:r w:rsidR="00DC19D6" w:rsidRPr="003459C4">
        <w:rPr>
          <w:rFonts w:eastAsiaTheme="minorEastAsia"/>
          <w:sz w:val="24"/>
          <w:szCs w:val="24"/>
          <w:lang w:eastAsia="en-US"/>
        </w:rPr>
        <w:t>propriedade</w:t>
      </w:r>
      <w:r w:rsidR="00F9575B">
        <w:rPr>
          <w:rFonts w:eastAsiaTheme="minorEastAsia"/>
          <w:sz w:val="24"/>
          <w:szCs w:val="24"/>
          <w:lang w:eastAsia="en-US"/>
        </w:rPr>
        <w:t xml:space="preserve">s </w:t>
      </w:r>
      <w:r w:rsidR="00014F88">
        <w:rPr>
          <w:rFonts w:eastAsiaTheme="minorEastAsia"/>
          <w:sz w:val="24"/>
          <w:szCs w:val="24"/>
          <w:lang w:eastAsia="en-US"/>
        </w:rPr>
        <w:t>se destacou, por gerar</w:t>
      </w:r>
      <w:r w:rsidR="00DC19D6" w:rsidRPr="003459C4">
        <w:rPr>
          <w:rFonts w:eastAsiaTheme="minorEastAsia"/>
          <w:sz w:val="24"/>
          <w:szCs w:val="24"/>
          <w:lang w:eastAsia="en-US"/>
        </w:rPr>
        <w:t xml:space="preserve"> riquezas em torno de R$7.000,00</w:t>
      </w:r>
      <w:r w:rsidR="00014F88">
        <w:rPr>
          <w:rFonts w:eastAsiaTheme="minorEastAsia"/>
          <w:sz w:val="24"/>
          <w:szCs w:val="24"/>
          <w:lang w:eastAsia="en-US"/>
        </w:rPr>
        <w:t xml:space="preserve"> por </w:t>
      </w:r>
      <w:r w:rsidR="00655ED0" w:rsidRPr="003459C4">
        <w:rPr>
          <w:rFonts w:eastAsiaTheme="minorEastAsia"/>
          <w:sz w:val="24"/>
          <w:szCs w:val="24"/>
          <w:lang w:eastAsia="en-US"/>
        </w:rPr>
        <w:t>hectare</w:t>
      </w:r>
      <w:r w:rsidR="00DC19D6" w:rsidRPr="003459C4">
        <w:rPr>
          <w:rFonts w:eastAsiaTheme="minorEastAsia"/>
          <w:sz w:val="24"/>
          <w:szCs w:val="24"/>
          <w:lang w:eastAsia="en-US"/>
        </w:rPr>
        <w:t xml:space="preserve">. </w:t>
      </w:r>
    </w:p>
    <w:p w14:paraId="58FF8D6B" w14:textId="77777777" w:rsidR="00C64FD9" w:rsidRDefault="00C64FD9" w:rsidP="00613037">
      <w:pPr>
        <w:ind w:firstLine="709"/>
        <w:jc w:val="both"/>
        <w:rPr>
          <w:rFonts w:eastAsiaTheme="minorEastAsia"/>
          <w:sz w:val="24"/>
          <w:szCs w:val="24"/>
          <w:lang w:eastAsia="en-US"/>
        </w:rPr>
      </w:pPr>
    </w:p>
    <w:p w14:paraId="119212A2" w14:textId="614B133F" w:rsidR="00BE624F" w:rsidRPr="004F63A7" w:rsidRDefault="00BE624F" w:rsidP="007549EB">
      <w:r w:rsidRPr="004F63A7">
        <w:t xml:space="preserve">Gráfico </w:t>
      </w:r>
      <w:r w:rsidR="00AE7304" w:rsidRPr="004F63A7">
        <w:t>5</w:t>
      </w:r>
      <w:r w:rsidRPr="004F63A7">
        <w:t xml:space="preserve"> – Valor agregado pela superfície agrícola útil </w:t>
      </w:r>
      <w:r w:rsidR="00A74668" w:rsidRPr="004F63A7">
        <w:t>(2015/2016)</w:t>
      </w:r>
    </w:p>
    <w:p w14:paraId="084D5D48" w14:textId="0DBC0A2B" w:rsidR="00BE624F" w:rsidRPr="00A74668" w:rsidRDefault="00BE624F" w:rsidP="00BE624F">
      <w:pPr>
        <w:jc w:val="center"/>
        <w:rPr>
          <w:color w:val="FF0000"/>
        </w:rPr>
      </w:pPr>
      <w:r w:rsidRPr="00A74668">
        <w:rPr>
          <w:noProof/>
          <w:color w:val="FF0000"/>
        </w:rPr>
        <w:drawing>
          <wp:inline distT="0" distB="0" distL="0" distR="0" wp14:anchorId="5AA85F85" wp14:editId="075C668D">
            <wp:extent cx="5742000" cy="1980000"/>
            <wp:effectExtent l="0" t="0" r="11430" b="12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DB8484" w14:textId="0CBF55A0" w:rsidR="009B1ADA" w:rsidRDefault="009B1ADA" w:rsidP="009B1ADA">
      <w:r w:rsidRPr="009D1953">
        <w:t xml:space="preserve">Fonte: </w:t>
      </w:r>
      <w:r w:rsidR="0028108E">
        <w:t>A</w:t>
      </w:r>
      <w:r>
        <w:t>utores com base nos dados da pesquisa (2018).</w:t>
      </w:r>
    </w:p>
    <w:p w14:paraId="56A43C45" w14:textId="75A8FEC7" w:rsidR="00110856" w:rsidRDefault="00110856" w:rsidP="009B1ADA"/>
    <w:p w14:paraId="7832BE5E" w14:textId="77777777" w:rsidR="00110856" w:rsidRPr="003459C4" w:rsidRDefault="00110856" w:rsidP="00110856">
      <w:pPr>
        <w:ind w:firstLine="709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Não é possível afirmar, porém, que essa unidade produtiva é sustentável em relação ao meio ambiente, uma vez que não foi feito acompanhamento para verificar o uso de agrotóxicos e máquinas, por exemplo.</w:t>
      </w:r>
      <w:r w:rsidRPr="003459C4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Contudo,</w:t>
      </w:r>
      <w:r w:rsidRPr="003459C4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essa propriedade foi</w:t>
      </w:r>
      <w:r w:rsidRPr="003459C4">
        <w:rPr>
          <w:rFonts w:eastAsiaTheme="minorEastAsia"/>
          <w:sz w:val="24"/>
          <w:szCs w:val="24"/>
          <w:lang w:eastAsia="en-US"/>
        </w:rPr>
        <w:t xml:space="preserve"> a mais produtiva</w:t>
      </w:r>
      <w:r>
        <w:rPr>
          <w:rFonts w:eastAsiaTheme="minorEastAsia"/>
          <w:sz w:val="24"/>
          <w:szCs w:val="24"/>
          <w:lang w:eastAsia="en-US"/>
        </w:rPr>
        <w:t xml:space="preserve"> no período</w:t>
      </w:r>
      <w:r w:rsidRPr="003459C4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considerando que produziu maior valor agregado em relação à sua área de ação antrópica.</w:t>
      </w:r>
    </w:p>
    <w:p w14:paraId="034B7CA4" w14:textId="37ACA1B2" w:rsidR="00290529" w:rsidRDefault="00AA1540" w:rsidP="002154FE">
      <w:pPr>
        <w:jc w:val="both"/>
      </w:pPr>
      <w:r w:rsidRPr="004F63A7">
        <w:tab/>
      </w:r>
      <w:r w:rsidR="00263D91">
        <w:rPr>
          <w:sz w:val="24"/>
          <w:szCs w:val="24"/>
        </w:rPr>
        <w:t xml:space="preserve">No Gráfico 6, pode-se observar </w:t>
      </w:r>
      <w:r w:rsidRPr="004F63A7">
        <w:rPr>
          <w:sz w:val="24"/>
          <w:szCs w:val="24"/>
        </w:rPr>
        <w:t xml:space="preserve">o Valor Agregado (VA) por </w:t>
      </w:r>
      <w:r w:rsidRPr="004F63A7">
        <w:rPr>
          <w:rFonts w:eastAsiaTheme="minorEastAsia"/>
          <w:sz w:val="24"/>
          <w:szCs w:val="24"/>
          <w:lang w:eastAsia="en-US"/>
        </w:rPr>
        <w:t xml:space="preserve">Área de Ação Antrópica (AAA) em relação ao ano agrícola 2016/2017. </w:t>
      </w:r>
      <w:r w:rsidR="00263D91">
        <w:rPr>
          <w:rFonts w:eastAsiaTheme="minorEastAsia"/>
          <w:sz w:val="24"/>
          <w:szCs w:val="24"/>
          <w:lang w:eastAsia="en-US"/>
        </w:rPr>
        <w:t>Percebe-se</w:t>
      </w:r>
      <w:r w:rsidRPr="004F63A7">
        <w:rPr>
          <w:rFonts w:eastAsiaTheme="minorEastAsia"/>
          <w:sz w:val="24"/>
          <w:szCs w:val="24"/>
          <w:lang w:eastAsia="en-US"/>
        </w:rPr>
        <w:t xml:space="preserve"> </w:t>
      </w:r>
      <w:r w:rsidR="00841527" w:rsidRPr="004F63A7">
        <w:rPr>
          <w:rFonts w:eastAsiaTheme="minorEastAsia"/>
          <w:sz w:val="24"/>
          <w:szCs w:val="24"/>
          <w:lang w:eastAsia="en-US"/>
        </w:rPr>
        <w:t>que a maioria das propriedades geraram riquezas em torno de R$</w:t>
      </w:r>
      <w:r w:rsidR="00AC252A">
        <w:rPr>
          <w:rFonts w:eastAsiaTheme="minorEastAsia"/>
          <w:sz w:val="24"/>
          <w:szCs w:val="24"/>
          <w:lang w:eastAsia="en-US"/>
        </w:rPr>
        <w:t>2</w:t>
      </w:r>
      <w:r w:rsidR="002154FE" w:rsidRPr="004F63A7">
        <w:rPr>
          <w:rFonts w:eastAsiaTheme="minorEastAsia"/>
          <w:sz w:val="24"/>
          <w:szCs w:val="24"/>
          <w:lang w:eastAsia="en-US"/>
        </w:rPr>
        <w:t>.000,00</w:t>
      </w:r>
      <w:r w:rsidR="00263D91">
        <w:rPr>
          <w:rFonts w:eastAsiaTheme="minorEastAsia"/>
          <w:sz w:val="24"/>
          <w:szCs w:val="24"/>
          <w:lang w:eastAsia="en-US"/>
        </w:rPr>
        <w:t xml:space="preserve"> por </w:t>
      </w:r>
      <w:r w:rsidR="001F6BBA" w:rsidRPr="004F63A7">
        <w:rPr>
          <w:rFonts w:eastAsiaTheme="minorEastAsia"/>
          <w:sz w:val="24"/>
          <w:szCs w:val="24"/>
          <w:lang w:eastAsia="en-US"/>
        </w:rPr>
        <w:t>hectare</w:t>
      </w:r>
      <w:r w:rsidR="002154FE" w:rsidRPr="004F63A7">
        <w:rPr>
          <w:rFonts w:eastAsiaTheme="minorEastAsia"/>
          <w:sz w:val="24"/>
          <w:szCs w:val="24"/>
          <w:lang w:eastAsia="en-US"/>
        </w:rPr>
        <w:t xml:space="preserve">. </w:t>
      </w:r>
      <w:r w:rsidR="00263D91">
        <w:rPr>
          <w:rFonts w:eastAsiaTheme="minorEastAsia"/>
          <w:sz w:val="24"/>
          <w:szCs w:val="24"/>
          <w:lang w:eastAsia="en-US"/>
        </w:rPr>
        <w:t>A</w:t>
      </w:r>
      <w:r w:rsidR="002154FE" w:rsidRPr="004F63A7">
        <w:rPr>
          <w:rFonts w:eastAsiaTheme="minorEastAsia"/>
          <w:sz w:val="24"/>
          <w:szCs w:val="24"/>
          <w:lang w:eastAsia="en-US"/>
        </w:rPr>
        <w:t xml:space="preserve">lgumas propriedades ficaram abaixo desse valor, o que indica que elas podem apresentar um valor baixo de VA para uma quantidade significativa </w:t>
      </w:r>
      <w:r w:rsidR="004E0137" w:rsidRPr="004F63A7">
        <w:rPr>
          <w:rFonts w:eastAsiaTheme="minorEastAsia"/>
          <w:sz w:val="24"/>
          <w:szCs w:val="24"/>
          <w:lang w:eastAsia="en-US"/>
        </w:rPr>
        <w:t>de AAA.</w:t>
      </w:r>
      <w:r w:rsidR="00BF5F04" w:rsidRPr="004F63A7">
        <w:rPr>
          <w:rFonts w:eastAsiaTheme="minorEastAsia"/>
          <w:sz w:val="24"/>
          <w:szCs w:val="24"/>
          <w:lang w:eastAsia="en-US"/>
        </w:rPr>
        <w:t xml:space="preserve"> </w:t>
      </w:r>
      <w:r w:rsidR="00263D91">
        <w:rPr>
          <w:rFonts w:eastAsiaTheme="minorEastAsia"/>
          <w:sz w:val="24"/>
          <w:szCs w:val="24"/>
          <w:lang w:eastAsia="en-US"/>
        </w:rPr>
        <w:t xml:space="preserve">Uma </w:t>
      </w:r>
      <w:r w:rsidR="00BF5F04" w:rsidRPr="004F63A7">
        <w:rPr>
          <w:rFonts w:eastAsiaTheme="minorEastAsia"/>
          <w:sz w:val="24"/>
          <w:szCs w:val="24"/>
          <w:lang w:eastAsia="en-US"/>
        </w:rPr>
        <w:t xml:space="preserve">propriedade </w:t>
      </w:r>
      <w:r w:rsidR="00263D91">
        <w:rPr>
          <w:rFonts w:eastAsiaTheme="minorEastAsia"/>
          <w:sz w:val="24"/>
          <w:szCs w:val="24"/>
          <w:lang w:eastAsia="en-US"/>
        </w:rPr>
        <w:t>destacou-se</w:t>
      </w:r>
      <w:r w:rsidR="00BF5F04" w:rsidRPr="004F63A7">
        <w:rPr>
          <w:rFonts w:eastAsiaTheme="minorEastAsia"/>
          <w:sz w:val="24"/>
          <w:szCs w:val="24"/>
          <w:lang w:eastAsia="en-US"/>
        </w:rPr>
        <w:t xml:space="preserve"> entre as </w:t>
      </w:r>
      <w:r w:rsidR="00263D91">
        <w:rPr>
          <w:rFonts w:eastAsiaTheme="minorEastAsia"/>
          <w:sz w:val="24"/>
          <w:szCs w:val="24"/>
          <w:lang w:eastAsia="en-US"/>
        </w:rPr>
        <w:t>demais (número 49), a qual gerou</w:t>
      </w:r>
      <w:r w:rsidR="00BF5F04" w:rsidRPr="004F63A7">
        <w:rPr>
          <w:rFonts w:eastAsiaTheme="minorEastAsia"/>
          <w:sz w:val="24"/>
          <w:szCs w:val="24"/>
          <w:lang w:eastAsia="en-US"/>
        </w:rPr>
        <w:t xml:space="preserve"> uma r</w:t>
      </w:r>
      <w:r w:rsidR="00263D91">
        <w:rPr>
          <w:rFonts w:eastAsiaTheme="minorEastAsia"/>
          <w:sz w:val="24"/>
          <w:szCs w:val="24"/>
          <w:lang w:eastAsia="en-US"/>
        </w:rPr>
        <w:t>iqueza equivalente a R$7.000,00 por hectare.</w:t>
      </w:r>
    </w:p>
    <w:p w14:paraId="6DEEA4EE" w14:textId="270977A0" w:rsidR="00290529" w:rsidRDefault="00290529" w:rsidP="002154FE">
      <w:pPr>
        <w:jc w:val="both"/>
      </w:pPr>
    </w:p>
    <w:p w14:paraId="0E70A6AF" w14:textId="72A8BE53" w:rsidR="00783749" w:rsidRPr="004F63A7" w:rsidRDefault="00AE7304" w:rsidP="007549EB">
      <w:r w:rsidRPr="004F63A7">
        <w:t>Gráfico 6 – Valor agregado pela superfície agrícola útil (2016/2017)</w:t>
      </w:r>
    </w:p>
    <w:p w14:paraId="4A51D4AA" w14:textId="4298161A" w:rsidR="00973C02" w:rsidRDefault="00EA2583" w:rsidP="00BE624F">
      <w:pPr>
        <w:jc w:val="center"/>
        <w:rPr>
          <w:color w:val="FF0000"/>
        </w:rPr>
      </w:pPr>
      <w:r w:rsidRPr="00144585">
        <w:rPr>
          <w:noProof/>
          <w:color w:val="595959" w:themeColor="text1" w:themeTint="A6"/>
        </w:rPr>
        <w:drawing>
          <wp:inline distT="0" distB="0" distL="0" distR="0" wp14:anchorId="7B5D6076" wp14:editId="399F18E3">
            <wp:extent cx="5742000" cy="1980000"/>
            <wp:effectExtent l="0" t="0" r="11430" b="127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F94AD19" w14:textId="23449160" w:rsidR="00C61AB5" w:rsidRPr="004F5865" w:rsidRDefault="009B1ADA" w:rsidP="007549EB">
      <w:r w:rsidRPr="009D1953">
        <w:t xml:space="preserve">Fonte: </w:t>
      </w:r>
      <w:r w:rsidR="0028108E">
        <w:t>A</w:t>
      </w:r>
      <w:r>
        <w:t>utores com base nos dados da pesquisa (2018).</w:t>
      </w:r>
    </w:p>
    <w:p w14:paraId="3E7762B7" w14:textId="0512E964" w:rsidR="00894FB2" w:rsidRPr="004F5865" w:rsidRDefault="00894FB2" w:rsidP="00BE624F">
      <w:pPr>
        <w:jc w:val="center"/>
      </w:pPr>
    </w:p>
    <w:p w14:paraId="76E19D8E" w14:textId="1889D6D6" w:rsidR="00BE624F" w:rsidRDefault="00894FB2" w:rsidP="00987E12">
      <w:pPr>
        <w:jc w:val="both"/>
        <w:rPr>
          <w:rFonts w:eastAsiaTheme="minorHAnsi"/>
          <w:sz w:val="24"/>
          <w:szCs w:val="24"/>
          <w:lang w:eastAsia="en-US"/>
        </w:rPr>
      </w:pPr>
      <w:r w:rsidRPr="004F5865">
        <w:rPr>
          <w:sz w:val="24"/>
          <w:szCs w:val="24"/>
        </w:rPr>
        <w:tab/>
        <w:t xml:space="preserve">Ao comparar os anos agrícolas de 2015/2016 e 2016/2017, </w:t>
      </w:r>
      <w:r w:rsidR="00AE651F">
        <w:rPr>
          <w:sz w:val="24"/>
          <w:szCs w:val="24"/>
        </w:rPr>
        <w:t>infere-se</w:t>
      </w:r>
      <w:r w:rsidRPr="004F5865">
        <w:rPr>
          <w:sz w:val="24"/>
          <w:szCs w:val="24"/>
        </w:rPr>
        <w:t xml:space="preserve"> </w:t>
      </w:r>
      <w:r w:rsidR="00790D93" w:rsidRPr="004F5865">
        <w:rPr>
          <w:sz w:val="24"/>
          <w:szCs w:val="24"/>
        </w:rPr>
        <w:t xml:space="preserve">que os Valores Agregados por </w:t>
      </w:r>
      <w:r w:rsidR="00790D93" w:rsidRPr="004F5865">
        <w:rPr>
          <w:rFonts w:eastAsiaTheme="minorEastAsia"/>
          <w:sz w:val="24"/>
          <w:szCs w:val="24"/>
          <w:lang w:eastAsia="en-US"/>
        </w:rPr>
        <w:t>Área de Ação Antrópica</w:t>
      </w:r>
      <w:r w:rsidR="00F01CC0" w:rsidRPr="004F5865">
        <w:rPr>
          <w:rFonts w:eastAsiaTheme="minorEastAsia"/>
          <w:sz w:val="24"/>
          <w:szCs w:val="24"/>
          <w:lang w:eastAsia="en-US"/>
        </w:rPr>
        <w:t xml:space="preserve"> apresentaram um aumento </w:t>
      </w:r>
      <w:r w:rsidR="00B5758B">
        <w:rPr>
          <w:rFonts w:eastAsiaTheme="minorEastAsia"/>
          <w:sz w:val="24"/>
          <w:szCs w:val="24"/>
          <w:lang w:eastAsia="en-US"/>
        </w:rPr>
        <w:t xml:space="preserve">do primeiro ano para o segundo </w:t>
      </w:r>
      <w:r w:rsidR="00F01CC0" w:rsidRPr="004F5865">
        <w:rPr>
          <w:rFonts w:eastAsiaTheme="minorEastAsia"/>
          <w:sz w:val="24"/>
          <w:szCs w:val="24"/>
          <w:lang w:eastAsia="en-US"/>
        </w:rPr>
        <w:t>entre as propriedades</w:t>
      </w:r>
      <w:r w:rsidR="00635ACA" w:rsidRPr="004F5865">
        <w:rPr>
          <w:rFonts w:eastAsiaTheme="minorEastAsia"/>
          <w:sz w:val="24"/>
          <w:szCs w:val="24"/>
          <w:lang w:eastAsia="en-US"/>
        </w:rPr>
        <w:t xml:space="preserve"> estudadas</w:t>
      </w:r>
      <w:r w:rsidR="00F01CC0" w:rsidRPr="004F5865">
        <w:rPr>
          <w:rFonts w:eastAsiaTheme="minorEastAsia"/>
          <w:sz w:val="24"/>
          <w:szCs w:val="24"/>
          <w:lang w:eastAsia="en-US"/>
        </w:rPr>
        <w:t>.</w:t>
      </w:r>
      <w:r w:rsidR="00D00C41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8627FD" w:rsidRPr="004F5865">
        <w:rPr>
          <w:rFonts w:eastAsiaTheme="minorEastAsia"/>
          <w:sz w:val="24"/>
          <w:szCs w:val="24"/>
          <w:lang w:eastAsia="en-US"/>
        </w:rPr>
        <w:t xml:space="preserve"> Isso indica que </w:t>
      </w:r>
      <w:r w:rsidR="0049592B" w:rsidRPr="004F5865">
        <w:rPr>
          <w:rFonts w:eastAsiaTheme="minorEastAsia"/>
          <w:sz w:val="24"/>
          <w:szCs w:val="24"/>
          <w:lang w:eastAsia="en-US"/>
        </w:rPr>
        <w:t>as propriedades</w:t>
      </w:r>
      <w:r w:rsidR="00263D91">
        <w:rPr>
          <w:rFonts w:eastAsiaTheme="minorEastAsia"/>
          <w:sz w:val="24"/>
          <w:szCs w:val="24"/>
          <w:lang w:eastAsia="en-US"/>
        </w:rPr>
        <w:t>,</w:t>
      </w:r>
      <w:r w:rsidR="0049592B" w:rsidRPr="004F5865">
        <w:rPr>
          <w:rFonts w:eastAsiaTheme="minorEastAsia"/>
          <w:sz w:val="24"/>
          <w:szCs w:val="24"/>
          <w:lang w:eastAsia="en-US"/>
        </w:rPr>
        <w:t xml:space="preserve"> no geral</w:t>
      </w:r>
      <w:r w:rsidR="00263D91">
        <w:rPr>
          <w:rFonts w:eastAsiaTheme="minorEastAsia"/>
          <w:sz w:val="24"/>
          <w:szCs w:val="24"/>
          <w:lang w:eastAsia="en-US"/>
        </w:rPr>
        <w:t>,</w:t>
      </w:r>
      <w:r w:rsidR="0049592B" w:rsidRPr="004F5865">
        <w:rPr>
          <w:rFonts w:eastAsiaTheme="minorEastAsia"/>
          <w:sz w:val="24"/>
          <w:szCs w:val="24"/>
          <w:lang w:eastAsia="en-US"/>
        </w:rPr>
        <w:t xml:space="preserve"> estão gerando mais riquezas em relação a </w:t>
      </w:r>
      <w:r w:rsidR="00956F63">
        <w:rPr>
          <w:rFonts w:eastAsiaTheme="minorEastAsia"/>
          <w:sz w:val="24"/>
          <w:szCs w:val="24"/>
          <w:lang w:eastAsia="en-US"/>
        </w:rPr>
        <w:t xml:space="preserve">área </w:t>
      </w:r>
      <w:r w:rsidR="00E618B6">
        <w:rPr>
          <w:rFonts w:eastAsiaTheme="minorEastAsia"/>
          <w:sz w:val="24"/>
          <w:szCs w:val="24"/>
          <w:lang w:eastAsia="en-US"/>
        </w:rPr>
        <w:t>útil</w:t>
      </w:r>
      <w:r w:rsidR="0049592B" w:rsidRPr="004F5865">
        <w:rPr>
          <w:rFonts w:eastAsiaTheme="minorEastAsia"/>
          <w:sz w:val="24"/>
          <w:szCs w:val="24"/>
          <w:lang w:eastAsia="en-US"/>
        </w:rPr>
        <w:t xml:space="preserve"> da propriedade.</w:t>
      </w:r>
      <w:r w:rsidR="00F01CC0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BE624F" w:rsidRPr="004F5865">
        <w:rPr>
          <w:rFonts w:eastAsiaTheme="minorEastAsia"/>
          <w:sz w:val="24"/>
          <w:szCs w:val="24"/>
          <w:lang w:eastAsia="en-US"/>
        </w:rPr>
        <w:t>As propriedades que se destaca</w:t>
      </w:r>
      <w:r w:rsidR="00263D91">
        <w:rPr>
          <w:rFonts w:eastAsiaTheme="minorEastAsia"/>
          <w:sz w:val="24"/>
          <w:szCs w:val="24"/>
          <w:lang w:eastAsia="en-US"/>
        </w:rPr>
        <w:t>ra</w:t>
      </w:r>
      <w:r w:rsidR="00BE624F" w:rsidRPr="004F5865">
        <w:rPr>
          <w:rFonts w:eastAsiaTheme="minorEastAsia"/>
          <w:sz w:val="24"/>
          <w:szCs w:val="24"/>
          <w:lang w:eastAsia="en-US"/>
        </w:rPr>
        <w:t xml:space="preserve">m </w:t>
      </w:r>
      <w:r w:rsidR="00BE624F" w:rsidRPr="004F5865">
        <w:rPr>
          <w:rFonts w:eastAsiaTheme="minorEastAsia"/>
          <w:sz w:val="24"/>
          <w:szCs w:val="24"/>
          <w:lang w:eastAsia="en-US"/>
        </w:rPr>
        <w:lastRenderedPageBreak/>
        <w:t>no</w:t>
      </w:r>
      <w:r w:rsidR="00C656C8" w:rsidRPr="004F5865">
        <w:rPr>
          <w:rFonts w:eastAsiaTheme="minorEastAsia"/>
          <w:sz w:val="24"/>
          <w:szCs w:val="24"/>
          <w:lang w:eastAsia="en-US"/>
        </w:rPr>
        <w:t>s</w:t>
      </w:r>
      <w:r w:rsidR="00BE624F" w:rsidRPr="004F5865">
        <w:rPr>
          <w:rFonts w:eastAsiaTheme="minorEastAsia"/>
          <w:sz w:val="24"/>
          <w:szCs w:val="24"/>
          <w:lang w:eastAsia="en-US"/>
        </w:rPr>
        <w:t xml:space="preserve"> Gráfico</w:t>
      </w:r>
      <w:r w:rsidR="00C656C8" w:rsidRPr="004F5865">
        <w:rPr>
          <w:rFonts w:eastAsiaTheme="minorEastAsia"/>
          <w:sz w:val="24"/>
          <w:szCs w:val="24"/>
          <w:lang w:eastAsia="en-US"/>
        </w:rPr>
        <w:t>s</w:t>
      </w:r>
      <w:r w:rsidR="00BE624F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6A76FB" w:rsidRPr="004F5865">
        <w:rPr>
          <w:rFonts w:eastAsiaTheme="minorEastAsia"/>
          <w:sz w:val="24"/>
          <w:szCs w:val="24"/>
          <w:lang w:eastAsia="en-US"/>
        </w:rPr>
        <w:t>5</w:t>
      </w:r>
      <w:r w:rsidR="00BE624F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C656C8" w:rsidRPr="004F5865">
        <w:rPr>
          <w:rFonts w:eastAsiaTheme="minorEastAsia"/>
          <w:sz w:val="24"/>
          <w:szCs w:val="24"/>
          <w:lang w:eastAsia="en-US"/>
        </w:rPr>
        <w:t>e 6</w:t>
      </w:r>
      <w:r w:rsidR="004552CF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BE624F" w:rsidRPr="004F5865">
        <w:rPr>
          <w:rFonts w:eastAsiaTheme="minorEastAsia"/>
          <w:sz w:val="24"/>
          <w:szCs w:val="24"/>
          <w:lang w:eastAsia="en-US"/>
        </w:rPr>
        <w:t xml:space="preserve">são aquelas que </w:t>
      </w:r>
      <w:r w:rsidR="00BE624F" w:rsidRPr="004F5865">
        <w:rPr>
          <w:rFonts w:eastAsiaTheme="minorHAnsi"/>
          <w:sz w:val="24"/>
          <w:szCs w:val="24"/>
          <w:lang w:eastAsia="en-US"/>
        </w:rPr>
        <w:t>gera</w:t>
      </w:r>
      <w:r w:rsidR="00263D91">
        <w:rPr>
          <w:rFonts w:eastAsiaTheme="minorHAnsi"/>
          <w:sz w:val="24"/>
          <w:szCs w:val="24"/>
          <w:lang w:eastAsia="en-US"/>
        </w:rPr>
        <w:t>ra</w:t>
      </w:r>
      <w:r w:rsidR="00BE624F" w:rsidRPr="004F5865">
        <w:rPr>
          <w:rFonts w:eastAsiaTheme="minorHAnsi"/>
          <w:sz w:val="24"/>
          <w:szCs w:val="24"/>
          <w:lang w:eastAsia="en-US"/>
        </w:rPr>
        <w:t xml:space="preserve">m maior riqueza nas áreas utilizadas com atividades agrícolas e extrativistas. </w:t>
      </w:r>
    </w:p>
    <w:p w14:paraId="4866592E" w14:textId="77777777" w:rsidR="00BE624F" w:rsidRPr="00A74668" w:rsidRDefault="00BE624F" w:rsidP="00BE624F">
      <w:pPr>
        <w:rPr>
          <w:color w:val="FF0000"/>
          <w:sz w:val="24"/>
          <w:szCs w:val="24"/>
        </w:rPr>
      </w:pPr>
    </w:p>
    <w:p w14:paraId="2874713A" w14:textId="7B0383BD" w:rsidR="00487963" w:rsidRPr="00263D91" w:rsidRDefault="0028108E" w:rsidP="00263D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4.5 </w:t>
      </w:r>
      <w:r w:rsidR="00AE651F">
        <w:rPr>
          <w:b/>
          <w:sz w:val="24"/>
          <w:szCs w:val="24"/>
        </w:rPr>
        <w:t>Análise Global dos Indicadores de S</w:t>
      </w:r>
      <w:r w:rsidR="008A4611" w:rsidRPr="00263D91">
        <w:rPr>
          <w:b/>
          <w:sz w:val="24"/>
          <w:szCs w:val="24"/>
        </w:rPr>
        <w:t xml:space="preserve">ustentabilidade </w:t>
      </w:r>
    </w:p>
    <w:p w14:paraId="7F06BFF3" w14:textId="77777777" w:rsidR="00487963" w:rsidRPr="00370ED8" w:rsidRDefault="00487963" w:rsidP="00487963">
      <w:pPr>
        <w:pStyle w:val="PargrafodaLista"/>
        <w:ind w:left="936"/>
        <w:rPr>
          <w:b/>
          <w:sz w:val="24"/>
          <w:szCs w:val="24"/>
        </w:rPr>
      </w:pPr>
    </w:p>
    <w:p w14:paraId="7CE60039" w14:textId="153B97D0" w:rsidR="008A4611" w:rsidRPr="00370ED8" w:rsidRDefault="00487963" w:rsidP="005931C8">
      <w:pPr>
        <w:jc w:val="both"/>
        <w:rPr>
          <w:sz w:val="24"/>
          <w:szCs w:val="24"/>
        </w:rPr>
      </w:pPr>
      <w:r w:rsidRPr="00370ED8">
        <w:rPr>
          <w:sz w:val="24"/>
          <w:szCs w:val="24"/>
        </w:rPr>
        <w:tab/>
      </w:r>
      <w:r w:rsidR="00263D91">
        <w:rPr>
          <w:sz w:val="24"/>
          <w:szCs w:val="24"/>
        </w:rPr>
        <w:t xml:space="preserve">A </w:t>
      </w:r>
      <w:r w:rsidR="00D50737" w:rsidRPr="00370ED8">
        <w:rPr>
          <w:sz w:val="24"/>
          <w:szCs w:val="24"/>
        </w:rPr>
        <w:t>análise global</w:t>
      </w:r>
      <w:r w:rsidR="00D20B17" w:rsidRPr="00370ED8">
        <w:rPr>
          <w:sz w:val="24"/>
          <w:szCs w:val="24"/>
        </w:rPr>
        <w:t xml:space="preserve"> dos indicadores que foram discutidos ao longo do estudo</w:t>
      </w:r>
      <w:r w:rsidR="00263D91">
        <w:rPr>
          <w:sz w:val="24"/>
          <w:szCs w:val="24"/>
        </w:rPr>
        <w:t xml:space="preserve"> é exibida na Tabela 3, </w:t>
      </w:r>
      <w:r w:rsidR="007E27F6" w:rsidRPr="00370ED8">
        <w:rPr>
          <w:sz w:val="24"/>
          <w:szCs w:val="24"/>
        </w:rPr>
        <w:t>ressaltando que</w:t>
      </w:r>
      <w:r w:rsidR="00A91EA5" w:rsidRPr="00370ED8">
        <w:rPr>
          <w:sz w:val="24"/>
          <w:szCs w:val="24"/>
        </w:rPr>
        <w:t xml:space="preserve"> foram analisados</w:t>
      </w:r>
      <w:r w:rsidR="007E27F6" w:rsidRPr="00370ED8">
        <w:rPr>
          <w:sz w:val="24"/>
          <w:szCs w:val="24"/>
        </w:rPr>
        <w:t xml:space="preserve"> dois anos agrícolas</w:t>
      </w:r>
      <w:r w:rsidR="00263D91">
        <w:rPr>
          <w:sz w:val="24"/>
          <w:szCs w:val="24"/>
        </w:rPr>
        <w:t>,</w:t>
      </w:r>
      <w:r w:rsidR="007E27F6" w:rsidRPr="00370ED8">
        <w:rPr>
          <w:sz w:val="24"/>
          <w:szCs w:val="24"/>
        </w:rPr>
        <w:t xml:space="preserve"> e</w:t>
      </w:r>
      <w:r w:rsidR="00A91EA5" w:rsidRPr="00370ED8">
        <w:rPr>
          <w:sz w:val="24"/>
          <w:szCs w:val="24"/>
        </w:rPr>
        <w:t xml:space="preserve"> em ambos os</w:t>
      </w:r>
      <w:r w:rsidR="0068285E" w:rsidRPr="00370ED8">
        <w:rPr>
          <w:sz w:val="24"/>
          <w:szCs w:val="24"/>
        </w:rPr>
        <w:t xml:space="preserve"> períodos</w:t>
      </w:r>
      <w:r w:rsidR="005931C8" w:rsidRPr="00370ED8">
        <w:rPr>
          <w:sz w:val="24"/>
          <w:szCs w:val="24"/>
        </w:rPr>
        <w:t xml:space="preserve"> </w:t>
      </w:r>
      <w:r w:rsidR="00DD2FCF">
        <w:rPr>
          <w:sz w:val="24"/>
          <w:szCs w:val="24"/>
        </w:rPr>
        <w:t xml:space="preserve">se </w:t>
      </w:r>
      <w:r w:rsidR="005931C8" w:rsidRPr="00370ED8">
        <w:rPr>
          <w:sz w:val="24"/>
          <w:szCs w:val="24"/>
        </w:rPr>
        <w:t>utilizou</w:t>
      </w:r>
      <w:r w:rsidR="00A91EA5" w:rsidRPr="00370ED8">
        <w:rPr>
          <w:sz w:val="24"/>
          <w:szCs w:val="24"/>
        </w:rPr>
        <w:t xml:space="preserve"> 73 propriedades</w:t>
      </w:r>
      <w:r w:rsidR="00263D91">
        <w:rPr>
          <w:sz w:val="24"/>
          <w:szCs w:val="24"/>
        </w:rPr>
        <w:t xml:space="preserve"> de agricultura familiar do estado de Santa Catarina</w:t>
      </w:r>
      <w:r w:rsidR="005931C8" w:rsidRPr="00370ED8">
        <w:rPr>
          <w:sz w:val="24"/>
          <w:szCs w:val="24"/>
        </w:rPr>
        <w:t xml:space="preserve">. </w:t>
      </w:r>
    </w:p>
    <w:p w14:paraId="1EA381C5" w14:textId="77777777" w:rsidR="008A4611" w:rsidRPr="00370ED8" w:rsidRDefault="008A4611" w:rsidP="008A4611">
      <w:pPr>
        <w:rPr>
          <w:sz w:val="24"/>
          <w:szCs w:val="24"/>
        </w:rPr>
      </w:pPr>
      <w:r w:rsidRPr="00370ED8">
        <w:rPr>
          <w:sz w:val="24"/>
          <w:szCs w:val="24"/>
        </w:rPr>
        <w:t xml:space="preserve"> </w:t>
      </w:r>
    </w:p>
    <w:p w14:paraId="08CA7393" w14:textId="324EC677" w:rsidR="00C3399D" w:rsidRPr="007549EB" w:rsidRDefault="008A4611" w:rsidP="008A4611">
      <w:r w:rsidRPr="007549EB">
        <w:t xml:space="preserve">Tabela </w:t>
      </w:r>
      <w:r w:rsidR="00830225" w:rsidRPr="007549EB">
        <w:t>3</w:t>
      </w:r>
      <w:r w:rsidRPr="007549EB">
        <w:t xml:space="preserve"> - Média dos Indicadores do Critério da </w:t>
      </w:r>
      <w:r w:rsidR="00C3399D" w:rsidRPr="007549EB">
        <w:t>Produtividade</w:t>
      </w:r>
    </w:p>
    <w:tbl>
      <w:tblPr>
        <w:tblStyle w:val="Tabelacomgrade"/>
        <w:tblW w:w="9023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90"/>
        <w:gridCol w:w="2624"/>
        <w:gridCol w:w="3009"/>
      </w:tblGrid>
      <w:tr w:rsidR="00370ED8" w:rsidRPr="00370ED8" w14:paraId="1535BA3E" w14:textId="77777777" w:rsidTr="00490466">
        <w:trPr>
          <w:trHeight w:val="20"/>
          <w:jc w:val="center"/>
        </w:trPr>
        <w:tc>
          <w:tcPr>
            <w:tcW w:w="3390" w:type="dxa"/>
            <w:vMerge w:val="restart"/>
            <w:vAlign w:val="center"/>
          </w:tcPr>
          <w:p w14:paraId="0861A6EC" w14:textId="3460DC15" w:rsidR="00DC1AF4" w:rsidRPr="009B1ADA" w:rsidRDefault="009B1ADA" w:rsidP="009B1ADA">
            <w:pPr>
              <w:jc w:val="center"/>
              <w:rPr>
                <w:b/>
              </w:rPr>
            </w:pPr>
            <w:r>
              <w:rPr>
                <w:b/>
              </w:rPr>
              <w:t>INDICADORES DO</w:t>
            </w:r>
            <w:r w:rsidRPr="009B1ADA">
              <w:rPr>
                <w:b/>
              </w:rPr>
              <w:t>CRITÉRIO DA PRODUTIVIDADE</w:t>
            </w:r>
          </w:p>
        </w:tc>
        <w:tc>
          <w:tcPr>
            <w:tcW w:w="5633" w:type="dxa"/>
            <w:gridSpan w:val="2"/>
            <w:tcBorders>
              <w:bottom w:val="single" w:sz="4" w:space="0" w:color="auto"/>
            </w:tcBorders>
            <w:vAlign w:val="center"/>
          </w:tcPr>
          <w:p w14:paraId="2416AE9E" w14:textId="5B201326" w:rsidR="00DC1AF4" w:rsidRPr="009B1ADA" w:rsidRDefault="009B1ADA" w:rsidP="00DC1AF4">
            <w:pPr>
              <w:jc w:val="center"/>
              <w:rPr>
                <w:b/>
              </w:rPr>
            </w:pPr>
            <w:r w:rsidRPr="009B1ADA">
              <w:rPr>
                <w:b/>
              </w:rPr>
              <w:t>MÉDIA</w:t>
            </w:r>
          </w:p>
        </w:tc>
      </w:tr>
      <w:tr w:rsidR="00370ED8" w:rsidRPr="00370ED8" w14:paraId="082DC5AD" w14:textId="77777777" w:rsidTr="00490466">
        <w:trPr>
          <w:trHeight w:val="20"/>
          <w:jc w:val="center"/>
        </w:trPr>
        <w:tc>
          <w:tcPr>
            <w:tcW w:w="339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DF690F" w14:textId="77777777" w:rsidR="00376BE7" w:rsidRPr="009B1ADA" w:rsidRDefault="00376BE7" w:rsidP="00DC1AF4">
            <w:pPr>
              <w:jc w:val="center"/>
              <w:rPr>
                <w:b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1094" w14:textId="19B40A5D" w:rsidR="00376BE7" w:rsidRPr="009B1ADA" w:rsidRDefault="009B1ADA" w:rsidP="005550E7">
            <w:pPr>
              <w:jc w:val="center"/>
              <w:rPr>
                <w:b/>
              </w:rPr>
            </w:pPr>
            <w:r w:rsidRPr="009B1ADA">
              <w:rPr>
                <w:b/>
              </w:rPr>
              <w:t>2015/2016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EFD71" w14:textId="7B688255" w:rsidR="00376BE7" w:rsidRPr="009B1ADA" w:rsidRDefault="009B1ADA" w:rsidP="005550E7">
            <w:pPr>
              <w:jc w:val="center"/>
              <w:rPr>
                <w:b/>
              </w:rPr>
            </w:pPr>
            <w:r w:rsidRPr="009B1ADA">
              <w:rPr>
                <w:b/>
              </w:rPr>
              <w:t>2016/2017</w:t>
            </w:r>
          </w:p>
        </w:tc>
      </w:tr>
      <w:tr w:rsidR="00370ED8" w:rsidRPr="00370ED8" w14:paraId="0555B1BE" w14:textId="77777777" w:rsidTr="00490466">
        <w:trPr>
          <w:trHeight w:val="20"/>
          <w:jc w:val="center"/>
        </w:trPr>
        <w:tc>
          <w:tcPr>
            <w:tcW w:w="339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6A401" w14:textId="5C986929" w:rsidR="00376BE7" w:rsidRPr="00263D91" w:rsidRDefault="00F4461F" w:rsidP="00DC1AF4">
            <w:pPr>
              <w:suppressAutoHyphens w:val="0"/>
              <w:jc w:val="center"/>
            </w:pPr>
            <w:r w:rsidRPr="00263D91">
              <w:t>VA/KI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E9F24" w14:textId="3DA3EAAE" w:rsidR="00376BE7" w:rsidRPr="00263D91" w:rsidRDefault="00671E1C" w:rsidP="005550E7">
            <w:pPr>
              <w:jc w:val="center"/>
            </w:pPr>
            <w:r w:rsidRPr="00263D91">
              <w:t>0,2426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6C0DAF" w14:textId="6F6EA749" w:rsidR="00376BE7" w:rsidRPr="00263D91" w:rsidRDefault="0073381D" w:rsidP="005550E7">
            <w:pPr>
              <w:jc w:val="center"/>
            </w:pPr>
            <w:r w:rsidRPr="00263D91">
              <w:t>0,</w:t>
            </w:r>
            <w:r w:rsidR="006B723D" w:rsidRPr="00263D91">
              <w:t>294</w:t>
            </w:r>
            <w:r w:rsidR="009D4D45" w:rsidRPr="00263D91">
              <w:t>6</w:t>
            </w:r>
          </w:p>
        </w:tc>
      </w:tr>
      <w:tr w:rsidR="00370ED8" w:rsidRPr="00370ED8" w14:paraId="7B3357DF" w14:textId="77777777" w:rsidTr="00490466">
        <w:trPr>
          <w:trHeight w:val="20"/>
          <w:jc w:val="center"/>
        </w:trPr>
        <w:tc>
          <w:tcPr>
            <w:tcW w:w="33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3907E38" w14:textId="421B0B2F" w:rsidR="00376BE7" w:rsidRPr="00263D91" w:rsidRDefault="009821AA" w:rsidP="00DC1AF4">
            <w:pPr>
              <w:suppressAutoHyphens w:val="0"/>
              <w:jc w:val="center"/>
            </w:pPr>
            <w:r w:rsidRPr="00263D91">
              <w:t>VA/</w:t>
            </w:r>
            <w:proofErr w:type="spellStart"/>
            <w:r w:rsidRPr="00263D91">
              <w:t>UTHf</w:t>
            </w:r>
            <w:proofErr w:type="spellEnd"/>
          </w:p>
        </w:tc>
        <w:tc>
          <w:tcPr>
            <w:tcW w:w="2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70D07" w14:textId="68AC1F9C" w:rsidR="00376BE7" w:rsidRPr="00263D91" w:rsidRDefault="00ED6B4B" w:rsidP="005550E7">
            <w:pPr>
              <w:jc w:val="center"/>
            </w:pPr>
            <w:r w:rsidRPr="00263D91">
              <w:t>4935,97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5CB817C" w14:textId="1921649A" w:rsidR="00376BE7" w:rsidRPr="00263D91" w:rsidRDefault="006B723D" w:rsidP="005550E7">
            <w:pPr>
              <w:jc w:val="center"/>
            </w:pPr>
            <w:r w:rsidRPr="00263D91">
              <w:t>6058,9</w:t>
            </w:r>
            <w:r w:rsidR="00710D7D" w:rsidRPr="00263D91">
              <w:t>3</w:t>
            </w:r>
          </w:p>
        </w:tc>
      </w:tr>
      <w:tr w:rsidR="00370ED8" w:rsidRPr="00370ED8" w14:paraId="0FB3E6B7" w14:textId="77777777" w:rsidTr="00490466">
        <w:trPr>
          <w:trHeight w:val="20"/>
          <w:jc w:val="center"/>
        </w:trPr>
        <w:tc>
          <w:tcPr>
            <w:tcW w:w="339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F0071" w14:textId="7386961F" w:rsidR="00376BE7" w:rsidRPr="00263D91" w:rsidRDefault="009821AA" w:rsidP="00DC1AF4">
            <w:pPr>
              <w:jc w:val="center"/>
            </w:pPr>
            <w:r w:rsidRPr="00263D91">
              <w:t>VA/AAA</w:t>
            </w:r>
          </w:p>
        </w:tc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0E7C2" w14:textId="710BC4FB" w:rsidR="00376BE7" w:rsidRPr="00263D91" w:rsidRDefault="00CF4523" w:rsidP="005550E7">
            <w:pPr>
              <w:jc w:val="center"/>
            </w:pPr>
            <w:r w:rsidRPr="00263D91">
              <w:t>1002,26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147EF4C" w14:textId="311D2DEE" w:rsidR="00376BE7" w:rsidRPr="00263D91" w:rsidRDefault="006B723D" w:rsidP="005550E7">
            <w:pPr>
              <w:jc w:val="center"/>
            </w:pPr>
            <w:r w:rsidRPr="00263D91">
              <w:t>1210,</w:t>
            </w:r>
            <w:r w:rsidR="001822A6" w:rsidRPr="00263D91">
              <w:t>35</w:t>
            </w:r>
          </w:p>
        </w:tc>
      </w:tr>
    </w:tbl>
    <w:p w14:paraId="2BF6C110" w14:textId="5A039CFC" w:rsidR="009B1ADA" w:rsidRDefault="009B1ADA" w:rsidP="009B1ADA">
      <w:r w:rsidRPr="009D1953">
        <w:t xml:space="preserve">Fonte: </w:t>
      </w:r>
      <w:r w:rsidR="0028108E">
        <w:t>A</w:t>
      </w:r>
      <w:r>
        <w:t>utores com base nos dados da pesquisa (2018).</w:t>
      </w:r>
    </w:p>
    <w:p w14:paraId="20DA2157" w14:textId="77777777" w:rsidR="00263D91" w:rsidRDefault="00263D91" w:rsidP="00263D91">
      <w:pPr>
        <w:jc w:val="both"/>
        <w:rPr>
          <w:sz w:val="24"/>
          <w:szCs w:val="24"/>
        </w:rPr>
      </w:pPr>
    </w:p>
    <w:p w14:paraId="12665EE8" w14:textId="4E0E9362" w:rsidR="0062312E" w:rsidRDefault="00263D91" w:rsidP="0049046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4611" w:rsidRPr="008A2B14">
        <w:rPr>
          <w:sz w:val="24"/>
          <w:szCs w:val="24"/>
        </w:rPr>
        <w:t xml:space="preserve">De acordo com a Tabela </w:t>
      </w:r>
      <w:r w:rsidR="00273D35" w:rsidRPr="008A2B14">
        <w:rPr>
          <w:sz w:val="24"/>
          <w:szCs w:val="24"/>
        </w:rPr>
        <w:t>3</w:t>
      </w:r>
      <w:r w:rsidR="008A4611" w:rsidRPr="008A2B14">
        <w:rPr>
          <w:sz w:val="24"/>
          <w:szCs w:val="24"/>
        </w:rPr>
        <w:t xml:space="preserve">, verifica-se que </w:t>
      </w:r>
      <w:r w:rsidR="00231371">
        <w:rPr>
          <w:sz w:val="24"/>
          <w:szCs w:val="24"/>
        </w:rPr>
        <w:t>na dimensão econômica</w:t>
      </w:r>
      <w:r w:rsidR="008A4611" w:rsidRPr="008A2B14">
        <w:rPr>
          <w:sz w:val="24"/>
          <w:szCs w:val="24"/>
        </w:rPr>
        <w:t xml:space="preserve"> </w:t>
      </w:r>
      <w:r w:rsidR="007146F4" w:rsidRPr="008A2B14">
        <w:rPr>
          <w:sz w:val="24"/>
          <w:szCs w:val="24"/>
        </w:rPr>
        <w:t>(VA/KI)</w:t>
      </w:r>
      <w:r w:rsidR="00231371">
        <w:rPr>
          <w:sz w:val="24"/>
          <w:szCs w:val="24"/>
        </w:rPr>
        <w:t xml:space="preserve">, a sustentabilidade no </w:t>
      </w:r>
      <w:r w:rsidR="00A56B5D" w:rsidRPr="008A2B14">
        <w:rPr>
          <w:sz w:val="24"/>
          <w:szCs w:val="24"/>
        </w:rPr>
        <w:t>ano agrícola</w:t>
      </w:r>
      <w:r w:rsidR="008A4611" w:rsidRPr="008A2B14">
        <w:rPr>
          <w:sz w:val="24"/>
          <w:szCs w:val="24"/>
        </w:rPr>
        <w:t xml:space="preserve"> </w:t>
      </w:r>
      <w:r w:rsidR="00DD4881" w:rsidRPr="008A2B14">
        <w:rPr>
          <w:sz w:val="24"/>
          <w:szCs w:val="24"/>
        </w:rPr>
        <w:t>de 2016</w:t>
      </w:r>
      <w:r w:rsidR="00A56B5D" w:rsidRPr="008A2B14">
        <w:rPr>
          <w:sz w:val="24"/>
          <w:szCs w:val="24"/>
        </w:rPr>
        <w:t xml:space="preserve">/2017 apresentou-se maior que </w:t>
      </w:r>
      <w:r w:rsidR="00231371">
        <w:rPr>
          <w:sz w:val="24"/>
          <w:szCs w:val="24"/>
        </w:rPr>
        <w:t>a</w:t>
      </w:r>
      <w:r w:rsidR="00A56B5D" w:rsidRPr="008A2B14">
        <w:rPr>
          <w:sz w:val="24"/>
          <w:szCs w:val="24"/>
        </w:rPr>
        <w:t xml:space="preserve"> do ano anterior</w:t>
      </w:r>
      <w:r w:rsidR="00F5415E" w:rsidRPr="008A2B14">
        <w:rPr>
          <w:sz w:val="24"/>
          <w:szCs w:val="24"/>
        </w:rPr>
        <w:t>.</w:t>
      </w:r>
      <w:r w:rsidR="003B117A">
        <w:rPr>
          <w:sz w:val="24"/>
          <w:szCs w:val="24"/>
        </w:rPr>
        <w:t xml:space="preserve"> Já </w:t>
      </w:r>
      <w:r w:rsidR="00231371">
        <w:rPr>
          <w:sz w:val="24"/>
          <w:szCs w:val="24"/>
        </w:rPr>
        <w:t>na dimensão social</w:t>
      </w:r>
      <w:r w:rsidR="00DD4881" w:rsidRPr="008A2B14">
        <w:rPr>
          <w:sz w:val="24"/>
          <w:szCs w:val="24"/>
        </w:rPr>
        <w:t xml:space="preserve"> (VA/</w:t>
      </w:r>
      <w:proofErr w:type="spellStart"/>
      <w:r w:rsidR="00DD4881" w:rsidRPr="008A2B14">
        <w:rPr>
          <w:sz w:val="24"/>
          <w:szCs w:val="24"/>
        </w:rPr>
        <w:t>UTHf</w:t>
      </w:r>
      <w:proofErr w:type="spellEnd"/>
      <w:r w:rsidR="00DD4881" w:rsidRPr="008A2B14">
        <w:rPr>
          <w:sz w:val="24"/>
          <w:szCs w:val="24"/>
        </w:rPr>
        <w:t>)</w:t>
      </w:r>
      <w:r w:rsidR="00231371">
        <w:rPr>
          <w:sz w:val="24"/>
          <w:szCs w:val="24"/>
        </w:rPr>
        <w:t xml:space="preserve">, a sustentabilidade também foi mais significativa em 2016/2017, com uma diferença considerável entre os anos, </w:t>
      </w:r>
      <w:r w:rsidR="002D6FFF" w:rsidRPr="008A2B14">
        <w:rPr>
          <w:sz w:val="24"/>
          <w:szCs w:val="24"/>
        </w:rPr>
        <w:t xml:space="preserve">passando de </w:t>
      </w:r>
      <w:r w:rsidR="00231371">
        <w:rPr>
          <w:sz w:val="24"/>
          <w:szCs w:val="24"/>
        </w:rPr>
        <w:t xml:space="preserve">R$ </w:t>
      </w:r>
      <w:r w:rsidR="002D6FFF" w:rsidRPr="008A2B14">
        <w:rPr>
          <w:sz w:val="24"/>
          <w:szCs w:val="24"/>
        </w:rPr>
        <w:t xml:space="preserve">4935,97 para </w:t>
      </w:r>
      <w:r w:rsidR="00231371">
        <w:rPr>
          <w:sz w:val="24"/>
          <w:szCs w:val="24"/>
        </w:rPr>
        <w:t>R$ 6058,93. Por último, na dimensão ambiental</w:t>
      </w:r>
      <w:r w:rsidR="00F96BB5" w:rsidRPr="002A6159">
        <w:rPr>
          <w:sz w:val="24"/>
          <w:szCs w:val="24"/>
        </w:rPr>
        <w:t xml:space="preserve"> (VA/AAA)</w:t>
      </w:r>
      <w:r w:rsidR="00231371">
        <w:rPr>
          <w:sz w:val="24"/>
          <w:szCs w:val="24"/>
        </w:rPr>
        <w:t>,</w:t>
      </w:r>
      <w:r w:rsidR="008A4611" w:rsidRPr="002A6159">
        <w:rPr>
          <w:sz w:val="24"/>
          <w:szCs w:val="24"/>
        </w:rPr>
        <w:t xml:space="preserve"> </w:t>
      </w:r>
      <w:r w:rsidR="008A2B14" w:rsidRPr="002A6159">
        <w:rPr>
          <w:sz w:val="24"/>
          <w:szCs w:val="24"/>
        </w:rPr>
        <w:t xml:space="preserve">também houve um aumento do ano agrícola de 2015/2016 para 2016/2017. </w:t>
      </w:r>
      <w:r w:rsidR="00231371">
        <w:rPr>
          <w:sz w:val="24"/>
          <w:szCs w:val="24"/>
        </w:rPr>
        <w:t xml:space="preserve">Dessa forma, infere-se que as propriedades elevaram a sustentabilidade nos três pilares </w:t>
      </w:r>
      <w:r w:rsidR="003B117A">
        <w:rPr>
          <w:sz w:val="24"/>
          <w:szCs w:val="24"/>
        </w:rPr>
        <w:t>propostos</w:t>
      </w:r>
      <w:r w:rsidR="00231371">
        <w:rPr>
          <w:sz w:val="24"/>
          <w:szCs w:val="24"/>
        </w:rPr>
        <w:t>, produzindo mais riquezas em relação ao seu capital investido, a unidade de trabalho familiar, e a área produtiva.</w:t>
      </w:r>
    </w:p>
    <w:p w14:paraId="03A6C5CD" w14:textId="641402F9" w:rsidR="0062312E" w:rsidRDefault="0062312E" w:rsidP="0062312E">
      <w:pPr>
        <w:ind w:firstLine="284"/>
        <w:jc w:val="both"/>
        <w:rPr>
          <w:sz w:val="24"/>
          <w:szCs w:val="24"/>
        </w:rPr>
      </w:pPr>
    </w:p>
    <w:p w14:paraId="2F56511A" w14:textId="68982839" w:rsidR="00BE624F" w:rsidRPr="002A6159" w:rsidRDefault="0028108E" w:rsidP="0028108E">
      <w:pPr>
        <w:pStyle w:val="Ttulo1"/>
        <w:numPr>
          <w:ilvl w:val="0"/>
          <w:numId w:val="0"/>
        </w:numPr>
        <w:rPr>
          <w:szCs w:val="24"/>
        </w:rPr>
      </w:pPr>
      <w:r w:rsidRPr="0028108E">
        <w:rPr>
          <w:rFonts w:eastAsia="Times New Roman" w:cs="Times New Roman"/>
          <w:bCs w:val="0"/>
          <w:szCs w:val="24"/>
        </w:rPr>
        <w:t>5</w:t>
      </w:r>
      <w:r>
        <w:rPr>
          <w:rFonts w:eastAsia="Times New Roman" w:cs="Times New Roman"/>
          <w:b w:val="0"/>
          <w:bCs w:val="0"/>
          <w:szCs w:val="24"/>
        </w:rPr>
        <w:t xml:space="preserve"> </w:t>
      </w:r>
      <w:r w:rsidR="00BE624F" w:rsidRPr="002A6159">
        <w:rPr>
          <w:szCs w:val="24"/>
        </w:rPr>
        <w:t>CONCLUSÃO</w:t>
      </w:r>
    </w:p>
    <w:p w14:paraId="0E709A9C" w14:textId="77777777" w:rsidR="000E3C39" w:rsidRDefault="000E3C39" w:rsidP="00BE624F">
      <w:pPr>
        <w:ind w:firstLine="709"/>
        <w:jc w:val="both"/>
        <w:rPr>
          <w:sz w:val="24"/>
          <w:szCs w:val="24"/>
        </w:rPr>
      </w:pPr>
    </w:p>
    <w:p w14:paraId="3E481325" w14:textId="29BE8E94" w:rsidR="00BE624F" w:rsidRDefault="00BE624F" w:rsidP="00BE624F">
      <w:pPr>
        <w:ind w:firstLine="709"/>
        <w:jc w:val="both"/>
        <w:rPr>
          <w:sz w:val="24"/>
          <w:szCs w:val="24"/>
        </w:rPr>
      </w:pPr>
      <w:r w:rsidRPr="002A6159">
        <w:rPr>
          <w:sz w:val="24"/>
          <w:szCs w:val="24"/>
        </w:rPr>
        <w:t>Esta pesquisa buscou descrever a sustentabilidade nos sistemas da agricultura familiar do estado de Santa Catarina, com o objetivo de analisar os indicadores econômicos, sociais e ambientais do critério da produtividade referente ao</w:t>
      </w:r>
      <w:r w:rsidR="00346627" w:rsidRPr="002A6159">
        <w:rPr>
          <w:sz w:val="24"/>
          <w:szCs w:val="24"/>
        </w:rPr>
        <w:t>s</w:t>
      </w:r>
      <w:r w:rsidRPr="002A6159">
        <w:rPr>
          <w:sz w:val="24"/>
          <w:szCs w:val="24"/>
        </w:rPr>
        <w:t xml:space="preserve"> ano</w:t>
      </w:r>
      <w:r w:rsidR="00346627" w:rsidRPr="002A6159">
        <w:rPr>
          <w:sz w:val="24"/>
          <w:szCs w:val="24"/>
        </w:rPr>
        <w:t>s</w:t>
      </w:r>
      <w:r w:rsidRPr="002A6159">
        <w:rPr>
          <w:sz w:val="24"/>
          <w:szCs w:val="24"/>
        </w:rPr>
        <w:t xml:space="preserve"> agrícola</w:t>
      </w:r>
      <w:r w:rsidR="00346627" w:rsidRPr="002A6159">
        <w:rPr>
          <w:sz w:val="24"/>
          <w:szCs w:val="24"/>
        </w:rPr>
        <w:t>s</w:t>
      </w:r>
      <w:r w:rsidRPr="002A6159">
        <w:rPr>
          <w:sz w:val="24"/>
          <w:szCs w:val="24"/>
        </w:rPr>
        <w:t xml:space="preserve"> de 2015/2016</w:t>
      </w:r>
      <w:r w:rsidR="00346627" w:rsidRPr="002A6159">
        <w:rPr>
          <w:sz w:val="24"/>
          <w:szCs w:val="24"/>
        </w:rPr>
        <w:t xml:space="preserve"> e 2016/2017</w:t>
      </w:r>
      <w:r w:rsidRPr="002A6159">
        <w:rPr>
          <w:sz w:val="24"/>
          <w:szCs w:val="24"/>
        </w:rPr>
        <w:t xml:space="preserve">. Os dados foram coletados por meio do sistema </w:t>
      </w:r>
      <w:proofErr w:type="spellStart"/>
      <w:r w:rsidRPr="002A6159">
        <w:rPr>
          <w:sz w:val="24"/>
          <w:szCs w:val="24"/>
        </w:rPr>
        <w:t>Contagri</w:t>
      </w:r>
      <w:proofErr w:type="spellEnd"/>
      <w:r w:rsidRPr="002A6159">
        <w:rPr>
          <w:sz w:val="24"/>
          <w:szCs w:val="24"/>
        </w:rPr>
        <w:t xml:space="preserve"> (</w:t>
      </w:r>
      <w:proofErr w:type="spellStart"/>
      <w:r w:rsidRPr="002A6159">
        <w:rPr>
          <w:sz w:val="24"/>
          <w:szCs w:val="24"/>
        </w:rPr>
        <w:t>Epagri</w:t>
      </w:r>
      <w:proofErr w:type="spellEnd"/>
      <w:r w:rsidRPr="002A6159">
        <w:rPr>
          <w:sz w:val="24"/>
          <w:szCs w:val="24"/>
        </w:rPr>
        <w:t>), possibilitando a análise de 73 unidades de produção agrícola</w:t>
      </w:r>
      <w:r w:rsidR="00A75D23" w:rsidRPr="002A6159">
        <w:rPr>
          <w:sz w:val="24"/>
          <w:szCs w:val="24"/>
        </w:rPr>
        <w:t>, em ambos os períodos</w:t>
      </w:r>
      <w:r w:rsidRPr="002A6159">
        <w:rPr>
          <w:sz w:val="24"/>
          <w:szCs w:val="24"/>
        </w:rPr>
        <w:t xml:space="preserve">. </w:t>
      </w:r>
    </w:p>
    <w:p w14:paraId="0FD396BD" w14:textId="41D25454" w:rsidR="008F3091" w:rsidRPr="002A6159" w:rsidRDefault="007A4A47" w:rsidP="007A4A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1690" w:rsidRPr="00231690">
        <w:rPr>
          <w:sz w:val="24"/>
          <w:szCs w:val="24"/>
        </w:rPr>
        <w:t>Com base na análise do critério d</w:t>
      </w:r>
      <w:r w:rsidR="00231690">
        <w:rPr>
          <w:sz w:val="24"/>
          <w:szCs w:val="24"/>
        </w:rPr>
        <w:t>a produtividade</w:t>
      </w:r>
      <w:r w:rsidR="00231371">
        <w:rPr>
          <w:sz w:val="24"/>
          <w:szCs w:val="24"/>
        </w:rPr>
        <w:t xml:space="preserve">, </w:t>
      </w:r>
      <w:r w:rsidR="00231690" w:rsidRPr="00231690">
        <w:rPr>
          <w:sz w:val="24"/>
          <w:szCs w:val="24"/>
        </w:rPr>
        <w:t>em relação à dimensão econômica</w:t>
      </w:r>
      <w:r w:rsidR="001361BE">
        <w:rPr>
          <w:sz w:val="24"/>
          <w:szCs w:val="24"/>
        </w:rPr>
        <w:t>, compar</w:t>
      </w:r>
      <w:r w:rsidR="00746F99">
        <w:rPr>
          <w:sz w:val="24"/>
          <w:szCs w:val="24"/>
        </w:rPr>
        <w:t>ou</w:t>
      </w:r>
      <w:r w:rsidR="001361BE">
        <w:rPr>
          <w:sz w:val="24"/>
          <w:szCs w:val="24"/>
        </w:rPr>
        <w:t xml:space="preserve">-se </w:t>
      </w:r>
      <w:r w:rsidR="002043DE">
        <w:rPr>
          <w:color w:val="000000" w:themeColor="text1"/>
          <w:sz w:val="24"/>
          <w:szCs w:val="24"/>
        </w:rPr>
        <w:t>os anos agríco</w:t>
      </w:r>
      <w:r w:rsidR="00746F99">
        <w:rPr>
          <w:color w:val="000000" w:themeColor="text1"/>
          <w:sz w:val="24"/>
          <w:szCs w:val="24"/>
        </w:rPr>
        <w:t xml:space="preserve">las e </w:t>
      </w:r>
      <w:r w:rsidR="00FB43CE">
        <w:rPr>
          <w:color w:val="000000" w:themeColor="text1"/>
          <w:sz w:val="24"/>
          <w:szCs w:val="24"/>
        </w:rPr>
        <w:t xml:space="preserve">analisou-se </w:t>
      </w:r>
      <w:r w:rsidR="002043DE">
        <w:rPr>
          <w:color w:val="000000" w:themeColor="text1"/>
          <w:sz w:val="24"/>
          <w:szCs w:val="24"/>
        </w:rPr>
        <w:t xml:space="preserve">que no segundo ano estudado as propriedades </w:t>
      </w:r>
      <w:r w:rsidR="00231371">
        <w:rPr>
          <w:color w:val="000000" w:themeColor="text1"/>
          <w:sz w:val="24"/>
          <w:szCs w:val="24"/>
        </w:rPr>
        <w:t>aumentaram sua</w:t>
      </w:r>
      <w:r w:rsidR="002043DE">
        <w:rPr>
          <w:color w:val="000000" w:themeColor="text1"/>
          <w:sz w:val="24"/>
          <w:szCs w:val="24"/>
        </w:rPr>
        <w:t xml:space="preserve"> </w:t>
      </w:r>
      <w:r w:rsidR="002043DE" w:rsidRPr="00BB0541">
        <w:rPr>
          <w:rFonts w:eastAsia="Calibri"/>
          <w:color w:val="000000" w:themeColor="text1"/>
          <w:sz w:val="24"/>
          <w:szCs w:val="24"/>
        </w:rPr>
        <w:t>c</w:t>
      </w:r>
      <w:r w:rsidR="00231371">
        <w:rPr>
          <w:rFonts w:eastAsia="Calibri"/>
          <w:color w:val="000000" w:themeColor="text1"/>
          <w:sz w:val="24"/>
          <w:szCs w:val="24"/>
        </w:rPr>
        <w:t>apacidade em</w:t>
      </w:r>
      <w:r w:rsidR="002043DE" w:rsidRPr="00BB0541">
        <w:rPr>
          <w:rFonts w:eastAsia="Calibri"/>
          <w:color w:val="000000" w:themeColor="text1"/>
          <w:sz w:val="24"/>
          <w:szCs w:val="24"/>
        </w:rPr>
        <w:t xml:space="preserve"> gerar riqueza</w:t>
      </w:r>
      <w:r w:rsidR="00231371">
        <w:rPr>
          <w:rFonts w:eastAsia="Calibri"/>
          <w:color w:val="000000" w:themeColor="text1"/>
          <w:sz w:val="24"/>
          <w:szCs w:val="24"/>
        </w:rPr>
        <w:t>,</w:t>
      </w:r>
      <w:r w:rsidR="002043DE" w:rsidRPr="00BB0541">
        <w:rPr>
          <w:rFonts w:eastAsia="Calibri"/>
          <w:color w:val="000000" w:themeColor="text1"/>
          <w:sz w:val="24"/>
          <w:szCs w:val="24"/>
        </w:rPr>
        <w:t xml:space="preserve"> </w:t>
      </w:r>
      <w:r w:rsidR="00231371">
        <w:rPr>
          <w:rFonts w:eastAsia="Calibri"/>
          <w:color w:val="000000" w:themeColor="text1"/>
          <w:sz w:val="24"/>
          <w:szCs w:val="24"/>
        </w:rPr>
        <w:t>de forma significativa</w:t>
      </w:r>
      <w:r w:rsidR="002043DE">
        <w:rPr>
          <w:rFonts w:eastAsia="Calibri"/>
          <w:color w:val="000000" w:themeColor="text1"/>
          <w:sz w:val="24"/>
          <w:szCs w:val="24"/>
        </w:rPr>
        <w:t>.</w:t>
      </w:r>
      <w:r w:rsidR="00231690" w:rsidRPr="00231690">
        <w:rPr>
          <w:sz w:val="24"/>
          <w:szCs w:val="24"/>
        </w:rPr>
        <w:t xml:space="preserve"> </w:t>
      </w:r>
      <w:r w:rsidR="00231371">
        <w:rPr>
          <w:sz w:val="24"/>
          <w:szCs w:val="24"/>
        </w:rPr>
        <w:t>Na</w:t>
      </w:r>
      <w:r w:rsidR="00231690" w:rsidRPr="00231690">
        <w:rPr>
          <w:sz w:val="24"/>
          <w:szCs w:val="24"/>
        </w:rPr>
        <w:t xml:space="preserve"> análise da dimensão social,</w:t>
      </w:r>
      <w:r w:rsidR="00FB43CE">
        <w:rPr>
          <w:sz w:val="24"/>
          <w:szCs w:val="24"/>
        </w:rPr>
        <w:t xml:space="preserve"> </w:t>
      </w:r>
      <w:r w:rsidR="00231371">
        <w:rPr>
          <w:color w:val="000000" w:themeColor="text1"/>
          <w:sz w:val="24"/>
          <w:szCs w:val="24"/>
        </w:rPr>
        <w:t>confrontando os dois anos agrícolas</w:t>
      </w:r>
      <w:r w:rsidR="00FB43CE">
        <w:rPr>
          <w:color w:val="000000" w:themeColor="text1"/>
          <w:sz w:val="24"/>
          <w:szCs w:val="24"/>
        </w:rPr>
        <w:t xml:space="preserve">, tem-se que </w:t>
      </w:r>
      <w:r w:rsidR="00231371">
        <w:rPr>
          <w:color w:val="000000" w:themeColor="text1"/>
          <w:sz w:val="24"/>
          <w:szCs w:val="24"/>
        </w:rPr>
        <w:t>em</w:t>
      </w:r>
      <w:r w:rsidR="00FB43CE">
        <w:rPr>
          <w:color w:val="000000" w:themeColor="text1"/>
          <w:sz w:val="24"/>
          <w:szCs w:val="24"/>
        </w:rPr>
        <w:t xml:space="preserve"> 2016/2017 </w:t>
      </w:r>
      <w:r w:rsidR="003767FD" w:rsidRPr="003767FD">
        <w:rPr>
          <w:sz w:val="24"/>
          <w:szCs w:val="24"/>
        </w:rPr>
        <w:t>houve uma melhora</w:t>
      </w:r>
      <w:r w:rsidR="00FB43CE" w:rsidRPr="003767FD">
        <w:rPr>
          <w:sz w:val="24"/>
          <w:szCs w:val="24"/>
        </w:rPr>
        <w:t xml:space="preserve"> nos valores referentes a sustentabilidade das propriedades, </w:t>
      </w:r>
      <w:r w:rsidR="003767FD" w:rsidRPr="003767FD">
        <w:rPr>
          <w:sz w:val="24"/>
          <w:szCs w:val="24"/>
        </w:rPr>
        <w:t xml:space="preserve">ao observar a média geral dos dois períodos. </w:t>
      </w:r>
      <w:r w:rsidR="00231690" w:rsidRPr="003767FD">
        <w:rPr>
          <w:sz w:val="24"/>
          <w:szCs w:val="24"/>
        </w:rPr>
        <w:t>Quanto a sua terceira dimensão</w:t>
      </w:r>
      <w:r w:rsidR="003767FD" w:rsidRPr="003767FD">
        <w:rPr>
          <w:sz w:val="24"/>
          <w:szCs w:val="24"/>
        </w:rPr>
        <w:t>,</w:t>
      </w:r>
      <w:r w:rsidR="00231690" w:rsidRPr="003767FD">
        <w:rPr>
          <w:sz w:val="24"/>
          <w:szCs w:val="24"/>
        </w:rPr>
        <w:t xml:space="preserve"> a ambiental, </w:t>
      </w:r>
      <w:r w:rsidR="003767FD" w:rsidRPr="003767FD">
        <w:rPr>
          <w:sz w:val="24"/>
          <w:szCs w:val="24"/>
        </w:rPr>
        <w:t>concluiu-se</w:t>
      </w:r>
      <w:r w:rsidR="005E5932" w:rsidRPr="003767FD">
        <w:rPr>
          <w:sz w:val="24"/>
          <w:szCs w:val="24"/>
        </w:rPr>
        <w:t xml:space="preserve"> que os Valores Agregados por </w:t>
      </w:r>
      <w:r w:rsidR="005E5932" w:rsidRPr="003767FD">
        <w:rPr>
          <w:rFonts w:eastAsiaTheme="minorEastAsia"/>
          <w:sz w:val="24"/>
          <w:szCs w:val="24"/>
          <w:lang w:eastAsia="en-US"/>
        </w:rPr>
        <w:t xml:space="preserve">Área de Ação Antrópica apresentaram um aumento do primeiro ano para </w:t>
      </w:r>
      <w:r w:rsidR="005E5932">
        <w:rPr>
          <w:rFonts w:eastAsiaTheme="minorEastAsia"/>
          <w:sz w:val="24"/>
          <w:szCs w:val="24"/>
          <w:lang w:eastAsia="en-US"/>
        </w:rPr>
        <w:t xml:space="preserve">o segundo </w:t>
      </w:r>
      <w:r w:rsidR="005E5932" w:rsidRPr="004F5865">
        <w:rPr>
          <w:rFonts w:eastAsiaTheme="minorEastAsia"/>
          <w:sz w:val="24"/>
          <w:szCs w:val="24"/>
          <w:lang w:eastAsia="en-US"/>
        </w:rPr>
        <w:t>en</w:t>
      </w:r>
      <w:r w:rsidR="003767FD">
        <w:rPr>
          <w:rFonts w:eastAsiaTheme="minorEastAsia"/>
          <w:sz w:val="24"/>
          <w:szCs w:val="24"/>
          <w:lang w:eastAsia="en-US"/>
        </w:rPr>
        <w:t xml:space="preserve">tre as propriedades </w:t>
      </w:r>
      <w:r w:rsidR="00AE651F">
        <w:rPr>
          <w:rFonts w:eastAsiaTheme="minorEastAsia"/>
          <w:sz w:val="24"/>
          <w:szCs w:val="24"/>
          <w:lang w:eastAsia="en-US"/>
        </w:rPr>
        <w:t>a que se referem</w:t>
      </w:r>
      <w:r w:rsidR="003767FD">
        <w:rPr>
          <w:rFonts w:eastAsiaTheme="minorEastAsia"/>
          <w:sz w:val="24"/>
          <w:szCs w:val="24"/>
          <w:lang w:eastAsia="en-US"/>
        </w:rPr>
        <w:t xml:space="preserve">, </w:t>
      </w:r>
      <w:r w:rsidR="005E5932" w:rsidRPr="004F5865">
        <w:rPr>
          <w:rFonts w:eastAsiaTheme="minorEastAsia"/>
          <w:sz w:val="24"/>
          <w:szCs w:val="24"/>
          <w:lang w:eastAsia="en-US"/>
        </w:rPr>
        <w:t>indica</w:t>
      </w:r>
      <w:r w:rsidR="003767FD">
        <w:rPr>
          <w:rFonts w:eastAsiaTheme="minorEastAsia"/>
          <w:sz w:val="24"/>
          <w:szCs w:val="24"/>
          <w:lang w:eastAsia="en-US"/>
        </w:rPr>
        <w:t xml:space="preserve">ndo que, </w:t>
      </w:r>
      <w:r w:rsidR="005E5932" w:rsidRPr="004F5865">
        <w:rPr>
          <w:rFonts w:eastAsiaTheme="minorEastAsia"/>
          <w:sz w:val="24"/>
          <w:szCs w:val="24"/>
          <w:lang w:eastAsia="en-US"/>
        </w:rPr>
        <w:t>no geral</w:t>
      </w:r>
      <w:r w:rsidR="003767FD">
        <w:rPr>
          <w:rFonts w:eastAsiaTheme="minorEastAsia"/>
          <w:sz w:val="24"/>
          <w:szCs w:val="24"/>
          <w:lang w:eastAsia="en-US"/>
        </w:rPr>
        <w:t>,</w:t>
      </w:r>
      <w:r w:rsidR="005E5932" w:rsidRPr="004F5865">
        <w:rPr>
          <w:rFonts w:eastAsiaTheme="minorEastAsia"/>
          <w:sz w:val="24"/>
          <w:szCs w:val="24"/>
          <w:lang w:eastAsia="en-US"/>
        </w:rPr>
        <w:t xml:space="preserve"> </w:t>
      </w:r>
      <w:r w:rsidR="003767FD">
        <w:rPr>
          <w:rFonts w:eastAsiaTheme="minorEastAsia"/>
          <w:sz w:val="24"/>
          <w:szCs w:val="24"/>
          <w:lang w:eastAsia="en-US"/>
        </w:rPr>
        <w:t xml:space="preserve">as unidades de produção </w:t>
      </w:r>
      <w:r w:rsidR="005E5932" w:rsidRPr="004F5865">
        <w:rPr>
          <w:rFonts w:eastAsiaTheme="minorEastAsia"/>
          <w:sz w:val="24"/>
          <w:szCs w:val="24"/>
          <w:lang w:eastAsia="en-US"/>
        </w:rPr>
        <w:t xml:space="preserve">estão gerando mais riquezas em relação a </w:t>
      </w:r>
      <w:r w:rsidR="005E5932">
        <w:rPr>
          <w:rFonts w:eastAsiaTheme="minorEastAsia"/>
          <w:sz w:val="24"/>
          <w:szCs w:val="24"/>
          <w:lang w:eastAsia="en-US"/>
        </w:rPr>
        <w:t>área útil</w:t>
      </w:r>
      <w:r w:rsidR="005E5932" w:rsidRPr="004F5865">
        <w:rPr>
          <w:rFonts w:eastAsiaTheme="minorEastAsia"/>
          <w:sz w:val="24"/>
          <w:szCs w:val="24"/>
          <w:lang w:eastAsia="en-US"/>
        </w:rPr>
        <w:t xml:space="preserve"> da propriedade. </w:t>
      </w:r>
    </w:p>
    <w:p w14:paraId="0F7628D1" w14:textId="4C6A56F1" w:rsidR="004A4BD9" w:rsidRDefault="00560FE0" w:rsidP="008F3091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color w:val="FF0000"/>
          <w:sz w:val="24"/>
          <w:szCs w:val="24"/>
        </w:rPr>
        <w:tab/>
      </w:r>
      <w:r w:rsidR="00314439" w:rsidRPr="008F3091">
        <w:rPr>
          <w:sz w:val="24"/>
          <w:szCs w:val="24"/>
        </w:rPr>
        <w:t>Os resultados da análise global dos indicadores apontam</w:t>
      </w:r>
      <w:r w:rsidR="00645C72" w:rsidRPr="008F3091">
        <w:rPr>
          <w:sz w:val="24"/>
          <w:szCs w:val="24"/>
        </w:rPr>
        <w:t xml:space="preserve"> que </w:t>
      </w:r>
      <w:r w:rsidR="00193813" w:rsidRPr="008F3091">
        <w:rPr>
          <w:rFonts w:eastAsiaTheme="minorEastAsia"/>
          <w:sz w:val="24"/>
          <w:szCs w:val="24"/>
          <w:lang w:eastAsia="en-US"/>
        </w:rPr>
        <w:t xml:space="preserve">em todos </w:t>
      </w:r>
      <w:r w:rsidR="003767FD">
        <w:rPr>
          <w:rFonts w:eastAsiaTheme="minorEastAsia"/>
          <w:sz w:val="24"/>
          <w:szCs w:val="24"/>
          <w:lang w:eastAsia="en-US"/>
        </w:rPr>
        <w:t xml:space="preserve">os aspectos houve </w:t>
      </w:r>
      <w:r w:rsidR="004A4BD9" w:rsidRPr="008F3091">
        <w:rPr>
          <w:rFonts w:eastAsiaTheme="minorEastAsia"/>
          <w:sz w:val="24"/>
          <w:szCs w:val="24"/>
          <w:lang w:eastAsia="en-US"/>
        </w:rPr>
        <w:t>aumento</w:t>
      </w:r>
      <w:r w:rsidR="008F3091" w:rsidRPr="008F3091">
        <w:rPr>
          <w:rFonts w:eastAsiaTheme="minorEastAsia"/>
          <w:sz w:val="24"/>
          <w:szCs w:val="24"/>
          <w:lang w:eastAsia="en-US"/>
        </w:rPr>
        <w:t xml:space="preserve"> </w:t>
      </w:r>
      <w:r w:rsidR="00487C59" w:rsidRPr="008F3091">
        <w:rPr>
          <w:rFonts w:eastAsiaTheme="minorEastAsia"/>
          <w:sz w:val="24"/>
          <w:szCs w:val="24"/>
          <w:lang w:eastAsia="en-US"/>
        </w:rPr>
        <w:t>do ano agrícola 2015/2016 para 2016/2017</w:t>
      </w:r>
      <w:r w:rsidR="004D42BB">
        <w:rPr>
          <w:rFonts w:eastAsiaTheme="minorEastAsia"/>
          <w:sz w:val="24"/>
          <w:szCs w:val="24"/>
          <w:lang w:eastAsia="en-US"/>
        </w:rPr>
        <w:t>.</w:t>
      </w:r>
      <w:r w:rsidR="004A4BD9" w:rsidRPr="008F3091">
        <w:rPr>
          <w:rFonts w:eastAsiaTheme="minorEastAsia"/>
          <w:sz w:val="24"/>
          <w:szCs w:val="24"/>
          <w:lang w:eastAsia="en-US"/>
        </w:rPr>
        <w:t xml:space="preserve"> </w:t>
      </w:r>
      <w:r w:rsidR="008B09BE">
        <w:rPr>
          <w:sz w:val="24"/>
          <w:szCs w:val="24"/>
        </w:rPr>
        <w:t>O</w:t>
      </w:r>
      <w:r w:rsidR="00131977" w:rsidRPr="008A2B14">
        <w:rPr>
          <w:sz w:val="24"/>
          <w:szCs w:val="24"/>
        </w:rPr>
        <w:t xml:space="preserve"> indicador de VA/KI, </w:t>
      </w:r>
      <w:r w:rsidR="008B09BE">
        <w:rPr>
          <w:sz w:val="24"/>
          <w:szCs w:val="24"/>
        </w:rPr>
        <w:t>n</w:t>
      </w:r>
      <w:r w:rsidR="00131977" w:rsidRPr="008A2B14">
        <w:rPr>
          <w:sz w:val="24"/>
          <w:szCs w:val="24"/>
        </w:rPr>
        <w:t>o ano agrícola de 2016/2017 apresentou-se maior que o do ano anterior.  Já o Indicador VA/</w:t>
      </w:r>
      <w:proofErr w:type="spellStart"/>
      <w:r w:rsidR="00131977" w:rsidRPr="008A2B14">
        <w:rPr>
          <w:sz w:val="24"/>
          <w:szCs w:val="24"/>
        </w:rPr>
        <w:t>UTHf</w:t>
      </w:r>
      <w:proofErr w:type="spellEnd"/>
      <w:r w:rsidR="006F5572">
        <w:rPr>
          <w:sz w:val="24"/>
          <w:szCs w:val="24"/>
        </w:rPr>
        <w:t>,</w:t>
      </w:r>
      <w:r w:rsidR="00131977">
        <w:rPr>
          <w:sz w:val="24"/>
          <w:szCs w:val="24"/>
        </w:rPr>
        <w:t xml:space="preserve"> </w:t>
      </w:r>
      <w:r w:rsidR="008B09BE">
        <w:rPr>
          <w:sz w:val="24"/>
          <w:szCs w:val="24"/>
        </w:rPr>
        <w:t xml:space="preserve">foi o </w:t>
      </w:r>
      <w:r w:rsidR="003767FD">
        <w:rPr>
          <w:sz w:val="24"/>
          <w:szCs w:val="24"/>
        </w:rPr>
        <w:t xml:space="preserve">que </w:t>
      </w:r>
      <w:r w:rsidR="00131977" w:rsidRPr="008A2B14">
        <w:rPr>
          <w:sz w:val="24"/>
          <w:szCs w:val="24"/>
        </w:rPr>
        <w:t xml:space="preserve">apresentou </w:t>
      </w:r>
      <w:r w:rsidR="008B09BE">
        <w:rPr>
          <w:sz w:val="24"/>
          <w:szCs w:val="24"/>
        </w:rPr>
        <w:t>o</w:t>
      </w:r>
      <w:r w:rsidR="00131977" w:rsidRPr="008A2B14">
        <w:rPr>
          <w:sz w:val="24"/>
          <w:szCs w:val="24"/>
        </w:rPr>
        <w:t xml:space="preserve"> aumento</w:t>
      </w:r>
      <w:r w:rsidR="008B09BE">
        <w:rPr>
          <w:sz w:val="24"/>
          <w:szCs w:val="24"/>
        </w:rPr>
        <w:t xml:space="preserve"> mais </w:t>
      </w:r>
      <w:r w:rsidR="003767FD">
        <w:rPr>
          <w:sz w:val="24"/>
          <w:szCs w:val="24"/>
        </w:rPr>
        <w:t xml:space="preserve">significativo, </w:t>
      </w:r>
      <w:r w:rsidR="00131977" w:rsidRPr="008A2B14">
        <w:rPr>
          <w:sz w:val="24"/>
          <w:szCs w:val="24"/>
        </w:rPr>
        <w:t xml:space="preserve">de </w:t>
      </w:r>
      <w:r w:rsidR="003767FD">
        <w:rPr>
          <w:sz w:val="24"/>
          <w:szCs w:val="24"/>
        </w:rPr>
        <w:t xml:space="preserve">R$ </w:t>
      </w:r>
      <w:r w:rsidR="00131977" w:rsidRPr="008A2B14">
        <w:rPr>
          <w:sz w:val="24"/>
          <w:szCs w:val="24"/>
        </w:rPr>
        <w:t>4935,97</w:t>
      </w:r>
      <w:r w:rsidR="003767FD">
        <w:rPr>
          <w:sz w:val="24"/>
          <w:szCs w:val="24"/>
        </w:rPr>
        <w:t xml:space="preserve"> em 2015/2016</w:t>
      </w:r>
      <w:r w:rsidR="00131977" w:rsidRPr="008A2B14">
        <w:rPr>
          <w:sz w:val="24"/>
          <w:szCs w:val="24"/>
        </w:rPr>
        <w:t xml:space="preserve"> para </w:t>
      </w:r>
      <w:r w:rsidR="003767FD">
        <w:rPr>
          <w:sz w:val="24"/>
          <w:szCs w:val="24"/>
        </w:rPr>
        <w:t xml:space="preserve">R$ </w:t>
      </w:r>
      <w:r w:rsidR="00131977" w:rsidRPr="008A2B14">
        <w:rPr>
          <w:sz w:val="24"/>
          <w:szCs w:val="24"/>
        </w:rPr>
        <w:t>6058,93</w:t>
      </w:r>
      <w:r w:rsidR="003767FD">
        <w:rPr>
          <w:sz w:val="24"/>
          <w:szCs w:val="24"/>
        </w:rPr>
        <w:t xml:space="preserve"> em 2016/2017.</w:t>
      </w:r>
      <w:r w:rsidR="00131977" w:rsidRPr="008A2B14">
        <w:rPr>
          <w:sz w:val="24"/>
          <w:szCs w:val="24"/>
        </w:rPr>
        <w:t xml:space="preserve"> </w:t>
      </w:r>
      <w:r w:rsidR="00BB135F">
        <w:rPr>
          <w:sz w:val="24"/>
          <w:szCs w:val="24"/>
        </w:rPr>
        <w:t>O</w:t>
      </w:r>
      <w:r w:rsidR="00131977" w:rsidRPr="008A2B14">
        <w:rPr>
          <w:sz w:val="24"/>
          <w:szCs w:val="24"/>
        </w:rPr>
        <w:t xml:space="preserve"> indicador </w:t>
      </w:r>
      <w:r w:rsidR="00131977" w:rsidRPr="002A6159">
        <w:rPr>
          <w:sz w:val="24"/>
          <w:szCs w:val="24"/>
        </w:rPr>
        <w:t xml:space="preserve">VA/AAA também </w:t>
      </w:r>
      <w:r w:rsidR="003767FD">
        <w:rPr>
          <w:sz w:val="24"/>
          <w:szCs w:val="24"/>
        </w:rPr>
        <w:t xml:space="preserve">cresceu entre os dois períodos. Essas constatações indicam que as unidades de agricultura familiar </w:t>
      </w:r>
      <w:r w:rsidR="004D42BB" w:rsidRPr="008F3091">
        <w:rPr>
          <w:rFonts w:eastAsiaTheme="minorEastAsia"/>
          <w:sz w:val="24"/>
          <w:szCs w:val="24"/>
          <w:lang w:eastAsia="en-US"/>
        </w:rPr>
        <w:t>a</w:t>
      </w:r>
      <w:r w:rsidR="003767FD">
        <w:rPr>
          <w:rFonts w:eastAsiaTheme="minorEastAsia"/>
          <w:sz w:val="24"/>
          <w:szCs w:val="24"/>
          <w:lang w:eastAsia="en-US"/>
        </w:rPr>
        <w:t>mpliaram sua</w:t>
      </w:r>
      <w:r w:rsidR="004D42BB" w:rsidRPr="008F3091">
        <w:rPr>
          <w:rFonts w:eastAsiaTheme="minorEastAsia"/>
          <w:sz w:val="24"/>
          <w:szCs w:val="24"/>
          <w:lang w:eastAsia="en-US"/>
        </w:rPr>
        <w:t xml:space="preserve"> sustentabilidade</w:t>
      </w:r>
      <w:r w:rsidR="003767FD">
        <w:rPr>
          <w:rFonts w:eastAsiaTheme="minorEastAsia"/>
          <w:sz w:val="24"/>
          <w:szCs w:val="24"/>
          <w:lang w:eastAsia="en-US"/>
        </w:rPr>
        <w:t xml:space="preserve"> em seus três pilares</w:t>
      </w:r>
      <w:r w:rsidR="00797F9F">
        <w:rPr>
          <w:rFonts w:eastAsiaTheme="minorEastAsia"/>
          <w:sz w:val="24"/>
          <w:szCs w:val="24"/>
          <w:lang w:eastAsia="en-US"/>
        </w:rPr>
        <w:t>: econômico, social e ambiental</w:t>
      </w:r>
      <w:r w:rsidR="004D42BB" w:rsidRPr="008F3091">
        <w:rPr>
          <w:rFonts w:eastAsiaTheme="minorEastAsia"/>
          <w:sz w:val="24"/>
          <w:szCs w:val="24"/>
          <w:lang w:eastAsia="en-US"/>
        </w:rPr>
        <w:t>.</w:t>
      </w:r>
    </w:p>
    <w:p w14:paraId="6086D6EA" w14:textId="2038EB59" w:rsidR="00E26A79" w:rsidRPr="00610A49" w:rsidRDefault="00E26A79" w:rsidP="008F309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Ao comparar </w:t>
      </w:r>
      <w:r w:rsidR="003767FD">
        <w:rPr>
          <w:sz w:val="24"/>
          <w:szCs w:val="24"/>
        </w:rPr>
        <w:t xml:space="preserve">os resultados obtidos nesse estudo com os apresentados no estudo de </w:t>
      </w:r>
      <w:r w:rsidR="009D7220">
        <w:rPr>
          <w:sz w:val="24"/>
          <w:szCs w:val="24"/>
        </w:rPr>
        <w:t xml:space="preserve">Furtado </w:t>
      </w:r>
      <w:r w:rsidR="009D7220">
        <w:rPr>
          <w:i/>
          <w:sz w:val="24"/>
          <w:szCs w:val="24"/>
        </w:rPr>
        <w:t>et al.</w:t>
      </w:r>
      <w:r w:rsidR="009D7220">
        <w:rPr>
          <w:sz w:val="24"/>
          <w:szCs w:val="24"/>
        </w:rPr>
        <w:t xml:space="preserve"> (2017), </w:t>
      </w:r>
      <w:r w:rsidR="0019560A">
        <w:rPr>
          <w:sz w:val="24"/>
          <w:szCs w:val="24"/>
        </w:rPr>
        <w:t>o qual descreve a sustentabilidade</w:t>
      </w:r>
      <w:r w:rsidR="00653256">
        <w:rPr>
          <w:sz w:val="24"/>
          <w:szCs w:val="24"/>
        </w:rPr>
        <w:t xml:space="preserve"> nos sistemas de agricultura familiar </w:t>
      </w:r>
      <w:r w:rsidR="00653256">
        <w:rPr>
          <w:sz w:val="24"/>
          <w:szCs w:val="24"/>
        </w:rPr>
        <w:lastRenderedPageBreak/>
        <w:t xml:space="preserve">segundo o critério da </w:t>
      </w:r>
      <w:r w:rsidR="0028108E">
        <w:rPr>
          <w:sz w:val="24"/>
          <w:szCs w:val="24"/>
        </w:rPr>
        <w:t>equidade</w:t>
      </w:r>
      <w:r w:rsidR="00653256">
        <w:rPr>
          <w:sz w:val="24"/>
          <w:szCs w:val="24"/>
        </w:rPr>
        <w:t>,</w:t>
      </w:r>
      <w:r w:rsidR="00500966">
        <w:rPr>
          <w:sz w:val="24"/>
          <w:szCs w:val="24"/>
        </w:rPr>
        <w:t xml:space="preserve"> nota-se que em r</w:t>
      </w:r>
      <w:r w:rsidR="003767FD">
        <w:rPr>
          <w:sz w:val="24"/>
          <w:szCs w:val="24"/>
        </w:rPr>
        <w:t xml:space="preserve">elação a dimensão econômica, </w:t>
      </w:r>
      <w:r w:rsidR="00500966">
        <w:rPr>
          <w:sz w:val="24"/>
          <w:szCs w:val="24"/>
        </w:rPr>
        <w:t>ambos os estudos</w:t>
      </w:r>
      <w:r w:rsidR="00255F97">
        <w:rPr>
          <w:sz w:val="24"/>
          <w:szCs w:val="24"/>
        </w:rPr>
        <w:t xml:space="preserve"> indicam </w:t>
      </w:r>
      <w:r w:rsidR="00F04A2E">
        <w:rPr>
          <w:sz w:val="24"/>
          <w:szCs w:val="24"/>
        </w:rPr>
        <w:t xml:space="preserve">uma </w:t>
      </w:r>
      <w:r w:rsidR="00F04A2E" w:rsidRPr="00F04A2E">
        <w:rPr>
          <w:sz w:val="24"/>
          <w:szCs w:val="24"/>
        </w:rPr>
        <w:t>similaridade na</w:t>
      </w:r>
      <w:r w:rsidR="00255F97" w:rsidRPr="00F04A2E">
        <w:rPr>
          <w:sz w:val="24"/>
          <w:szCs w:val="24"/>
        </w:rPr>
        <w:t xml:space="preserve"> sustentabilidade</w:t>
      </w:r>
      <w:r w:rsidR="00F04A2E" w:rsidRPr="00F04A2E">
        <w:rPr>
          <w:sz w:val="24"/>
          <w:szCs w:val="24"/>
        </w:rPr>
        <w:t xml:space="preserve"> das produções</w:t>
      </w:r>
      <w:r w:rsidR="00255F97">
        <w:rPr>
          <w:sz w:val="24"/>
          <w:szCs w:val="24"/>
        </w:rPr>
        <w:t>.</w:t>
      </w:r>
      <w:r w:rsidR="00575F6F">
        <w:rPr>
          <w:sz w:val="24"/>
          <w:szCs w:val="24"/>
        </w:rPr>
        <w:t xml:space="preserve"> </w:t>
      </w:r>
      <w:r w:rsidR="003D0116">
        <w:rPr>
          <w:sz w:val="24"/>
          <w:szCs w:val="24"/>
        </w:rPr>
        <w:t>Sobre a</w:t>
      </w:r>
      <w:r w:rsidR="00575F6F">
        <w:rPr>
          <w:sz w:val="24"/>
          <w:szCs w:val="24"/>
        </w:rPr>
        <w:t xml:space="preserve"> dimensão social, </w:t>
      </w:r>
      <w:r w:rsidR="00797F9F">
        <w:rPr>
          <w:sz w:val="24"/>
          <w:szCs w:val="24"/>
        </w:rPr>
        <w:t>o critério da equidade apontou maior sustentabilidade em relação ao critério da produtividade. Ressalta</w:t>
      </w:r>
      <w:r w:rsidR="00575F6F">
        <w:rPr>
          <w:sz w:val="24"/>
          <w:szCs w:val="24"/>
        </w:rPr>
        <w:t>-se que</w:t>
      </w:r>
      <w:r w:rsidR="00797F9F">
        <w:rPr>
          <w:sz w:val="24"/>
          <w:szCs w:val="24"/>
        </w:rPr>
        <w:t>,</w:t>
      </w:r>
      <w:r w:rsidR="00575F6F">
        <w:rPr>
          <w:sz w:val="24"/>
          <w:szCs w:val="24"/>
        </w:rPr>
        <w:t xml:space="preserve"> </w:t>
      </w:r>
      <w:r w:rsidR="00610A49">
        <w:rPr>
          <w:sz w:val="24"/>
          <w:szCs w:val="24"/>
        </w:rPr>
        <w:t xml:space="preserve">no estudo de Furtado </w:t>
      </w:r>
      <w:r w:rsidR="00610A49">
        <w:rPr>
          <w:i/>
          <w:sz w:val="24"/>
          <w:szCs w:val="24"/>
        </w:rPr>
        <w:t xml:space="preserve">et al. </w:t>
      </w:r>
      <w:r w:rsidR="00610A49">
        <w:rPr>
          <w:sz w:val="24"/>
          <w:szCs w:val="24"/>
        </w:rPr>
        <w:t>(2017)</w:t>
      </w:r>
      <w:r w:rsidR="00192126">
        <w:rPr>
          <w:sz w:val="24"/>
          <w:szCs w:val="24"/>
        </w:rPr>
        <w:t>, Santa Catarina não foi o estado</w:t>
      </w:r>
      <w:r w:rsidR="003D0116">
        <w:rPr>
          <w:sz w:val="24"/>
          <w:szCs w:val="24"/>
        </w:rPr>
        <w:t xml:space="preserve"> da Região Sul</w:t>
      </w:r>
      <w:r w:rsidR="00192126">
        <w:rPr>
          <w:sz w:val="24"/>
          <w:szCs w:val="24"/>
        </w:rPr>
        <w:t xml:space="preserve"> que apresentou maior </w:t>
      </w:r>
      <w:r w:rsidR="00797F9F">
        <w:rPr>
          <w:sz w:val="24"/>
          <w:szCs w:val="24"/>
        </w:rPr>
        <w:t xml:space="preserve">sustentabilidade nesse aspecto. </w:t>
      </w:r>
      <w:r w:rsidR="00F8166A">
        <w:rPr>
          <w:sz w:val="24"/>
          <w:szCs w:val="24"/>
        </w:rPr>
        <w:t>Analisando</w:t>
      </w:r>
      <w:r w:rsidR="00FB393F">
        <w:rPr>
          <w:sz w:val="24"/>
          <w:szCs w:val="24"/>
        </w:rPr>
        <w:t xml:space="preserve"> a dimensão ambiental, </w:t>
      </w:r>
      <w:r w:rsidR="00A81A1A">
        <w:rPr>
          <w:sz w:val="24"/>
          <w:szCs w:val="24"/>
        </w:rPr>
        <w:t>em ambos os estudos</w:t>
      </w:r>
      <w:r w:rsidR="00B8589D">
        <w:rPr>
          <w:sz w:val="24"/>
          <w:szCs w:val="24"/>
        </w:rPr>
        <w:t xml:space="preserve"> </w:t>
      </w:r>
      <w:r w:rsidR="009547CD">
        <w:rPr>
          <w:sz w:val="24"/>
          <w:szCs w:val="24"/>
        </w:rPr>
        <w:t xml:space="preserve">a sustentabilidade no estado de Santa Catarina apresentou </w:t>
      </w:r>
      <w:r w:rsidR="00AE651F">
        <w:rPr>
          <w:sz w:val="24"/>
          <w:szCs w:val="24"/>
        </w:rPr>
        <w:t>comportamento semelhante</w:t>
      </w:r>
      <w:r w:rsidR="00F04A2E">
        <w:rPr>
          <w:sz w:val="24"/>
          <w:szCs w:val="24"/>
        </w:rPr>
        <w:t>.</w:t>
      </w:r>
    </w:p>
    <w:p w14:paraId="4A81F98F" w14:textId="5696CC88" w:rsidR="00BE624F" w:rsidRPr="00C12375" w:rsidRDefault="00BE624F" w:rsidP="00BE624F">
      <w:pPr>
        <w:ind w:firstLine="709"/>
        <w:jc w:val="both"/>
        <w:rPr>
          <w:sz w:val="24"/>
          <w:szCs w:val="24"/>
        </w:rPr>
      </w:pPr>
      <w:r w:rsidRPr="00C12375">
        <w:rPr>
          <w:rFonts w:eastAsiaTheme="minorEastAsia"/>
          <w:sz w:val="24"/>
          <w:szCs w:val="24"/>
          <w:lang w:eastAsia="en-US"/>
        </w:rPr>
        <w:t xml:space="preserve">Entende-se que a pesquisa apresenta limitação à base de dados da </w:t>
      </w:r>
      <w:proofErr w:type="spellStart"/>
      <w:r w:rsidRPr="00C12375">
        <w:rPr>
          <w:rFonts w:eastAsiaTheme="minorEastAsia"/>
          <w:sz w:val="24"/>
          <w:szCs w:val="24"/>
          <w:lang w:eastAsia="en-US"/>
        </w:rPr>
        <w:t>Epagri</w:t>
      </w:r>
      <w:proofErr w:type="spellEnd"/>
      <w:r w:rsidRPr="00C12375">
        <w:rPr>
          <w:rFonts w:eastAsiaTheme="minorEastAsia"/>
          <w:sz w:val="24"/>
          <w:szCs w:val="24"/>
          <w:lang w:eastAsia="en-US"/>
        </w:rPr>
        <w:t>, visto que 73 propriedades foram analisadas, não alcançando to</w:t>
      </w:r>
      <w:r w:rsidR="003D0116">
        <w:rPr>
          <w:rFonts w:eastAsiaTheme="minorEastAsia"/>
          <w:sz w:val="24"/>
          <w:szCs w:val="24"/>
          <w:lang w:eastAsia="en-US"/>
        </w:rPr>
        <w:t xml:space="preserve">das as propriedades agrícolas </w:t>
      </w:r>
      <w:r w:rsidR="00797F9F">
        <w:rPr>
          <w:rFonts w:eastAsiaTheme="minorEastAsia"/>
          <w:sz w:val="24"/>
          <w:szCs w:val="24"/>
          <w:lang w:eastAsia="en-US"/>
        </w:rPr>
        <w:t xml:space="preserve">familiares </w:t>
      </w:r>
      <w:r w:rsidR="003D0116">
        <w:rPr>
          <w:rFonts w:eastAsiaTheme="minorEastAsia"/>
          <w:sz w:val="24"/>
          <w:szCs w:val="24"/>
          <w:lang w:eastAsia="en-US"/>
        </w:rPr>
        <w:t>do estado de</w:t>
      </w:r>
      <w:r w:rsidRPr="00C12375">
        <w:rPr>
          <w:rFonts w:eastAsiaTheme="minorEastAsia"/>
          <w:sz w:val="24"/>
          <w:szCs w:val="24"/>
          <w:lang w:eastAsia="en-US"/>
        </w:rPr>
        <w:t xml:space="preserve"> Santa Catarina. </w:t>
      </w:r>
      <w:r w:rsidRPr="00C12375">
        <w:rPr>
          <w:sz w:val="24"/>
          <w:szCs w:val="24"/>
        </w:rPr>
        <w:t xml:space="preserve">Para estudos futuros sugere-se a comparação </w:t>
      </w:r>
      <w:r w:rsidR="00FC7BA5" w:rsidRPr="00C12375">
        <w:rPr>
          <w:sz w:val="24"/>
          <w:szCs w:val="24"/>
        </w:rPr>
        <w:t xml:space="preserve">com </w:t>
      </w:r>
      <w:r w:rsidRPr="00C12375">
        <w:rPr>
          <w:sz w:val="24"/>
          <w:szCs w:val="24"/>
        </w:rPr>
        <w:t>outros estados, a fim de investigar a evolução dos indicadores, bem como analisar</w:t>
      </w:r>
      <w:r w:rsidR="00797F9F">
        <w:rPr>
          <w:sz w:val="24"/>
          <w:szCs w:val="24"/>
        </w:rPr>
        <w:t xml:space="preserve"> </w:t>
      </w:r>
      <w:r w:rsidRPr="00C12375">
        <w:rPr>
          <w:sz w:val="24"/>
          <w:szCs w:val="24"/>
        </w:rPr>
        <w:t xml:space="preserve">os outros critérios </w:t>
      </w:r>
      <w:r w:rsidR="00797F9F">
        <w:rPr>
          <w:sz w:val="24"/>
          <w:szCs w:val="24"/>
        </w:rPr>
        <w:t xml:space="preserve">da sustentabilidade, </w:t>
      </w:r>
      <w:r w:rsidR="00AE651F">
        <w:rPr>
          <w:sz w:val="24"/>
          <w:szCs w:val="24"/>
        </w:rPr>
        <w:t>além</w:t>
      </w:r>
      <w:r w:rsidRPr="00C12375">
        <w:rPr>
          <w:sz w:val="24"/>
          <w:szCs w:val="24"/>
        </w:rPr>
        <w:t xml:space="preserve"> da produtividade, </w:t>
      </w:r>
      <w:r w:rsidR="00797F9F">
        <w:rPr>
          <w:sz w:val="24"/>
          <w:szCs w:val="24"/>
        </w:rPr>
        <w:t>que são</w:t>
      </w:r>
      <w:r w:rsidRPr="00C12375">
        <w:rPr>
          <w:sz w:val="24"/>
          <w:szCs w:val="24"/>
        </w:rPr>
        <w:t xml:space="preserve">: Autonomia, Estabilidade e Resiliência. </w:t>
      </w:r>
    </w:p>
    <w:p w14:paraId="4A6ED305" w14:textId="77777777" w:rsidR="00BE624F" w:rsidRPr="00BE624F" w:rsidRDefault="00BE624F" w:rsidP="00BE624F">
      <w:pPr>
        <w:rPr>
          <w:sz w:val="24"/>
          <w:szCs w:val="24"/>
        </w:rPr>
      </w:pPr>
    </w:p>
    <w:p w14:paraId="1E17DB27" w14:textId="750FF588" w:rsidR="00BE624F" w:rsidRDefault="00BE624F" w:rsidP="00F61402">
      <w:pPr>
        <w:pStyle w:val="Ttulo1"/>
        <w:numPr>
          <w:ilvl w:val="0"/>
          <w:numId w:val="0"/>
        </w:numPr>
        <w:ind w:left="432" w:hanging="432"/>
        <w:rPr>
          <w:szCs w:val="24"/>
        </w:rPr>
      </w:pPr>
      <w:r w:rsidRPr="00BE624F">
        <w:rPr>
          <w:szCs w:val="24"/>
        </w:rPr>
        <w:t>REFERÊNCIAS</w:t>
      </w:r>
    </w:p>
    <w:p w14:paraId="004B62CD" w14:textId="77777777" w:rsidR="00533218" w:rsidRPr="00490466" w:rsidRDefault="00533218" w:rsidP="00490466"/>
    <w:p w14:paraId="7CA4B5F5" w14:textId="79D1DB25" w:rsidR="00EF7E50" w:rsidRDefault="00EF7E50" w:rsidP="00640628">
      <w:pPr>
        <w:jc w:val="both"/>
        <w:rPr>
          <w:sz w:val="24"/>
          <w:szCs w:val="24"/>
          <w:shd w:val="clear" w:color="auto" w:fill="FFFFFF"/>
        </w:rPr>
      </w:pPr>
      <w:proofErr w:type="spellStart"/>
      <w:r w:rsidRPr="00EF7E50">
        <w:rPr>
          <w:sz w:val="24"/>
          <w:szCs w:val="24"/>
          <w:shd w:val="clear" w:color="auto" w:fill="FFFFFF"/>
        </w:rPr>
        <w:t>Altafin</w:t>
      </w:r>
      <w:proofErr w:type="spellEnd"/>
      <w:r w:rsidRPr="00EF7E50">
        <w:rPr>
          <w:sz w:val="24"/>
          <w:szCs w:val="24"/>
          <w:shd w:val="clear" w:color="auto" w:fill="FFFFFF"/>
        </w:rPr>
        <w:t>, Iara. Reflexões sobre o conceito de agricultura familiar</w:t>
      </w:r>
      <w:r w:rsidRPr="00E61C01">
        <w:rPr>
          <w:sz w:val="24"/>
          <w:szCs w:val="24"/>
          <w:shd w:val="clear" w:color="auto" w:fill="FFFFFF"/>
        </w:rPr>
        <w:t>. </w:t>
      </w:r>
      <w:r w:rsidRPr="00E61C01">
        <w:rPr>
          <w:bCs/>
          <w:sz w:val="24"/>
          <w:szCs w:val="24"/>
          <w:shd w:val="clear" w:color="auto" w:fill="FFFFFF"/>
        </w:rPr>
        <w:t>Brasília: CDS/UnB</w:t>
      </w:r>
      <w:r w:rsidRPr="00EF7E50">
        <w:rPr>
          <w:sz w:val="24"/>
          <w:szCs w:val="24"/>
          <w:shd w:val="clear" w:color="auto" w:fill="FFFFFF"/>
        </w:rPr>
        <w:t>, 2007.</w:t>
      </w:r>
    </w:p>
    <w:p w14:paraId="02D11926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55E5823F" w14:textId="2ABE8047" w:rsidR="00EF7E50" w:rsidRDefault="00EF7E50" w:rsidP="00640628">
      <w:pPr>
        <w:pStyle w:val="NormalWeb"/>
        <w:spacing w:before="0" w:beforeAutospacing="0" w:after="0" w:afterAutospacing="0"/>
        <w:jc w:val="both"/>
        <w:rPr>
          <w:sz w:val="24"/>
          <w:szCs w:val="24"/>
          <w:shd w:val="clear" w:color="auto" w:fill="FFFFFF"/>
        </w:rPr>
      </w:pPr>
      <w:proofErr w:type="spellStart"/>
      <w:r w:rsidRPr="00EF7E50">
        <w:rPr>
          <w:sz w:val="24"/>
          <w:szCs w:val="24"/>
          <w:shd w:val="clear" w:color="auto" w:fill="FFFFFF"/>
        </w:rPr>
        <w:t>Altieri</w:t>
      </w:r>
      <w:proofErr w:type="spellEnd"/>
      <w:r w:rsidRPr="00EF7E50">
        <w:rPr>
          <w:sz w:val="24"/>
          <w:szCs w:val="24"/>
          <w:shd w:val="clear" w:color="auto" w:fill="FFFFFF"/>
        </w:rPr>
        <w:t>, M. (1989). Agroecologia: as bases conceituais da agricultura alternativa.</w:t>
      </w:r>
      <w:r w:rsidRPr="00EF7E50">
        <w:rPr>
          <w:rStyle w:val="apple-converted-space"/>
          <w:sz w:val="24"/>
          <w:szCs w:val="24"/>
          <w:shd w:val="clear" w:color="auto" w:fill="FFFFFF"/>
        </w:rPr>
        <w:t> </w:t>
      </w:r>
      <w:r w:rsidRPr="00EF7E50">
        <w:rPr>
          <w:i/>
          <w:iCs/>
          <w:sz w:val="24"/>
          <w:szCs w:val="24"/>
          <w:shd w:val="clear" w:color="auto" w:fill="FFFFFF"/>
        </w:rPr>
        <w:t>Rio de Janeiro: AS-PTA</w:t>
      </w:r>
      <w:r w:rsidRPr="00EF7E50">
        <w:rPr>
          <w:sz w:val="24"/>
          <w:szCs w:val="24"/>
          <w:shd w:val="clear" w:color="auto" w:fill="FFFFFF"/>
        </w:rPr>
        <w:t>.</w:t>
      </w:r>
    </w:p>
    <w:p w14:paraId="694BE37B" w14:textId="77777777" w:rsidR="00640628" w:rsidRPr="00EF7E50" w:rsidRDefault="00640628" w:rsidP="00490466">
      <w:pPr>
        <w:pStyle w:val="NormalWeb"/>
        <w:spacing w:before="0" w:beforeAutospacing="0" w:after="0" w:afterAutospacing="0"/>
        <w:jc w:val="both"/>
        <w:rPr>
          <w:sz w:val="24"/>
          <w:szCs w:val="24"/>
          <w:shd w:val="clear" w:color="auto" w:fill="FFFFFF"/>
        </w:rPr>
      </w:pPr>
    </w:p>
    <w:p w14:paraId="60C289AB" w14:textId="1F62E5AA" w:rsidR="00EF7E50" w:rsidRDefault="00EF7E50" w:rsidP="00640628">
      <w:pPr>
        <w:jc w:val="both"/>
        <w:rPr>
          <w:sz w:val="24"/>
          <w:szCs w:val="24"/>
          <w:lang w:val="es-ES"/>
        </w:rPr>
      </w:pPr>
      <w:proofErr w:type="spellStart"/>
      <w:r w:rsidRPr="00067398">
        <w:rPr>
          <w:sz w:val="24"/>
          <w:szCs w:val="24"/>
        </w:rPr>
        <w:t>Camino</w:t>
      </w:r>
      <w:proofErr w:type="spellEnd"/>
      <w:r w:rsidRPr="00067398">
        <w:rPr>
          <w:sz w:val="24"/>
          <w:szCs w:val="24"/>
        </w:rPr>
        <w:t xml:space="preserve">, R, &amp; Müller, S. (1993). </w:t>
      </w:r>
      <w:proofErr w:type="spellStart"/>
      <w:r w:rsidRPr="00067398">
        <w:rPr>
          <w:sz w:val="24"/>
          <w:szCs w:val="24"/>
        </w:rPr>
        <w:t>Sostenibilidad</w:t>
      </w:r>
      <w:proofErr w:type="spellEnd"/>
      <w:r w:rsidRPr="00067398">
        <w:rPr>
          <w:sz w:val="24"/>
          <w:szCs w:val="24"/>
        </w:rPr>
        <w:t xml:space="preserve"> de </w:t>
      </w:r>
      <w:proofErr w:type="spellStart"/>
      <w:r w:rsidRPr="00067398">
        <w:rPr>
          <w:sz w:val="24"/>
          <w:szCs w:val="24"/>
        </w:rPr>
        <w:t>la</w:t>
      </w:r>
      <w:proofErr w:type="spellEnd"/>
      <w:r w:rsidRPr="00067398">
        <w:rPr>
          <w:sz w:val="24"/>
          <w:szCs w:val="24"/>
        </w:rPr>
        <w:t xml:space="preserve"> agricultura y </w:t>
      </w:r>
      <w:proofErr w:type="spellStart"/>
      <w:r w:rsidRPr="00067398">
        <w:rPr>
          <w:sz w:val="24"/>
          <w:szCs w:val="24"/>
        </w:rPr>
        <w:t>los</w:t>
      </w:r>
      <w:proofErr w:type="spellEnd"/>
      <w:r w:rsidRPr="00067398">
        <w:rPr>
          <w:sz w:val="24"/>
          <w:szCs w:val="24"/>
        </w:rPr>
        <w:t xml:space="preserve"> recursos </w:t>
      </w:r>
      <w:proofErr w:type="spellStart"/>
      <w:r w:rsidRPr="00067398">
        <w:rPr>
          <w:sz w:val="24"/>
          <w:szCs w:val="24"/>
        </w:rPr>
        <w:t>naturales</w:t>
      </w:r>
      <w:proofErr w:type="spellEnd"/>
      <w:r w:rsidRPr="00067398">
        <w:rPr>
          <w:sz w:val="24"/>
          <w:szCs w:val="24"/>
        </w:rPr>
        <w:t xml:space="preserve">: bases para </w:t>
      </w:r>
      <w:proofErr w:type="spellStart"/>
      <w:r w:rsidRPr="00067398">
        <w:rPr>
          <w:sz w:val="24"/>
          <w:szCs w:val="24"/>
        </w:rPr>
        <w:t>establecer</w:t>
      </w:r>
      <w:proofErr w:type="spellEnd"/>
      <w:r w:rsidRPr="00067398">
        <w:rPr>
          <w:sz w:val="24"/>
          <w:szCs w:val="24"/>
        </w:rPr>
        <w:t xml:space="preserve"> indicadores (No. </w:t>
      </w:r>
      <w:r w:rsidRPr="00EF7E50">
        <w:rPr>
          <w:sz w:val="24"/>
          <w:szCs w:val="24"/>
          <w:lang w:val="es-ES"/>
        </w:rPr>
        <w:t>IICA-DP No. 38 CDP-0067). GTZ, San José (Costa Rica) IICA, San José (Costa Rica).</w:t>
      </w:r>
    </w:p>
    <w:p w14:paraId="30116787" w14:textId="77777777" w:rsidR="00640628" w:rsidRPr="00EF7E50" w:rsidRDefault="00640628" w:rsidP="00490466">
      <w:pPr>
        <w:jc w:val="both"/>
        <w:rPr>
          <w:sz w:val="24"/>
          <w:szCs w:val="24"/>
          <w:lang w:val="es-ES"/>
        </w:rPr>
      </w:pPr>
    </w:p>
    <w:p w14:paraId="4AE9206D" w14:textId="7231567E" w:rsidR="00640628" w:rsidRPr="00D1734F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 xml:space="preserve">Centro de Estudos Avançados em Economia Aplicada (CEPEA). </w:t>
      </w:r>
      <w:r w:rsidRPr="00490466">
        <w:rPr>
          <w:i/>
          <w:sz w:val="24"/>
          <w:szCs w:val="24"/>
        </w:rPr>
        <w:t xml:space="preserve">Boletim CEPEA do </w:t>
      </w:r>
      <w:r w:rsidRPr="00D1734F">
        <w:rPr>
          <w:i/>
          <w:sz w:val="24"/>
          <w:szCs w:val="24"/>
        </w:rPr>
        <w:t>Agronegócio Brasileiro</w:t>
      </w:r>
      <w:r w:rsidRPr="00D1734F">
        <w:rPr>
          <w:sz w:val="24"/>
          <w:szCs w:val="24"/>
        </w:rPr>
        <w:t>. Piracicaba, v. 1, n.7, 2017. Recuperado em 22 de abril, 2018, de &lt;</w:t>
      </w:r>
      <w:hyperlink r:id="rId17" w:history="1">
        <w:r w:rsidR="0028108E" w:rsidRPr="00D1734F">
          <w:rPr>
            <w:rStyle w:val="Hyperlink"/>
            <w:color w:val="auto"/>
            <w:sz w:val="24"/>
            <w:szCs w:val="24"/>
          </w:rPr>
          <w:t>https://www.cepea.esalq.usp.br/upload/kceditor/files/Relatorio%20PIBAGRO%20Brasil_DEZEMBRO_CEPEA.pdf</w:t>
        </w:r>
      </w:hyperlink>
      <w:r w:rsidRPr="00D1734F">
        <w:rPr>
          <w:sz w:val="24"/>
          <w:szCs w:val="24"/>
        </w:rPr>
        <w:t>&gt;.</w:t>
      </w:r>
    </w:p>
    <w:p w14:paraId="22285CB5" w14:textId="26BD656F" w:rsidR="00EF7E50" w:rsidRPr="00D1734F" w:rsidRDefault="00EF7E50" w:rsidP="00490466">
      <w:pPr>
        <w:jc w:val="both"/>
        <w:rPr>
          <w:sz w:val="24"/>
          <w:szCs w:val="24"/>
        </w:rPr>
      </w:pPr>
      <w:r w:rsidRPr="00D1734F">
        <w:rPr>
          <w:sz w:val="24"/>
          <w:szCs w:val="24"/>
        </w:rPr>
        <w:t xml:space="preserve"> </w:t>
      </w:r>
    </w:p>
    <w:p w14:paraId="017961B3" w14:textId="6C8DCBEA" w:rsidR="00EF7E50" w:rsidRDefault="00EF7E50" w:rsidP="00640628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shd w:val="clear" w:color="auto" w:fill="FFFFFF"/>
        </w:rPr>
      </w:pPr>
      <w:proofErr w:type="spellStart"/>
      <w:r w:rsidRPr="00EF7E50">
        <w:rPr>
          <w:shd w:val="clear" w:color="auto" w:fill="FFFFFF"/>
        </w:rPr>
        <w:t>Conway</w:t>
      </w:r>
      <w:proofErr w:type="spellEnd"/>
      <w:r w:rsidRPr="00EF7E50">
        <w:rPr>
          <w:shd w:val="clear" w:color="auto" w:fill="FFFFFF"/>
        </w:rPr>
        <w:t xml:space="preserve">, G. R. &amp; </w:t>
      </w:r>
      <w:proofErr w:type="spellStart"/>
      <w:r w:rsidRPr="00EF7E50">
        <w:rPr>
          <w:shd w:val="clear" w:color="auto" w:fill="FFFFFF"/>
        </w:rPr>
        <w:t>Barbier</w:t>
      </w:r>
      <w:proofErr w:type="spellEnd"/>
      <w:r w:rsidRPr="00EF7E50">
        <w:rPr>
          <w:shd w:val="clear" w:color="auto" w:fill="FFFFFF"/>
        </w:rPr>
        <w:t xml:space="preserve">, E. B. (2013) </w:t>
      </w:r>
      <w:r w:rsidRPr="00EF7E50">
        <w:rPr>
          <w:bCs/>
          <w:shd w:val="clear" w:color="auto" w:fill="FFFFFF"/>
        </w:rPr>
        <w:t>Depois da revolução verde: Agricultura sustentável para o desenvolvimento</w:t>
      </w:r>
      <w:r w:rsidRPr="00EF7E50">
        <w:rPr>
          <w:shd w:val="clear" w:color="auto" w:fill="FFFFFF"/>
        </w:rPr>
        <w:t xml:space="preserve">. Londres: </w:t>
      </w:r>
      <w:proofErr w:type="spellStart"/>
      <w:r w:rsidRPr="00EF7E50">
        <w:rPr>
          <w:shd w:val="clear" w:color="auto" w:fill="FFFFFF"/>
        </w:rPr>
        <w:t>Earthscan</w:t>
      </w:r>
      <w:proofErr w:type="spellEnd"/>
      <w:r w:rsidRPr="00EF7E50">
        <w:rPr>
          <w:shd w:val="clear" w:color="auto" w:fill="FFFFFF"/>
        </w:rPr>
        <w:t>.</w:t>
      </w:r>
    </w:p>
    <w:p w14:paraId="16D4B371" w14:textId="77777777" w:rsidR="00640628" w:rsidRPr="00EF7E50" w:rsidRDefault="00640628" w:rsidP="00490466">
      <w:pPr>
        <w:pStyle w:val="xmsonormal"/>
        <w:shd w:val="clear" w:color="auto" w:fill="FFFFFF" w:themeFill="background1"/>
        <w:spacing w:before="0" w:beforeAutospacing="0" w:after="0" w:afterAutospacing="0"/>
        <w:jc w:val="both"/>
      </w:pPr>
    </w:p>
    <w:p w14:paraId="28A5D09E" w14:textId="78F4AB06" w:rsidR="00EF7E50" w:rsidRDefault="00EF7E50" w:rsidP="00640628">
      <w:pPr>
        <w:suppressAutoHyphens w:val="0"/>
        <w:jc w:val="both"/>
        <w:rPr>
          <w:sz w:val="24"/>
          <w:szCs w:val="24"/>
        </w:rPr>
      </w:pPr>
      <w:proofErr w:type="gramStart"/>
      <w:r w:rsidRPr="00EF7E50">
        <w:rPr>
          <w:sz w:val="24"/>
          <w:szCs w:val="24"/>
        </w:rPr>
        <w:t>da</w:t>
      </w:r>
      <w:proofErr w:type="gramEnd"/>
      <w:r w:rsidRPr="00EF7E50">
        <w:rPr>
          <w:sz w:val="24"/>
          <w:szCs w:val="24"/>
        </w:rPr>
        <w:t xml:space="preserve"> Silva, M. R., </w:t>
      </w:r>
      <w:proofErr w:type="spellStart"/>
      <w:r w:rsidRPr="00EF7E50">
        <w:rPr>
          <w:sz w:val="24"/>
          <w:szCs w:val="24"/>
        </w:rPr>
        <w:t>Lingnau</w:t>
      </w:r>
      <w:proofErr w:type="spellEnd"/>
      <w:r w:rsidRPr="00EF7E50">
        <w:rPr>
          <w:sz w:val="24"/>
          <w:szCs w:val="24"/>
        </w:rPr>
        <w:t>, R., Godoy, W. I.</w:t>
      </w:r>
      <w:r w:rsidRPr="00EF7E50">
        <w:rPr>
          <w:i/>
          <w:iCs/>
          <w:sz w:val="24"/>
          <w:szCs w:val="24"/>
        </w:rPr>
        <w:t xml:space="preserve">, </w:t>
      </w:r>
      <w:r w:rsidRPr="00EF7E50">
        <w:rPr>
          <w:iCs/>
          <w:sz w:val="24"/>
          <w:szCs w:val="24"/>
        </w:rPr>
        <w:t xml:space="preserve">&amp; </w:t>
      </w:r>
      <w:proofErr w:type="spellStart"/>
      <w:r w:rsidRPr="00EF7E50">
        <w:rPr>
          <w:iCs/>
          <w:sz w:val="24"/>
          <w:szCs w:val="24"/>
        </w:rPr>
        <w:t>Bortoluzzi</w:t>
      </w:r>
      <w:proofErr w:type="spellEnd"/>
      <w:r w:rsidRPr="00EF7E50">
        <w:rPr>
          <w:iCs/>
          <w:sz w:val="24"/>
          <w:szCs w:val="24"/>
        </w:rPr>
        <w:t>, S. C. (2016).</w:t>
      </w:r>
      <w:r w:rsidRPr="00EF7E50">
        <w:rPr>
          <w:sz w:val="24"/>
          <w:szCs w:val="24"/>
        </w:rPr>
        <w:t xml:space="preserve"> </w:t>
      </w:r>
      <w:r w:rsidR="0028108E" w:rsidRPr="00EF7E50">
        <w:rPr>
          <w:sz w:val="24"/>
          <w:szCs w:val="24"/>
          <w:lang w:val="en-US"/>
        </w:rPr>
        <w:t>Indicators proposed in national literature for sustainability evaluation in the family farm</w:t>
      </w:r>
      <w:r w:rsidRPr="00EF7E50">
        <w:rPr>
          <w:sz w:val="24"/>
          <w:szCs w:val="24"/>
          <w:lang w:val="en-US"/>
        </w:rPr>
        <w:t>. </w:t>
      </w:r>
      <w:r w:rsidRPr="00490466">
        <w:rPr>
          <w:bCs/>
          <w:i/>
          <w:sz w:val="24"/>
          <w:szCs w:val="24"/>
        </w:rPr>
        <w:t>Monografias Ambientais</w:t>
      </w:r>
      <w:r w:rsidRPr="00EF7E50">
        <w:rPr>
          <w:sz w:val="24"/>
          <w:szCs w:val="24"/>
        </w:rPr>
        <w:t xml:space="preserve">, v. 15, n. 1, p. 37-52, </w:t>
      </w:r>
      <w:proofErr w:type="gramStart"/>
      <w:r w:rsidRPr="00EF7E50">
        <w:rPr>
          <w:sz w:val="24"/>
          <w:szCs w:val="24"/>
        </w:rPr>
        <w:t>jan.-</w:t>
      </w:r>
      <w:proofErr w:type="gramEnd"/>
      <w:r w:rsidRPr="00EF7E50">
        <w:rPr>
          <w:sz w:val="24"/>
          <w:szCs w:val="24"/>
        </w:rPr>
        <w:t>abr. 2016.</w:t>
      </w:r>
    </w:p>
    <w:p w14:paraId="5D51EF20" w14:textId="77777777" w:rsidR="00640628" w:rsidRPr="00EF7E50" w:rsidRDefault="00640628" w:rsidP="00490466">
      <w:pPr>
        <w:suppressAutoHyphens w:val="0"/>
        <w:jc w:val="both"/>
        <w:rPr>
          <w:sz w:val="24"/>
          <w:szCs w:val="24"/>
        </w:rPr>
      </w:pPr>
    </w:p>
    <w:p w14:paraId="7C4106E7" w14:textId="2B4F98D6" w:rsidR="00EF7E50" w:rsidRDefault="00EF7E50" w:rsidP="00640628">
      <w:pPr>
        <w:jc w:val="both"/>
        <w:rPr>
          <w:sz w:val="24"/>
          <w:szCs w:val="24"/>
        </w:rPr>
      </w:pPr>
      <w:proofErr w:type="gramStart"/>
      <w:r w:rsidRPr="00EF7E50">
        <w:rPr>
          <w:sz w:val="24"/>
          <w:szCs w:val="24"/>
        </w:rPr>
        <w:t>de</w:t>
      </w:r>
      <w:proofErr w:type="gramEnd"/>
      <w:r w:rsidRPr="00EF7E50">
        <w:rPr>
          <w:sz w:val="24"/>
          <w:szCs w:val="24"/>
        </w:rPr>
        <w:t xml:space="preserve"> Melo, L. E. L., &amp; Cândido, G. A. (2013). O Uso do Método IDEA na Avaliação de Sustentabilidade da Agricultura Familiar no Município de Ceará-Mirim‒RN1 </w:t>
      </w:r>
      <w:proofErr w:type="spellStart"/>
      <w:r w:rsidRPr="00EF7E50">
        <w:rPr>
          <w:sz w:val="24"/>
          <w:szCs w:val="24"/>
        </w:rPr>
        <w:t>Using</w:t>
      </w:r>
      <w:proofErr w:type="spellEnd"/>
      <w:r w:rsidRPr="00EF7E50">
        <w:rPr>
          <w:sz w:val="24"/>
          <w:szCs w:val="24"/>
        </w:rPr>
        <w:t xml:space="preserve"> </w:t>
      </w:r>
      <w:proofErr w:type="spellStart"/>
      <w:r w:rsidRPr="00EF7E50">
        <w:rPr>
          <w:sz w:val="24"/>
          <w:szCs w:val="24"/>
        </w:rPr>
        <w:t>the</w:t>
      </w:r>
      <w:proofErr w:type="spellEnd"/>
      <w:r w:rsidRPr="00EF7E50">
        <w:rPr>
          <w:sz w:val="24"/>
          <w:szCs w:val="24"/>
        </w:rPr>
        <w:t xml:space="preserve"> IDEA </w:t>
      </w:r>
      <w:proofErr w:type="spellStart"/>
      <w:r w:rsidRPr="00EF7E50">
        <w:rPr>
          <w:sz w:val="24"/>
          <w:szCs w:val="24"/>
        </w:rPr>
        <w:t>Method</w:t>
      </w:r>
      <w:proofErr w:type="spellEnd"/>
      <w:r w:rsidRPr="00EF7E50">
        <w:rPr>
          <w:sz w:val="24"/>
          <w:szCs w:val="24"/>
        </w:rPr>
        <w:t xml:space="preserve"> for </w:t>
      </w:r>
      <w:proofErr w:type="spellStart"/>
      <w:r w:rsidRPr="00EF7E50">
        <w:rPr>
          <w:sz w:val="24"/>
          <w:szCs w:val="24"/>
        </w:rPr>
        <w:t>Assessing</w:t>
      </w:r>
      <w:proofErr w:type="spellEnd"/>
      <w:r w:rsidRPr="00EF7E50">
        <w:rPr>
          <w:sz w:val="24"/>
          <w:szCs w:val="24"/>
        </w:rPr>
        <w:t xml:space="preserve"> Family </w:t>
      </w:r>
      <w:proofErr w:type="spellStart"/>
      <w:r w:rsidRPr="00EF7E50">
        <w:rPr>
          <w:sz w:val="24"/>
          <w:szCs w:val="24"/>
        </w:rPr>
        <w:t>Farm</w:t>
      </w:r>
      <w:proofErr w:type="spellEnd"/>
      <w:r w:rsidRPr="00EF7E50">
        <w:rPr>
          <w:sz w:val="24"/>
          <w:szCs w:val="24"/>
        </w:rPr>
        <w:t xml:space="preserve"> </w:t>
      </w:r>
      <w:proofErr w:type="spellStart"/>
      <w:r w:rsidRPr="00EF7E50">
        <w:rPr>
          <w:sz w:val="24"/>
          <w:szCs w:val="24"/>
        </w:rPr>
        <w:t>Sustainability</w:t>
      </w:r>
      <w:proofErr w:type="spellEnd"/>
      <w:r w:rsidRPr="00EF7E50">
        <w:rPr>
          <w:sz w:val="24"/>
          <w:szCs w:val="24"/>
        </w:rPr>
        <w:t xml:space="preserve"> </w:t>
      </w:r>
      <w:proofErr w:type="spellStart"/>
      <w:r w:rsidRPr="00EF7E50">
        <w:rPr>
          <w:sz w:val="24"/>
          <w:szCs w:val="24"/>
        </w:rPr>
        <w:t>at</w:t>
      </w:r>
      <w:proofErr w:type="spellEnd"/>
      <w:r w:rsidRPr="00EF7E50">
        <w:rPr>
          <w:sz w:val="24"/>
          <w:szCs w:val="24"/>
        </w:rPr>
        <w:t xml:space="preserve"> Ceará-Mirim City-RN.</w:t>
      </w:r>
    </w:p>
    <w:p w14:paraId="27A70709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65B2B886" w14:textId="4DC5AE13" w:rsidR="00EF7E50" w:rsidRDefault="00EF7E50" w:rsidP="00640628">
      <w:pPr>
        <w:jc w:val="both"/>
        <w:rPr>
          <w:sz w:val="24"/>
          <w:szCs w:val="24"/>
        </w:rPr>
      </w:pPr>
      <w:proofErr w:type="spellStart"/>
      <w:r w:rsidRPr="00EF7E50">
        <w:rPr>
          <w:sz w:val="24"/>
          <w:szCs w:val="24"/>
        </w:rPr>
        <w:t>Deponti</w:t>
      </w:r>
      <w:proofErr w:type="spellEnd"/>
      <w:r w:rsidRPr="00EF7E50">
        <w:rPr>
          <w:sz w:val="24"/>
          <w:szCs w:val="24"/>
        </w:rPr>
        <w:t xml:space="preserve">, C. M. (2014). As “agruras” da gestão da propriedade rural pela agricultura familiar. </w:t>
      </w:r>
      <w:r w:rsidRPr="00490466">
        <w:rPr>
          <w:i/>
          <w:sz w:val="24"/>
          <w:szCs w:val="24"/>
        </w:rPr>
        <w:t>Redes</w:t>
      </w:r>
      <w:r w:rsidRPr="00EF7E50">
        <w:rPr>
          <w:sz w:val="24"/>
          <w:szCs w:val="24"/>
        </w:rPr>
        <w:t>, v.19, Ed. Especial, p. 9-24, 2014.</w:t>
      </w:r>
    </w:p>
    <w:p w14:paraId="33B3E585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145DE4CB" w14:textId="1778F842" w:rsidR="00EF7E50" w:rsidRDefault="00EF7E50" w:rsidP="00640628">
      <w:pPr>
        <w:jc w:val="both"/>
        <w:rPr>
          <w:sz w:val="24"/>
          <w:szCs w:val="24"/>
        </w:rPr>
      </w:pPr>
      <w:proofErr w:type="spellStart"/>
      <w:r w:rsidRPr="00EF7E50">
        <w:rPr>
          <w:sz w:val="24"/>
          <w:szCs w:val="24"/>
        </w:rPr>
        <w:t>Ehlers</w:t>
      </w:r>
      <w:proofErr w:type="spellEnd"/>
      <w:r w:rsidRPr="00EF7E50">
        <w:rPr>
          <w:sz w:val="24"/>
          <w:szCs w:val="24"/>
        </w:rPr>
        <w:t xml:space="preserve">, E. M. (1996). </w:t>
      </w:r>
      <w:r w:rsidRPr="00490466">
        <w:rPr>
          <w:sz w:val="24"/>
          <w:szCs w:val="24"/>
        </w:rPr>
        <w:t>Agricultura Sustentável: origens e perspectivas de um novo paradigma</w:t>
      </w:r>
      <w:r w:rsidRPr="006340E8">
        <w:rPr>
          <w:sz w:val="24"/>
          <w:szCs w:val="24"/>
        </w:rPr>
        <w:t>.</w:t>
      </w:r>
      <w:r w:rsidRPr="00EF7E50">
        <w:rPr>
          <w:sz w:val="24"/>
          <w:szCs w:val="24"/>
        </w:rPr>
        <w:t xml:space="preserve"> São Paulo: </w:t>
      </w:r>
      <w:r w:rsidRPr="00490466">
        <w:rPr>
          <w:i/>
          <w:sz w:val="24"/>
          <w:szCs w:val="24"/>
        </w:rPr>
        <w:t>Livros da Terra</w:t>
      </w:r>
      <w:r w:rsidRPr="00EF7E50">
        <w:rPr>
          <w:sz w:val="24"/>
          <w:szCs w:val="24"/>
        </w:rPr>
        <w:t>.</w:t>
      </w:r>
    </w:p>
    <w:p w14:paraId="16D8C6C2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711EF9BD" w14:textId="154DBE98" w:rsidR="00EF7E50" w:rsidRDefault="00EF7E50" w:rsidP="0064062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4"/>
          <w:szCs w:val="24"/>
        </w:rPr>
      </w:pPr>
      <w:proofErr w:type="spellStart"/>
      <w:r w:rsidRPr="00EF7E50">
        <w:rPr>
          <w:sz w:val="24"/>
          <w:szCs w:val="24"/>
        </w:rPr>
        <w:t>Epagri</w:t>
      </w:r>
      <w:proofErr w:type="spellEnd"/>
      <w:r w:rsidRPr="00EF7E50">
        <w:rPr>
          <w:sz w:val="24"/>
          <w:szCs w:val="24"/>
        </w:rPr>
        <w:t xml:space="preserve">. (2017). Empresa de Pesquisa Agropecuária e Extensão Rural de Santa Catarina. Recuperado em 15 de outubro, 2017, de &lt;http://www.epagri.sc.gov.br/?page_id=2771&gt;. </w:t>
      </w:r>
    </w:p>
    <w:p w14:paraId="629596F2" w14:textId="77777777" w:rsidR="00640628" w:rsidRPr="00EF7E50" w:rsidRDefault="00640628" w:rsidP="00490466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Cs/>
          <w:sz w:val="24"/>
          <w:szCs w:val="24"/>
        </w:rPr>
      </w:pPr>
    </w:p>
    <w:p w14:paraId="4C5FB821" w14:textId="1FCCB7EE" w:rsidR="00EF7E50" w:rsidRDefault="00EF7E50" w:rsidP="00640628">
      <w:pPr>
        <w:rPr>
          <w:sz w:val="24"/>
          <w:szCs w:val="24"/>
        </w:rPr>
      </w:pPr>
      <w:r w:rsidRPr="00EF7E50">
        <w:rPr>
          <w:sz w:val="24"/>
          <w:szCs w:val="24"/>
        </w:rPr>
        <w:lastRenderedPageBreak/>
        <w:t xml:space="preserve">Furtado, J. M., Rover, S. &amp; </w:t>
      </w:r>
      <w:proofErr w:type="spellStart"/>
      <w:r w:rsidRPr="00EF7E50">
        <w:rPr>
          <w:sz w:val="24"/>
          <w:szCs w:val="24"/>
        </w:rPr>
        <w:t>Araujo</w:t>
      </w:r>
      <w:proofErr w:type="spellEnd"/>
      <w:r w:rsidRPr="00EF7E50">
        <w:rPr>
          <w:sz w:val="24"/>
          <w:szCs w:val="24"/>
        </w:rPr>
        <w:t xml:space="preserve">, A. R. M. (2017). </w:t>
      </w:r>
      <w:r w:rsidRPr="00EF7E50">
        <w:rPr>
          <w:bCs/>
          <w:sz w:val="24"/>
          <w:szCs w:val="24"/>
        </w:rPr>
        <w:t>Indicadores de sustentabilidade: análise do critério da equidade em propriedades agrícolas familiares do Sul do Brasil.</w:t>
      </w:r>
      <w:r w:rsidRPr="00EF7E50">
        <w:rPr>
          <w:b/>
          <w:bCs/>
          <w:sz w:val="24"/>
          <w:szCs w:val="24"/>
        </w:rPr>
        <w:t xml:space="preserve"> </w:t>
      </w:r>
      <w:r w:rsidRPr="00EF7E50">
        <w:rPr>
          <w:bCs/>
          <w:sz w:val="24"/>
          <w:szCs w:val="24"/>
        </w:rPr>
        <w:t xml:space="preserve">Recuperado em 28 de setembro, 2017, de </w:t>
      </w:r>
      <w:r w:rsidRPr="00EF7E50">
        <w:rPr>
          <w:sz w:val="24"/>
          <w:szCs w:val="24"/>
        </w:rPr>
        <w:t>&lt;</w:t>
      </w:r>
      <w:hyperlink r:id="rId18" w:history="1">
        <w:r w:rsidRPr="00EF7E50">
          <w:rPr>
            <w:rStyle w:val="Hyperlink"/>
            <w:color w:val="auto"/>
            <w:sz w:val="24"/>
            <w:szCs w:val="24"/>
          </w:rPr>
          <w:t>http://dvl.ccn.ufsc.br/congresso/arquivos_artigos/artigos/1219/20170814133021.pdf</w:t>
        </w:r>
      </w:hyperlink>
      <w:r w:rsidRPr="00EF7E50">
        <w:rPr>
          <w:sz w:val="24"/>
          <w:szCs w:val="24"/>
        </w:rPr>
        <w:t>&gt;.</w:t>
      </w:r>
    </w:p>
    <w:p w14:paraId="0BB8DC2A" w14:textId="77777777" w:rsidR="00640628" w:rsidRPr="00EF7E50" w:rsidRDefault="00640628" w:rsidP="00490466">
      <w:pPr>
        <w:rPr>
          <w:sz w:val="24"/>
          <w:szCs w:val="24"/>
        </w:rPr>
      </w:pPr>
    </w:p>
    <w:p w14:paraId="0F279632" w14:textId="4DE2DB4C" w:rsidR="00EF7E50" w:rsidRDefault="00EF7E50" w:rsidP="00640628">
      <w:pPr>
        <w:jc w:val="both"/>
        <w:rPr>
          <w:sz w:val="24"/>
          <w:szCs w:val="24"/>
        </w:rPr>
      </w:pPr>
      <w:proofErr w:type="spellStart"/>
      <w:r w:rsidRPr="00EF7E50">
        <w:rPr>
          <w:sz w:val="24"/>
          <w:szCs w:val="24"/>
        </w:rPr>
        <w:t>Guilhoto</w:t>
      </w:r>
      <w:proofErr w:type="spellEnd"/>
      <w:r w:rsidRPr="00EF7E50">
        <w:rPr>
          <w:sz w:val="24"/>
          <w:szCs w:val="24"/>
        </w:rPr>
        <w:t xml:space="preserve">, J. J. M., </w:t>
      </w:r>
      <w:proofErr w:type="spellStart"/>
      <w:r w:rsidRPr="00EF7E50">
        <w:rPr>
          <w:sz w:val="24"/>
          <w:szCs w:val="24"/>
        </w:rPr>
        <w:t>Ichihara</w:t>
      </w:r>
      <w:proofErr w:type="spellEnd"/>
      <w:r w:rsidRPr="00EF7E50">
        <w:rPr>
          <w:sz w:val="24"/>
          <w:szCs w:val="24"/>
        </w:rPr>
        <w:t xml:space="preserve">, S. M., Silveira, F. G., Campolina, B., </w:t>
      </w:r>
      <w:proofErr w:type="spellStart"/>
      <w:r w:rsidRPr="00EF7E50">
        <w:rPr>
          <w:sz w:val="24"/>
          <w:szCs w:val="24"/>
        </w:rPr>
        <w:t>Azzoni</w:t>
      </w:r>
      <w:proofErr w:type="spellEnd"/>
      <w:r w:rsidRPr="00EF7E50">
        <w:rPr>
          <w:sz w:val="24"/>
          <w:szCs w:val="24"/>
        </w:rPr>
        <w:t>, C. R. &amp; Moreira, G. R. C. (2007). A importância da Agricultura Familiar no Brasil e em seus estados. Recuperado em 22 de abril, 2018, de &lt;</w:t>
      </w:r>
      <w:hyperlink r:id="rId19" w:history="1">
        <w:r w:rsidRPr="00EF7E50">
          <w:rPr>
            <w:rStyle w:val="Hyperlink"/>
            <w:color w:val="auto"/>
            <w:sz w:val="24"/>
            <w:szCs w:val="24"/>
          </w:rPr>
          <w:t>https://www.researchgate.net/publication/4731981</w:t>
        </w:r>
      </w:hyperlink>
      <w:r w:rsidRPr="00EF7E50">
        <w:rPr>
          <w:sz w:val="24"/>
          <w:szCs w:val="24"/>
        </w:rPr>
        <w:t>&gt;.</w:t>
      </w:r>
    </w:p>
    <w:p w14:paraId="1303DA9D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7CB9A539" w14:textId="15E67102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>IBGE. (2006). Instituto Brasileiro de Geografia e Estatística. IBGE. Recuperado em 01 de novembro, 2017, de &lt;</w:t>
      </w:r>
      <w:hyperlink w:history="1">
        <w:r w:rsidRPr="00EF7E50">
          <w:rPr>
            <w:rStyle w:val="Hyperlink"/>
            <w:color w:val="auto"/>
            <w:sz w:val="24"/>
            <w:szCs w:val="24"/>
          </w:rPr>
          <w:t xml:space="preserve">http://www. </w:t>
        </w:r>
        <w:proofErr w:type="spellStart"/>
        <w:r w:rsidRPr="00EF7E50">
          <w:rPr>
            <w:rStyle w:val="Hyperlink"/>
            <w:color w:val="auto"/>
            <w:sz w:val="24"/>
            <w:szCs w:val="24"/>
          </w:rPr>
          <w:t>ibge</w:t>
        </w:r>
        <w:proofErr w:type="spellEnd"/>
        <w:r w:rsidRPr="00EF7E50">
          <w:rPr>
            <w:rStyle w:val="Hyperlink"/>
            <w:color w:val="auto"/>
            <w:sz w:val="24"/>
            <w:szCs w:val="24"/>
          </w:rPr>
          <w:t xml:space="preserve">. gov. </w:t>
        </w:r>
        <w:proofErr w:type="spellStart"/>
        <w:r w:rsidRPr="00EF7E50">
          <w:rPr>
            <w:rStyle w:val="Hyperlink"/>
            <w:color w:val="auto"/>
            <w:sz w:val="24"/>
            <w:szCs w:val="24"/>
          </w:rPr>
          <w:t>br</w:t>
        </w:r>
        <w:proofErr w:type="spellEnd"/>
      </w:hyperlink>
      <w:r w:rsidRPr="00EF7E50">
        <w:rPr>
          <w:sz w:val="24"/>
          <w:szCs w:val="24"/>
        </w:rPr>
        <w:t>&gt;.</w:t>
      </w:r>
    </w:p>
    <w:p w14:paraId="448A2781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79046A39" w14:textId="031A482C" w:rsidR="00EF7E50" w:rsidRDefault="00EF7E50" w:rsidP="00640628">
      <w:pPr>
        <w:jc w:val="both"/>
        <w:rPr>
          <w:sz w:val="24"/>
          <w:szCs w:val="24"/>
        </w:rPr>
      </w:pPr>
      <w:proofErr w:type="spellStart"/>
      <w:r w:rsidRPr="00EF7E50">
        <w:rPr>
          <w:sz w:val="24"/>
          <w:szCs w:val="24"/>
        </w:rPr>
        <w:t>Marzall</w:t>
      </w:r>
      <w:proofErr w:type="spellEnd"/>
      <w:r w:rsidRPr="00EF7E50">
        <w:rPr>
          <w:sz w:val="24"/>
          <w:szCs w:val="24"/>
        </w:rPr>
        <w:t xml:space="preserve">, K. (1999). </w:t>
      </w:r>
      <w:r w:rsidRPr="00490466">
        <w:rPr>
          <w:sz w:val="24"/>
          <w:szCs w:val="24"/>
        </w:rPr>
        <w:t xml:space="preserve">Indicadores de sustentabilidade para </w:t>
      </w:r>
      <w:proofErr w:type="spellStart"/>
      <w:r w:rsidRPr="00490466">
        <w:rPr>
          <w:sz w:val="24"/>
          <w:szCs w:val="24"/>
        </w:rPr>
        <w:t>agroecossistemas</w:t>
      </w:r>
      <w:proofErr w:type="spellEnd"/>
      <w:r w:rsidRPr="00B34D34">
        <w:rPr>
          <w:sz w:val="24"/>
          <w:szCs w:val="24"/>
        </w:rPr>
        <w:t>.</w:t>
      </w:r>
      <w:r w:rsidRPr="00EF7E50">
        <w:rPr>
          <w:sz w:val="24"/>
          <w:szCs w:val="24"/>
        </w:rPr>
        <w:t xml:space="preserve"> 1999. 212 p. Dissertação (Mestrado em Fitotecnia) - Faculdade de Agronomia. Programa de </w:t>
      </w:r>
      <w:proofErr w:type="spellStart"/>
      <w:r w:rsidRPr="00EF7E50">
        <w:rPr>
          <w:sz w:val="24"/>
          <w:szCs w:val="24"/>
        </w:rPr>
        <w:t>Pós-Graduação</w:t>
      </w:r>
      <w:proofErr w:type="spellEnd"/>
      <w:r w:rsidRPr="00EF7E50">
        <w:rPr>
          <w:sz w:val="24"/>
          <w:szCs w:val="24"/>
        </w:rPr>
        <w:t xml:space="preserve"> em Fitotecnia, UFRGS. Porto Alegre.</w:t>
      </w:r>
    </w:p>
    <w:p w14:paraId="224F7E54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396C09EA" w14:textId="5EAE14CA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  <w:lang w:val="es-ES"/>
        </w:rPr>
        <w:t xml:space="preserve">Masera, O, </w:t>
      </w:r>
      <w:proofErr w:type="spellStart"/>
      <w:r w:rsidRPr="00EF7E50">
        <w:rPr>
          <w:sz w:val="24"/>
          <w:szCs w:val="24"/>
          <w:lang w:val="es-ES"/>
        </w:rPr>
        <w:t>Astier</w:t>
      </w:r>
      <w:proofErr w:type="spellEnd"/>
      <w:r w:rsidRPr="00EF7E50">
        <w:rPr>
          <w:sz w:val="24"/>
          <w:szCs w:val="24"/>
          <w:lang w:val="es-ES"/>
        </w:rPr>
        <w:t xml:space="preserve">, M., &amp; </w:t>
      </w:r>
      <w:proofErr w:type="spellStart"/>
      <w:r w:rsidRPr="00EF7E50">
        <w:rPr>
          <w:sz w:val="24"/>
          <w:szCs w:val="24"/>
          <w:lang w:val="es-ES"/>
        </w:rPr>
        <w:t>Lopez-Ridaura</w:t>
      </w:r>
      <w:proofErr w:type="spellEnd"/>
      <w:r w:rsidRPr="00EF7E50">
        <w:rPr>
          <w:sz w:val="24"/>
          <w:szCs w:val="24"/>
          <w:lang w:val="es-ES"/>
        </w:rPr>
        <w:t xml:space="preserve">, S. (2000). </w:t>
      </w:r>
      <w:r w:rsidRPr="00490466">
        <w:rPr>
          <w:sz w:val="24"/>
          <w:szCs w:val="24"/>
          <w:lang w:val="es-ES"/>
        </w:rPr>
        <w:t xml:space="preserve">Sustentabilidad y manejo de recursos naturales: el marco de evaluación MESMIS/por Omar Masera, Marta </w:t>
      </w:r>
      <w:proofErr w:type="spellStart"/>
      <w:r w:rsidRPr="00490466">
        <w:rPr>
          <w:sz w:val="24"/>
          <w:szCs w:val="24"/>
          <w:lang w:val="es-ES"/>
        </w:rPr>
        <w:t>Astier</w:t>
      </w:r>
      <w:proofErr w:type="spellEnd"/>
      <w:r w:rsidRPr="00490466">
        <w:rPr>
          <w:sz w:val="24"/>
          <w:szCs w:val="24"/>
          <w:lang w:val="es-ES"/>
        </w:rPr>
        <w:t xml:space="preserve"> y Santiago López-</w:t>
      </w:r>
      <w:proofErr w:type="spellStart"/>
      <w:r w:rsidRPr="00490466">
        <w:rPr>
          <w:sz w:val="24"/>
          <w:szCs w:val="24"/>
          <w:lang w:val="es-ES"/>
        </w:rPr>
        <w:t>Ridaura</w:t>
      </w:r>
      <w:proofErr w:type="spellEnd"/>
      <w:r w:rsidRPr="00EF7E50">
        <w:rPr>
          <w:sz w:val="24"/>
          <w:szCs w:val="24"/>
          <w:lang w:val="es-ES"/>
        </w:rPr>
        <w:t xml:space="preserve"> (No. </w:t>
      </w:r>
      <w:r w:rsidRPr="00E02773">
        <w:rPr>
          <w:sz w:val="24"/>
          <w:szCs w:val="24"/>
        </w:rPr>
        <w:t xml:space="preserve">Libro 333.72 M38.). </w:t>
      </w:r>
      <w:proofErr w:type="spellStart"/>
      <w:r w:rsidRPr="00490466">
        <w:rPr>
          <w:i/>
          <w:sz w:val="24"/>
          <w:szCs w:val="24"/>
        </w:rPr>
        <w:t>Mundi</w:t>
      </w:r>
      <w:proofErr w:type="spellEnd"/>
      <w:r w:rsidRPr="00490466">
        <w:rPr>
          <w:i/>
          <w:sz w:val="24"/>
          <w:szCs w:val="24"/>
        </w:rPr>
        <w:t>-Prensa</w:t>
      </w:r>
      <w:r w:rsidRPr="00E02773">
        <w:rPr>
          <w:sz w:val="24"/>
          <w:szCs w:val="24"/>
        </w:rPr>
        <w:t>. México. MX.</w:t>
      </w:r>
    </w:p>
    <w:p w14:paraId="576063AC" w14:textId="77777777" w:rsidR="00640628" w:rsidRPr="00E02773" w:rsidRDefault="00640628" w:rsidP="00490466">
      <w:pPr>
        <w:jc w:val="both"/>
        <w:rPr>
          <w:sz w:val="24"/>
          <w:szCs w:val="24"/>
        </w:rPr>
      </w:pPr>
    </w:p>
    <w:p w14:paraId="00C51D92" w14:textId="69D01ED9" w:rsidR="00EF7E50" w:rsidRDefault="00EF7E50" w:rsidP="00640628">
      <w:pPr>
        <w:jc w:val="both"/>
        <w:rPr>
          <w:sz w:val="24"/>
          <w:szCs w:val="24"/>
          <w:shd w:val="clear" w:color="auto" w:fill="FFFFFF"/>
          <w:lang w:val="en-US"/>
        </w:rPr>
      </w:pPr>
      <w:r w:rsidRPr="00EF7E50">
        <w:rPr>
          <w:sz w:val="24"/>
          <w:szCs w:val="24"/>
          <w:shd w:val="clear" w:color="auto" w:fill="FFFFFF"/>
        </w:rPr>
        <w:t>Mattei, L. Novo retrato da agricultura familiar em Santa Catarina.</w:t>
      </w:r>
      <w:r w:rsidRPr="00510A1D">
        <w:rPr>
          <w:sz w:val="24"/>
          <w:szCs w:val="24"/>
          <w:shd w:val="clear" w:color="auto" w:fill="FFFFFF"/>
        </w:rPr>
        <w:t> </w:t>
      </w:r>
      <w:proofErr w:type="spellStart"/>
      <w:r w:rsidRPr="00510A1D">
        <w:rPr>
          <w:bCs/>
          <w:sz w:val="24"/>
          <w:szCs w:val="24"/>
          <w:shd w:val="clear" w:color="auto" w:fill="FFFFFF"/>
          <w:lang w:val="en-US"/>
        </w:rPr>
        <w:t>Encontro</w:t>
      </w:r>
      <w:proofErr w:type="spellEnd"/>
      <w:r w:rsidRPr="00510A1D">
        <w:rPr>
          <w:bCs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Pr="00510A1D">
        <w:rPr>
          <w:bCs/>
          <w:sz w:val="24"/>
          <w:szCs w:val="24"/>
          <w:shd w:val="clear" w:color="auto" w:fill="FFFFFF"/>
          <w:lang w:val="en-US"/>
        </w:rPr>
        <w:t>Economia</w:t>
      </w:r>
      <w:proofErr w:type="spellEnd"/>
      <w:r w:rsidRPr="00510A1D">
        <w:rPr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10A1D">
        <w:rPr>
          <w:bCs/>
          <w:sz w:val="24"/>
          <w:szCs w:val="24"/>
          <w:shd w:val="clear" w:color="auto" w:fill="FFFFFF"/>
          <w:lang w:val="en-US"/>
        </w:rPr>
        <w:t>Catarinense</w:t>
      </w:r>
      <w:proofErr w:type="spellEnd"/>
      <w:r w:rsidRPr="00E02773">
        <w:rPr>
          <w:sz w:val="24"/>
          <w:szCs w:val="24"/>
          <w:shd w:val="clear" w:color="auto" w:fill="FFFFFF"/>
          <w:lang w:val="en-US"/>
        </w:rPr>
        <w:t>, v. 4, 2010.</w:t>
      </w:r>
    </w:p>
    <w:p w14:paraId="53F104F9" w14:textId="77777777" w:rsidR="00640628" w:rsidRPr="00EF7E50" w:rsidRDefault="00640628" w:rsidP="00490466">
      <w:pPr>
        <w:jc w:val="both"/>
        <w:rPr>
          <w:sz w:val="24"/>
          <w:szCs w:val="24"/>
          <w:lang w:val="en-US"/>
        </w:rPr>
      </w:pPr>
    </w:p>
    <w:p w14:paraId="250C0910" w14:textId="605894EE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  <w:lang w:val="en-US"/>
        </w:rPr>
        <w:t xml:space="preserve">McQueen, D., &amp; </w:t>
      </w:r>
      <w:proofErr w:type="spellStart"/>
      <w:r w:rsidRPr="00EF7E50">
        <w:rPr>
          <w:sz w:val="24"/>
          <w:szCs w:val="24"/>
          <w:lang w:val="en-US"/>
        </w:rPr>
        <w:t>Noack</w:t>
      </w:r>
      <w:proofErr w:type="spellEnd"/>
      <w:r w:rsidRPr="00EF7E50">
        <w:rPr>
          <w:sz w:val="24"/>
          <w:szCs w:val="24"/>
          <w:lang w:val="en-US"/>
        </w:rPr>
        <w:t xml:space="preserve">, H. (1988). Health promotion indicators: current status, issues and problems. </w:t>
      </w:r>
      <w:r w:rsidRPr="00EF7E50">
        <w:rPr>
          <w:i/>
          <w:sz w:val="24"/>
          <w:szCs w:val="24"/>
        </w:rPr>
        <w:t xml:space="preserve">Health </w:t>
      </w:r>
      <w:proofErr w:type="spellStart"/>
      <w:r w:rsidRPr="00EF7E50">
        <w:rPr>
          <w:i/>
          <w:sz w:val="24"/>
          <w:szCs w:val="24"/>
        </w:rPr>
        <w:t>Promotion</w:t>
      </w:r>
      <w:proofErr w:type="spellEnd"/>
      <w:r w:rsidRPr="00EF7E50">
        <w:rPr>
          <w:i/>
          <w:sz w:val="24"/>
          <w:szCs w:val="24"/>
        </w:rPr>
        <w:t xml:space="preserve"> </w:t>
      </w:r>
      <w:proofErr w:type="spellStart"/>
      <w:r w:rsidRPr="00EF7E50">
        <w:rPr>
          <w:i/>
          <w:sz w:val="24"/>
          <w:szCs w:val="24"/>
        </w:rPr>
        <w:t>International</w:t>
      </w:r>
      <w:proofErr w:type="spellEnd"/>
      <w:r w:rsidRPr="00EF7E50">
        <w:rPr>
          <w:i/>
          <w:sz w:val="24"/>
          <w:szCs w:val="24"/>
        </w:rPr>
        <w:t>,</w:t>
      </w:r>
      <w:r w:rsidRPr="00EF7E50">
        <w:rPr>
          <w:sz w:val="24"/>
          <w:szCs w:val="24"/>
        </w:rPr>
        <w:t xml:space="preserve"> 3(1), 117-125.</w:t>
      </w:r>
    </w:p>
    <w:p w14:paraId="41564B72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59C465EE" w14:textId="4354F59F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>M</w:t>
      </w:r>
      <w:r w:rsidR="00640628" w:rsidRPr="00EF7E50">
        <w:rPr>
          <w:sz w:val="24"/>
          <w:szCs w:val="24"/>
        </w:rPr>
        <w:t>oura</w:t>
      </w:r>
      <w:r w:rsidRPr="00EF7E50">
        <w:rPr>
          <w:sz w:val="24"/>
          <w:szCs w:val="24"/>
        </w:rPr>
        <w:t>, L. G. V. (2002). Indicadores para a avaliação da sustentabilidade em sistemas de produção da agricultura familiar: O caso dos fumicultores de Agudo – RS. Dissertação – Programa de Pós-Graduação em Desenvolvimento Rural.</w:t>
      </w:r>
    </w:p>
    <w:p w14:paraId="2D5FA60F" w14:textId="77777777" w:rsidR="00640628" w:rsidRPr="00EF7E50" w:rsidRDefault="00640628" w:rsidP="00490466">
      <w:pPr>
        <w:jc w:val="both"/>
        <w:rPr>
          <w:sz w:val="24"/>
          <w:szCs w:val="24"/>
        </w:rPr>
      </w:pPr>
    </w:p>
    <w:p w14:paraId="5E874CDD" w14:textId="49726A5C" w:rsidR="00EF7E50" w:rsidRDefault="00EF7E50" w:rsidP="00640628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shd w:val="clear" w:color="auto" w:fill="FFFFFF"/>
          <w:lang w:val="es-ES"/>
        </w:rPr>
      </w:pPr>
      <w:r w:rsidRPr="00EF7E50">
        <w:rPr>
          <w:shd w:val="clear" w:color="auto" w:fill="FFFFFF"/>
        </w:rPr>
        <w:t xml:space="preserve">Moura, L.; Almeida, J.; Miguel, L. (2004) Avaliação da sustentabilidade em </w:t>
      </w:r>
      <w:proofErr w:type="spellStart"/>
      <w:r w:rsidRPr="00EF7E50">
        <w:rPr>
          <w:shd w:val="clear" w:color="auto" w:fill="FFFFFF"/>
        </w:rPr>
        <w:t>agroecossistemas</w:t>
      </w:r>
      <w:proofErr w:type="spellEnd"/>
      <w:r w:rsidRPr="00EF7E50">
        <w:rPr>
          <w:shd w:val="clear" w:color="auto" w:fill="FFFFFF"/>
        </w:rPr>
        <w:t xml:space="preserve">: um pouco de pragmatismo. </w:t>
      </w:r>
      <w:r w:rsidRPr="00490466">
        <w:rPr>
          <w:bCs/>
          <w:i/>
          <w:shd w:val="clear" w:color="auto" w:fill="FFFFFF"/>
          <w:lang w:val="es-ES"/>
        </w:rPr>
        <w:t>Redes</w:t>
      </w:r>
      <w:r w:rsidRPr="00EF7E50">
        <w:rPr>
          <w:shd w:val="clear" w:color="auto" w:fill="FFFFFF"/>
          <w:lang w:val="es-ES"/>
        </w:rPr>
        <w:t>, v. 9, n. 2, p. 133-155.</w:t>
      </w:r>
    </w:p>
    <w:p w14:paraId="45672E41" w14:textId="77777777" w:rsidR="00640628" w:rsidRPr="00EF7E50" w:rsidRDefault="00640628" w:rsidP="00490466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lang w:val="es-ES"/>
        </w:rPr>
      </w:pPr>
    </w:p>
    <w:p w14:paraId="079CA3F0" w14:textId="703C6D6E" w:rsidR="00EF7E50" w:rsidRPr="00067398" w:rsidRDefault="00EF7E50" w:rsidP="00640628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lang w:val="es-ES"/>
        </w:rPr>
      </w:pPr>
      <w:r w:rsidRPr="00EF7E50">
        <w:rPr>
          <w:lang w:val="es-ES"/>
        </w:rPr>
        <w:t xml:space="preserve">Novo Villaverde, M. &amp; Lara, R. (1997). El análisis interdisciplinar de la problemática ambiental. </w:t>
      </w:r>
      <w:r w:rsidRPr="00067398">
        <w:rPr>
          <w:lang w:val="es-ES"/>
        </w:rPr>
        <w:t xml:space="preserve">I. Madrid: </w:t>
      </w:r>
      <w:r w:rsidRPr="00067398">
        <w:rPr>
          <w:i/>
          <w:lang w:val="es-ES"/>
        </w:rPr>
        <w:t>Fundación Universidad-Empresa</w:t>
      </w:r>
      <w:r w:rsidRPr="00067398">
        <w:rPr>
          <w:lang w:val="es-ES"/>
        </w:rPr>
        <w:t>.</w:t>
      </w:r>
    </w:p>
    <w:p w14:paraId="4751E85C" w14:textId="77777777" w:rsidR="00640628" w:rsidRPr="00067398" w:rsidRDefault="00640628" w:rsidP="00490466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lang w:val="es-ES"/>
        </w:rPr>
      </w:pPr>
    </w:p>
    <w:p w14:paraId="1F49E603" w14:textId="012C3853" w:rsidR="00EF7E50" w:rsidRPr="00067398" w:rsidRDefault="00EF7E50" w:rsidP="00640628">
      <w:pPr>
        <w:jc w:val="both"/>
        <w:rPr>
          <w:sz w:val="24"/>
          <w:szCs w:val="24"/>
          <w:lang w:val="es-ES"/>
        </w:rPr>
      </w:pPr>
      <w:r w:rsidRPr="00067398">
        <w:rPr>
          <w:sz w:val="24"/>
          <w:szCs w:val="24"/>
          <w:lang w:val="es-ES"/>
        </w:rPr>
        <w:t>Oliveira, Leandro. “</w:t>
      </w:r>
      <w:r w:rsidRPr="00067398">
        <w:rPr>
          <w:bCs/>
          <w:sz w:val="24"/>
          <w:szCs w:val="24"/>
          <w:lang w:val="es-ES"/>
        </w:rPr>
        <w:t xml:space="preserve">Capital de Giro: </w:t>
      </w:r>
      <w:proofErr w:type="gramStart"/>
      <w:r w:rsidRPr="00067398">
        <w:rPr>
          <w:bCs/>
          <w:sz w:val="24"/>
          <w:szCs w:val="24"/>
          <w:lang w:val="es-ES"/>
        </w:rPr>
        <w:t>o que é e como calcular?</w:t>
      </w:r>
      <w:proofErr w:type="gramEnd"/>
      <w:r w:rsidRPr="00067398">
        <w:rPr>
          <w:bCs/>
          <w:sz w:val="24"/>
          <w:szCs w:val="24"/>
          <w:lang w:val="es-ES"/>
        </w:rPr>
        <w:t>”, Capital Social.</w:t>
      </w:r>
      <w:r w:rsidRPr="00067398">
        <w:rPr>
          <w:sz w:val="24"/>
          <w:szCs w:val="24"/>
          <w:lang w:val="es-ES"/>
        </w:rPr>
        <w:t xml:space="preserve"> Recuperado </w:t>
      </w:r>
      <w:proofErr w:type="spellStart"/>
      <w:r w:rsidRPr="00067398">
        <w:rPr>
          <w:sz w:val="24"/>
          <w:szCs w:val="24"/>
          <w:lang w:val="es-ES"/>
        </w:rPr>
        <w:t>em</w:t>
      </w:r>
      <w:proofErr w:type="spellEnd"/>
      <w:r w:rsidRPr="00067398">
        <w:rPr>
          <w:sz w:val="24"/>
          <w:szCs w:val="24"/>
          <w:lang w:val="es-ES"/>
        </w:rPr>
        <w:t xml:space="preserve"> 03 de </w:t>
      </w:r>
      <w:proofErr w:type="spellStart"/>
      <w:r w:rsidRPr="00067398">
        <w:rPr>
          <w:sz w:val="24"/>
          <w:szCs w:val="24"/>
          <w:lang w:val="es-ES"/>
        </w:rPr>
        <w:t>novembro</w:t>
      </w:r>
      <w:proofErr w:type="spellEnd"/>
      <w:r w:rsidRPr="00067398">
        <w:rPr>
          <w:sz w:val="24"/>
          <w:szCs w:val="24"/>
          <w:lang w:val="es-ES"/>
        </w:rPr>
        <w:t>, 2017, de  &lt;</w:t>
      </w:r>
      <w:hyperlink r:id="rId20">
        <w:r w:rsidRPr="00067398">
          <w:rPr>
            <w:rStyle w:val="Hyperlink"/>
            <w:color w:val="auto"/>
            <w:sz w:val="24"/>
            <w:szCs w:val="24"/>
            <w:lang w:val="es-ES"/>
          </w:rPr>
          <w:t>https://capitalsocial.cnt.br/capital-de-giro-como-calcular/</w:t>
        </w:r>
      </w:hyperlink>
      <w:r w:rsidRPr="00067398">
        <w:rPr>
          <w:sz w:val="24"/>
          <w:szCs w:val="24"/>
          <w:lang w:val="es-ES"/>
        </w:rPr>
        <w:t>&gt;.</w:t>
      </w:r>
    </w:p>
    <w:p w14:paraId="18798AEB" w14:textId="77777777" w:rsidR="00AC39F7" w:rsidRPr="00067398" w:rsidRDefault="00AC39F7" w:rsidP="00490466">
      <w:pPr>
        <w:jc w:val="both"/>
        <w:rPr>
          <w:sz w:val="24"/>
          <w:szCs w:val="24"/>
          <w:lang w:val="es-ES"/>
        </w:rPr>
      </w:pPr>
    </w:p>
    <w:p w14:paraId="7109C0ED" w14:textId="10CB3DB5" w:rsidR="00EF7E50" w:rsidRDefault="00EF7E50" w:rsidP="00490466">
      <w:pPr>
        <w:rPr>
          <w:sz w:val="24"/>
          <w:szCs w:val="24"/>
        </w:rPr>
      </w:pPr>
      <w:r w:rsidRPr="00EF7E50">
        <w:rPr>
          <w:sz w:val="24"/>
          <w:szCs w:val="24"/>
        </w:rPr>
        <w:t xml:space="preserve">Passos, H. D. B. &amp; Pires, M. M. (2008). </w:t>
      </w:r>
      <w:r w:rsidRPr="00EF7E50">
        <w:rPr>
          <w:bCs/>
          <w:sz w:val="24"/>
          <w:szCs w:val="24"/>
        </w:rPr>
        <w:t>Indicadores de Sustentabilidade: Uma discussão teórico-metodológica para sistemas agroflorestais do Sul da Bahia.</w:t>
      </w:r>
      <w:r w:rsidRPr="00EF7E50">
        <w:rPr>
          <w:sz w:val="24"/>
          <w:szCs w:val="24"/>
        </w:rPr>
        <w:t xml:space="preserve"> Recuperado em 18 de outubro, 2017, de &lt;</w:t>
      </w:r>
      <w:hyperlink r:id="rId21">
        <w:r w:rsidRPr="00EF7E50">
          <w:rPr>
            <w:rStyle w:val="Hyperlink"/>
            <w:color w:val="auto"/>
            <w:sz w:val="24"/>
            <w:szCs w:val="24"/>
          </w:rPr>
          <w:t>http://www.uesc.br/cursos/pos_graduacao/mestrado/mdrma/teses/dissertacao_helga.pdf</w:t>
        </w:r>
      </w:hyperlink>
      <w:r w:rsidRPr="00EF7E50">
        <w:rPr>
          <w:sz w:val="24"/>
          <w:szCs w:val="24"/>
        </w:rPr>
        <w:t>&gt;.</w:t>
      </w:r>
    </w:p>
    <w:p w14:paraId="7FB7E87A" w14:textId="77777777" w:rsidR="00AC39F7" w:rsidRPr="00EF7E50" w:rsidRDefault="00AC39F7" w:rsidP="00490466">
      <w:pPr>
        <w:jc w:val="both"/>
        <w:rPr>
          <w:sz w:val="24"/>
          <w:szCs w:val="24"/>
        </w:rPr>
      </w:pPr>
    </w:p>
    <w:p w14:paraId="1E3B3B03" w14:textId="4D5E9342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>Ribas, R. P., Severo, C. M. &amp; Miguel, L. A. (2007). Agricultura Familiar, Extrativismo e Sustentabilidade: o caso dos “</w:t>
      </w:r>
      <w:proofErr w:type="spellStart"/>
      <w:r w:rsidRPr="00EF7E50">
        <w:rPr>
          <w:sz w:val="24"/>
          <w:szCs w:val="24"/>
        </w:rPr>
        <w:t>samambaieiros</w:t>
      </w:r>
      <w:proofErr w:type="spellEnd"/>
      <w:r w:rsidRPr="00EF7E50">
        <w:rPr>
          <w:sz w:val="24"/>
          <w:szCs w:val="24"/>
        </w:rPr>
        <w:t xml:space="preserve">” do litoral norte do Rio Grande do Sul. </w:t>
      </w:r>
      <w:r w:rsidRPr="00490466">
        <w:rPr>
          <w:bCs/>
          <w:i/>
          <w:sz w:val="24"/>
          <w:szCs w:val="24"/>
        </w:rPr>
        <w:t>Revista de Economia e Sociologia Rural</w:t>
      </w:r>
      <w:r w:rsidRPr="00EF7E50">
        <w:rPr>
          <w:bCs/>
          <w:sz w:val="24"/>
          <w:szCs w:val="24"/>
        </w:rPr>
        <w:t>.</w:t>
      </w:r>
      <w:r w:rsidRPr="00EF7E50">
        <w:rPr>
          <w:sz w:val="24"/>
          <w:szCs w:val="24"/>
        </w:rPr>
        <w:t xml:space="preserve"> 2007;45(1):205-226.</w:t>
      </w:r>
    </w:p>
    <w:p w14:paraId="404421AB" w14:textId="77777777" w:rsidR="00AC39F7" w:rsidRPr="00EF7E50" w:rsidRDefault="00AC39F7" w:rsidP="00490466">
      <w:pPr>
        <w:jc w:val="both"/>
        <w:rPr>
          <w:sz w:val="24"/>
          <w:szCs w:val="24"/>
        </w:rPr>
      </w:pPr>
    </w:p>
    <w:p w14:paraId="61539FC1" w14:textId="1070477D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>Soares, I. F., Melo, A. C. de &amp; Chaves, A. D. C. G. (2009). A agricultura familiar: Uma alternativa para o desenvolvimento sustentável no município de Condado – PB.</w:t>
      </w:r>
    </w:p>
    <w:p w14:paraId="3E7351B7" w14:textId="77777777" w:rsidR="006B31C8" w:rsidRPr="00EF7E50" w:rsidRDefault="006B31C8" w:rsidP="00490466">
      <w:pPr>
        <w:jc w:val="both"/>
        <w:rPr>
          <w:sz w:val="24"/>
          <w:szCs w:val="24"/>
        </w:rPr>
      </w:pPr>
    </w:p>
    <w:p w14:paraId="60249BC2" w14:textId="6912A202" w:rsidR="00EF7E50" w:rsidRDefault="00EF7E50" w:rsidP="00640628">
      <w:pPr>
        <w:jc w:val="both"/>
        <w:rPr>
          <w:sz w:val="24"/>
          <w:szCs w:val="24"/>
        </w:rPr>
      </w:pPr>
      <w:r w:rsidRPr="00EF7E50">
        <w:rPr>
          <w:sz w:val="24"/>
          <w:szCs w:val="24"/>
        </w:rPr>
        <w:t xml:space="preserve">Souza, R. P.; </w:t>
      </w:r>
      <w:proofErr w:type="spellStart"/>
      <w:r w:rsidRPr="00EF7E50">
        <w:rPr>
          <w:sz w:val="24"/>
          <w:szCs w:val="24"/>
        </w:rPr>
        <w:t>Buainain</w:t>
      </w:r>
      <w:proofErr w:type="spellEnd"/>
      <w:r w:rsidRPr="00EF7E50">
        <w:rPr>
          <w:sz w:val="24"/>
          <w:szCs w:val="24"/>
        </w:rPr>
        <w:t xml:space="preserve">, A. M. A competitividade da produção de leite da agricultura familiar: os limites da exclusão. </w:t>
      </w:r>
      <w:r w:rsidRPr="00490466">
        <w:rPr>
          <w:i/>
          <w:sz w:val="24"/>
          <w:szCs w:val="24"/>
        </w:rPr>
        <w:t>Estudos Sociedade e Agricultura</w:t>
      </w:r>
      <w:r w:rsidRPr="00EF7E50">
        <w:rPr>
          <w:sz w:val="24"/>
          <w:szCs w:val="24"/>
        </w:rPr>
        <w:t>, Rio de Janeiro, v. 21, n. 2, p. 308-331, 2013.</w:t>
      </w:r>
    </w:p>
    <w:p w14:paraId="0ADE2057" w14:textId="77777777" w:rsidR="006B31C8" w:rsidRPr="00EF7E50" w:rsidRDefault="006B31C8" w:rsidP="00490466">
      <w:pPr>
        <w:jc w:val="both"/>
        <w:rPr>
          <w:sz w:val="24"/>
          <w:szCs w:val="24"/>
        </w:rPr>
      </w:pPr>
    </w:p>
    <w:p w14:paraId="104E670A" w14:textId="08564240" w:rsidR="00B41AC1" w:rsidRDefault="00EF7E50" w:rsidP="00B41AC1">
      <w:proofErr w:type="spellStart"/>
      <w:r w:rsidRPr="00EF7E50">
        <w:rPr>
          <w:sz w:val="24"/>
          <w:szCs w:val="24"/>
        </w:rPr>
        <w:t>Stoffel</w:t>
      </w:r>
      <w:proofErr w:type="spellEnd"/>
      <w:r w:rsidRPr="00EF7E50">
        <w:rPr>
          <w:sz w:val="24"/>
          <w:szCs w:val="24"/>
        </w:rPr>
        <w:t xml:space="preserve">, J. A., </w:t>
      </w:r>
      <w:proofErr w:type="spellStart"/>
      <w:r w:rsidRPr="00EF7E50">
        <w:rPr>
          <w:sz w:val="24"/>
          <w:szCs w:val="24"/>
        </w:rPr>
        <w:t>Colognese</w:t>
      </w:r>
      <w:proofErr w:type="spellEnd"/>
      <w:r w:rsidRPr="00EF7E50">
        <w:rPr>
          <w:sz w:val="24"/>
          <w:szCs w:val="24"/>
        </w:rPr>
        <w:t xml:space="preserve">, S. A. &amp; da Silva, R. N. B. (2014). A sustentabilidade na agricultura familiar e as formas de organização produtivas em contextos locais. </w:t>
      </w:r>
      <w:r w:rsidRPr="00490466">
        <w:rPr>
          <w:i/>
          <w:sz w:val="24"/>
          <w:szCs w:val="24"/>
        </w:rPr>
        <w:t>Tempo da Ciência</w:t>
      </w:r>
      <w:r w:rsidRPr="00EF7E50">
        <w:rPr>
          <w:sz w:val="24"/>
          <w:szCs w:val="24"/>
        </w:rPr>
        <w:t>, v. 21, n. 42, p. 53-67.</w:t>
      </w:r>
    </w:p>
    <w:p w14:paraId="2AD39771" w14:textId="77777777" w:rsidR="00B41AC1" w:rsidRDefault="00B41AC1" w:rsidP="00B41AC1"/>
    <w:p w14:paraId="1265955B" w14:textId="77777777" w:rsidR="00B41AC1" w:rsidRDefault="00B41AC1" w:rsidP="00B41AC1"/>
    <w:p w14:paraId="5E1F8C96" w14:textId="77777777" w:rsidR="00B41AC1" w:rsidRDefault="00B41AC1" w:rsidP="00B41AC1"/>
    <w:p w14:paraId="7B615019" w14:textId="77777777" w:rsidR="00B41AC1" w:rsidRDefault="00B41AC1" w:rsidP="00B41AC1"/>
    <w:p w14:paraId="5F4AC7B7" w14:textId="77777777" w:rsidR="00B41AC1" w:rsidRDefault="00B41AC1" w:rsidP="00B41AC1"/>
    <w:p w14:paraId="0B26F9FD" w14:textId="002658F7" w:rsidR="00E6136F" w:rsidRDefault="00E6136F" w:rsidP="00B41AC1">
      <w:pPr>
        <w:jc w:val="center"/>
      </w:pPr>
    </w:p>
    <w:sectPr w:rsidR="00E6136F" w:rsidSect="00E361F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701" w:right="1134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E08F3" w14:textId="77777777" w:rsidR="00240715" w:rsidRDefault="00240715" w:rsidP="008A5824">
      <w:r>
        <w:separator/>
      </w:r>
    </w:p>
  </w:endnote>
  <w:endnote w:type="continuationSeparator" w:id="0">
    <w:p w14:paraId="49044334" w14:textId="77777777" w:rsidR="00240715" w:rsidRDefault="00240715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020AE" w14:textId="77777777" w:rsidR="00B453AA" w:rsidRDefault="00B453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9BEB" w14:textId="66437129" w:rsidR="00B453AA" w:rsidRDefault="00B453A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4CA4118" wp14:editId="787CCA2F">
          <wp:simplePos x="0" y="0"/>
          <wp:positionH relativeFrom="column">
            <wp:posOffset>240665</wp:posOffset>
          </wp:positionH>
          <wp:positionV relativeFrom="paragraph">
            <wp:posOffset>-17294</wp:posOffset>
          </wp:positionV>
          <wp:extent cx="5558118" cy="649148"/>
          <wp:effectExtent l="0" t="0" r="508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9616" cy="649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E681F" w14:textId="77777777" w:rsidR="00B453AA" w:rsidRDefault="00B45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74D08" w14:textId="77777777" w:rsidR="00240715" w:rsidRDefault="00240715" w:rsidP="008A5824">
      <w:r>
        <w:separator/>
      </w:r>
    </w:p>
  </w:footnote>
  <w:footnote w:type="continuationSeparator" w:id="0">
    <w:p w14:paraId="2B3F6883" w14:textId="77777777" w:rsidR="00240715" w:rsidRDefault="00240715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701F5" w14:textId="77777777" w:rsidR="00B453AA" w:rsidRDefault="00B453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78CC" w14:textId="293C39C3" w:rsidR="00B453AA" w:rsidRPr="00E361F4" w:rsidRDefault="00B453AA" w:rsidP="00E361F4">
    <w:pPr>
      <w:pStyle w:val="Cabealho"/>
    </w:pPr>
    <w:r>
      <w:rPr>
        <w:noProof/>
        <w:lang w:eastAsia="pt-BR"/>
      </w:rPr>
      <w:drawing>
        <wp:inline distT="0" distB="0" distL="0" distR="0" wp14:anchorId="0680C3C9" wp14:editId="2D2F0FBB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93500" w14:textId="77777777" w:rsidR="00B453AA" w:rsidRDefault="00B45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A0E"/>
    <w:multiLevelType w:val="hybridMultilevel"/>
    <w:tmpl w:val="BEF8C5E6"/>
    <w:lvl w:ilvl="0" w:tplc="C3FE6F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7F7E"/>
    <w:multiLevelType w:val="multilevel"/>
    <w:tmpl w:val="A2B21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" w15:restartNumberingAfterBreak="0">
    <w:nsid w:val="184F558B"/>
    <w:multiLevelType w:val="multilevel"/>
    <w:tmpl w:val="5A4C9EB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  <w:b/>
      </w:rPr>
    </w:lvl>
  </w:abstractNum>
  <w:abstractNum w:abstractNumId="3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41EE7"/>
    <w:multiLevelType w:val="hybridMultilevel"/>
    <w:tmpl w:val="B448E09E"/>
    <w:lvl w:ilvl="0" w:tplc="E1B6B418">
      <w:start w:val="2"/>
      <w:numFmt w:val="decimal"/>
      <w:lvlText w:val="%1"/>
      <w:lvlJc w:val="left"/>
      <w:pPr>
        <w:ind w:left="704" w:hanging="420"/>
      </w:pPr>
      <w:rPr>
        <w:rFonts w:eastAsia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94659E"/>
    <w:multiLevelType w:val="multilevel"/>
    <w:tmpl w:val="38EE6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 w15:restartNumberingAfterBreak="0">
    <w:nsid w:val="50871884"/>
    <w:multiLevelType w:val="hybridMultilevel"/>
    <w:tmpl w:val="A3348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1071"/>
    <w:multiLevelType w:val="hybridMultilevel"/>
    <w:tmpl w:val="553E94E8"/>
    <w:lvl w:ilvl="0" w:tplc="5A18A4D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24E2"/>
    <w:multiLevelType w:val="multilevel"/>
    <w:tmpl w:val="69A2C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8A2EA0"/>
    <w:multiLevelType w:val="hybridMultilevel"/>
    <w:tmpl w:val="769CB9CA"/>
    <w:lvl w:ilvl="0" w:tplc="96549526">
      <w:start w:val="2"/>
      <w:numFmt w:val="decimal"/>
      <w:lvlText w:val="%1"/>
      <w:lvlJc w:val="left"/>
      <w:pPr>
        <w:ind w:left="704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EF83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52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03FD9"/>
    <w:rsid w:val="00014F88"/>
    <w:rsid w:val="00027914"/>
    <w:rsid w:val="00035F35"/>
    <w:rsid w:val="000423AC"/>
    <w:rsid w:val="00052E9F"/>
    <w:rsid w:val="00061B67"/>
    <w:rsid w:val="00064F80"/>
    <w:rsid w:val="00065CFF"/>
    <w:rsid w:val="00067398"/>
    <w:rsid w:val="00083E9A"/>
    <w:rsid w:val="00093947"/>
    <w:rsid w:val="000A4075"/>
    <w:rsid w:val="000B6E5C"/>
    <w:rsid w:val="000C203B"/>
    <w:rsid w:val="000E3C39"/>
    <w:rsid w:val="000F1696"/>
    <w:rsid w:val="000F388C"/>
    <w:rsid w:val="00104242"/>
    <w:rsid w:val="00106442"/>
    <w:rsid w:val="00107F4D"/>
    <w:rsid w:val="00110856"/>
    <w:rsid w:val="00114C98"/>
    <w:rsid w:val="00126563"/>
    <w:rsid w:val="00131977"/>
    <w:rsid w:val="001361BE"/>
    <w:rsid w:val="00144585"/>
    <w:rsid w:val="00145C3D"/>
    <w:rsid w:val="00151241"/>
    <w:rsid w:val="00156E2B"/>
    <w:rsid w:val="0016220D"/>
    <w:rsid w:val="00165373"/>
    <w:rsid w:val="00170FEB"/>
    <w:rsid w:val="00175F81"/>
    <w:rsid w:val="001822A6"/>
    <w:rsid w:val="00192126"/>
    <w:rsid w:val="00193813"/>
    <w:rsid w:val="00194675"/>
    <w:rsid w:val="00194BA9"/>
    <w:rsid w:val="0019560A"/>
    <w:rsid w:val="00196B33"/>
    <w:rsid w:val="001A4423"/>
    <w:rsid w:val="001A676B"/>
    <w:rsid w:val="001B127E"/>
    <w:rsid w:val="001C0582"/>
    <w:rsid w:val="001C328B"/>
    <w:rsid w:val="001C76D7"/>
    <w:rsid w:val="001D0FA2"/>
    <w:rsid w:val="001D5E0A"/>
    <w:rsid w:val="001E667E"/>
    <w:rsid w:val="001F1E8F"/>
    <w:rsid w:val="001F6A6D"/>
    <w:rsid w:val="001F6BBA"/>
    <w:rsid w:val="00203CDC"/>
    <w:rsid w:val="00204309"/>
    <w:rsid w:val="002043DE"/>
    <w:rsid w:val="00207926"/>
    <w:rsid w:val="002130C0"/>
    <w:rsid w:val="0021491B"/>
    <w:rsid w:val="002154FE"/>
    <w:rsid w:val="00231371"/>
    <w:rsid w:val="00231690"/>
    <w:rsid w:val="002341EE"/>
    <w:rsid w:val="0023633C"/>
    <w:rsid w:val="00240715"/>
    <w:rsid w:val="00255F97"/>
    <w:rsid w:val="002622A8"/>
    <w:rsid w:val="00263D91"/>
    <w:rsid w:val="00264A7F"/>
    <w:rsid w:val="00273D35"/>
    <w:rsid w:val="00275702"/>
    <w:rsid w:val="0028108E"/>
    <w:rsid w:val="00282368"/>
    <w:rsid w:val="002867E6"/>
    <w:rsid w:val="00290529"/>
    <w:rsid w:val="00291FF1"/>
    <w:rsid w:val="002947C3"/>
    <w:rsid w:val="002A04E4"/>
    <w:rsid w:val="002A1A49"/>
    <w:rsid w:val="002A6159"/>
    <w:rsid w:val="002A79FD"/>
    <w:rsid w:val="002B0015"/>
    <w:rsid w:val="002B2B78"/>
    <w:rsid w:val="002C51E4"/>
    <w:rsid w:val="002D6FFF"/>
    <w:rsid w:val="002E16C4"/>
    <w:rsid w:val="002F0227"/>
    <w:rsid w:val="002F4872"/>
    <w:rsid w:val="002F59AE"/>
    <w:rsid w:val="002F5E70"/>
    <w:rsid w:val="0030077F"/>
    <w:rsid w:val="00314439"/>
    <w:rsid w:val="00314DDD"/>
    <w:rsid w:val="00320C03"/>
    <w:rsid w:val="00322A98"/>
    <w:rsid w:val="00323E9E"/>
    <w:rsid w:val="00335FB8"/>
    <w:rsid w:val="003459C4"/>
    <w:rsid w:val="00346627"/>
    <w:rsid w:val="00355B4B"/>
    <w:rsid w:val="00357CDF"/>
    <w:rsid w:val="0036377D"/>
    <w:rsid w:val="003660AB"/>
    <w:rsid w:val="00370ED8"/>
    <w:rsid w:val="0037267D"/>
    <w:rsid w:val="003767FD"/>
    <w:rsid w:val="00376BE7"/>
    <w:rsid w:val="00383C20"/>
    <w:rsid w:val="0038579D"/>
    <w:rsid w:val="00386F6C"/>
    <w:rsid w:val="003A005A"/>
    <w:rsid w:val="003A571C"/>
    <w:rsid w:val="003A68D4"/>
    <w:rsid w:val="003B117A"/>
    <w:rsid w:val="003C6C24"/>
    <w:rsid w:val="003C740B"/>
    <w:rsid w:val="003D0116"/>
    <w:rsid w:val="003D33A2"/>
    <w:rsid w:val="003E5F23"/>
    <w:rsid w:val="003F0824"/>
    <w:rsid w:val="004020EB"/>
    <w:rsid w:val="00405D07"/>
    <w:rsid w:val="0040602A"/>
    <w:rsid w:val="0041199C"/>
    <w:rsid w:val="004167E6"/>
    <w:rsid w:val="00420689"/>
    <w:rsid w:val="004279B4"/>
    <w:rsid w:val="00437628"/>
    <w:rsid w:val="00437C36"/>
    <w:rsid w:val="004546FF"/>
    <w:rsid w:val="004552CF"/>
    <w:rsid w:val="00455DC3"/>
    <w:rsid w:val="00464613"/>
    <w:rsid w:val="004716B6"/>
    <w:rsid w:val="00473887"/>
    <w:rsid w:val="00475CF1"/>
    <w:rsid w:val="00477603"/>
    <w:rsid w:val="00486B1F"/>
    <w:rsid w:val="00487963"/>
    <w:rsid w:val="00487C59"/>
    <w:rsid w:val="00490466"/>
    <w:rsid w:val="00490FB3"/>
    <w:rsid w:val="00491708"/>
    <w:rsid w:val="00494F9B"/>
    <w:rsid w:val="0049592B"/>
    <w:rsid w:val="004A2A67"/>
    <w:rsid w:val="004A4BD9"/>
    <w:rsid w:val="004B688A"/>
    <w:rsid w:val="004C44F6"/>
    <w:rsid w:val="004D42BB"/>
    <w:rsid w:val="004E0137"/>
    <w:rsid w:val="004E04C6"/>
    <w:rsid w:val="004F18B0"/>
    <w:rsid w:val="004F1AE8"/>
    <w:rsid w:val="004F3133"/>
    <w:rsid w:val="004F4E00"/>
    <w:rsid w:val="004F5865"/>
    <w:rsid w:val="004F63A7"/>
    <w:rsid w:val="00500966"/>
    <w:rsid w:val="00504AC0"/>
    <w:rsid w:val="00506EDA"/>
    <w:rsid w:val="00510A1D"/>
    <w:rsid w:val="005130F3"/>
    <w:rsid w:val="005141AE"/>
    <w:rsid w:val="00516168"/>
    <w:rsid w:val="005201A1"/>
    <w:rsid w:val="00527DF2"/>
    <w:rsid w:val="00533218"/>
    <w:rsid w:val="00536E2F"/>
    <w:rsid w:val="005448CF"/>
    <w:rsid w:val="005550E7"/>
    <w:rsid w:val="00560FE0"/>
    <w:rsid w:val="00575F6F"/>
    <w:rsid w:val="005776AA"/>
    <w:rsid w:val="00580B82"/>
    <w:rsid w:val="0058162D"/>
    <w:rsid w:val="005853E5"/>
    <w:rsid w:val="00586355"/>
    <w:rsid w:val="005931C8"/>
    <w:rsid w:val="005A1FDD"/>
    <w:rsid w:val="005B3524"/>
    <w:rsid w:val="005C0239"/>
    <w:rsid w:val="005D448E"/>
    <w:rsid w:val="005D466E"/>
    <w:rsid w:val="005E0074"/>
    <w:rsid w:val="005E1E67"/>
    <w:rsid w:val="005E5932"/>
    <w:rsid w:val="005E5A70"/>
    <w:rsid w:val="005F3710"/>
    <w:rsid w:val="005F5684"/>
    <w:rsid w:val="005F7AAE"/>
    <w:rsid w:val="00610A49"/>
    <w:rsid w:val="00613037"/>
    <w:rsid w:val="0062219B"/>
    <w:rsid w:val="0062312E"/>
    <w:rsid w:val="00631DCF"/>
    <w:rsid w:val="00633CBE"/>
    <w:rsid w:val="006340E8"/>
    <w:rsid w:val="00634FCD"/>
    <w:rsid w:val="00635ACA"/>
    <w:rsid w:val="00637CFA"/>
    <w:rsid w:val="00640628"/>
    <w:rsid w:val="00644EB8"/>
    <w:rsid w:val="00645C72"/>
    <w:rsid w:val="00647858"/>
    <w:rsid w:val="00651D32"/>
    <w:rsid w:val="00653256"/>
    <w:rsid w:val="00655ED0"/>
    <w:rsid w:val="006704A7"/>
    <w:rsid w:val="00671E1C"/>
    <w:rsid w:val="0068285E"/>
    <w:rsid w:val="00683D50"/>
    <w:rsid w:val="00686527"/>
    <w:rsid w:val="0069569D"/>
    <w:rsid w:val="006A15BB"/>
    <w:rsid w:val="006A76FB"/>
    <w:rsid w:val="006B130A"/>
    <w:rsid w:val="006B31C8"/>
    <w:rsid w:val="006B723D"/>
    <w:rsid w:val="006C098F"/>
    <w:rsid w:val="006C699E"/>
    <w:rsid w:val="006C76F9"/>
    <w:rsid w:val="006C7B25"/>
    <w:rsid w:val="006D29B8"/>
    <w:rsid w:val="006D4230"/>
    <w:rsid w:val="006D5AE6"/>
    <w:rsid w:val="006D6EA3"/>
    <w:rsid w:val="006D7533"/>
    <w:rsid w:val="006F5572"/>
    <w:rsid w:val="00707A85"/>
    <w:rsid w:val="00710D7D"/>
    <w:rsid w:val="007146BB"/>
    <w:rsid w:val="007146F4"/>
    <w:rsid w:val="00724661"/>
    <w:rsid w:val="0072578D"/>
    <w:rsid w:val="00726FEC"/>
    <w:rsid w:val="0073381D"/>
    <w:rsid w:val="00740554"/>
    <w:rsid w:val="007411EC"/>
    <w:rsid w:val="00746F99"/>
    <w:rsid w:val="007549EB"/>
    <w:rsid w:val="00757CA1"/>
    <w:rsid w:val="00763C5C"/>
    <w:rsid w:val="007668EB"/>
    <w:rsid w:val="00770438"/>
    <w:rsid w:val="00773E62"/>
    <w:rsid w:val="007745B4"/>
    <w:rsid w:val="0078165B"/>
    <w:rsid w:val="0078331C"/>
    <w:rsid w:val="00783749"/>
    <w:rsid w:val="0078691B"/>
    <w:rsid w:val="007907D4"/>
    <w:rsid w:val="00790A59"/>
    <w:rsid w:val="00790C97"/>
    <w:rsid w:val="00790D93"/>
    <w:rsid w:val="007948F3"/>
    <w:rsid w:val="00797F9F"/>
    <w:rsid w:val="007A4A47"/>
    <w:rsid w:val="007C2C7A"/>
    <w:rsid w:val="007D2B1C"/>
    <w:rsid w:val="007D7D0A"/>
    <w:rsid w:val="007E27F6"/>
    <w:rsid w:val="007E2E1D"/>
    <w:rsid w:val="007E7772"/>
    <w:rsid w:val="00802816"/>
    <w:rsid w:val="00803188"/>
    <w:rsid w:val="00804747"/>
    <w:rsid w:val="00830225"/>
    <w:rsid w:val="00840F78"/>
    <w:rsid w:val="00841527"/>
    <w:rsid w:val="008420F8"/>
    <w:rsid w:val="0084453A"/>
    <w:rsid w:val="00852BE3"/>
    <w:rsid w:val="00860B20"/>
    <w:rsid w:val="008627FD"/>
    <w:rsid w:val="00865BC7"/>
    <w:rsid w:val="008731EE"/>
    <w:rsid w:val="00875178"/>
    <w:rsid w:val="00881C6C"/>
    <w:rsid w:val="008853C1"/>
    <w:rsid w:val="008876CD"/>
    <w:rsid w:val="00890A45"/>
    <w:rsid w:val="00894FB2"/>
    <w:rsid w:val="008A2087"/>
    <w:rsid w:val="008A2B14"/>
    <w:rsid w:val="008A2D82"/>
    <w:rsid w:val="008A4611"/>
    <w:rsid w:val="008A5824"/>
    <w:rsid w:val="008B09BE"/>
    <w:rsid w:val="008C1C71"/>
    <w:rsid w:val="008C2085"/>
    <w:rsid w:val="008C3F47"/>
    <w:rsid w:val="008D4C49"/>
    <w:rsid w:val="008D4F05"/>
    <w:rsid w:val="008E6774"/>
    <w:rsid w:val="008F3091"/>
    <w:rsid w:val="0090186D"/>
    <w:rsid w:val="00915EEF"/>
    <w:rsid w:val="009174EF"/>
    <w:rsid w:val="009260BD"/>
    <w:rsid w:val="0093446B"/>
    <w:rsid w:val="00935594"/>
    <w:rsid w:val="00936667"/>
    <w:rsid w:val="00945C9F"/>
    <w:rsid w:val="009547CD"/>
    <w:rsid w:val="00956F63"/>
    <w:rsid w:val="00965C53"/>
    <w:rsid w:val="00967833"/>
    <w:rsid w:val="00973C02"/>
    <w:rsid w:val="00973E4E"/>
    <w:rsid w:val="009821AA"/>
    <w:rsid w:val="009828EC"/>
    <w:rsid w:val="00982A30"/>
    <w:rsid w:val="009833D5"/>
    <w:rsid w:val="00987E12"/>
    <w:rsid w:val="00996AB3"/>
    <w:rsid w:val="00997CAB"/>
    <w:rsid w:val="009A277D"/>
    <w:rsid w:val="009A738F"/>
    <w:rsid w:val="009A79DE"/>
    <w:rsid w:val="009B1ADA"/>
    <w:rsid w:val="009B2DA7"/>
    <w:rsid w:val="009B450C"/>
    <w:rsid w:val="009C0DFB"/>
    <w:rsid w:val="009C32DE"/>
    <w:rsid w:val="009C7167"/>
    <w:rsid w:val="009D149C"/>
    <w:rsid w:val="009D3EAE"/>
    <w:rsid w:val="009D4D45"/>
    <w:rsid w:val="009D66E6"/>
    <w:rsid w:val="009D7220"/>
    <w:rsid w:val="009E1AF3"/>
    <w:rsid w:val="009E2DEF"/>
    <w:rsid w:val="009E6CD5"/>
    <w:rsid w:val="009F3821"/>
    <w:rsid w:val="009F3D55"/>
    <w:rsid w:val="00A01AAE"/>
    <w:rsid w:val="00A01EC3"/>
    <w:rsid w:val="00A02685"/>
    <w:rsid w:val="00A05F88"/>
    <w:rsid w:val="00A073A9"/>
    <w:rsid w:val="00A34904"/>
    <w:rsid w:val="00A369CB"/>
    <w:rsid w:val="00A54CD7"/>
    <w:rsid w:val="00A56B5D"/>
    <w:rsid w:val="00A61B45"/>
    <w:rsid w:val="00A66D44"/>
    <w:rsid w:val="00A701A6"/>
    <w:rsid w:val="00A716B6"/>
    <w:rsid w:val="00A738B0"/>
    <w:rsid w:val="00A74668"/>
    <w:rsid w:val="00A747E9"/>
    <w:rsid w:val="00A75D23"/>
    <w:rsid w:val="00A81A1A"/>
    <w:rsid w:val="00A85EA8"/>
    <w:rsid w:val="00A91EA5"/>
    <w:rsid w:val="00AA1540"/>
    <w:rsid w:val="00AA67BB"/>
    <w:rsid w:val="00AC252A"/>
    <w:rsid w:val="00AC39F7"/>
    <w:rsid w:val="00AC42D0"/>
    <w:rsid w:val="00AC646B"/>
    <w:rsid w:val="00AC734E"/>
    <w:rsid w:val="00AD15F9"/>
    <w:rsid w:val="00AD2FC2"/>
    <w:rsid w:val="00AD6A88"/>
    <w:rsid w:val="00AE2097"/>
    <w:rsid w:val="00AE4040"/>
    <w:rsid w:val="00AE651F"/>
    <w:rsid w:val="00AE7304"/>
    <w:rsid w:val="00B04B1C"/>
    <w:rsid w:val="00B2155B"/>
    <w:rsid w:val="00B23149"/>
    <w:rsid w:val="00B32719"/>
    <w:rsid w:val="00B34262"/>
    <w:rsid w:val="00B34D34"/>
    <w:rsid w:val="00B361B4"/>
    <w:rsid w:val="00B41AC1"/>
    <w:rsid w:val="00B41C2D"/>
    <w:rsid w:val="00B41CAF"/>
    <w:rsid w:val="00B453AA"/>
    <w:rsid w:val="00B4607E"/>
    <w:rsid w:val="00B46DF1"/>
    <w:rsid w:val="00B50B29"/>
    <w:rsid w:val="00B57286"/>
    <w:rsid w:val="00B5758B"/>
    <w:rsid w:val="00B8589D"/>
    <w:rsid w:val="00BB135F"/>
    <w:rsid w:val="00BB3DC3"/>
    <w:rsid w:val="00BB5214"/>
    <w:rsid w:val="00BB5E94"/>
    <w:rsid w:val="00BC3F88"/>
    <w:rsid w:val="00BD0F13"/>
    <w:rsid w:val="00BD3172"/>
    <w:rsid w:val="00BE532C"/>
    <w:rsid w:val="00BE624F"/>
    <w:rsid w:val="00BF5000"/>
    <w:rsid w:val="00BF5F04"/>
    <w:rsid w:val="00C005AF"/>
    <w:rsid w:val="00C00C90"/>
    <w:rsid w:val="00C04F1A"/>
    <w:rsid w:val="00C11287"/>
    <w:rsid w:val="00C12375"/>
    <w:rsid w:val="00C167EA"/>
    <w:rsid w:val="00C17F8E"/>
    <w:rsid w:val="00C25912"/>
    <w:rsid w:val="00C30374"/>
    <w:rsid w:val="00C3399D"/>
    <w:rsid w:val="00C34174"/>
    <w:rsid w:val="00C3700F"/>
    <w:rsid w:val="00C57458"/>
    <w:rsid w:val="00C61AB5"/>
    <w:rsid w:val="00C64FD9"/>
    <w:rsid w:val="00C656C8"/>
    <w:rsid w:val="00C70D3A"/>
    <w:rsid w:val="00C71E3D"/>
    <w:rsid w:val="00C76F2B"/>
    <w:rsid w:val="00C87E9C"/>
    <w:rsid w:val="00C92242"/>
    <w:rsid w:val="00CA2367"/>
    <w:rsid w:val="00CA25AA"/>
    <w:rsid w:val="00CA4B22"/>
    <w:rsid w:val="00CB50C7"/>
    <w:rsid w:val="00CC23AB"/>
    <w:rsid w:val="00CD16E0"/>
    <w:rsid w:val="00CD343B"/>
    <w:rsid w:val="00CD67C2"/>
    <w:rsid w:val="00CE1880"/>
    <w:rsid w:val="00CE265F"/>
    <w:rsid w:val="00CE5296"/>
    <w:rsid w:val="00CF4523"/>
    <w:rsid w:val="00CF645C"/>
    <w:rsid w:val="00CF7110"/>
    <w:rsid w:val="00D00456"/>
    <w:rsid w:val="00D00C41"/>
    <w:rsid w:val="00D05A9C"/>
    <w:rsid w:val="00D11C8E"/>
    <w:rsid w:val="00D1734F"/>
    <w:rsid w:val="00D2049B"/>
    <w:rsid w:val="00D20B17"/>
    <w:rsid w:val="00D33D9F"/>
    <w:rsid w:val="00D34622"/>
    <w:rsid w:val="00D50737"/>
    <w:rsid w:val="00D55D19"/>
    <w:rsid w:val="00D8044A"/>
    <w:rsid w:val="00D82C31"/>
    <w:rsid w:val="00D97A65"/>
    <w:rsid w:val="00DB198C"/>
    <w:rsid w:val="00DC19D6"/>
    <w:rsid w:val="00DC1AF4"/>
    <w:rsid w:val="00DD2FCF"/>
    <w:rsid w:val="00DD4881"/>
    <w:rsid w:val="00DD6B93"/>
    <w:rsid w:val="00DE0387"/>
    <w:rsid w:val="00DE1D67"/>
    <w:rsid w:val="00DE5C38"/>
    <w:rsid w:val="00E015CA"/>
    <w:rsid w:val="00E02773"/>
    <w:rsid w:val="00E170DC"/>
    <w:rsid w:val="00E26A79"/>
    <w:rsid w:val="00E26CB3"/>
    <w:rsid w:val="00E30FBE"/>
    <w:rsid w:val="00E31345"/>
    <w:rsid w:val="00E361F4"/>
    <w:rsid w:val="00E3775A"/>
    <w:rsid w:val="00E40290"/>
    <w:rsid w:val="00E56BCD"/>
    <w:rsid w:val="00E56D59"/>
    <w:rsid w:val="00E60173"/>
    <w:rsid w:val="00E6136F"/>
    <w:rsid w:val="00E618B6"/>
    <w:rsid w:val="00E61C01"/>
    <w:rsid w:val="00E7083D"/>
    <w:rsid w:val="00E7485B"/>
    <w:rsid w:val="00E74C8D"/>
    <w:rsid w:val="00E91422"/>
    <w:rsid w:val="00EA2583"/>
    <w:rsid w:val="00EA5634"/>
    <w:rsid w:val="00EA5FC9"/>
    <w:rsid w:val="00EC0250"/>
    <w:rsid w:val="00EC0299"/>
    <w:rsid w:val="00EC06BF"/>
    <w:rsid w:val="00EC538F"/>
    <w:rsid w:val="00EC6392"/>
    <w:rsid w:val="00ED6B4B"/>
    <w:rsid w:val="00EF4B54"/>
    <w:rsid w:val="00EF7E50"/>
    <w:rsid w:val="00F01CC0"/>
    <w:rsid w:val="00F03FF5"/>
    <w:rsid w:val="00F04A2E"/>
    <w:rsid w:val="00F04A65"/>
    <w:rsid w:val="00F4042B"/>
    <w:rsid w:val="00F4461F"/>
    <w:rsid w:val="00F52045"/>
    <w:rsid w:val="00F5415E"/>
    <w:rsid w:val="00F60DE3"/>
    <w:rsid w:val="00F61402"/>
    <w:rsid w:val="00F6396F"/>
    <w:rsid w:val="00F7263C"/>
    <w:rsid w:val="00F8166A"/>
    <w:rsid w:val="00F91019"/>
    <w:rsid w:val="00F9410B"/>
    <w:rsid w:val="00F948CB"/>
    <w:rsid w:val="00F956DB"/>
    <w:rsid w:val="00F9575B"/>
    <w:rsid w:val="00F96BB5"/>
    <w:rsid w:val="00FA047A"/>
    <w:rsid w:val="00FA0A1A"/>
    <w:rsid w:val="00FA0D41"/>
    <w:rsid w:val="00FA6C21"/>
    <w:rsid w:val="00FB393F"/>
    <w:rsid w:val="00FB43CE"/>
    <w:rsid w:val="00FC2026"/>
    <w:rsid w:val="00FC7BA5"/>
    <w:rsid w:val="00FD254B"/>
    <w:rsid w:val="00FE144B"/>
    <w:rsid w:val="00FE1CF2"/>
    <w:rsid w:val="00FE29D4"/>
    <w:rsid w:val="00FE4DC2"/>
    <w:rsid w:val="00FE66F8"/>
    <w:rsid w:val="00FE7A08"/>
    <w:rsid w:val="00FF07B7"/>
    <w:rsid w:val="00FF20D9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4D7B35"/>
  <w14:defaultImageDpi w14:val="300"/>
  <w15:docId w15:val="{341F8BE2-7C86-4A79-95B0-7C57082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E624F"/>
    <w:pPr>
      <w:keepNext/>
      <w:keepLines/>
      <w:numPr>
        <w:numId w:val="2"/>
      </w:numPr>
      <w:jc w:val="both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624F"/>
    <w:pPr>
      <w:keepNext/>
      <w:keepLines/>
      <w:numPr>
        <w:ilvl w:val="1"/>
        <w:numId w:val="2"/>
      </w:numPr>
      <w:spacing w:before="200"/>
      <w:ind w:left="576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24F"/>
    <w:pPr>
      <w:keepNext/>
      <w:keepLines/>
      <w:numPr>
        <w:ilvl w:val="2"/>
        <w:numId w:val="2"/>
      </w:numPr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24F"/>
    <w:pPr>
      <w:keepNext/>
      <w:keepLines/>
      <w:numPr>
        <w:ilvl w:val="3"/>
        <w:numId w:val="2"/>
      </w:numPr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24F"/>
    <w:pPr>
      <w:keepNext/>
      <w:keepLines/>
      <w:numPr>
        <w:ilvl w:val="4"/>
        <w:numId w:val="2"/>
      </w:numPr>
      <w:spacing w:before="200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24F"/>
    <w:pPr>
      <w:keepNext/>
      <w:keepLines/>
      <w:numPr>
        <w:ilvl w:val="5"/>
        <w:numId w:val="2"/>
      </w:numPr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24F"/>
    <w:pPr>
      <w:keepNext/>
      <w:keepLines/>
      <w:numPr>
        <w:ilvl w:val="6"/>
        <w:numId w:val="2"/>
      </w:numPr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24F"/>
    <w:pPr>
      <w:keepNext/>
      <w:keepLines/>
      <w:numPr>
        <w:ilvl w:val="7"/>
        <w:numId w:val="2"/>
      </w:numPr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24F"/>
    <w:pPr>
      <w:keepNext/>
      <w:keepLines/>
      <w:numPr>
        <w:ilvl w:val="8"/>
        <w:numId w:val="2"/>
      </w:numPr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Default">
    <w:name w:val="Default"/>
    <w:rsid w:val="002F022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2F022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F0227"/>
    <w:pPr>
      <w:suppressAutoHyphens w:val="0"/>
      <w:spacing w:after="200"/>
      <w:ind w:firstLine="709"/>
      <w:jc w:val="both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F0227"/>
  </w:style>
  <w:style w:type="character" w:customStyle="1" w:styleId="Ttulo1Char">
    <w:name w:val="Título 1 Char"/>
    <w:basedOn w:val="Fontepargpadro"/>
    <w:link w:val="Ttulo1"/>
    <w:uiPriority w:val="9"/>
    <w:rsid w:val="00BE624F"/>
    <w:rPr>
      <w:rFonts w:ascii="Times New Roman" w:eastAsiaTheme="majorEastAsia" w:hAnsi="Times New Roman" w:cstheme="majorBidi"/>
      <w:b/>
      <w:bCs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624F"/>
    <w:rPr>
      <w:rFonts w:ascii="Times New Roman" w:eastAsiaTheme="majorEastAsia" w:hAnsi="Times New Roman" w:cstheme="majorBidi"/>
      <w:b/>
      <w:bCs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24F"/>
    <w:rPr>
      <w:rFonts w:asciiTheme="majorHAnsi" w:eastAsiaTheme="majorEastAsia" w:hAnsiTheme="majorHAnsi" w:cstheme="majorBidi"/>
      <w:b/>
      <w:bCs/>
      <w:color w:val="4472C4" w:themeColor="accent1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24F"/>
    <w:rPr>
      <w:rFonts w:asciiTheme="majorHAnsi" w:eastAsiaTheme="majorEastAsia" w:hAnsiTheme="majorHAnsi" w:cstheme="majorBidi"/>
      <w:b/>
      <w:bCs/>
      <w:i/>
      <w:iCs/>
      <w:color w:val="4472C4" w:themeColor="accent1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24F"/>
    <w:rPr>
      <w:rFonts w:asciiTheme="majorHAnsi" w:eastAsiaTheme="majorEastAsia" w:hAnsiTheme="majorHAnsi" w:cstheme="majorBidi"/>
      <w:color w:val="1F3763" w:themeColor="accent1" w:themeShade="7F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24F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24F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24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2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E624F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BE624F"/>
  </w:style>
  <w:style w:type="character" w:customStyle="1" w:styleId="fontstyle01">
    <w:name w:val="fontstyle01"/>
    <w:basedOn w:val="Fontepargpadro"/>
    <w:rsid w:val="00BE624F"/>
    <w:rPr>
      <w:rFonts w:ascii="Palatino Linotype" w:hAnsi="Palatino Linotype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xmsonormal">
    <w:name w:val="x_msonormal"/>
    <w:basedOn w:val="Normal"/>
    <w:rsid w:val="00BE624F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7DF2"/>
    <w:pPr>
      <w:suppressAutoHyphens/>
      <w:spacing w:after="0"/>
      <w:ind w:firstLine="0"/>
      <w:jc w:val="left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7DF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C0250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65BC7"/>
    <w:rPr>
      <w:color w:val="808080"/>
      <w:shd w:val="clear" w:color="auto" w:fill="E6E6E6"/>
    </w:rPr>
  </w:style>
  <w:style w:type="character" w:styleId="nfase">
    <w:name w:val="Emphasis"/>
    <w:basedOn w:val="Fontepargpadro"/>
    <w:uiPriority w:val="20"/>
    <w:qFormat/>
    <w:rsid w:val="00F61402"/>
    <w:rPr>
      <w:i/>
      <w:iCs/>
    </w:rPr>
  </w:style>
  <w:style w:type="table" w:styleId="Tabelacomgrade">
    <w:name w:val="Table Grid"/>
    <w:basedOn w:val="Tabelanormal"/>
    <w:uiPriority w:val="39"/>
    <w:rsid w:val="00376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E74C8D"/>
    <w:rPr>
      <w:color w:val="808080"/>
      <w:shd w:val="clear" w:color="auto" w:fill="E6E6E6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28108E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A701A6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A701A6"/>
  </w:style>
  <w:style w:type="character" w:customStyle="1" w:styleId="eop">
    <w:name w:val="eop"/>
    <w:basedOn w:val="Fontepargpadro"/>
    <w:rsid w:val="00A701A6"/>
  </w:style>
  <w:style w:type="character" w:customStyle="1" w:styleId="spellingerror">
    <w:name w:val="spellingerror"/>
    <w:basedOn w:val="Fontepargpadro"/>
    <w:rsid w:val="00A7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.gov.br/index.php/noticias/temas/agricultura-e-pesca/santa-catarina-passa-a-contar-com-nucleo-de-inovacao-tecnologica-para-agricultura-familiar" TargetMode="External"/><Relationship Id="rId13" Type="http://schemas.openxmlformats.org/officeDocument/2006/relationships/chart" Target="charts/chart3.xml"/><Relationship Id="rId18" Type="http://schemas.openxmlformats.org/officeDocument/2006/relationships/hyperlink" Target="http://dvl.ccn.ufsc.br/congresso/arquivos_artigos/artigos/1219/20170814133021.pdf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uesc.br/cursos/pos_graduacao/mestrado/mdrma/teses/dissertacao_helga.pdf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s://www.cepea.esalq.usp.br/upload/kceditor/files/Relatorio%20PIBAGRO%20Brasil_DEZEMBRO_CEPEA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hyperlink" Target="https://capitalsocial.cnt.br/capital-de-giro-como-calcula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portaldecontabilidade.com.br/nbc/t1014.htm" TargetMode="External"/><Relationship Id="rId19" Type="http://schemas.openxmlformats.org/officeDocument/2006/relationships/hyperlink" Target="https://www.researchgate.net/publication/47319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ita.org.br/importancia-da-agricultura-familiar-em-santa-catarina/" TargetMode="External"/><Relationship Id="rId14" Type="http://schemas.openxmlformats.org/officeDocument/2006/relationships/chart" Target="charts/chart4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anda\Downloads\Dados%20Aman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na\Desktop\congresso%20UFSC\Contagri_2016-20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anda\Downloads\Dados%20Amand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manda\Documents\CONGRESSO%20UFSC\Contagri_2016-2017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anda\Downloads\Dados%20Amanda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th_\Downloads\Contagri_2016-2017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dk1">
                  <a:tint val="885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'[Dados Amanda.xlsx]Sheet1'!$B$28:$BV$28</c:f>
              <c:numCache>
                <c:formatCode>0.0000</c:formatCode>
                <c:ptCount val="73"/>
                <c:pt idx="0">
                  <c:v>0.45761150018429803</c:v>
                </c:pt>
                <c:pt idx="1">
                  <c:v>0.58408686866103099</c:v>
                </c:pt>
                <c:pt idx="2">
                  <c:v>0.32805227173217499</c:v>
                </c:pt>
                <c:pt idx="3">
                  <c:v>0.49532768116838899</c:v>
                </c:pt>
                <c:pt idx="4">
                  <c:v>0.44028097927614002</c:v>
                </c:pt>
                <c:pt idx="5">
                  <c:v>0.63986754966887405</c:v>
                </c:pt>
                <c:pt idx="6">
                  <c:v>0.19796505816975199</c:v>
                </c:pt>
                <c:pt idx="7">
                  <c:v>0.31842577508001002</c:v>
                </c:pt>
                <c:pt idx="8">
                  <c:v>0.31594964608146497</c:v>
                </c:pt>
                <c:pt idx="9">
                  <c:v>0.84748542733856502</c:v>
                </c:pt>
                <c:pt idx="10">
                  <c:v>0.134003916126821</c:v>
                </c:pt>
                <c:pt idx="11">
                  <c:v>0.32409815774839901</c:v>
                </c:pt>
                <c:pt idx="12">
                  <c:v>0.39486006109427202</c:v>
                </c:pt>
                <c:pt idx="13">
                  <c:v>0.34788068356944701</c:v>
                </c:pt>
                <c:pt idx="14">
                  <c:v>0.35027553955254997</c:v>
                </c:pt>
                <c:pt idx="15">
                  <c:v>0.40801826606675201</c:v>
                </c:pt>
                <c:pt idx="16">
                  <c:v>0.33392287872832899</c:v>
                </c:pt>
                <c:pt idx="17">
                  <c:v>0.26766189193498302</c:v>
                </c:pt>
                <c:pt idx="18">
                  <c:v>0.33064633179630898</c:v>
                </c:pt>
                <c:pt idx="19">
                  <c:v>0.32891027133286799</c:v>
                </c:pt>
                <c:pt idx="20">
                  <c:v>0.318121788540291</c:v>
                </c:pt>
                <c:pt idx="21">
                  <c:v>0.400108188948817</c:v>
                </c:pt>
                <c:pt idx="22">
                  <c:v>0.28473781952182298</c:v>
                </c:pt>
                <c:pt idx="23">
                  <c:v>0.38477506506382497</c:v>
                </c:pt>
                <c:pt idx="24">
                  <c:v>0.11813836761740901</c:v>
                </c:pt>
                <c:pt idx="25">
                  <c:v>0.29661036856075701</c:v>
                </c:pt>
                <c:pt idx="26">
                  <c:v>0.13557293269194701</c:v>
                </c:pt>
                <c:pt idx="27">
                  <c:v>0.28245770057750103</c:v>
                </c:pt>
                <c:pt idx="28">
                  <c:v>0.14981780419282201</c:v>
                </c:pt>
                <c:pt idx="29">
                  <c:v>0.111469202378293</c:v>
                </c:pt>
                <c:pt idx="30">
                  <c:v>0.10542154615647301</c:v>
                </c:pt>
                <c:pt idx="31">
                  <c:v>0.65080286322306102</c:v>
                </c:pt>
                <c:pt idx="32">
                  <c:v>0.141905021419542</c:v>
                </c:pt>
                <c:pt idx="33">
                  <c:v>0.182577669480463</c:v>
                </c:pt>
                <c:pt idx="34">
                  <c:v>0.21081565878855299</c:v>
                </c:pt>
                <c:pt idx="35">
                  <c:v>0.126538075326349</c:v>
                </c:pt>
                <c:pt idx="36">
                  <c:v>0.249432032301481</c:v>
                </c:pt>
                <c:pt idx="37">
                  <c:v>0.13082624483907901</c:v>
                </c:pt>
                <c:pt idx="38">
                  <c:v>0.66385168309831499</c:v>
                </c:pt>
                <c:pt idx="39">
                  <c:v>0.38323017488472599</c:v>
                </c:pt>
                <c:pt idx="40">
                  <c:v>0.403248459586807</c:v>
                </c:pt>
                <c:pt idx="41">
                  <c:v>0.27420123203285401</c:v>
                </c:pt>
                <c:pt idx="42">
                  <c:v>0.16072183740430199</c:v>
                </c:pt>
                <c:pt idx="43">
                  <c:v>0.27938185603330901</c:v>
                </c:pt>
                <c:pt idx="44">
                  <c:v>0.384988298228017</c:v>
                </c:pt>
                <c:pt idx="45">
                  <c:v>0.140952439360952</c:v>
                </c:pt>
                <c:pt idx="46">
                  <c:v>0.10521584861029</c:v>
                </c:pt>
                <c:pt idx="47">
                  <c:v>0.1693149867939</c:v>
                </c:pt>
                <c:pt idx="48">
                  <c:v>9.6739443385880503E-2</c:v>
                </c:pt>
                <c:pt idx="49">
                  <c:v>0.117625107288129</c:v>
                </c:pt>
                <c:pt idx="50">
                  <c:v>7.9703594826468202E-2</c:v>
                </c:pt>
                <c:pt idx="51">
                  <c:v>0.32835653029664003</c:v>
                </c:pt>
                <c:pt idx="52">
                  <c:v>0.16585962973795701</c:v>
                </c:pt>
                <c:pt idx="53">
                  <c:v>0.114574017515144</c:v>
                </c:pt>
                <c:pt idx="54">
                  <c:v>0.14151067467449899</c:v>
                </c:pt>
                <c:pt idx="55">
                  <c:v>0.20167859787706699</c:v>
                </c:pt>
                <c:pt idx="56">
                  <c:v>0.10987691383968801</c:v>
                </c:pt>
                <c:pt idx="57">
                  <c:v>0.10194084141807</c:v>
                </c:pt>
                <c:pt idx="58">
                  <c:v>0.127456312087593</c:v>
                </c:pt>
                <c:pt idx="59">
                  <c:v>0.10837180756838199</c:v>
                </c:pt>
                <c:pt idx="60">
                  <c:v>7.6153065661690097E-2</c:v>
                </c:pt>
                <c:pt idx="61">
                  <c:v>0.18966388956057201</c:v>
                </c:pt>
                <c:pt idx="62">
                  <c:v>0.11830369478000401</c:v>
                </c:pt>
                <c:pt idx="63">
                  <c:v>8.3768348149679595E-2</c:v>
                </c:pt>
                <c:pt idx="64">
                  <c:v>6.9845317957531794E-2</c:v>
                </c:pt>
                <c:pt idx="65">
                  <c:v>5.48335611060458E-2</c:v>
                </c:pt>
                <c:pt idx="66">
                  <c:v>6.1429360389816702E-2</c:v>
                </c:pt>
                <c:pt idx="67">
                  <c:v>5.5962544266469801E-2</c:v>
                </c:pt>
                <c:pt idx="68">
                  <c:v>5.3043494266413901E-2</c:v>
                </c:pt>
                <c:pt idx="69">
                  <c:v>4.0044366631518197E-2</c:v>
                </c:pt>
                <c:pt idx="70">
                  <c:v>5.0251171143697003E-2</c:v>
                </c:pt>
                <c:pt idx="71">
                  <c:v>3.7830484774331798E-2</c:v>
                </c:pt>
                <c:pt idx="72">
                  <c:v>3.0861359981827301E-2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A8-46A6-AA68-C6F3C9ACD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6385208"/>
        <c:axId val="-2144995336"/>
      </c:lineChart>
      <c:catAx>
        <c:axId val="-2136385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44995336"/>
        <c:crosses val="autoZero"/>
        <c:auto val="1"/>
        <c:lblAlgn val="ctr"/>
        <c:lblOffset val="100"/>
        <c:noMultiLvlLbl val="0"/>
      </c:catAx>
      <c:valAx>
        <c:axId val="-2144995336"/>
        <c:scaling>
          <c:orientation val="minMax"/>
        </c:scaling>
        <c:delete val="0"/>
        <c:axPos val="l"/>
        <c:numFmt formatCode="0.0000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/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3638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Plan1!$B$85:$BV$85</c:f>
              <c:numCache>
                <c:formatCode>0.0000000</c:formatCode>
                <c:ptCount val="73"/>
                <c:pt idx="0">
                  <c:v>1.1383357703043999</c:v>
                </c:pt>
                <c:pt idx="1">
                  <c:v>0.46559814233403601</c:v>
                </c:pt>
                <c:pt idx="2">
                  <c:v>0.375981743081923</c:v>
                </c:pt>
                <c:pt idx="3">
                  <c:v>0.157023121326373</c:v>
                </c:pt>
                <c:pt idx="4">
                  <c:v>0.25409955887284702</c:v>
                </c:pt>
                <c:pt idx="5">
                  <c:v>0.38780141843971599</c:v>
                </c:pt>
                <c:pt idx="6">
                  <c:v>0.58443678356945294</c:v>
                </c:pt>
                <c:pt idx="7">
                  <c:v>0.432234889595359</c:v>
                </c:pt>
                <c:pt idx="8">
                  <c:v>0.510208419436736</c:v>
                </c:pt>
                <c:pt idx="9">
                  <c:v>0.15211207141147701</c:v>
                </c:pt>
                <c:pt idx="10">
                  <c:v>0.34318567504014302</c:v>
                </c:pt>
                <c:pt idx="11">
                  <c:v>0.216854400610931</c:v>
                </c:pt>
                <c:pt idx="12">
                  <c:v>0.40410545772935103</c:v>
                </c:pt>
                <c:pt idx="13">
                  <c:v>0.984386480529023</c:v>
                </c:pt>
                <c:pt idx="14">
                  <c:v>0.47118030592260202</c:v>
                </c:pt>
                <c:pt idx="15">
                  <c:v>0.33226114926540901</c:v>
                </c:pt>
                <c:pt idx="16">
                  <c:v>0.80668155466829095</c:v>
                </c:pt>
                <c:pt idx="17">
                  <c:v>0.37229450802111103</c:v>
                </c:pt>
                <c:pt idx="18">
                  <c:v>0.36808011845027599</c:v>
                </c:pt>
                <c:pt idx="19">
                  <c:v>0.41597349256204103</c:v>
                </c:pt>
                <c:pt idx="20">
                  <c:v>0.21013723825693301</c:v>
                </c:pt>
                <c:pt idx="21">
                  <c:v>0.34462949457004999</c:v>
                </c:pt>
                <c:pt idx="22">
                  <c:v>0.47561560252778401</c:v>
                </c:pt>
                <c:pt idx="23">
                  <c:v>0.61180635285112905</c:v>
                </c:pt>
                <c:pt idx="24">
                  <c:v>0.19179125797543101</c:v>
                </c:pt>
                <c:pt idx="25">
                  <c:v>0.72155723148596596</c:v>
                </c:pt>
                <c:pt idx="26">
                  <c:v>0.259359068252761</c:v>
                </c:pt>
                <c:pt idx="27">
                  <c:v>0.121127720067383</c:v>
                </c:pt>
                <c:pt idx="28">
                  <c:v>0.35662777458098199</c:v>
                </c:pt>
                <c:pt idx="29">
                  <c:v>0.46863232804781102</c:v>
                </c:pt>
                <c:pt idx="30">
                  <c:v>0.31106144736538899</c:v>
                </c:pt>
                <c:pt idx="31">
                  <c:v>0.17046904261003901</c:v>
                </c:pt>
                <c:pt idx="32">
                  <c:v>0.173127276411709</c:v>
                </c:pt>
                <c:pt idx="33">
                  <c:v>0.24049408113809501</c:v>
                </c:pt>
                <c:pt idx="34">
                  <c:v>0.15831008809777</c:v>
                </c:pt>
                <c:pt idx="35">
                  <c:v>0.31232850218187502</c:v>
                </c:pt>
                <c:pt idx="36">
                  <c:v>0.29239269526531703</c:v>
                </c:pt>
                <c:pt idx="37">
                  <c:v>0.22840321765825999</c:v>
                </c:pt>
                <c:pt idx="38">
                  <c:v>0.67695634460497001</c:v>
                </c:pt>
                <c:pt idx="39">
                  <c:v>0.12153342129248999</c:v>
                </c:pt>
                <c:pt idx="40">
                  <c:v>0.583992771282276</c:v>
                </c:pt>
                <c:pt idx="41">
                  <c:v>0.16038430290571801</c:v>
                </c:pt>
                <c:pt idx="42">
                  <c:v>0.19917789382835199</c:v>
                </c:pt>
                <c:pt idx="43">
                  <c:v>0.36556485828130802</c:v>
                </c:pt>
                <c:pt idx="44">
                  <c:v>0.27801499083377801</c:v>
                </c:pt>
                <c:pt idx="45">
                  <c:v>0.214806733448142</c:v>
                </c:pt>
                <c:pt idx="46">
                  <c:v>0.117859530916571</c:v>
                </c:pt>
                <c:pt idx="47">
                  <c:v>0.18174058543392699</c:v>
                </c:pt>
                <c:pt idx="48">
                  <c:v>0.28899302143954902</c:v>
                </c:pt>
                <c:pt idx="49">
                  <c:v>0.105971488110846</c:v>
                </c:pt>
                <c:pt idx="50">
                  <c:v>0.31143799919819898</c:v>
                </c:pt>
                <c:pt idx="51">
                  <c:v>0.220187464558524</c:v>
                </c:pt>
                <c:pt idx="52">
                  <c:v>0.22850499027270901</c:v>
                </c:pt>
                <c:pt idx="53">
                  <c:v>0.109060972175081</c:v>
                </c:pt>
                <c:pt idx="54">
                  <c:v>0.28672569101678202</c:v>
                </c:pt>
                <c:pt idx="55">
                  <c:v>0.26886394196191299</c:v>
                </c:pt>
                <c:pt idx="56">
                  <c:v>0.143694630181117</c:v>
                </c:pt>
                <c:pt idx="57">
                  <c:v>8.67739962446053E-2</c:v>
                </c:pt>
                <c:pt idx="58">
                  <c:v>0.37637686179425001</c:v>
                </c:pt>
                <c:pt idx="59">
                  <c:v>7.8432765771257407E-2</c:v>
                </c:pt>
                <c:pt idx="60">
                  <c:v>0.13205975967825501</c:v>
                </c:pt>
                <c:pt idx="61">
                  <c:v>0.139234689970303</c:v>
                </c:pt>
                <c:pt idx="62">
                  <c:v>0.13190801025892099</c:v>
                </c:pt>
                <c:pt idx="63">
                  <c:v>8.9810233831184402E-2</c:v>
                </c:pt>
                <c:pt idx="64">
                  <c:v>0.12114635729352601</c:v>
                </c:pt>
                <c:pt idx="65">
                  <c:v>9.0139977603583402E-2</c:v>
                </c:pt>
                <c:pt idx="66">
                  <c:v>8.7158756628131398E-2</c:v>
                </c:pt>
                <c:pt idx="67">
                  <c:v>6.3813296168610506E-2</c:v>
                </c:pt>
                <c:pt idx="68">
                  <c:v>7.28406741966003E-2</c:v>
                </c:pt>
                <c:pt idx="69">
                  <c:v>5.3866101621834701E-2</c:v>
                </c:pt>
                <c:pt idx="70">
                  <c:v>4.7287654358080702E-2</c:v>
                </c:pt>
                <c:pt idx="71">
                  <c:v>4.8164268468292901E-2</c:v>
                </c:pt>
                <c:pt idx="72">
                  <c:v>0.199150633381036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32-45A0-940D-F3A81B6CE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9324488"/>
        <c:axId val="-2119969432"/>
      </c:lineChart>
      <c:catAx>
        <c:axId val="-211932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t-BR"/>
          </a:p>
        </c:txPr>
        <c:crossAx val="-2119969432"/>
        <c:crosses val="autoZero"/>
        <c:auto val="1"/>
        <c:lblAlgn val="ctr"/>
        <c:lblOffset val="100"/>
        <c:noMultiLvlLbl val="0"/>
      </c:catAx>
      <c:valAx>
        <c:axId val="-2119969432"/>
        <c:scaling>
          <c:orientation val="minMax"/>
        </c:scaling>
        <c:delete val="0"/>
        <c:axPos val="l"/>
        <c:numFmt formatCode="0.0000000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t-BR"/>
          </a:p>
        </c:txPr>
        <c:crossAx val="-21193244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0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dk1">
                  <a:tint val="885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'[Dados Amanda.xlsx]Sheet1'!$B$30:$BV$30</c:f>
              <c:numCache>
                <c:formatCode>0.00</c:formatCode>
                <c:ptCount val="73"/>
                <c:pt idx="0">
                  <c:v>4531.8924111431324</c:v>
                </c:pt>
                <c:pt idx="1">
                  <c:v>11417</c:v>
                </c:pt>
                <c:pt idx="2">
                  <c:v>11936.519607843131</c:v>
                </c:pt>
                <c:pt idx="3">
                  <c:v>1487.7323420074349</c:v>
                </c:pt>
                <c:pt idx="4">
                  <c:v>4058.6102719033229</c:v>
                </c:pt>
                <c:pt idx="5">
                  <c:v>9029.9065420560746</c:v>
                </c:pt>
                <c:pt idx="6">
                  <c:v>11305.25114155251</c:v>
                </c:pt>
                <c:pt idx="7">
                  <c:v>7520.5078125</c:v>
                </c:pt>
                <c:pt idx="8">
                  <c:v>7454.2</c:v>
                </c:pt>
                <c:pt idx="9">
                  <c:v>8396.25</c:v>
                </c:pt>
                <c:pt idx="10">
                  <c:v>6212.5555555555557</c:v>
                </c:pt>
                <c:pt idx="11">
                  <c:v>2007.5</c:v>
                </c:pt>
                <c:pt idx="12">
                  <c:v>7749.7685185185182</c:v>
                </c:pt>
                <c:pt idx="13">
                  <c:v>5622.5092250922507</c:v>
                </c:pt>
                <c:pt idx="14">
                  <c:v>3137.4631268436578</c:v>
                </c:pt>
                <c:pt idx="15">
                  <c:v>1762.1229698375871</c:v>
                </c:pt>
                <c:pt idx="16">
                  <c:v>2904.6533713200402</c:v>
                </c:pt>
                <c:pt idx="17">
                  <c:v>4540.4982206405703</c:v>
                </c:pt>
                <c:pt idx="18">
                  <c:v>4504.1825095057056</c:v>
                </c:pt>
                <c:pt idx="19">
                  <c:v>4325.1700680272106</c:v>
                </c:pt>
                <c:pt idx="20">
                  <c:v>6991.4634146341468</c:v>
                </c:pt>
                <c:pt idx="21">
                  <c:v>5153.2786885245914</c:v>
                </c:pt>
                <c:pt idx="22">
                  <c:v>7321.25</c:v>
                </c:pt>
                <c:pt idx="23">
                  <c:v>3974.08</c:v>
                </c:pt>
                <c:pt idx="24">
                  <c:v>4655.1111111111131</c:v>
                </c:pt>
                <c:pt idx="25">
                  <c:v>2760</c:v>
                </c:pt>
                <c:pt idx="26">
                  <c:v>9032.75</c:v>
                </c:pt>
                <c:pt idx="27">
                  <c:v>2787.8888888888891</c:v>
                </c:pt>
                <c:pt idx="28">
                  <c:v>3590.6666666666652</c:v>
                </c:pt>
                <c:pt idx="29">
                  <c:v>10480</c:v>
                </c:pt>
                <c:pt idx="30">
                  <c:v>4768.1111111111131</c:v>
                </c:pt>
                <c:pt idx="31">
                  <c:v>4996.0396039603957</c:v>
                </c:pt>
                <c:pt idx="32">
                  <c:v>7941.75</c:v>
                </c:pt>
                <c:pt idx="33">
                  <c:v>6818.5</c:v>
                </c:pt>
                <c:pt idx="34">
                  <c:v>6346.5</c:v>
                </c:pt>
                <c:pt idx="35">
                  <c:v>938.1111111111112</c:v>
                </c:pt>
                <c:pt idx="36">
                  <c:v>2574</c:v>
                </c:pt>
                <c:pt idx="37">
                  <c:v>6457.5892857142844</c:v>
                </c:pt>
                <c:pt idx="38">
                  <c:v>14825.438596491231</c:v>
                </c:pt>
                <c:pt idx="39">
                  <c:v>4393.0952380952403</c:v>
                </c:pt>
                <c:pt idx="40">
                  <c:v>4450.25</c:v>
                </c:pt>
                <c:pt idx="41">
                  <c:v>1213.5223555070879</c:v>
                </c:pt>
                <c:pt idx="42">
                  <c:v>2449.2222222222222</c:v>
                </c:pt>
                <c:pt idx="43">
                  <c:v>1090.375</c:v>
                </c:pt>
                <c:pt idx="44">
                  <c:v>1007.5625</c:v>
                </c:pt>
                <c:pt idx="45">
                  <c:v>4252.1739130434789</c:v>
                </c:pt>
                <c:pt idx="46">
                  <c:v>180.3730738037307</c:v>
                </c:pt>
                <c:pt idx="47">
                  <c:v>3441.1255411255411</c:v>
                </c:pt>
                <c:pt idx="48">
                  <c:v>29904</c:v>
                </c:pt>
                <c:pt idx="49">
                  <c:v>2451.5555555555561</c:v>
                </c:pt>
                <c:pt idx="50">
                  <c:v>10140.25</c:v>
                </c:pt>
                <c:pt idx="51">
                  <c:v>1247.649572649573</c:v>
                </c:pt>
                <c:pt idx="52">
                  <c:v>956.93749999999977</c:v>
                </c:pt>
                <c:pt idx="53">
                  <c:v>3850.661625708884</c:v>
                </c:pt>
                <c:pt idx="54">
                  <c:v>4035</c:v>
                </c:pt>
                <c:pt idx="55">
                  <c:v>817</c:v>
                </c:pt>
                <c:pt idx="56">
                  <c:v>4643.2835820895534</c:v>
                </c:pt>
                <c:pt idx="57">
                  <c:v>5051.5</c:v>
                </c:pt>
                <c:pt idx="58">
                  <c:v>3515.5</c:v>
                </c:pt>
                <c:pt idx="59">
                  <c:v>3790</c:v>
                </c:pt>
                <c:pt idx="60">
                  <c:v>2736.354166666667</c:v>
                </c:pt>
                <c:pt idx="61">
                  <c:v>2157</c:v>
                </c:pt>
                <c:pt idx="62">
                  <c:v>2598.058252427184</c:v>
                </c:pt>
                <c:pt idx="63">
                  <c:v>2074.56</c:v>
                </c:pt>
                <c:pt idx="64">
                  <c:v>3118.3168316831702</c:v>
                </c:pt>
                <c:pt idx="65">
                  <c:v>4933.274021352313</c:v>
                </c:pt>
                <c:pt idx="66">
                  <c:v>1382.728272827283</c:v>
                </c:pt>
                <c:pt idx="67">
                  <c:v>3164.5</c:v>
                </c:pt>
                <c:pt idx="68">
                  <c:v>3602.25</c:v>
                </c:pt>
                <c:pt idx="69">
                  <c:v>2012.75</c:v>
                </c:pt>
                <c:pt idx="70">
                  <c:v>2636.4444444444439</c:v>
                </c:pt>
                <c:pt idx="71">
                  <c:v>398.24</c:v>
                </c:pt>
                <c:pt idx="72">
                  <c:v>4313.5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45-4AEE-9FA7-82147E7A5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36241624"/>
        <c:axId val="-2136993448"/>
      </c:lineChart>
      <c:catAx>
        <c:axId val="-2136241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36993448"/>
        <c:crosses val="autoZero"/>
        <c:auto val="1"/>
        <c:lblAlgn val="ctr"/>
        <c:lblOffset val="100"/>
        <c:noMultiLvlLbl val="0"/>
      </c:catAx>
      <c:valAx>
        <c:axId val="-2136993448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36241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Plan1!$B$87:$BV$87</c:f>
              <c:numCache>
                <c:formatCode>General</c:formatCode>
                <c:ptCount val="73"/>
                <c:pt idx="0">
                  <c:v>20102.58215962442</c:v>
                </c:pt>
                <c:pt idx="1">
                  <c:v>16529.756097560981</c:v>
                </c:pt>
                <c:pt idx="2">
                  <c:v>12521.111111111109</c:v>
                </c:pt>
                <c:pt idx="3">
                  <c:v>17996.859903381639</c:v>
                </c:pt>
                <c:pt idx="4">
                  <c:v>12792.20779220779</c:v>
                </c:pt>
                <c:pt idx="5">
                  <c:v>8959.7378277153566</c:v>
                </c:pt>
                <c:pt idx="6">
                  <c:v>11644.902912621361</c:v>
                </c:pt>
                <c:pt idx="7">
                  <c:v>4201.9607843137264</c:v>
                </c:pt>
                <c:pt idx="8">
                  <c:v>4630.9753483386912</c:v>
                </c:pt>
                <c:pt idx="9">
                  <c:v>6850.3333333333321</c:v>
                </c:pt>
                <c:pt idx="10">
                  <c:v>5010.7777777777774</c:v>
                </c:pt>
                <c:pt idx="11">
                  <c:v>11462.844036697241</c:v>
                </c:pt>
                <c:pt idx="12">
                  <c:v>10384.5</c:v>
                </c:pt>
                <c:pt idx="13">
                  <c:v>9378.25</c:v>
                </c:pt>
                <c:pt idx="14">
                  <c:v>1360</c:v>
                </c:pt>
                <c:pt idx="15">
                  <c:v>7077.7777777777756</c:v>
                </c:pt>
                <c:pt idx="16">
                  <c:v>2191.2377450980389</c:v>
                </c:pt>
                <c:pt idx="17">
                  <c:v>7040.1185770750999</c:v>
                </c:pt>
                <c:pt idx="18">
                  <c:v>3370.809792843691</c:v>
                </c:pt>
                <c:pt idx="19">
                  <c:v>8487.3239436619697</c:v>
                </c:pt>
                <c:pt idx="20">
                  <c:v>8848.2978723404249</c:v>
                </c:pt>
                <c:pt idx="21">
                  <c:v>7564.6929824561421</c:v>
                </c:pt>
                <c:pt idx="22">
                  <c:v>7543.5483870967737</c:v>
                </c:pt>
                <c:pt idx="23">
                  <c:v>7798.2926829268299</c:v>
                </c:pt>
                <c:pt idx="24">
                  <c:v>9196.3470319634671</c:v>
                </c:pt>
                <c:pt idx="25">
                  <c:v>7821.5</c:v>
                </c:pt>
                <c:pt idx="26">
                  <c:v>5677.1984435797676</c:v>
                </c:pt>
                <c:pt idx="27">
                  <c:v>5769.7571743929357</c:v>
                </c:pt>
                <c:pt idx="28">
                  <c:v>6870.0471698113206</c:v>
                </c:pt>
                <c:pt idx="29">
                  <c:v>1670.6280788177339</c:v>
                </c:pt>
                <c:pt idx="30">
                  <c:v>3612.3076923076919</c:v>
                </c:pt>
                <c:pt idx="31">
                  <c:v>3895.4895489548958</c:v>
                </c:pt>
                <c:pt idx="32">
                  <c:v>7620.8920187793428</c:v>
                </c:pt>
                <c:pt idx="33">
                  <c:v>6696.3592233009704</c:v>
                </c:pt>
                <c:pt idx="34">
                  <c:v>7338.3720930232557</c:v>
                </c:pt>
                <c:pt idx="35">
                  <c:v>4134.08</c:v>
                </c:pt>
                <c:pt idx="36">
                  <c:v>5739.2018779342716</c:v>
                </c:pt>
                <c:pt idx="37">
                  <c:v>511.08695652173913</c:v>
                </c:pt>
                <c:pt idx="38">
                  <c:v>5400.25</c:v>
                </c:pt>
                <c:pt idx="39">
                  <c:v>9079.7619047619028</c:v>
                </c:pt>
                <c:pt idx="40">
                  <c:v>2285.959271168274</c:v>
                </c:pt>
                <c:pt idx="41">
                  <c:v>7353.5</c:v>
                </c:pt>
                <c:pt idx="42">
                  <c:v>6808</c:v>
                </c:pt>
                <c:pt idx="43">
                  <c:v>3625.76</c:v>
                </c:pt>
                <c:pt idx="44">
                  <c:v>5960.4477611940292</c:v>
                </c:pt>
                <c:pt idx="45">
                  <c:v>1289.177489177489</c:v>
                </c:pt>
                <c:pt idx="46">
                  <c:v>1473.56</c:v>
                </c:pt>
                <c:pt idx="47">
                  <c:v>2980.8888888888891</c:v>
                </c:pt>
                <c:pt idx="48">
                  <c:v>2549.1111111111109</c:v>
                </c:pt>
                <c:pt idx="49">
                  <c:v>4266</c:v>
                </c:pt>
                <c:pt idx="50">
                  <c:v>3231.68</c:v>
                </c:pt>
                <c:pt idx="51">
                  <c:v>1988.2530120481931</c:v>
                </c:pt>
                <c:pt idx="52">
                  <c:v>2134.4086021505382</c:v>
                </c:pt>
                <c:pt idx="53">
                  <c:v>27458.18181818182</c:v>
                </c:pt>
                <c:pt idx="54">
                  <c:v>1139.0318627450979</c:v>
                </c:pt>
                <c:pt idx="55">
                  <c:v>1228.285714285714</c:v>
                </c:pt>
                <c:pt idx="56">
                  <c:v>5402.8169014084524</c:v>
                </c:pt>
                <c:pt idx="57">
                  <c:v>4362.9032258064517</c:v>
                </c:pt>
                <c:pt idx="58">
                  <c:v>4074.75</c:v>
                </c:pt>
                <c:pt idx="59">
                  <c:v>9040.0862068965525</c:v>
                </c:pt>
                <c:pt idx="60">
                  <c:v>4047.0699432892261</c:v>
                </c:pt>
                <c:pt idx="61">
                  <c:v>1800.1100110011</c:v>
                </c:pt>
                <c:pt idx="62">
                  <c:v>2571.5767634854769</c:v>
                </c:pt>
                <c:pt idx="63">
                  <c:v>6267.25</c:v>
                </c:pt>
                <c:pt idx="64">
                  <c:v>2899.5145631067958</c:v>
                </c:pt>
                <c:pt idx="65">
                  <c:v>3965.270935960591</c:v>
                </c:pt>
                <c:pt idx="66">
                  <c:v>2067.4444444444439</c:v>
                </c:pt>
                <c:pt idx="67">
                  <c:v>2536.3459669582121</c:v>
                </c:pt>
                <c:pt idx="68">
                  <c:v>4061.25</c:v>
                </c:pt>
                <c:pt idx="69">
                  <c:v>2153.9408866995082</c:v>
                </c:pt>
                <c:pt idx="70">
                  <c:v>503.64</c:v>
                </c:pt>
                <c:pt idx="71">
                  <c:v>1977.1111111111111</c:v>
                </c:pt>
                <c:pt idx="72">
                  <c:v>4016.2204051092931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72-47BB-AC6E-6E456A13C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9960920"/>
        <c:axId val="-2119483256"/>
      </c:lineChart>
      <c:catAx>
        <c:axId val="-2119960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-2119483256"/>
        <c:crosses val="autoZero"/>
        <c:auto val="1"/>
        <c:lblAlgn val="ctr"/>
        <c:lblOffset val="100"/>
        <c:noMultiLvlLbl val="0"/>
      </c:catAx>
      <c:valAx>
        <c:axId val="-2119483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-2119960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dk1">
                  <a:tint val="885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val>
            <c:numRef>
              <c:f>'[Dados Amanda (1).xlsx]Sheet1'!$B$32:$BV$32</c:f>
              <c:numCache>
                <c:formatCode>0.00</c:formatCode>
                <c:ptCount val="73"/>
                <c:pt idx="0">
                  <c:v>505.41551053640859</c:v>
                </c:pt>
                <c:pt idx="1">
                  <c:v>3512.9230769230771</c:v>
                </c:pt>
                <c:pt idx="2">
                  <c:v>1473.644396030016</c:v>
                </c:pt>
                <c:pt idx="3">
                  <c:v>323.42007434944242</c:v>
                </c:pt>
                <c:pt idx="4">
                  <c:v>507.32628398791519</c:v>
                </c:pt>
                <c:pt idx="5">
                  <c:v>1517.6313516060629</c:v>
                </c:pt>
                <c:pt idx="6">
                  <c:v>1277.429507520058</c:v>
                </c:pt>
                <c:pt idx="7">
                  <c:v>1432.4776785714289</c:v>
                </c:pt>
                <c:pt idx="8">
                  <c:v>805.85945945945946</c:v>
                </c:pt>
                <c:pt idx="9">
                  <c:v>2332.2916666666661</c:v>
                </c:pt>
                <c:pt idx="10">
                  <c:v>424.5482156416096</c:v>
                </c:pt>
                <c:pt idx="11">
                  <c:v>167.9916317991632</c:v>
                </c:pt>
                <c:pt idx="12">
                  <c:v>1033.3024691358021</c:v>
                </c:pt>
                <c:pt idx="13">
                  <c:v>1322.94334708053</c:v>
                </c:pt>
                <c:pt idx="14">
                  <c:v>409.234320892651</c:v>
                </c:pt>
                <c:pt idx="15">
                  <c:v>221.65068802988509</c:v>
                </c:pt>
                <c:pt idx="16">
                  <c:v>442.33300070863521</c:v>
                </c:pt>
                <c:pt idx="17">
                  <c:v>360.3570016381405</c:v>
                </c:pt>
                <c:pt idx="18">
                  <c:v>804.31830526887575</c:v>
                </c:pt>
                <c:pt idx="19">
                  <c:v>823.84191771946837</c:v>
                </c:pt>
                <c:pt idx="20">
                  <c:v>1645.0502152080351</c:v>
                </c:pt>
                <c:pt idx="21">
                  <c:v>1411.857174938244</c:v>
                </c:pt>
                <c:pt idx="22">
                  <c:v>721.30541871921162</c:v>
                </c:pt>
                <c:pt idx="23">
                  <c:v>602.13333333333355</c:v>
                </c:pt>
                <c:pt idx="24">
                  <c:v>440.54679284963203</c:v>
                </c:pt>
                <c:pt idx="25">
                  <c:v>617.91044776119406</c:v>
                </c:pt>
                <c:pt idx="26">
                  <c:v>1290.3928571428571</c:v>
                </c:pt>
                <c:pt idx="27">
                  <c:v>1045.458333333333</c:v>
                </c:pt>
                <c:pt idx="28">
                  <c:v>704.05228758169926</c:v>
                </c:pt>
                <c:pt idx="29">
                  <c:v>1378.9473684210529</c:v>
                </c:pt>
                <c:pt idx="30">
                  <c:v>665.31782945736438</c:v>
                </c:pt>
                <c:pt idx="31">
                  <c:v>1491.3551056598201</c:v>
                </c:pt>
                <c:pt idx="32">
                  <c:v>2443.6153846153852</c:v>
                </c:pt>
                <c:pt idx="33">
                  <c:v>1298.761904761905</c:v>
                </c:pt>
                <c:pt idx="34">
                  <c:v>705.16666666666663</c:v>
                </c:pt>
                <c:pt idx="35">
                  <c:v>192.76255707762559</c:v>
                </c:pt>
                <c:pt idx="36">
                  <c:v>286</c:v>
                </c:pt>
                <c:pt idx="37">
                  <c:v>1253.9008321775309</c:v>
                </c:pt>
                <c:pt idx="38">
                  <c:v>1853.1798245614029</c:v>
                </c:pt>
                <c:pt idx="39">
                  <c:v>1830.4563492063489</c:v>
                </c:pt>
                <c:pt idx="40">
                  <c:v>2617.7941176470599</c:v>
                </c:pt>
                <c:pt idx="41">
                  <c:v>307.77740900542102</c:v>
                </c:pt>
                <c:pt idx="42">
                  <c:v>1113.2828282828279</c:v>
                </c:pt>
                <c:pt idx="43">
                  <c:v>531.8902439024389</c:v>
                </c:pt>
                <c:pt idx="44">
                  <c:v>253.4748427672956</c:v>
                </c:pt>
                <c:pt idx="45">
                  <c:v>850.43478260869585</c:v>
                </c:pt>
                <c:pt idx="46">
                  <c:v>9.6198972695323057</c:v>
                </c:pt>
                <c:pt idx="47">
                  <c:v>1376.450216450216</c:v>
                </c:pt>
                <c:pt idx="48">
                  <c:v>7293.658536585368</c:v>
                </c:pt>
                <c:pt idx="49">
                  <c:v>367.73333333333329</c:v>
                </c:pt>
                <c:pt idx="50">
                  <c:v>1361.1073825503349</c:v>
                </c:pt>
                <c:pt idx="51">
                  <c:v>542.45633593459672</c:v>
                </c:pt>
                <c:pt idx="52">
                  <c:v>170.12222222222221</c:v>
                </c:pt>
                <c:pt idx="53">
                  <c:v>1041.9437340153449</c:v>
                </c:pt>
                <c:pt idx="54">
                  <c:v>2017.5</c:v>
                </c:pt>
                <c:pt idx="55">
                  <c:v>573.33333333333337</c:v>
                </c:pt>
                <c:pt idx="56">
                  <c:v>821.82010302469939</c:v>
                </c:pt>
                <c:pt idx="57">
                  <c:v>1683.833333333333</c:v>
                </c:pt>
                <c:pt idx="58">
                  <c:v>2197.1875</c:v>
                </c:pt>
                <c:pt idx="59">
                  <c:v>721.2178877259754</c:v>
                </c:pt>
                <c:pt idx="60">
                  <c:v>158.78264023210829</c:v>
                </c:pt>
                <c:pt idx="61">
                  <c:v>388.6486486486487</c:v>
                </c:pt>
                <c:pt idx="62">
                  <c:v>399.70126960418219</c:v>
                </c:pt>
                <c:pt idx="63">
                  <c:v>682.42105263157896</c:v>
                </c:pt>
                <c:pt idx="64">
                  <c:v>479.74105102817953</c:v>
                </c:pt>
                <c:pt idx="65">
                  <c:v>243.91960550567671</c:v>
                </c:pt>
                <c:pt idx="66">
                  <c:v>227.92224277372799</c:v>
                </c:pt>
                <c:pt idx="67">
                  <c:v>620.49019607843138</c:v>
                </c:pt>
                <c:pt idx="68">
                  <c:v>947.96052631578925</c:v>
                </c:pt>
                <c:pt idx="69">
                  <c:v>591.98529411764707</c:v>
                </c:pt>
                <c:pt idx="70">
                  <c:v>444.34456928838949</c:v>
                </c:pt>
                <c:pt idx="71">
                  <c:v>67.498305084745766</c:v>
                </c:pt>
                <c:pt idx="72">
                  <c:v>481.9553072625697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01-45D9-9EFA-F21D7C0D9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4950424"/>
        <c:axId val="-2144990024"/>
      </c:lineChart>
      <c:catAx>
        <c:axId val="-2144950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44990024"/>
        <c:crosses val="autoZero"/>
        <c:auto val="1"/>
        <c:lblAlgn val="ctr"/>
        <c:lblOffset val="100"/>
        <c:noMultiLvlLbl val="0"/>
      </c:catAx>
      <c:valAx>
        <c:axId val="-2144990024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4495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'[Contagri_2016-2017 (1).xlsx]Plan1'!$B$89:$BV$89</c:f>
              <c:numCache>
                <c:formatCode>General</c:formatCode>
                <c:ptCount val="73"/>
                <c:pt idx="0">
                  <c:v>3322.7408528304818</c:v>
                </c:pt>
                <c:pt idx="1">
                  <c:v>2015.823914336705</c:v>
                </c:pt>
                <c:pt idx="2">
                  <c:v>2086.8518518518522</c:v>
                </c:pt>
                <c:pt idx="3">
                  <c:v>1999.651100375738</c:v>
                </c:pt>
                <c:pt idx="4">
                  <c:v>1445.447208159072</c:v>
                </c:pt>
                <c:pt idx="5">
                  <c:v>1156.095203576175</c:v>
                </c:pt>
                <c:pt idx="6">
                  <c:v>2739.9771559109081</c:v>
                </c:pt>
                <c:pt idx="7">
                  <c:v>381.9964349376113</c:v>
                </c:pt>
                <c:pt idx="8">
                  <c:v>1036.7855257474689</c:v>
                </c:pt>
                <c:pt idx="9">
                  <c:v>1208.882352941177</c:v>
                </c:pt>
                <c:pt idx="10">
                  <c:v>2059.2237442922369</c:v>
                </c:pt>
                <c:pt idx="11">
                  <c:v>2339.3559258565811</c:v>
                </c:pt>
                <c:pt idx="12">
                  <c:v>1585.419847328244</c:v>
                </c:pt>
                <c:pt idx="13">
                  <c:v>2605.0694444444439</c:v>
                </c:pt>
                <c:pt idx="14">
                  <c:v>309.09090909090901</c:v>
                </c:pt>
                <c:pt idx="15">
                  <c:v>602.3640661938532</c:v>
                </c:pt>
                <c:pt idx="16">
                  <c:v>551.2547786410164</c:v>
                </c:pt>
                <c:pt idx="17">
                  <c:v>1436.758893280632</c:v>
                </c:pt>
                <c:pt idx="18">
                  <c:v>375.92674269632238</c:v>
                </c:pt>
                <c:pt idx="19">
                  <c:v>1131.6431924882629</c:v>
                </c:pt>
                <c:pt idx="20">
                  <c:v>655.42947202521668</c:v>
                </c:pt>
                <c:pt idx="21">
                  <c:v>1739.0098810244001</c:v>
                </c:pt>
                <c:pt idx="22">
                  <c:v>1267.8232583355921</c:v>
                </c:pt>
                <c:pt idx="23">
                  <c:v>3249.28861788618</c:v>
                </c:pt>
                <c:pt idx="24">
                  <c:v>1599.364701211038</c:v>
                </c:pt>
                <c:pt idx="25">
                  <c:v>4285.7534246575351</c:v>
                </c:pt>
                <c:pt idx="26">
                  <c:v>727.84595430509819</c:v>
                </c:pt>
                <c:pt idx="27">
                  <c:v>321.73367143455027</c:v>
                </c:pt>
                <c:pt idx="28">
                  <c:v>1635.7255166217431</c:v>
                </c:pt>
                <c:pt idx="29">
                  <c:v>814.94052625255324</c:v>
                </c:pt>
                <c:pt idx="30">
                  <c:v>752.56410256410254</c:v>
                </c:pt>
                <c:pt idx="31">
                  <c:v>482.9119275563919</c:v>
                </c:pt>
                <c:pt idx="32">
                  <c:v>2177.397719651241</c:v>
                </c:pt>
                <c:pt idx="33">
                  <c:v>3188.7424872861761</c:v>
                </c:pt>
                <c:pt idx="34">
                  <c:v>1630.749354005168</c:v>
                </c:pt>
                <c:pt idx="35">
                  <c:v>469.78181818181821</c:v>
                </c:pt>
                <c:pt idx="36">
                  <c:v>1434.8004694835679</c:v>
                </c:pt>
                <c:pt idx="37">
                  <c:v>6.8144927536231883</c:v>
                </c:pt>
                <c:pt idx="38">
                  <c:v>1612.014925373134</c:v>
                </c:pt>
                <c:pt idx="39">
                  <c:v>1020.19796682718</c:v>
                </c:pt>
                <c:pt idx="40">
                  <c:v>993.89533529055404</c:v>
                </c:pt>
                <c:pt idx="41">
                  <c:v>3063.9583333333339</c:v>
                </c:pt>
                <c:pt idx="42">
                  <c:v>825.21212121212125</c:v>
                </c:pt>
                <c:pt idx="43">
                  <c:v>573.69620253164555</c:v>
                </c:pt>
                <c:pt idx="44">
                  <c:v>1490.1119402985071</c:v>
                </c:pt>
                <c:pt idx="45">
                  <c:v>107.8809614374468</c:v>
                </c:pt>
                <c:pt idx="46">
                  <c:v>228.81366459627321</c:v>
                </c:pt>
                <c:pt idx="47">
                  <c:v>397.45185185185181</c:v>
                </c:pt>
                <c:pt idx="48">
                  <c:v>484.00843881856531</c:v>
                </c:pt>
                <c:pt idx="49">
                  <c:v>403.72239747634069</c:v>
                </c:pt>
                <c:pt idx="50">
                  <c:v>489.64848484848483</c:v>
                </c:pt>
                <c:pt idx="51">
                  <c:v>248.53162650602411</c:v>
                </c:pt>
                <c:pt idx="52">
                  <c:v>800.40322580645147</c:v>
                </c:pt>
                <c:pt idx="53">
                  <c:v>6864.545454545454</c:v>
                </c:pt>
                <c:pt idx="54">
                  <c:v>650.87535014005607</c:v>
                </c:pt>
                <c:pt idx="55">
                  <c:v>311.5217391304347</c:v>
                </c:pt>
                <c:pt idx="56">
                  <c:v>831.2026002166848</c:v>
                </c:pt>
                <c:pt idx="57">
                  <c:v>318.46008947492339</c:v>
                </c:pt>
                <c:pt idx="58">
                  <c:v>734.18918918918916</c:v>
                </c:pt>
                <c:pt idx="59">
                  <c:v>796.48336624639262</c:v>
                </c:pt>
                <c:pt idx="60">
                  <c:v>809.41398865784504</c:v>
                </c:pt>
                <c:pt idx="61">
                  <c:v>439.05122219539032</c:v>
                </c:pt>
                <c:pt idx="62">
                  <c:v>659.37865730396834</c:v>
                </c:pt>
                <c:pt idx="63">
                  <c:v>1790.6428571428571</c:v>
                </c:pt>
                <c:pt idx="64">
                  <c:v>456.61646663099162</c:v>
                </c:pt>
                <c:pt idx="65">
                  <c:v>566.46727656579867</c:v>
                </c:pt>
                <c:pt idx="66">
                  <c:v>369.18650793650778</c:v>
                </c:pt>
                <c:pt idx="67">
                  <c:v>427.47403937497938</c:v>
                </c:pt>
                <c:pt idx="68">
                  <c:v>812.25</c:v>
                </c:pt>
                <c:pt idx="69">
                  <c:v>599.14906445048882</c:v>
                </c:pt>
                <c:pt idx="70">
                  <c:v>83.94</c:v>
                </c:pt>
                <c:pt idx="71">
                  <c:v>644.71014492753625</c:v>
                </c:pt>
                <c:pt idx="72">
                  <c:v>619.01378720950584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38-4882-9DA7-1601447B0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41940072"/>
        <c:axId val="-2141919272"/>
      </c:lineChart>
      <c:catAx>
        <c:axId val="-2141940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41919272"/>
        <c:crosses val="autoZero"/>
        <c:auto val="1"/>
        <c:lblAlgn val="ctr"/>
        <c:lblOffset val="100"/>
        <c:noMultiLvlLbl val="0"/>
      </c:catAx>
      <c:valAx>
        <c:axId val="-2141919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pt-BR"/>
          </a:p>
        </c:txPr>
        <c:crossAx val="-2141940072"/>
        <c:crosses val="autoZero"/>
        <c:crossBetween val="between"/>
      </c:valAx>
      <c:spPr>
        <a:noFill/>
        <a:ln w="9525" cap="sq" cmpd="dbl">
          <a:solidFill>
            <a:schemeClr val="dk1">
              <a:tint val="88500"/>
            </a:schemeClr>
          </a:solidFill>
          <a:beve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6DF1-7BE8-422E-980D-BCCEBF51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6109</Words>
  <Characters>32990</Characters>
  <DocSecurity>0</DocSecurity>
  <Lines>274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2018-04-27T11:15:00Z</dcterms:created>
  <dcterms:modified xsi:type="dcterms:W3CDTF">2018-04-27T13:03:00Z</dcterms:modified>
</cp:coreProperties>
</file>