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E77" w:rsidRPr="005F4E77" w:rsidRDefault="005F4E77" w:rsidP="005F4E77">
      <w:pPr>
        <w:jc w:val="center"/>
        <w:rPr>
          <w:b/>
          <w:sz w:val="24"/>
          <w:szCs w:val="24"/>
        </w:rPr>
      </w:pPr>
      <w:r w:rsidRPr="005F4E77">
        <w:rPr>
          <w:b/>
          <w:sz w:val="24"/>
          <w:szCs w:val="24"/>
        </w:rPr>
        <w:t>Associação entre o Nível de Evidenciação dos Ativos Intangíveis e o Desempenho Econômico Financeiro dos Clubes de Futebol Brasileiros</w:t>
      </w:r>
    </w:p>
    <w:p w:rsidR="0036377D" w:rsidRPr="005F4E77" w:rsidRDefault="0036377D" w:rsidP="0036377D">
      <w:pPr>
        <w:jc w:val="center"/>
        <w:rPr>
          <w:color w:val="999999"/>
          <w:sz w:val="24"/>
          <w:szCs w:val="24"/>
        </w:rPr>
      </w:pPr>
    </w:p>
    <w:p w:rsidR="005F4E77" w:rsidRPr="005F4E77" w:rsidRDefault="005F4E77" w:rsidP="0036377D">
      <w:pPr>
        <w:jc w:val="right"/>
        <w:rPr>
          <w:b/>
          <w:sz w:val="24"/>
          <w:szCs w:val="24"/>
        </w:rPr>
      </w:pPr>
      <w:r w:rsidRPr="005F4E77">
        <w:rPr>
          <w:b/>
          <w:sz w:val="24"/>
          <w:szCs w:val="24"/>
        </w:rPr>
        <w:t>Juliane Pacheco</w:t>
      </w:r>
    </w:p>
    <w:p w:rsidR="005F4E77" w:rsidRPr="005F4E77" w:rsidRDefault="005F4E77" w:rsidP="0036377D">
      <w:pPr>
        <w:jc w:val="right"/>
        <w:rPr>
          <w:b/>
          <w:sz w:val="24"/>
          <w:szCs w:val="24"/>
        </w:rPr>
      </w:pPr>
      <w:r w:rsidRPr="005F4E77">
        <w:rPr>
          <w:b/>
          <w:sz w:val="24"/>
          <w:szCs w:val="24"/>
        </w:rPr>
        <w:t>Universidade Federal de Santa Catarina (UFSC)</w:t>
      </w:r>
    </w:p>
    <w:p w:rsidR="0036377D" w:rsidRPr="005F4E77" w:rsidRDefault="005F4E77" w:rsidP="0036377D">
      <w:pPr>
        <w:jc w:val="right"/>
        <w:rPr>
          <w:b/>
          <w:i/>
          <w:sz w:val="24"/>
          <w:szCs w:val="24"/>
        </w:rPr>
      </w:pPr>
      <w:r w:rsidRPr="005F4E77">
        <w:rPr>
          <w:b/>
          <w:i/>
          <w:sz w:val="24"/>
          <w:szCs w:val="24"/>
        </w:rPr>
        <w:t>pac.juliane@gmail.com</w:t>
      </w:r>
    </w:p>
    <w:p w:rsidR="005F4E77" w:rsidRPr="005F4E77" w:rsidRDefault="005F4E77" w:rsidP="0036377D">
      <w:pPr>
        <w:jc w:val="right"/>
        <w:rPr>
          <w:b/>
          <w:sz w:val="24"/>
          <w:szCs w:val="24"/>
        </w:rPr>
      </w:pPr>
    </w:p>
    <w:p w:rsidR="005F4E77" w:rsidRPr="005F4E77" w:rsidRDefault="005F4E77" w:rsidP="00067126">
      <w:pPr>
        <w:widowControl w:val="0"/>
        <w:jc w:val="right"/>
        <w:rPr>
          <w:b/>
          <w:sz w:val="24"/>
          <w:szCs w:val="24"/>
        </w:rPr>
      </w:pPr>
      <w:r w:rsidRPr="005F4E77">
        <w:rPr>
          <w:b/>
          <w:sz w:val="24"/>
          <w:szCs w:val="24"/>
        </w:rPr>
        <w:t>Maíra Melo de Souza</w:t>
      </w:r>
    </w:p>
    <w:p w:rsidR="005F4E77" w:rsidRPr="005F4E77" w:rsidRDefault="005F4E77" w:rsidP="005F4E77">
      <w:pPr>
        <w:jc w:val="right"/>
        <w:rPr>
          <w:b/>
          <w:sz w:val="24"/>
          <w:szCs w:val="24"/>
        </w:rPr>
      </w:pPr>
      <w:r w:rsidRPr="005F4E77">
        <w:rPr>
          <w:b/>
          <w:sz w:val="24"/>
          <w:szCs w:val="24"/>
        </w:rPr>
        <w:t>Universidade Federal de Santa Catarina (UFSC)</w:t>
      </w:r>
    </w:p>
    <w:p w:rsidR="0036377D" w:rsidRPr="005F4E77" w:rsidRDefault="005F4E77" w:rsidP="00067126">
      <w:pPr>
        <w:widowControl w:val="0"/>
        <w:jc w:val="right"/>
        <w:rPr>
          <w:b/>
          <w:sz w:val="24"/>
          <w:szCs w:val="24"/>
        </w:rPr>
      </w:pPr>
      <w:proofErr w:type="spellStart"/>
      <w:proofErr w:type="gramStart"/>
      <w:r w:rsidRPr="005F4E77">
        <w:rPr>
          <w:b/>
          <w:i/>
          <w:sz w:val="24"/>
          <w:szCs w:val="24"/>
        </w:rPr>
        <w:t>mairameloufsc@</w:t>
      </w:r>
      <w:proofErr w:type="gramEnd"/>
      <w:r w:rsidRPr="005F4E77">
        <w:rPr>
          <w:b/>
          <w:i/>
          <w:sz w:val="24"/>
          <w:szCs w:val="24"/>
        </w:rPr>
        <w:t>gmailcom</w:t>
      </w:r>
      <w:proofErr w:type="spellEnd"/>
    </w:p>
    <w:p w:rsidR="0036377D" w:rsidRPr="005F4E77" w:rsidRDefault="0036377D" w:rsidP="00067126">
      <w:pPr>
        <w:widowControl w:val="0"/>
        <w:jc w:val="center"/>
        <w:rPr>
          <w:b/>
          <w:color w:val="999999"/>
          <w:sz w:val="24"/>
          <w:szCs w:val="24"/>
        </w:rPr>
      </w:pPr>
    </w:p>
    <w:p w:rsidR="00C04F45" w:rsidRPr="005F4E77" w:rsidRDefault="0036377D" w:rsidP="00067126">
      <w:pPr>
        <w:widowControl w:val="0"/>
        <w:jc w:val="both"/>
        <w:rPr>
          <w:b/>
          <w:sz w:val="24"/>
          <w:szCs w:val="24"/>
        </w:rPr>
      </w:pPr>
      <w:r w:rsidRPr="005F4E77">
        <w:rPr>
          <w:b/>
          <w:sz w:val="24"/>
          <w:szCs w:val="24"/>
        </w:rPr>
        <w:t xml:space="preserve">Resumo </w:t>
      </w:r>
    </w:p>
    <w:p w:rsidR="005F4E77" w:rsidRPr="005F4E77" w:rsidRDefault="005F4E77" w:rsidP="0B4C22A7">
      <w:pPr>
        <w:pStyle w:val="NormalWeb"/>
        <w:shd w:val="clear" w:color="auto" w:fill="FFFFFF" w:themeFill="background1"/>
        <w:spacing w:before="0" w:beforeAutospacing="0" w:after="0" w:afterAutospacing="0"/>
        <w:jc w:val="both"/>
        <w:rPr>
          <w:color w:val="FF0000"/>
          <w:sz w:val="24"/>
          <w:szCs w:val="24"/>
        </w:rPr>
      </w:pPr>
      <w:r w:rsidRPr="005F4E77">
        <w:rPr>
          <w:sz w:val="24"/>
          <w:szCs w:val="24"/>
          <w:shd w:val="clear" w:color="auto" w:fill="FFFFFF"/>
        </w:rPr>
        <w:t xml:space="preserve">O futebol é um esporte tanto da classe aristocrata quanto a popular. </w:t>
      </w:r>
      <w:r w:rsidR="000E09B2">
        <w:rPr>
          <w:sz w:val="24"/>
          <w:szCs w:val="24"/>
          <w:shd w:val="clear" w:color="auto" w:fill="FFFFFF"/>
        </w:rPr>
        <w:t>Em decorrência das</w:t>
      </w:r>
      <w:r w:rsidR="000E09B2">
        <w:rPr>
          <w:sz w:val="24"/>
          <w:szCs w:val="24"/>
        </w:rPr>
        <w:t xml:space="preserve"> </w:t>
      </w:r>
      <w:r w:rsidRPr="005F4E77">
        <w:rPr>
          <w:sz w:val="24"/>
          <w:szCs w:val="24"/>
        </w:rPr>
        <w:t>várias mudanças na legislação brasileira referente aos clubes de futebol e a relevância da evidenciação dos intangíveis, o objetivo desta pesquisa é verificar a associação entre o nível de evidenciação dos ativos intangíveis e o desempenho econômico</w:t>
      </w:r>
      <w:r w:rsidR="000E09B2">
        <w:rPr>
          <w:sz w:val="24"/>
          <w:szCs w:val="24"/>
        </w:rPr>
        <w:t>-</w:t>
      </w:r>
      <w:r w:rsidRPr="005F4E77">
        <w:rPr>
          <w:sz w:val="24"/>
          <w:szCs w:val="24"/>
        </w:rPr>
        <w:t xml:space="preserve">financeiro dos clubes de futebol brasileiros. A amostra da pesquisa são os clubes que participaram do campeonato brasileiro nas séries A e B de 2017, foram analisados os anos de 2013 a 2016. Para medir o nível de evidenciação, utilizou-se a norma em vigência, ITG 2003 R1 (2013), e para medir o desempenho econômico financeiro foram utilizadas seis variáveis, sendo estas: receita líquida, resultado líquido do exercício, patrimônio líquido, ativo intangível, ativo total e intangibilidade. Adicionalmente, também foi analisada a variável auditoria. Em relação às conclusões da pesquisa, apenas o resultado líquido e o ativo intangível estão associados ao nível de evidenciação. Concluiu-se também que os clubes são parcialmente transparentes, em virtude de metade </w:t>
      </w:r>
      <w:proofErr w:type="gramStart"/>
      <w:r w:rsidRPr="005F4E77">
        <w:rPr>
          <w:sz w:val="24"/>
          <w:szCs w:val="24"/>
        </w:rPr>
        <w:t>da amostra apresentar</w:t>
      </w:r>
      <w:proofErr w:type="gramEnd"/>
      <w:r w:rsidRPr="005F4E77">
        <w:rPr>
          <w:sz w:val="24"/>
          <w:szCs w:val="24"/>
        </w:rPr>
        <w:t xml:space="preserve"> um nível de evidenciação acima da média, cerca de 60%, o que sugere que nos clubes analisados é preciso ser mais abrangente na evidenciação das informações para se adequar completamente a norma de contabilidade.</w:t>
      </w:r>
    </w:p>
    <w:p w:rsidR="005F4E77" w:rsidRPr="00976A7C" w:rsidRDefault="005F4E77" w:rsidP="000E09B2">
      <w:pPr>
        <w:rPr>
          <w:b/>
        </w:rPr>
      </w:pPr>
    </w:p>
    <w:p w:rsidR="005F4E77" w:rsidRPr="005F4E77" w:rsidRDefault="005F4E77" w:rsidP="000E09B2">
      <w:pPr>
        <w:pStyle w:val="NormalWeb"/>
        <w:shd w:val="clear" w:color="auto" w:fill="FFFFFF"/>
        <w:spacing w:before="0" w:beforeAutospacing="0" w:after="0" w:afterAutospacing="0"/>
        <w:jc w:val="both"/>
        <w:rPr>
          <w:sz w:val="24"/>
          <w:szCs w:val="24"/>
        </w:rPr>
      </w:pPr>
      <w:r w:rsidRPr="005F4E77">
        <w:rPr>
          <w:b/>
          <w:sz w:val="24"/>
          <w:szCs w:val="24"/>
        </w:rPr>
        <w:t xml:space="preserve">Palavras-chave: </w:t>
      </w:r>
      <w:r w:rsidRPr="005F4E77">
        <w:rPr>
          <w:sz w:val="24"/>
          <w:szCs w:val="24"/>
        </w:rPr>
        <w:t>Evidenciação contábil; Ativo Intangível; Futebol.</w:t>
      </w:r>
    </w:p>
    <w:p w:rsidR="0036377D" w:rsidRPr="00976A7C" w:rsidRDefault="0036377D" w:rsidP="00067126">
      <w:pPr>
        <w:widowControl w:val="0"/>
      </w:pPr>
    </w:p>
    <w:p w:rsidR="004D366C" w:rsidRPr="005F4E77" w:rsidRDefault="0036377D" w:rsidP="00067126">
      <w:pPr>
        <w:widowControl w:val="0"/>
        <w:rPr>
          <w:sz w:val="24"/>
          <w:szCs w:val="24"/>
        </w:rPr>
      </w:pPr>
      <w:r w:rsidRPr="005F4E77">
        <w:rPr>
          <w:b/>
          <w:sz w:val="24"/>
          <w:szCs w:val="24"/>
        </w:rPr>
        <w:t xml:space="preserve">Linha Temática: </w:t>
      </w:r>
      <w:r w:rsidR="005F4E77" w:rsidRPr="005F4E77">
        <w:rPr>
          <w:b/>
          <w:sz w:val="24"/>
          <w:szCs w:val="24"/>
        </w:rPr>
        <w:t>Contabilidade Financeira – Padronização das normas contábeis</w:t>
      </w:r>
    </w:p>
    <w:p w:rsidR="0036377D" w:rsidRPr="005F4E77" w:rsidRDefault="0036377D" w:rsidP="00067126">
      <w:pPr>
        <w:widowControl w:val="0"/>
        <w:rPr>
          <w:sz w:val="24"/>
          <w:szCs w:val="24"/>
        </w:rPr>
      </w:pPr>
    </w:p>
    <w:p w:rsidR="005F4E77" w:rsidRPr="005F4E77" w:rsidRDefault="005F4E77" w:rsidP="005F4E77">
      <w:pPr>
        <w:suppressAutoHyphens w:val="0"/>
        <w:rPr>
          <w:b/>
          <w:sz w:val="24"/>
          <w:szCs w:val="24"/>
        </w:rPr>
      </w:pPr>
      <w:proofErr w:type="gramStart"/>
      <w:r w:rsidRPr="005F4E77">
        <w:rPr>
          <w:b/>
          <w:sz w:val="24"/>
          <w:szCs w:val="24"/>
        </w:rPr>
        <w:t>1</w:t>
      </w:r>
      <w:proofErr w:type="gramEnd"/>
      <w:r w:rsidRPr="005F4E77">
        <w:rPr>
          <w:b/>
          <w:sz w:val="24"/>
          <w:szCs w:val="24"/>
        </w:rPr>
        <w:t xml:space="preserve"> INTRODUÇÃO</w:t>
      </w:r>
    </w:p>
    <w:p w:rsidR="005F4E77" w:rsidRPr="005F4E77" w:rsidRDefault="005F4E77" w:rsidP="005F4E77">
      <w:pPr>
        <w:ind w:firstLine="709"/>
        <w:jc w:val="both"/>
        <w:rPr>
          <w:sz w:val="24"/>
          <w:szCs w:val="24"/>
        </w:rPr>
      </w:pPr>
      <w:r w:rsidRPr="005F4E77">
        <w:rPr>
          <w:sz w:val="24"/>
          <w:szCs w:val="24"/>
        </w:rPr>
        <w:t xml:space="preserve">Em meados de 1894, </w:t>
      </w:r>
      <w:r w:rsidRPr="005F4E77">
        <w:rPr>
          <w:sz w:val="24"/>
          <w:szCs w:val="24"/>
          <w:shd w:val="clear" w:color="auto" w:fill="FFFFFF"/>
        </w:rPr>
        <w:t>Charles W. Miller voltou da Inglaterra com a bola do esporte que atualmente inspira milhões de brasileiros, o futebol. Há quem diga que o esporte chegou ao Brasil anos antes com os barcos ingleses por volta de 1870 (Costa, 2009). Porém, segundo Fonseca (2009), o que se sabe é que o jogo com bola é realizado desde as origens do povo da Grécia antiga, e no século XIX os ingleses criaram regras para esse esporte.</w:t>
      </w:r>
    </w:p>
    <w:p w:rsidR="005F4E77" w:rsidRPr="005F4E77" w:rsidRDefault="005F4E77" w:rsidP="005F4E77">
      <w:pPr>
        <w:ind w:firstLine="709"/>
        <w:jc w:val="both"/>
        <w:rPr>
          <w:sz w:val="24"/>
          <w:szCs w:val="24"/>
        </w:rPr>
      </w:pPr>
      <w:r w:rsidRPr="005F4E77">
        <w:rPr>
          <w:sz w:val="24"/>
          <w:szCs w:val="24"/>
          <w:shd w:val="clear" w:color="auto" w:fill="FFFFFF"/>
        </w:rPr>
        <w:t xml:space="preserve">Segundo Rondinelli (2015), apesar de no início ser um esporte aristocrata, posteriormente passou a ser admirado também pelas classes mais baixas, em virtude de que nos fins de semana </w:t>
      </w:r>
      <w:proofErr w:type="gramStart"/>
      <w:r w:rsidRPr="005F4E77">
        <w:rPr>
          <w:sz w:val="24"/>
          <w:szCs w:val="24"/>
          <w:shd w:val="clear" w:color="auto" w:fill="FFFFFF"/>
        </w:rPr>
        <w:t>haviam</w:t>
      </w:r>
      <w:proofErr w:type="gramEnd"/>
      <w:r w:rsidRPr="005F4E77">
        <w:rPr>
          <w:sz w:val="24"/>
          <w:szCs w:val="24"/>
          <w:shd w:val="clear" w:color="auto" w:fill="FFFFFF"/>
        </w:rPr>
        <w:t xml:space="preserve"> reuniões de proletariados e estudantes para jogar futebol.</w:t>
      </w:r>
    </w:p>
    <w:p w:rsidR="005F4E77" w:rsidRPr="005F4E77" w:rsidRDefault="005F4E77" w:rsidP="005F4E77">
      <w:pPr>
        <w:ind w:firstLine="709"/>
        <w:jc w:val="both"/>
        <w:rPr>
          <w:sz w:val="24"/>
          <w:szCs w:val="24"/>
          <w:shd w:val="clear" w:color="auto" w:fill="FFFFFF"/>
        </w:rPr>
      </w:pPr>
      <w:r w:rsidRPr="005F4E77">
        <w:rPr>
          <w:sz w:val="24"/>
          <w:szCs w:val="24"/>
          <w:shd w:val="clear" w:color="auto" w:fill="FFFFFF"/>
        </w:rPr>
        <w:t xml:space="preserve">Com o passar dos anos o futebol deixou de ser apenas um </w:t>
      </w:r>
      <w:r w:rsidRPr="005F4E77">
        <w:rPr>
          <w:i/>
          <w:sz w:val="24"/>
          <w:szCs w:val="24"/>
          <w:shd w:val="clear" w:color="auto" w:fill="FFFFFF"/>
        </w:rPr>
        <w:t>hobby</w:t>
      </w:r>
      <w:r w:rsidRPr="005F4E77">
        <w:rPr>
          <w:sz w:val="24"/>
          <w:szCs w:val="24"/>
          <w:shd w:val="clear" w:color="auto" w:fill="FFFFFF"/>
        </w:rPr>
        <w:t xml:space="preserve"> para virar um negócio profissionalizado. Os clubes começaram a cobrar a entrada dos jogos, o comércio de produtos licenciados e o </w:t>
      </w:r>
      <w:r w:rsidRPr="005F4E77">
        <w:rPr>
          <w:i/>
          <w:sz w:val="24"/>
          <w:szCs w:val="24"/>
          <w:shd w:val="clear" w:color="auto" w:fill="FFFFFF"/>
        </w:rPr>
        <w:t>marketing</w:t>
      </w:r>
      <w:r w:rsidRPr="005F4E77">
        <w:rPr>
          <w:sz w:val="24"/>
          <w:szCs w:val="24"/>
          <w:shd w:val="clear" w:color="auto" w:fill="FFFFFF"/>
        </w:rPr>
        <w:t xml:space="preserve"> também cooperaram para a arrecadação de receitas (Costa &amp; Silva, 2006).</w:t>
      </w:r>
    </w:p>
    <w:p w:rsidR="005F4E77" w:rsidRPr="005F4E77" w:rsidRDefault="005F4E77" w:rsidP="005F4E77">
      <w:pPr>
        <w:ind w:firstLine="709"/>
        <w:jc w:val="both"/>
        <w:rPr>
          <w:sz w:val="24"/>
          <w:szCs w:val="24"/>
          <w:shd w:val="clear" w:color="auto" w:fill="FFFFFF"/>
        </w:rPr>
      </w:pPr>
      <w:r w:rsidRPr="005F4E77">
        <w:rPr>
          <w:sz w:val="24"/>
          <w:szCs w:val="24"/>
          <w:shd w:val="clear" w:color="auto" w:fill="FFFFFF"/>
        </w:rPr>
        <w:lastRenderedPageBreak/>
        <w:t>Costa e Silva (2006), Cordeiro (2014) e Frey e Zaia (2014), explicam que conforme as receitas dos clubes de futebol foram aumentando, principalmente devido a grande quantia em dinheiro envolvida na venda de jogadores, foi criada em 1998 a Lei Pelé (Lei nº 9.615/98) com a finalidade de dar maior transparência a essas negociações, inclusive no que compete a prestação de contas.</w:t>
      </w:r>
    </w:p>
    <w:p w:rsidR="005F4E77" w:rsidRPr="005F4E77" w:rsidRDefault="005F4E77" w:rsidP="005F4E77">
      <w:pPr>
        <w:ind w:firstLine="709"/>
        <w:jc w:val="both"/>
        <w:rPr>
          <w:sz w:val="24"/>
          <w:szCs w:val="24"/>
          <w:shd w:val="clear" w:color="auto" w:fill="FFFFFF"/>
        </w:rPr>
      </w:pPr>
      <w:r w:rsidRPr="005F4E77">
        <w:rPr>
          <w:sz w:val="24"/>
          <w:szCs w:val="24"/>
        </w:rPr>
        <w:t xml:space="preserve">Já versando sobre os aspectos contábeis específicos em entidades desportivas profissionais, o </w:t>
      </w:r>
      <w:r w:rsidRPr="005F4E77">
        <w:rPr>
          <w:sz w:val="24"/>
          <w:szCs w:val="24"/>
          <w:shd w:val="clear" w:color="auto" w:fill="FFFFFF"/>
        </w:rPr>
        <w:t>Conselho Federal de Contabilidade</w:t>
      </w:r>
      <w:r w:rsidRPr="005F4E77">
        <w:rPr>
          <w:sz w:val="24"/>
          <w:szCs w:val="24"/>
        </w:rPr>
        <w:t xml:space="preserve"> (CFC) por meio da </w:t>
      </w:r>
      <w:r w:rsidRPr="005F4E77">
        <w:rPr>
          <w:sz w:val="24"/>
          <w:szCs w:val="24"/>
          <w:shd w:val="clear" w:color="auto" w:fill="FFFFFF"/>
        </w:rPr>
        <w:t xml:space="preserve">Resolução nº </w:t>
      </w:r>
      <w:r w:rsidRPr="005F4E77">
        <w:rPr>
          <w:sz w:val="24"/>
          <w:szCs w:val="24"/>
        </w:rPr>
        <w:t>1.005 de 2004, aprovou a norma brasileira</w:t>
      </w:r>
      <w:r w:rsidRPr="005F4E77">
        <w:rPr>
          <w:sz w:val="24"/>
          <w:szCs w:val="24"/>
          <w:shd w:val="clear" w:color="auto" w:fill="FFFFFF"/>
        </w:rPr>
        <w:t xml:space="preserve"> NBC T 10.13. </w:t>
      </w:r>
      <w:r w:rsidRPr="005F4E77">
        <w:rPr>
          <w:sz w:val="24"/>
          <w:szCs w:val="24"/>
        </w:rPr>
        <w:t>Essa norma trouxe grandes mudanças nas Demonstrações Contábeis, trazendo novos critérios a fim de padronizar os registros contábeis de entidades desportivas, mudando assim sua evidenciação.</w:t>
      </w:r>
    </w:p>
    <w:p w:rsidR="005F4E77" w:rsidRPr="005F4E77" w:rsidRDefault="005F4E77" w:rsidP="005F4E77">
      <w:pPr>
        <w:ind w:firstLine="709"/>
        <w:jc w:val="both"/>
        <w:rPr>
          <w:sz w:val="24"/>
          <w:szCs w:val="24"/>
        </w:rPr>
      </w:pPr>
      <w:r w:rsidRPr="005F4E77">
        <w:rPr>
          <w:sz w:val="24"/>
          <w:szCs w:val="24"/>
          <w:shd w:val="clear" w:color="auto" w:fill="FFFFFF"/>
        </w:rPr>
        <w:t xml:space="preserve">Porém a NBC T 10.13 foi </w:t>
      </w:r>
      <w:proofErr w:type="gramStart"/>
      <w:r w:rsidRPr="005F4E77">
        <w:rPr>
          <w:sz w:val="24"/>
          <w:szCs w:val="24"/>
          <w:shd w:val="clear" w:color="auto" w:fill="FFFFFF"/>
        </w:rPr>
        <w:t>revogada</w:t>
      </w:r>
      <w:proofErr w:type="gramEnd"/>
      <w:r w:rsidRPr="005F4E77">
        <w:rPr>
          <w:sz w:val="24"/>
          <w:szCs w:val="24"/>
          <w:shd w:val="clear" w:color="auto" w:fill="FFFFFF"/>
        </w:rPr>
        <w:t xml:space="preserve"> pela Resolução CFC nº 1.429 de 2013 (atualizada em 2017), criando a Interpretação Técnica Geral 2003 R1 (ITG 2003), que trata de Contabilidade de Entidades Desportivas Profissionais, trazendo mudanças significativas</w:t>
      </w:r>
      <w:r w:rsidRPr="005F4E77">
        <w:rPr>
          <w:sz w:val="24"/>
          <w:szCs w:val="24"/>
        </w:rPr>
        <w:t xml:space="preserve">, principalmente no que diz respeito ao ativo intangível. Além de </w:t>
      </w:r>
      <w:r w:rsidRPr="005F4E77">
        <w:rPr>
          <w:sz w:val="24"/>
          <w:szCs w:val="24"/>
          <w:shd w:val="clear" w:color="auto" w:fill="FFFFFF"/>
        </w:rPr>
        <w:t xml:space="preserve">tornar obrigatória à divulgação das seguintes Demonstrações Contábeis: Balanço Patrimonial (BP), </w:t>
      </w:r>
      <w:r w:rsidRPr="005F4E77">
        <w:rPr>
          <w:sz w:val="24"/>
          <w:szCs w:val="24"/>
        </w:rPr>
        <w:t>Demonstração do Resultado do Exercício (DRE), Demonstração do Resultado Abrangente (DRA), Demonstração das Mutações do Patrimônio Líquido (DMPL), Demonstração dos Fluxos de Caixa (DFC) e Notas Explicativas (NE).</w:t>
      </w:r>
    </w:p>
    <w:p w:rsidR="00976A7C" w:rsidRDefault="005F4E77" w:rsidP="00976A7C">
      <w:pPr>
        <w:ind w:firstLine="709"/>
        <w:jc w:val="both"/>
        <w:rPr>
          <w:sz w:val="24"/>
          <w:szCs w:val="24"/>
          <w:shd w:val="clear" w:color="auto" w:fill="FFFFFF"/>
        </w:rPr>
      </w:pPr>
      <w:r w:rsidRPr="005F4E77">
        <w:rPr>
          <w:sz w:val="24"/>
          <w:szCs w:val="24"/>
          <w:shd w:val="clear" w:color="auto" w:fill="FFFFFF"/>
        </w:rPr>
        <w:t>P</w:t>
      </w:r>
      <w:r w:rsidR="00976A7C">
        <w:rPr>
          <w:sz w:val="24"/>
          <w:szCs w:val="24"/>
          <w:shd w:val="clear" w:color="auto" w:fill="FFFFFF"/>
        </w:rPr>
        <w:t>ara Machado e Nunes (2006</w:t>
      </w:r>
      <w:r w:rsidR="00976A7C" w:rsidRPr="00976A7C">
        <w:rPr>
          <w:sz w:val="24"/>
          <w:szCs w:val="24"/>
          <w:shd w:val="clear" w:color="auto" w:fill="FFFFFF"/>
        </w:rPr>
        <w:t xml:space="preserve">) </w:t>
      </w:r>
      <w:r w:rsidR="00976A7C">
        <w:rPr>
          <w:sz w:val="24"/>
          <w:szCs w:val="24"/>
          <w:shd w:val="clear" w:color="auto" w:fill="FFFFFF"/>
        </w:rPr>
        <w:t>a evidenciação demonstra a situação econômico-financeira de uma empresa proveniente dos registros contábeis, seja por meio das demonstrações obrigatórias, seja por outros relatórios emitidos pela contabilidade.</w:t>
      </w:r>
    </w:p>
    <w:p w:rsidR="005F4E77" w:rsidRPr="005F4E77" w:rsidRDefault="0B4C22A7" w:rsidP="0B4C22A7">
      <w:pPr>
        <w:ind w:firstLine="709"/>
        <w:jc w:val="both"/>
        <w:rPr>
          <w:sz w:val="24"/>
          <w:szCs w:val="24"/>
        </w:rPr>
      </w:pPr>
      <w:r w:rsidRPr="0B4C22A7">
        <w:rPr>
          <w:sz w:val="24"/>
          <w:szCs w:val="24"/>
        </w:rPr>
        <w:t>Conforme Bastos, Pereira e Tostes (2007), o ativo intangível de um clube de futebol em sua maioria, são as habilidades do atleta, além do uso de sua imagem. Com o crescimento dos direitos de imagem e valores dos passes, o intangível passou a ter uma atenção especial. E nessa perspectiv</w:t>
      </w:r>
      <w:r w:rsidR="000E09B2">
        <w:rPr>
          <w:sz w:val="24"/>
          <w:szCs w:val="24"/>
        </w:rPr>
        <w:t>a,</w:t>
      </w:r>
      <w:r w:rsidRPr="0B4C22A7">
        <w:rPr>
          <w:sz w:val="24"/>
          <w:szCs w:val="24"/>
        </w:rPr>
        <w:t xml:space="preserve"> sua adequada evidenciação também ganha relevância.</w:t>
      </w:r>
    </w:p>
    <w:p w:rsidR="005F4E77" w:rsidRPr="005F4E77" w:rsidRDefault="0B4C22A7" w:rsidP="0B4C22A7">
      <w:pPr>
        <w:ind w:firstLine="709"/>
        <w:jc w:val="both"/>
        <w:rPr>
          <w:sz w:val="24"/>
          <w:szCs w:val="24"/>
        </w:rPr>
      </w:pPr>
      <w:r w:rsidRPr="0B4C22A7">
        <w:rPr>
          <w:sz w:val="24"/>
          <w:szCs w:val="24"/>
        </w:rPr>
        <w:t>Dadas às mudanças ocorridas na legislação brasileira que trata dos times de futebol e a relevância da evidenciação dos intangíveis neste contexto, elaborou-se a seguinte pergunta de pesquisa: Qual a associação entre o nível de evidenciação dos ativos intangíveis e o desempenho econômico</w:t>
      </w:r>
      <w:r w:rsidR="000E09B2">
        <w:rPr>
          <w:sz w:val="24"/>
          <w:szCs w:val="24"/>
        </w:rPr>
        <w:t>-</w:t>
      </w:r>
      <w:r w:rsidRPr="0B4C22A7">
        <w:rPr>
          <w:sz w:val="24"/>
          <w:szCs w:val="24"/>
        </w:rPr>
        <w:t xml:space="preserve">financeiro dos clubes de futebol brasileiros? O objetivo desta pesquisa é verificar a associação entre o nível de evidenciação dos ativos intangíveis e o desempenho econômico financeiro dos clubes de futebol brasileiros. </w:t>
      </w:r>
    </w:p>
    <w:p w:rsidR="005F4E77" w:rsidRPr="005F4E77" w:rsidRDefault="0B4C22A7" w:rsidP="0B4C22A7">
      <w:pPr>
        <w:ind w:firstLine="709"/>
        <w:jc w:val="both"/>
        <w:rPr>
          <w:sz w:val="24"/>
          <w:szCs w:val="24"/>
        </w:rPr>
      </w:pPr>
      <w:r w:rsidRPr="0B4C22A7">
        <w:rPr>
          <w:sz w:val="24"/>
          <w:szCs w:val="24"/>
        </w:rPr>
        <w:t xml:space="preserve">Tanto </w:t>
      </w:r>
      <w:proofErr w:type="gramStart"/>
      <w:r w:rsidRPr="0B4C22A7">
        <w:rPr>
          <w:sz w:val="24"/>
          <w:szCs w:val="24"/>
        </w:rPr>
        <w:t xml:space="preserve">o futebol como a contabilidade de um </w:t>
      </w:r>
      <w:r w:rsidRPr="000E09B2">
        <w:rPr>
          <w:sz w:val="24"/>
          <w:szCs w:val="24"/>
        </w:rPr>
        <w:t>clube evoluíram</w:t>
      </w:r>
      <w:proofErr w:type="gramEnd"/>
      <w:r w:rsidRPr="0B4C22A7">
        <w:rPr>
          <w:sz w:val="24"/>
          <w:szCs w:val="24"/>
        </w:rPr>
        <w:t xml:space="preserve"> desde o seu surgimento. Deste modo, é de grande relevância que a mensuração seja realizada de forma correta, bem como a divulgação das informações para os usuários externos seja realizada de maneira adequada e completa, principalmente a partir de 2013 que a padronização das demonstrações contábeis foi abrangida pela ITG 2003 R1. </w:t>
      </w:r>
      <w:r w:rsidR="00976A7C">
        <w:rPr>
          <w:sz w:val="24"/>
          <w:szCs w:val="24"/>
        </w:rPr>
        <w:t xml:space="preserve">Além do mais, os atletas são registrados no intangível dos clubes de futebol, de forma que essa rubrica passa a ter importância. </w:t>
      </w:r>
      <w:r w:rsidR="000E09B2">
        <w:rPr>
          <w:sz w:val="24"/>
          <w:szCs w:val="24"/>
        </w:rPr>
        <w:t>D</w:t>
      </w:r>
      <w:r w:rsidRPr="0B4C22A7">
        <w:rPr>
          <w:sz w:val="24"/>
          <w:szCs w:val="24"/>
        </w:rPr>
        <w:t>estarte, o presente estudo servirá como base para futuras pesquisas na área de contabilidade desportiva.</w:t>
      </w:r>
    </w:p>
    <w:p w:rsidR="005F4E77" w:rsidRPr="005F4E77" w:rsidRDefault="005F4E77" w:rsidP="005F4E77">
      <w:pPr>
        <w:jc w:val="both"/>
        <w:rPr>
          <w:sz w:val="24"/>
          <w:szCs w:val="24"/>
        </w:rPr>
      </w:pPr>
    </w:p>
    <w:p w:rsidR="005F4E77" w:rsidRPr="005F4E77" w:rsidRDefault="005F4E77" w:rsidP="005F4E77">
      <w:pPr>
        <w:jc w:val="both"/>
        <w:rPr>
          <w:b/>
          <w:sz w:val="24"/>
          <w:szCs w:val="24"/>
        </w:rPr>
      </w:pPr>
      <w:proofErr w:type="gramStart"/>
      <w:r w:rsidRPr="005F4E77">
        <w:rPr>
          <w:b/>
          <w:sz w:val="24"/>
          <w:szCs w:val="24"/>
        </w:rPr>
        <w:t>2</w:t>
      </w:r>
      <w:proofErr w:type="gramEnd"/>
      <w:r w:rsidRPr="005F4E77">
        <w:rPr>
          <w:b/>
          <w:sz w:val="24"/>
          <w:szCs w:val="24"/>
        </w:rPr>
        <w:t xml:space="preserve"> REFERENCIAL TEÓRICO </w:t>
      </w:r>
    </w:p>
    <w:p w:rsidR="005F4E77" w:rsidRPr="005F4E77" w:rsidRDefault="005F4E77" w:rsidP="005F4E77">
      <w:pPr>
        <w:jc w:val="both"/>
        <w:rPr>
          <w:rStyle w:val="apple-converted-space"/>
          <w:b/>
          <w:sz w:val="24"/>
          <w:szCs w:val="24"/>
          <w:shd w:val="clear" w:color="auto" w:fill="FFFFFF"/>
        </w:rPr>
      </w:pPr>
      <w:proofErr w:type="gramStart"/>
      <w:r w:rsidRPr="005F4E77">
        <w:rPr>
          <w:rStyle w:val="apple-converted-space"/>
          <w:b/>
          <w:sz w:val="24"/>
          <w:szCs w:val="24"/>
          <w:shd w:val="clear" w:color="auto" w:fill="FFFFFF"/>
        </w:rPr>
        <w:t>2.1 Ativo</w:t>
      </w:r>
      <w:proofErr w:type="gramEnd"/>
      <w:r w:rsidRPr="005F4E77">
        <w:rPr>
          <w:rStyle w:val="apple-converted-space"/>
          <w:b/>
          <w:sz w:val="24"/>
          <w:szCs w:val="24"/>
          <w:shd w:val="clear" w:color="auto" w:fill="FFFFFF"/>
        </w:rPr>
        <w:t xml:space="preserve"> Intangível</w:t>
      </w:r>
    </w:p>
    <w:p w:rsidR="005F4E77" w:rsidRPr="005F4E77" w:rsidRDefault="005F4E77" w:rsidP="005F4E77">
      <w:pPr>
        <w:ind w:firstLine="709"/>
        <w:jc w:val="both"/>
        <w:rPr>
          <w:sz w:val="24"/>
          <w:szCs w:val="24"/>
        </w:rPr>
      </w:pPr>
      <w:r w:rsidRPr="005F4E77">
        <w:rPr>
          <w:sz w:val="24"/>
          <w:szCs w:val="24"/>
        </w:rPr>
        <w:t xml:space="preserve">Para Iudícibus (2009), ativos são recursos controlados pela entidade e desse controle espera-se benefícios econômicos futuros. Segundo o CPC 00 R1 (2011) - Estrutura Conceitual para Elaboração e Divulgação de Relatório Contábil - Financeiro, ativo é um recurso </w:t>
      </w:r>
      <w:r w:rsidRPr="005F4E77">
        <w:rPr>
          <w:sz w:val="24"/>
          <w:szCs w:val="24"/>
        </w:rPr>
        <w:lastRenderedPageBreak/>
        <w:t>controlado pela entidade como resultado de eventos passados e do qual se espera que fluam futuros benefícios econômicos para a entidade.</w:t>
      </w:r>
    </w:p>
    <w:p w:rsidR="005F4E77" w:rsidRPr="005F4E77" w:rsidRDefault="005F4E77" w:rsidP="005F4E77">
      <w:pPr>
        <w:ind w:firstLine="709"/>
        <w:jc w:val="both"/>
        <w:rPr>
          <w:sz w:val="24"/>
          <w:szCs w:val="24"/>
        </w:rPr>
      </w:pPr>
      <w:r w:rsidRPr="005F4E77">
        <w:rPr>
          <w:sz w:val="24"/>
          <w:szCs w:val="24"/>
        </w:rPr>
        <w:t>Um ativo pode ser tanto tangível como intangível. O tangível é quando o bem ou direito pode ser facilmente identificado e contabilmente separado (Iudícibus, 2009).</w:t>
      </w:r>
    </w:p>
    <w:p w:rsidR="005F4E77" w:rsidRPr="005F4E77" w:rsidRDefault="005F4E77" w:rsidP="005F4E77">
      <w:pPr>
        <w:pStyle w:val="Default"/>
        <w:ind w:firstLine="709"/>
        <w:jc w:val="both"/>
        <w:rPr>
          <w:color w:val="auto"/>
        </w:rPr>
      </w:pPr>
      <w:r w:rsidRPr="005F4E77">
        <w:rPr>
          <w:color w:val="auto"/>
        </w:rPr>
        <w:t>O ativo intangível, conforme o CPC 04 R1 – Ativo Intangível (2010)</w:t>
      </w:r>
      <w:proofErr w:type="gramStart"/>
      <w:r w:rsidRPr="005F4E77">
        <w:rPr>
          <w:color w:val="auto"/>
        </w:rPr>
        <w:t>, é</w:t>
      </w:r>
      <w:proofErr w:type="gramEnd"/>
      <w:r w:rsidRPr="005F4E77">
        <w:rPr>
          <w:color w:val="auto"/>
        </w:rPr>
        <w:t xml:space="preserve"> um ativo não monetário identificável sem substância física. A identificação é feita de forma que seja necessário que o ativo possa ser separável da sua entidade. O critério de separabilidade é atendido quando o intangível pode ser transferido para outra entidade por meio de venda, aluguel, troca e etc., independente da intenção de uso. Ou nos casos em que ele resultar em direitos contratuais ou legais independente de tais direitos serem transferíveis.</w:t>
      </w:r>
    </w:p>
    <w:p w:rsidR="005F4E77" w:rsidRPr="005F4E77" w:rsidRDefault="005F4E77" w:rsidP="005F4E77">
      <w:pPr>
        <w:ind w:firstLine="709"/>
        <w:jc w:val="both"/>
        <w:rPr>
          <w:sz w:val="24"/>
          <w:szCs w:val="24"/>
        </w:rPr>
      </w:pPr>
      <w:r w:rsidRPr="005F4E77">
        <w:rPr>
          <w:sz w:val="24"/>
          <w:szCs w:val="24"/>
        </w:rPr>
        <w:t>Os critérios para reconhecimento são: a capacidade de proporcionar benefícios econômicos futuros que serão gerados em favor da entidade e o custo desse ativo puder ser reconhecido com confiabilidade (CPC 04 R1, 2010).</w:t>
      </w:r>
    </w:p>
    <w:p w:rsidR="005F4E77" w:rsidRPr="005F4E77" w:rsidRDefault="005F4E77" w:rsidP="005F4E77">
      <w:pPr>
        <w:ind w:firstLine="709"/>
        <w:jc w:val="both"/>
        <w:rPr>
          <w:sz w:val="24"/>
          <w:szCs w:val="24"/>
        </w:rPr>
      </w:pPr>
      <w:r w:rsidRPr="005F4E77">
        <w:rPr>
          <w:sz w:val="24"/>
          <w:szCs w:val="24"/>
        </w:rPr>
        <w:t xml:space="preserve">Para um clube de futebol, como citado anteriormente na perspectiva de Bastos </w:t>
      </w:r>
      <w:proofErr w:type="gramStart"/>
      <w:r w:rsidRPr="005F4E77">
        <w:rPr>
          <w:sz w:val="24"/>
          <w:szCs w:val="24"/>
        </w:rPr>
        <w:t>et</w:t>
      </w:r>
      <w:proofErr w:type="gramEnd"/>
      <w:r w:rsidRPr="005F4E77">
        <w:rPr>
          <w:sz w:val="24"/>
          <w:szCs w:val="24"/>
        </w:rPr>
        <w:t xml:space="preserve"> al. (2007), o atleta ao prestar o serviço para o clube de futebol acaba colocando a disposição do clube suas habilidades do esporte, bem como sua imagem. O direito de imagem também faz parte do contrato firmado entre atleta e clube.</w:t>
      </w:r>
    </w:p>
    <w:p w:rsidR="005F4E77" w:rsidRPr="005F4E77" w:rsidRDefault="005F4E77" w:rsidP="005F4E77">
      <w:pPr>
        <w:ind w:firstLine="709"/>
        <w:jc w:val="both"/>
        <w:rPr>
          <w:sz w:val="24"/>
          <w:szCs w:val="24"/>
        </w:rPr>
      </w:pPr>
      <w:r w:rsidRPr="005F4E77">
        <w:rPr>
          <w:sz w:val="24"/>
          <w:szCs w:val="24"/>
        </w:rPr>
        <w:t>Segundo Cruz, Santos e Azevedo (2010), quando o desempenho do grupo de atletas for bom, gera para a instituição benefícios, como por exemplo, o aumento da bilheteria e publicidade. Atendendo assim o quesito de ativo.</w:t>
      </w:r>
    </w:p>
    <w:p w:rsidR="005F4E77" w:rsidRPr="005F4E77" w:rsidRDefault="005F4E77" w:rsidP="005F4E77">
      <w:pPr>
        <w:ind w:firstLine="709"/>
        <w:jc w:val="both"/>
        <w:rPr>
          <w:sz w:val="24"/>
          <w:szCs w:val="24"/>
        </w:rPr>
      </w:pPr>
      <w:r w:rsidRPr="005F4E77">
        <w:rPr>
          <w:sz w:val="24"/>
          <w:szCs w:val="24"/>
        </w:rPr>
        <w:t>Sendo assim, tanto o direito de imagem como as habilidades do atleta são bens intangíveis, visto que não possui existência física e ambos são capazes de trazer benefícios futuros.</w:t>
      </w:r>
    </w:p>
    <w:p w:rsidR="005F4E77" w:rsidRPr="005F4E77" w:rsidRDefault="005F4E77" w:rsidP="005F4E77">
      <w:pPr>
        <w:ind w:firstLine="709"/>
        <w:jc w:val="both"/>
        <w:rPr>
          <w:sz w:val="24"/>
          <w:szCs w:val="24"/>
        </w:rPr>
      </w:pPr>
      <w:r w:rsidRPr="005F4E77">
        <w:rPr>
          <w:sz w:val="24"/>
          <w:szCs w:val="24"/>
        </w:rPr>
        <w:t>Um clube ao firmar o contrato com um jogador detém do seu direito desportivo, que Nadal (2008) define como “aquele que nasce de um acordo entre uma entidade desportiva e um desportista e que faculta a primeira a inscrição do segundo numa competição em nome e representação da entidade”.</w:t>
      </w:r>
    </w:p>
    <w:p w:rsidR="005F4E77" w:rsidRPr="005F4E77" w:rsidRDefault="005F4E77" w:rsidP="005F4E77">
      <w:pPr>
        <w:ind w:firstLine="709"/>
        <w:jc w:val="both"/>
        <w:rPr>
          <w:sz w:val="24"/>
          <w:szCs w:val="24"/>
        </w:rPr>
      </w:pPr>
      <w:r w:rsidRPr="005F4E77">
        <w:rPr>
          <w:sz w:val="24"/>
          <w:szCs w:val="24"/>
        </w:rPr>
        <w:t>Ressalta-se que o direito desportivo é diferente do direito econômico, visto que o primeiro necessita do consentimento do atleta, já no segundo o detentor do direito pode realizar operações de venda sem o consentimento do jogador (Nadal, 2008).</w:t>
      </w:r>
    </w:p>
    <w:p w:rsidR="005F4E77" w:rsidRPr="005F4E77" w:rsidRDefault="005F4E77" w:rsidP="005F4E77">
      <w:pPr>
        <w:ind w:firstLine="709"/>
        <w:jc w:val="both"/>
        <w:rPr>
          <w:sz w:val="24"/>
          <w:szCs w:val="24"/>
        </w:rPr>
      </w:pPr>
      <w:r w:rsidRPr="005F4E77">
        <w:rPr>
          <w:sz w:val="24"/>
          <w:szCs w:val="24"/>
        </w:rPr>
        <w:t>Sendo assim, um clube precisa evidenciar o tanto de informações quanto for preciso, pois conforme Iudícibus (2009) a forma de evidenciar deve ser ordenada e a mais completa possível proporcionando a informação adequada para o usuário.</w:t>
      </w:r>
    </w:p>
    <w:p w:rsidR="005F4E77" w:rsidRPr="005F4E77" w:rsidRDefault="005F4E77" w:rsidP="005F4E77">
      <w:pPr>
        <w:jc w:val="both"/>
        <w:rPr>
          <w:b/>
          <w:sz w:val="24"/>
          <w:szCs w:val="24"/>
        </w:rPr>
      </w:pPr>
      <w:proofErr w:type="gramStart"/>
      <w:r w:rsidRPr="005F4E77">
        <w:rPr>
          <w:b/>
          <w:sz w:val="24"/>
          <w:szCs w:val="24"/>
        </w:rPr>
        <w:t>2.2 Norma</w:t>
      </w:r>
      <w:proofErr w:type="gramEnd"/>
      <w:r w:rsidRPr="005F4E77">
        <w:rPr>
          <w:b/>
          <w:sz w:val="24"/>
          <w:szCs w:val="24"/>
        </w:rPr>
        <w:t xml:space="preserve"> Vigente para os Clubes de Futebol</w:t>
      </w:r>
    </w:p>
    <w:p w:rsidR="005F4E77" w:rsidRPr="00006992" w:rsidRDefault="005F4E77" w:rsidP="005F4E77">
      <w:pPr>
        <w:ind w:firstLine="709"/>
        <w:jc w:val="both"/>
        <w:rPr>
          <w:sz w:val="24"/>
          <w:szCs w:val="24"/>
        </w:rPr>
      </w:pPr>
      <w:r w:rsidRPr="00006992">
        <w:rPr>
          <w:sz w:val="24"/>
          <w:szCs w:val="24"/>
        </w:rPr>
        <w:t>Os direitos sobre os atletas eram determinados pela Lei nº 8.672/1993, conhecida como a Lei Zico,</w:t>
      </w:r>
      <w:r w:rsidR="00006992" w:rsidRPr="00006992">
        <w:rPr>
          <w:sz w:val="24"/>
          <w:szCs w:val="24"/>
        </w:rPr>
        <w:t xml:space="preserve"> na qual o Estado passou a interferir nos clubes de futebol,</w:t>
      </w:r>
      <w:r w:rsidRPr="00006992">
        <w:rPr>
          <w:sz w:val="24"/>
          <w:szCs w:val="24"/>
        </w:rPr>
        <w:t xml:space="preserve"> porém foi revogada em </w:t>
      </w:r>
      <w:proofErr w:type="gramStart"/>
      <w:r w:rsidRPr="00006992">
        <w:rPr>
          <w:sz w:val="24"/>
          <w:szCs w:val="24"/>
        </w:rPr>
        <w:t>1998 pela Lei nº</w:t>
      </w:r>
      <w:proofErr w:type="gramEnd"/>
      <w:r w:rsidRPr="00006992">
        <w:rPr>
          <w:sz w:val="24"/>
          <w:szCs w:val="24"/>
        </w:rPr>
        <w:t xml:space="preserve"> 9.615 (alterada pela Lei nº 10.672/2003 e pela Lei nº 12.395/2011), conhec</w:t>
      </w:r>
      <w:r w:rsidR="00006992" w:rsidRPr="00006992">
        <w:rPr>
          <w:sz w:val="24"/>
          <w:szCs w:val="24"/>
        </w:rPr>
        <w:t xml:space="preserve">ida como a Lei Pelé, que </w:t>
      </w:r>
      <w:r w:rsidRPr="00006992">
        <w:rPr>
          <w:sz w:val="24"/>
          <w:szCs w:val="24"/>
        </w:rPr>
        <w:t xml:space="preserve">trouxe a extinção do </w:t>
      </w:r>
      <w:r w:rsidR="00006992" w:rsidRPr="00006992">
        <w:rPr>
          <w:sz w:val="24"/>
          <w:szCs w:val="24"/>
        </w:rPr>
        <w:t>passe do atleta nas negociações e a possibilidade de um clube se tornar um “clube-empresa”.</w:t>
      </w:r>
    </w:p>
    <w:p w:rsidR="005F4E77" w:rsidRPr="00006992" w:rsidRDefault="005F4E77" w:rsidP="005F4E77">
      <w:pPr>
        <w:ind w:firstLine="709"/>
        <w:jc w:val="both"/>
        <w:rPr>
          <w:sz w:val="24"/>
          <w:szCs w:val="24"/>
        </w:rPr>
      </w:pPr>
      <w:r w:rsidRPr="00006992">
        <w:rPr>
          <w:sz w:val="24"/>
          <w:szCs w:val="24"/>
        </w:rPr>
        <w:t xml:space="preserve">Em junho de 2002 foi promulgada a Medida Provisória nº 39, posteriormente convertida na Lei nº 10.672/2003, na qual torna obrigatória a elaboração e publicação das demonstrações contábeis e assinalava que as demonstrações deveriam ser averiguadas por auditores independentes (Holanda </w:t>
      </w:r>
      <w:proofErr w:type="gramStart"/>
      <w:r w:rsidRPr="00006992">
        <w:rPr>
          <w:sz w:val="24"/>
          <w:szCs w:val="24"/>
        </w:rPr>
        <w:t>et</w:t>
      </w:r>
      <w:proofErr w:type="gramEnd"/>
      <w:r w:rsidRPr="00006992">
        <w:rPr>
          <w:sz w:val="24"/>
          <w:szCs w:val="24"/>
        </w:rPr>
        <w:t xml:space="preserve"> al., 2012 e Bastos et al., 2007).</w:t>
      </w:r>
    </w:p>
    <w:p w:rsidR="005F4E77" w:rsidRPr="00006992" w:rsidRDefault="005F4E77" w:rsidP="005F4E77">
      <w:pPr>
        <w:ind w:firstLine="709"/>
        <w:jc w:val="both"/>
        <w:rPr>
          <w:sz w:val="24"/>
          <w:szCs w:val="24"/>
        </w:rPr>
      </w:pPr>
      <w:r w:rsidRPr="00006992">
        <w:rPr>
          <w:sz w:val="24"/>
          <w:szCs w:val="24"/>
        </w:rPr>
        <w:t xml:space="preserve">Devido à falta de padrão entre as demonstrações dos clubes de futebol, em 2005 entrou em vigor a NBC T 10.13, suprindo assim a falta de critérios na evidenciação contábil. </w:t>
      </w:r>
      <w:r w:rsidRPr="00006992">
        <w:rPr>
          <w:sz w:val="24"/>
          <w:szCs w:val="24"/>
        </w:rPr>
        <w:lastRenderedPageBreak/>
        <w:t xml:space="preserve">Rezende, Salgado, Ribeiro e </w:t>
      </w:r>
      <w:proofErr w:type="spellStart"/>
      <w:r w:rsidRPr="00006992">
        <w:rPr>
          <w:sz w:val="24"/>
          <w:szCs w:val="24"/>
        </w:rPr>
        <w:t>Dalmacio</w:t>
      </w:r>
      <w:proofErr w:type="spellEnd"/>
      <w:r w:rsidRPr="00006992">
        <w:rPr>
          <w:sz w:val="24"/>
          <w:szCs w:val="24"/>
        </w:rPr>
        <w:t xml:space="preserve"> (2008) identificaram ao estudar 70 demonstrações contábeis de clubes brasileiros, no período de 2001 a 2007, que após a NBC T 10.13 houve uma grande aderência </w:t>
      </w:r>
      <w:proofErr w:type="gramStart"/>
      <w:r w:rsidRPr="00006992">
        <w:rPr>
          <w:sz w:val="24"/>
          <w:szCs w:val="24"/>
        </w:rPr>
        <w:t>a</w:t>
      </w:r>
      <w:proofErr w:type="gramEnd"/>
      <w:r w:rsidRPr="00006992">
        <w:rPr>
          <w:sz w:val="24"/>
          <w:szCs w:val="24"/>
        </w:rPr>
        <w:t xml:space="preserve"> norma. Porém, na análise feita por Rezende e Custódio (2012), observou-se que os clubes nacionais ainda não evidenciavam todos de forma igual, inexistindo assim uma possível comparação.</w:t>
      </w:r>
    </w:p>
    <w:p w:rsidR="005F4E77" w:rsidRPr="005F4E77" w:rsidRDefault="005F4E77" w:rsidP="005F4E77">
      <w:pPr>
        <w:ind w:firstLine="709"/>
        <w:jc w:val="both"/>
        <w:rPr>
          <w:sz w:val="24"/>
          <w:szCs w:val="24"/>
          <w:shd w:val="clear" w:color="auto" w:fill="FFFFFF"/>
        </w:rPr>
      </w:pPr>
      <w:r w:rsidRPr="005F4E77">
        <w:rPr>
          <w:sz w:val="24"/>
          <w:szCs w:val="24"/>
        </w:rPr>
        <w:t xml:space="preserve">Para ficar em conformidade com </w:t>
      </w:r>
      <w:proofErr w:type="gramStart"/>
      <w:r w:rsidRPr="005F4E77">
        <w:rPr>
          <w:sz w:val="24"/>
          <w:szCs w:val="24"/>
        </w:rPr>
        <w:t>a IAS</w:t>
      </w:r>
      <w:proofErr w:type="gramEnd"/>
      <w:r w:rsidRPr="005F4E77">
        <w:rPr>
          <w:sz w:val="24"/>
          <w:szCs w:val="24"/>
        </w:rPr>
        <w:t xml:space="preserve"> nº 38, a NBC T 10.13 foi revogada em janeiro de 2013 e passou a vigorar a </w:t>
      </w:r>
      <w:r w:rsidRPr="005F4E77">
        <w:rPr>
          <w:sz w:val="24"/>
          <w:szCs w:val="24"/>
          <w:shd w:val="clear" w:color="auto" w:fill="FFFFFF"/>
        </w:rPr>
        <w:t>Resolução CFC nº 1.429 de 2013 (ITG 2003). Estabelecendo critérios e procedimentos específicos na evidenciação contábil das entidades de futebol profissional e nas demais práticas desportivas.</w:t>
      </w:r>
    </w:p>
    <w:p w:rsidR="005F4E77" w:rsidRPr="005F4E77" w:rsidRDefault="005F4E77" w:rsidP="005F4E77">
      <w:pPr>
        <w:ind w:firstLine="709"/>
        <w:jc w:val="both"/>
        <w:rPr>
          <w:sz w:val="24"/>
          <w:szCs w:val="24"/>
        </w:rPr>
      </w:pPr>
      <w:r w:rsidRPr="005F4E77">
        <w:rPr>
          <w:sz w:val="24"/>
          <w:szCs w:val="24"/>
        </w:rPr>
        <w:t>Em relação à aprovação da ITG 2003, Frey e Zaia (2014) explicam que, no ativo intangível passou a ser contabilizado, desde que sejam esperados benefícios econômicos e os custos possam ser mensurados com confiabilidade, de acordo com os gastos com atletas em formação, a aquisição e renovação dos contratos dos atletas, incluindo suas luvas. Esses gastos deverão ser amortizados conforme o período do contrato.</w:t>
      </w:r>
    </w:p>
    <w:p w:rsidR="005F4E77" w:rsidRPr="005F4E77" w:rsidRDefault="005F4E77" w:rsidP="005F4E77">
      <w:pPr>
        <w:pStyle w:val="NormalWeb"/>
        <w:shd w:val="clear" w:color="auto" w:fill="FFFFFF"/>
        <w:spacing w:before="0" w:beforeAutospacing="0" w:after="0" w:afterAutospacing="0"/>
        <w:ind w:firstLine="709"/>
        <w:jc w:val="both"/>
        <w:rPr>
          <w:sz w:val="24"/>
          <w:szCs w:val="24"/>
        </w:rPr>
      </w:pPr>
      <w:r w:rsidRPr="005F4E77">
        <w:rPr>
          <w:sz w:val="24"/>
          <w:szCs w:val="24"/>
        </w:rPr>
        <w:t xml:space="preserve">Zanotelli, Amaral e Souza (2013) acreditam que os intangíveis não são contabilizados corretamente, que muitas entidades preferem evidenciar diretamente como despesa do período; e com a vinda da Lei 11.638/2007, os ativos incorpóreos passaram a </w:t>
      </w:r>
      <w:proofErr w:type="gramStart"/>
      <w:r w:rsidRPr="005F4E77">
        <w:rPr>
          <w:sz w:val="24"/>
          <w:szCs w:val="24"/>
        </w:rPr>
        <w:t>ser</w:t>
      </w:r>
      <w:proofErr w:type="gramEnd"/>
      <w:r w:rsidRPr="005F4E77">
        <w:rPr>
          <w:sz w:val="24"/>
          <w:szCs w:val="24"/>
        </w:rPr>
        <w:t xml:space="preserve"> evidenciados em um subgrupo específico chamado ativos intangíveis.</w:t>
      </w:r>
    </w:p>
    <w:p w:rsidR="005F4E77" w:rsidRPr="005F4E77" w:rsidRDefault="005F4E77" w:rsidP="005F4E77">
      <w:pPr>
        <w:pStyle w:val="NormalWeb"/>
        <w:shd w:val="clear" w:color="auto" w:fill="FFFFFF"/>
        <w:spacing w:before="0" w:beforeAutospacing="0" w:after="0" w:afterAutospacing="0"/>
        <w:ind w:firstLine="709"/>
        <w:jc w:val="both"/>
        <w:rPr>
          <w:sz w:val="24"/>
          <w:szCs w:val="24"/>
        </w:rPr>
      </w:pPr>
      <w:r w:rsidRPr="005F4E77">
        <w:rPr>
          <w:sz w:val="24"/>
          <w:szCs w:val="24"/>
        </w:rPr>
        <w:t>Com a ITG 2003, os atletas que antes eram evidenciados no imobilizado passaram a ser contabilizados no intangível, juntamente com informações adicionais nas notas explicativas evidenciando de forma clara e objetiva, desta maneira os clubes de futebol tiveram que reestruturar suas demonstrações para adequação à norma a partir de 2013.</w:t>
      </w:r>
    </w:p>
    <w:p w:rsidR="005F4E77" w:rsidRPr="005F4E77" w:rsidRDefault="005F4E77" w:rsidP="005F4E77">
      <w:pPr>
        <w:ind w:left="66"/>
        <w:jc w:val="both"/>
        <w:rPr>
          <w:sz w:val="24"/>
          <w:szCs w:val="24"/>
        </w:rPr>
      </w:pPr>
      <w:proofErr w:type="gramStart"/>
      <w:r w:rsidRPr="005F4E77">
        <w:rPr>
          <w:b/>
          <w:sz w:val="24"/>
          <w:szCs w:val="24"/>
        </w:rPr>
        <w:t>2.3 Evidenciação</w:t>
      </w:r>
      <w:proofErr w:type="gramEnd"/>
      <w:r w:rsidRPr="005F4E77">
        <w:rPr>
          <w:b/>
          <w:sz w:val="24"/>
          <w:szCs w:val="24"/>
        </w:rPr>
        <w:t xml:space="preserve"> Contábil</w:t>
      </w:r>
    </w:p>
    <w:p w:rsidR="005F4E77" w:rsidRPr="005F4E77" w:rsidRDefault="005F4E77" w:rsidP="005F4E77">
      <w:pPr>
        <w:ind w:firstLine="709"/>
        <w:jc w:val="both"/>
        <w:rPr>
          <w:rStyle w:val="apple-converted-space"/>
          <w:sz w:val="24"/>
          <w:szCs w:val="24"/>
          <w:shd w:val="clear" w:color="auto" w:fill="FFFFFF"/>
        </w:rPr>
      </w:pPr>
      <w:r w:rsidRPr="005F4E77">
        <w:rPr>
          <w:sz w:val="24"/>
          <w:szCs w:val="24"/>
        </w:rPr>
        <w:t xml:space="preserve">O CFC a fim de trazer maior transparência nas demonstrações contábeis vem padronizando-as com as normas do </w:t>
      </w:r>
      <w:proofErr w:type="spellStart"/>
      <w:r w:rsidRPr="005F4E77">
        <w:rPr>
          <w:i/>
          <w:sz w:val="24"/>
          <w:szCs w:val="24"/>
        </w:rPr>
        <w:t>International</w:t>
      </w:r>
      <w:proofErr w:type="spellEnd"/>
      <w:r w:rsidRPr="005F4E77">
        <w:rPr>
          <w:i/>
          <w:sz w:val="24"/>
          <w:szCs w:val="24"/>
        </w:rPr>
        <w:t xml:space="preserve"> </w:t>
      </w:r>
      <w:proofErr w:type="spellStart"/>
      <w:r w:rsidRPr="005F4E77">
        <w:rPr>
          <w:i/>
          <w:sz w:val="24"/>
          <w:szCs w:val="24"/>
        </w:rPr>
        <w:t>Accounting</w:t>
      </w:r>
      <w:proofErr w:type="spellEnd"/>
      <w:r w:rsidRPr="005F4E77">
        <w:rPr>
          <w:i/>
          <w:sz w:val="24"/>
          <w:szCs w:val="24"/>
        </w:rPr>
        <w:t xml:space="preserve"> Standards </w:t>
      </w:r>
      <w:proofErr w:type="spellStart"/>
      <w:r w:rsidRPr="005F4E77">
        <w:rPr>
          <w:i/>
          <w:sz w:val="24"/>
          <w:szCs w:val="24"/>
        </w:rPr>
        <w:t>Board</w:t>
      </w:r>
      <w:proofErr w:type="spellEnd"/>
      <w:r w:rsidRPr="005F4E77">
        <w:rPr>
          <w:sz w:val="24"/>
          <w:szCs w:val="24"/>
        </w:rPr>
        <w:t xml:space="preserve"> (IASB)</w:t>
      </w:r>
      <w:r w:rsidRPr="005F4E77">
        <w:rPr>
          <w:rStyle w:val="apple-converted-space"/>
          <w:sz w:val="24"/>
          <w:szCs w:val="24"/>
          <w:shd w:val="clear" w:color="auto" w:fill="FFFFFF"/>
        </w:rPr>
        <w:t xml:space="preserve">, trazendo assim o foco para a evidenciação, conhecido também como </w:t>
      </w:r>
      <w:r w:rsidRPr="005F4E77">
        <w:rPr>
          <w:rStyle w:val="apple-converted-space"/>
          <w:i/>
          <w:sz w:val="24"/>
          <w:szCs w:val="24"/>
          <w:shd w:val="clear" w:color="auto" w:fill="FFFFFF"/>
        </w:rPr>
        <w:t>disclosure</w:t>
      </w:r>
      <w:r w:rsidRPr="005F4E77">
        <w:rPr>
          <w:rStyle w:val="apple-converted-space"/>
          <w:sz w:val="24"/>
          <w:szCs w:val="24"/>
          <w:shd w:val="clear" w:color="auto" w:fill="FFFFFF"/>
        </w:rPr>
        <w:t>, a transparência na divulgação.</w:t>
      </w:r>
    </w:p>
    <w:p w:rsidR="005F4E77" w:rsidRPr="005F4E77" w:rsidRDefault="005F4E77" w:rsidP="005F4E77">
      <w:pPr>
        <w:ind w:firstLine="709"/>
        <w:jc w:val="both"/>
        <w:rPr>
          <w:rStyle w:val="apple-converted-space"/>
          <w:sz w:val="24"/>
          <w:szCs w:val="24"/>
          <w:shd w:val="clear" w:color="auto" w:fill="FFFFFF"/>
        </w:rPr>
      </w:pPr>
      <w:r w:rsidRPr="005F4E77">
        <w:rPr>
          <w:rStyle w:val="apple-converted-space"/>
          <w:sz w:val="24"/>
          <w:szCs w:val="24"/>
          <w:shd w:val="clear" w:color="auto" w:fill="FFFFFF"/>
        </w:rPr>
        <w:t xml:space="preserve">Para Iudícibus (2009), no Brasil a evidenciação é praticamente </w:t>
      </w:r>
      <w:proofErr w:type="gramStart"/>
      <w:r w:rsidRPr="005F4E77">
        <w:rPr>
          <w:rStyle w:val="apple-converted-space"/>
          <w:sz w:val="24"/>
          <w:szCs w:val="24"/>
          <w:shd w:val="clear" w:color="auto" w:fill="FFFFFF"/>
        </w:rPr>
        <w:t>sinônimo de notas explicativas, apesar de existirem outras formas, como</w:t>
      </w:r>
      <w:proofErr w:type="gramEnd"/>
      <w:r w:rsidRPr="005F4E77">
        <w:rPr>
          <w:rStyle w:val="apple-converted-space"/>
          <w:sz w:val="24"/>
          <w:szCs w:val="24"/>
          <w:shd w:val="clear" w:color="auto" w:fill="FFFFFF"/>
        </w:rPr>
        <w:t xml:space="preserve"> por exemplo, comentários de auditores ou quadros suplementares.</w:t>
      </w:r>
    </w:p>
    <w:p w:rsidR="005F4E77" w:rsidRPr="005F4E77" w:rsidRDefault="005F4E77" w:rsidP="005F4E77">
      <w:pPr>
        <w:ind w:firstLine="709"/>
        <w:jc w:val="both"/>
        <w:rPr>
          <w:rStyle w:val="apple-converted-space"/>
          <w:sz w:val="24"/>
          <w:szCs w:val="24"/>
          <w:shd w:val="clear" w:color="auto" w:fill="FFFFFF"/>
        </w:rPr>
      </w:pPr>
      <w:r w:rsidRPr="005F4E77">
        <w:rPr>
          <w:rStyle w:val="apple-converted-space"/>
          <w:sz w:val="24"/>
          <w:szCs w:val="24"/>
          <w:shd w:val="clear" w:color="auto" w:fill="FFFFFF"/>
        </w:rPr>
        <w:t xml:space="preserve">Hendriksen e </w:t>
      </w:r>
      <w:r w:rsidRPr="005F4E77">
        <w:rPr>
          <w:sz w:val="24"/>
          <w:szCs w:val="24"/>
          <w:shd w:val="clear" w:color="auto" w:fill="FFFFFF"/>
        </w:rPr>
        <w:t>Van Breda</w:t>
      </w:r>
      <w:r w:rsidRPr="005F4E77">
        <w:rPr>
          <w:rStyle w:val="apple-converted-space"/>
          <w:sz w:val="24"/>
          <w:szCs w:val="24"/>
          <w:shd w:val="clear" w:color="auto" w:fill="FFFFFF"/>
        </w:rPr>
        <w:t xml:space="preserve"> (2009) destacam que caso a evidenciação não seja adequada, justa e completa pode se tornar enganosa. Sendo que “a questão não é tanto o que divulgar, mas qual é a maneira mais eficiente de divulgar”.</w:t>
      </w:r>
    </w:p>
    <w:p w:rsidR="005F4E77" w:rsidRPr="005F4E77" w:rsidRDefault="005F4E77" w:rsidP="005F4E77">
      <w:pPr>
        <w:ind w:firstLine="709"/>
        <w:jc w:val="both"/>
        <w:rPr>
          <w:rStyle w:val="apple-converted-space"/>
          <w:sz w:val="24"/>
          <w:szCs w:val="24"/>
          <w:shd w:val="clear" w:color="auto" w:fill="FFFFFF"/>
        </w:rPr>
      </w:pPr>
      <w:r w:rsidRPr="005F4E77">
        <w:rPr>
          <w:rStyle w:val="apple-converted-space"/>
          <w:sz w:val="24"/>
          <w:szCs w:val="24"/>
          <w:shd w:val="clear" w:color="auto" w:fill="FFFFFF"/>
        </w:rPr>
        <w:t xml:space="preserve">Se utilizar como exemplo uma conta do ativo, Iudícibus (2009) explica que a informação precisa ser qualitativa e quantitativa ao mesmo tempo, porque quantitativa vai ser apenas o valor na demonstração contábil e esta será complementada pela evidenciação qualitativa, que irá explicar o porquê da importância daquele valor. </w:t>
      </w:r>
    </w:p>
    <w:p w:rsidR="005F4E77" w:rsidRPr="005F4E77" w:rsidRDefault="005F4E77" w:rsidP="005F4E77">
      <w:pPr>
        <w:ind w:firstLine="709"/>
        <w:jc w:val="both"/>
        <w:rPr>
          <w:rStyle w:val="apple-converted-space"/>
          <w:sz w:val="24"/>
          <w:szCs w:val="24"/>
          <w:shd w:val="clear" w:color="auto" w:fill="FFFFFF"/>
        </w:rPr>
      </w:pPr>
      <w:r w:rsidRPr="005F4E77">
        <w:rPr>
          <w:rStyle w:val="apple-converted-space"/>
          <w:sz w:val="24"/>
          <w:szCs w:val="24"/>
          <w:shd w:val="clear" w:color="auto" w:fill="FFFFFF"/>
        </w:rPr>
        <w:t xml:space="preserve">Nessa concepção, Hendriksen e </w:t>
      </w:r>
      <w:r w:rsidRPr="005F4E77">
        <w:rPr>
          <w:sz w:val="24"/>
          <w:szCs w:val="24"/>
          <w:shd w:val="clear" w:color="auto" w:fill="FFFFFF"/>
        </w:rPr>
        <w:t>Van Breda</w:t>
      </w:r>
      <w:r w:rsidRPr="005F4E77">
        <w:rPr>
          <w:rStyle w:val="apple-converted-space"/>
          <w:sz w:val="24"/>
          <w:szCs w:val="24"/>
          <w:shd w:val="clear" w:color="auto" w:fill="FFFFFF"/>
        </w:rPr>
        <w:t xml:space="preserve"> (2009) explicam que a informação tem que ser adequada para explicar o porquê do valor que foi divulgado, e é necessário que seja justa de modo que uma pessoa que não possua tanto conhecimento contábil também entenda o que a informação quer dizer e, além disso, tem que ser completa com tudo que engloba o valor, tanto as deduções como as adições para fazer sentido em como chegaram ao valor demonstrado, de modo que a evidenciação não seja inadequada.</w:t>
      </w:r>
    </w:p>
    <w:p w:rsidR="005F4E77" w:rsidRPr="005F4E77" w:rsidRDefault="005F4E77" w:rsidP="005F4E77">
      <w:pPr>
        <w:ind w:firstLine="709"/>
        <w:jc w:val="both"/>
        <w:rPr>
          <w:sz w:val="24"/>
          <w:szCs w:val="24"/>
          <w:shd w:val="clear" w:color="auto" w:fill="FFFFFF"/>
        </w:rPr>
      </w:pPr>
      <w:proofErr w:type="spellStart"/>
      <w:r w:rsidRPr="005F4E77">
        <w:rPr>
          <w:sz w:val="24"/>
          <w:szCs w:val="24"/>
          <w:shd w:val="clear" w:color="auto" w:fill="FFFFFF"/>
        </w:rPr>
        <w:t>Verrecchia</w:t>
      </w:r>
      <w:proofErr w:type="spellEnd"/>
      <w:r w:rsidRPr="005F4E77">
        <w:rPr>
          <w:sz w:val="24"/>
          <w:szCs w:val="24"/>
          <w:shd w:val="clear" w:color="auto" w:fill="FFFFFF"/>
        </w:rPr>
        <w:t xml:space="preserve"> (1983) através da Teoria da Divulgação salienta que a qualidade e a quantidade de informações divulgadas da entidade vão de acordo com o que o gestor deseja </w:t>
      </w:r>
      <w:r w:rsidRPr="005F4E77">
        <w:rPr>
          <w:sz w:val="24"/>
          <w:szCs w:val="24"/>
          <w:shd w:val="clear" w:color="auto" w:fill="FFFFFF"/>
        </w:rPr>
        <w:lastRenderedPageBreak/>
        <w:t xml:space="preserve">divulgar, nem sempre sendo neutro no que evidenciar. Dessa maneira, o gestor pode decidir em relação à qualidade da divulgação, bem como a quantidade de informação que ele deseja divulgar. </w:t>
      </w:r>
    </w:p>
    <w:p w:rsidR="005F4E77" w:rsidRPr="005F4E77" w:rsidRDefault="005F4E77" w:rsidP="0B4C22A7">
      <w:pPr>
        <w:ind w:firstLine="709"/>
        <w:jc w:val="both"/>
        <w:rPr>
          <w:sz w:val="24"/>
          <w:szCs w:val="24"/>
        </w:rPr>
      </w:pPr>
      <w:r w:rsidRPr="005F4E77">
        <w:rPr>
          <w:sz w:val="24"/>
          <w:szCs w:val="24"/>
          <w:shd w:val="clear" w:color="auto" w:fill="FFFFFF"/>
        </w:rPr>
        <w:t>Analisando os clubes de futebo</w:t>
      </w:r>
      <w:r w:rsidRPr="000E09B2">
        <w:rPr>
          <w:sz w:val="24"/>
          <w:szCs w:val="24"/>
          <w:shd w:val="clear" w:color="auto" w:fill="FFFFFF"/>
        </w:rPr>
        <w:t>l</w:t>
      </w:r>
      <w:r w:rsidR="000E09B2" w:rsidRPr="000E09B2">
        <w:rPr>
          <w:sz w:val="24"/>
          <w:szCs w:val="24"/>
          <w:shd w:val="clear" w:color="auto" w:fill="FFFFFF"/>
        </w:rPr>
        <w:t>,</w:t>
      </w:r>
      <w:r w:rsidRPr="000E09B2">
        <w:rPr>
          <w:sz w:val="24"/>
          <w:szCs w:val="24"/>
          <w:shd w:val="clear" w:color="auto" w:fill="FFFFFF"/>
        </w:rPr>
        <w:t xml:space="preserve"> </w:t>
      </w:r>
      <w:r w:rsidRPr="005F4E77">
        <w:rPr>
          <w:sz w:val="24"/>
          <w:szCs w:val="24"/>
          <w:shd w:val="clear" w:color="auto" w:fill="FFFFFF"/>
        </w:rPr>
        <w:t>a Teoria da Divulgação está ligada a publicação da Demonstração do Valor Adicionado (DVA), visto que a legislação brasileira não a torna obrigatória, sendo facultativo a estas entidades divulgarem ou não a DVA.</w:t>
      </w:r>
    </w:p>
    <w:p w:rsidR="005F4E77" w:rsidRPr="005F4E77" w:rsidRDefault="005F4E77" w:rsidP="002049C8">
      <w:pPr>
        <w:pStyle w:val="NormalWeb"/>
        <w:shd w:val="clear" w:color="auto" w:fill="FFFFFF"/>
        <w:spacing w:before="0" w:beforeAutospacing="0" w:after="0" w:afterAutospacing="0"/>
        <w:jc w:val="both"/>
        <w:rPr>
          <w:b/>
          <w:sz w:val="24"/>
          <w:szCs w:val="24"/>
        </w:rPr>
      </w:pPr>
      <w:r w:rsidRPr="005F4E77">
        <w:rPr>
          <w:b/>
          <w:sz w:val="24"/>
          <w:szCs w:val="24"/>
        </w:rPr>
        <w:t>2.4 Estudos Anteriores</w:t>
      </w:r>
    </w:p>
    <w:p w:rsidR="005F4E77" w:rsidRPr="005F4E77" w:rsidRDefault="005F4E77" w:rsidP="005F4E77">
      <w:pPr>
        <w:pStyle w:val="NormalWeb"/>
        <w:shd w:val="clear" w:color="auto" w:fill="FFFFFF"/>
        <w:spacing w:before="0" w:beforeAutospacing="0" w:after="0" w:afterAutospacing="0"/>
        <w:ind w:firstLine="709"/>
        <w:jc w:val="both"/>
        <w:rPr>
          <w:sz w:val="24"/>
          <w:szCs w:val="24"/>
        </w:rPr>
      </w:pPr>
      <w:r w:rsidRPr="005F4E77">
        <w:rPr>
          <w:sz w:val="24"/>
          <w:szCs w:val="24"/>
        </w:rPr>
        <w:t>A busca pelo padrão e sua evidenciação nos clubes de futebol foram estudadas anteriormente sendo que a falta de padrão e o baixo nível de evidenciação foi o resultado na maioria delas. Com a ITG 2003, busca-se preencher essa lacuna.</w:t>
      </w:r>
    </w:p>
    <w:p w:rsidR="005F4E77" w:rsidRPr="005F4E77" w:rsidRDefault="005F4E77" w:rsidP="005F4E77">
      <w:pPr>
        <w:pStyle w:val="NormalWeb"/>
        <w:shd w:val="clear" w:color="auto" w:fill="FFFFFF"/>
        <w:spacing w:before="0" w:beforeAutospacing="0" w:after="0" w:afterAutospacing="0"/>
        <w:ind w:firstLine="709"/>
        <w:jc w:val="both"/>
        <w:rPr>
          <w:sz w:val="24"/>
          <w:szCs w:val="24"/>
        </w:rPr>
      </w:pPr>
      <w:r w:rsidRPr="005F4E77">
        <w:rPr>
          <w:sz w:val="24"/>
          <w:szCs w:val="24"/>
        </w:rPr>
        <w:t xml:space="preserve">Em um estudo realizado por Bastos </w:t>
      </w:r>
      <w:proofErr w:type="gramStart"/>
      <w:r w:rsidRPr="005F4E77">
        <w:rPr>
          <w:sz w:val="24"/>
          <w:szCs w:val="24"/>
        </w:rPr>
        <w:t>et</w:t>
      </w:r>
      <w:proofErr w:type="gramEnd"/>
      <w:r w:rsidRPr="005F4E77">
        <w:rPr>
          <w:sz w:val="24"/>
          <w:szCs w:val="24"/>
        </w:rPr>
        <w:t xml:space="preserve"> al. (2007) comparando a evidenciação dos clubes europeus com os brasileiros, a principal diferença observada foi o grupo em que os atletas eram registrados, já que na Europa são evidenciados no intangível enquanto no Brasil, em conformidade com a NBC T 10.13, são registrados no imobilizado.</w:t>
      </w:r>
    </w:p>
    <w:p w:rsidR="005F4E77" w:rsidRPr="005F4E77" w:rsidRDefault="0B4C22A7" w:rsidP="0B4C22A7">
      <w:pPr>
        <w:pStyle w:val="NormalWeb"/>
        <w:shd w:val="clear" w:color="auto" w:fill="FFFFFF" w:themeFill="background1"/>
        <w:spacing w:before="0" w:beforeAutospacing="0" w:after="0" w:afterAutospacing="0"/>
        <w:ind w:firstLine="709"/>
        <w:jc w:val="both"/>
        <w:rPr>
          <w:sz w:val="24"/>
          <w:szCs w:val="24"/>
        </w:rPr>
      </w:pPr>
      <w:r w:rsidRPr="0B4C22A7">
        <w:rPr>
          <w:sz w:val="24"/>
          <w:szCs w:val="24"/>
        </w:rPr>
        <w:t xml:space="preserve">Holanda </w:t>
      </w:r>
      <w:proofErr w:type="gramStart"/>
      <w:r w:rsidRPr="0B4C22A7">
        <w:rPr>
          <w:sz w:val="24"/>
          <w:szCs w:val="24"/>
        </w:rPr>
        <w:t>et</w:t>
      </w:r>
      <w:proofErr w:type="gramEnd"/>
      <w:r w:rsidRPr="0B4C22A7">
        <w:rPr>
          <w:sz w:val="24"/>
          <w:szCs w:val="24"/>
        </w:rPr>
        <w:t xml:space="preserve"> al</w:t>
      </w:r>
      <w:r w:rsidRPr="0B4C22A7">
        <w:rPr>
          <w:i/>
          <w:iCs/>
          <w:sz w:val="24"/>
          <w:szCs w:val="24"/>
        </w:rPr>
        <w:t xml:space="preserve">. </w:t>
      </w:r>
      <w:r w:rsidRPr="0B4C22A7">
        <w:rPr>
          <w:sz w:val="24"/>
          <w:szCs w:val="24"/>
        </w:rPr>
        <w:t xml:space="preserve">(2012) analisando as demonstrações contábeis dos 100 melhores clubes segundo o </w:t>
      </w:r>
      <w:r w:rsidRPr="0B4C22A7">
        <w:rPr>
          <w:i/>
          <w:iCs/>
          <w:sz w:val="24"/>
          <w:szCs w:val="24"/>
        </w:rPr>
        <w:t>ranking</w:t>
      </w:r>
      <w:r w:rsidRPr="0B4C22A7">
        <w:rPr>
          <w:sz w:val="24"/>
          <w:szCs w:val="24"/>
        </w:rPr>
        <w:t xml:space="preserve"> da Confederação Brasileira de Futebol (CBF) nos anos de 2006 a 2009, conseguiu coletar apenas 69 demonstrações de 400, cerca de 20% do total, uma baixa proporção. Sobre a evidenciação da formação dos atletas os autores notaram que apesar de aberto o custo em nota explicativa</w:t>
      </w:r>
      <w:r w:rsidR="000E09B2" w:rsidRPr="000E09B2">
        <w:rPr>
          <w:sz w:val="24"/>
          <w:szCs w:val="24"/>
        </w:rPr>
        <w:t>,</w:t>
      </w:r>
      <w:r w:rsidRPr="0B4C22A7">
        <w:rPr>
          <w:sz w:val="24"/>
          <w:szCs w:val="24"/>
        </w:rPr>
        <w:t xml:space="preserve"> os clubes acabaram registrando os gastos como despesas, porém um ponto positivo foi que no decorrer dos anos o nível de evidenciação foi aumentando. Outra conclusão foi que quanto maior a receita, maior o nível de evidenciação dos clubes de futebol.</w:t>
      </w:r>
    </w:p>
    <w:p w:rsidR="005F4E77" w:rsidRPr="005F4E77" w:rsidRDefault="0B4C22A7" w:rsidP="0B4C22A7">
      <w:pPr>
        <w:pStyle w:val="NormalWeb"/>
        <w:shd w:val="clear" w:color="auto" w:fill="FFFFFF" w:themeFill="background1"/>
        <w:spacing w:before="0" w:beforeAutospacing="0" w:after="0" w:afterAutospacing="0"/>
        <w:ind w:firstLine="709"/>
        <w:jc w:val="both"/>
        <w:rPr>
          <w:sz w:val="24"/>
          <w:szCs w:val="24"/>
        </w:rPr>
      </w:pPr>
      <w:r w:rsidRPr="0B4C22A7">
        <w:rPr>
          <w:sz w:val="24"/>
          <w:szCs w:val="24"/>
        </w:rPr>
        <w:t>Rezende e Custódio (2012) em um estudo sobre a evidenciação de 11 clubes do Campeonato Brasileiro série A de 2007</w:t>
      </w:r>
      <w:r w:rsidR="000E09B2">
        <w:rPr>
          <w:sz w:val="24"/>
          <w:szCs w:val="24"/>
        </w:rPr>
        <w:t>,</w:t>
      </w:r>
      <w:r w:rsidRPr="0B4C22A7">
        <w:rPr>
          <w:sz w:val="24"/>
          <w:szCs w:val="24"/>
        </w:rPr>
        <w:t xml:space="preserve"> concluíram que no geral em 2007 os clubes não divulgaram todas as informações para atender a norma (NBC T 10.13), persistindo assim a falta de padrão entre as demonstrações contábeis. Além disso, apesar de alguns clubes divulgarem o valor do custo e amortização dos atletas, apenas o Palmeiras e o São Paulo divulgaram o prazo. Os autores apontaram que apenas </w:t>
      </w:r>
      <w:proofErr w:type="gramStart"/>
      <w:r w:rsidRPr="0B4C22A7">
        <w:rPr>
          <w:sz w:val="24"/>
          <w:szCs w:val="24"/>
        </w:rPr>
        <w:t>o Santos</w:t>
      </w:r>
      <w:proofErr w:type="gramEnd"/>
      <w:r w:rsidRPr="0B4C22A7">
        <w:rPr>
          <w:sz w:val="24"/>
          <w:szCs w:val="24"/>
        </w:rPr>
        <w:t>, dentre os clubes pesquisados, faz a reavaliação dos direitos sobre os atletas, o que acabou gerando uma superavaliação no ativo, comprometendo a confiabilidade da informação.</w:t>
      </w:r>
    </w:p>
    <w:p w:rsidR="005F4E77" w:rsidRPr="005F4E77" w:rsidRDefault="005F4E77" w:rsidP="005F4E77">
      <w:pPr>
        <w:pStyle w:val="NormalWeb"/>
        <w:shd w:val="clear" w:color="auto" w:fill="FFFFFF"/>
        <w:spacing w:before="0" w:beforeAutospacing="0" w:after="0" w:afterAutospacing="0"/>
        <w:ind w:firstLine="709"/>
        <w:jc w:val="both"/>
        <w:rPr>
          <w:sz w:val="24"/>
          <w:szCs w:val="24"/>
        </w:rPr>
      </w:pPr>
      <w:r w:rsidRPr="005F4E77">
        <w:rPr>
          <w:sz w:val="24"/>
          <w:szCs w:val="24"/>
        </w:rPr>
        <w:t xml:space="preserve">Romão e Castellar (2008) fizeram uma pesquisa com os clubes que tiveram receita anual superior a R$11 milhões em 2007, totalizando 21 clubes. A receita desses clubes juntos totalizou R$ 1,34 bilhões de reais, porém apesar da receita gerada apenas </w:t>
      </w:r>
      <w:proofErr w:type="gramStart"/>
      <w:r w:rsidRPr="005F4E77">
        <w:rPr>
          <w:sz w:val="24"/>
          <w:szCs w:val="24"/>
        </w:rPr>
        <w:t>6</w:t>
      </w:r>
      <w:proofErr w:type="gramEnd"/>
      <w:r w:rsidRPr="005F4E77">
        <w:rPr>
          <w:sz w:val="24"/>
          <w:szCs w:val="24"/>
        </w:rPr>
        <w:t xml:space="preserve"> clubes apresentaram lucro no exercício.</w:t>
      </w:r>
    </w:p>
    <w:p w:rsidR="005F4E77" w:rsidRPr="005F4E77" w:rsidRDefault="0B4C22A7" w:rsidP="0B4C22A7">
      <w:pPr>
        <w:pStyle w:val="NormalWeb"/>
        <w:shd w:val="clear" w:color="auto" w:fill="FFFFFF" w:themeFill="background1"/>
        <w:spacing w:before="0" w:beforeAutospacing="0" w:after="0" w:afterAutospacing="0"/>
        <w:ind w:firstLine="709"/>
        <w:jc w:val="both"/>
        <w:rPr>
          <w:sz w:val="24"/>
          <w:szCs w:val="24"/>
        </w:rPr>
      </w:pPr>
      <w:r w:rsidRPr="0B4C22A7">
        <w:rPr>
          <w:sz w:val="24"/>
          <w:szCs w:val="24"/>
        </w:rPr>
        <w:t xml:space="preserve">Em pesquisa mais recente e depois de </w:t>
      </w:r>
      <w:proofErr w:type="gramStart"/>
      <w:r w:rsidRPr="0B4C22A7">
        <w:rPr>
          <w:sz w:val="24"/>
          <w:szCs w:val="24"/>
        </w:rPr>
        <w:t>7</w:t>
      </w:r>
      <w:proofErr w:type="gramEnd"/>
      <w:r w:rsidRPr="0B4C22A7">
        <w:rPr>
          <w:sz w:val="24"/>
          <w:szCs w:val="24"/>
        </w:rPr>
        <w:t xml:space="preserve"> anos da NBC T 10.13 estar em vigor, Cordeiro (2014) analisou os 40 clubes do campeonato brasileiro série A e B na expectativa de apontar que quanto maior o clube, maior o nível de evidenciação. Inicialmente</w:t>
      </w:r>
      <w:r w:rsidRPr="0B4C22A7">
        <w:rPr>
          <w:color w:val="FF0000"/>
          <w:sz w:val="32"/>
          <w:szCs w:val="32"/>
        </w:rPr>
        <w:t xml:space="preserve">, </w:t>
      </w:r>
      <w:r w:rsidRPr="0B4C22A7">
        <w:rPr>
          <w:sz w:val="24"/>
          <w:szCs w:val="24"/>
        </w:rPr>
        <w:t>dos 40 clubes apenas 27 divulgaram as demonstrações contábeis e desses ficou comprovado que os clubes com maior faturamento obtiveram o maior nível de informação.</w:t>
      </w:r>
    </w:p>
    <w:p w:rsidR="005F4E77" w:rsidRPr="005F4E77" w:rsidRDefault="005F4E77" w:rsidP="005F4E77">
      <w:pPr>
        <w:pStyle w:val="NormalWeb"/>
        <w:shd w:val="clear" w:color="auto" w:fill="FFFFFF"/>
        <w:spacing w:before="0" w:beforeAutospacing="0" w:after="0" w:afterAutospacing="0"/>
        <w:ind w:firstLine="709"/>
        <w:jc w:val="both"/>
        <w:rPr>
          <w:sz w:val="24"/>
          <w:szCs w:val="24"/>
        </w:rPr>
      </w:pPr>
      <w:r w:rsidRPr="005F4E77">
        <w:rPr>
          <w:sz w:val="24"/>
          <w:szCs w:val="24"/>
        </w:rPr>
        <w:t>E por fim, Frey e Zaia (2014) em uma análise descritiva apontaram que os clubes catarinenses estão na média nacional no ano de 2012 em relação à conformidade com a legislação vigente, destacando que dois clubes, Avaí e Figueirense, tiveram um aumento na conformidade de 2011 para 2012.</w:t>
      </w:r>
    </w:p>
    <w:p w:rsidR="005F4E77" w:rsidRPr="005F4E77" w:rsidRDefault="0B4C22A7" w:rsidP="0B4C22A7">
      <w:pPr>
        <w:pStyle w:val="NormalWeb"/>
        <w:shd w:val="clear" w:color="auto" w:fill="FFFFFF" w:themeFill="background1"/>
        <w:spacing w:before="0" w:beforeAutospacing="0" w:after="0" w:afterAutospacing="0"/>
        <w:ind w:firstLine="709"/>
        <w:jc w:val="both"/>
        <w:rPr>
          <w:sz w:val="24"/>
          <w:szCs w:val="24"/>
        </w:rPr>
      </w:pPr>
      <w:r w:rsidRPr="0B4C22A7">
        <w:rPr>
          <w:sz w:val="24"/>
          <w:szCs w:val="24"/>
        </w:rPr>
        <w:t xml:space="preserve">Em estudos que analisaram os clubes de futebol com base na ITG 2003 R1 (2013), Maia e Vasconcelos (2016) identificaram o perfil dos ativos intangíveis em 18 clubes </w:t>
      </w:r>
      <w:r w:rsidRPr="0B4C22A7">
        <w:rPr>
          <w:sz w:val="24"/>
          <w:szCs w:val="24"/>
        </w:rPr>
        <w:lastRenderedPageBreak/>
        <w:t xml:space="preserve">brasileiros e 48 clubes europeus em 2011. </w:t>
      </w:r>
      <w:r w:rsidRPr="000E09B2">
        <w:rPr>
          <w:sz w:val="24"/>
          <w:szCs w:val="24"/>
        </w:rPr>
        <w:t>E</w:t>
      </w:r>
      <w:r w:rsidRPr="0B4C22A7">
        <w:rPr>
          <w:sz w:val="24"/>
          <w:szCs w:val="24"/>
        </w:rPr>
        <w:t>ncontraram que 60 dos 66 clubes (16 são brasileiros) não evidenciam o número de atletas e 43 clubes (sete brasileiros) não citam a aplicação do teste de recuperabilidade. Em relação à vida útil dos ativos, 32 clubes brasileiros não evidenciaram, enquanto o método de amortização foi evidenciado por 39 clubes.</w:t>
      </w:r>
    </w:p>
    <w:p w:rsidR="005F4E77" w:rsidRPr="005F4E77" w:rsidRDefault="0B4C22A7" w:rsidP="0B4C22A7">
      <w:pPr>
        <w:pStyle w:val="NormalWeb"/>
        <w:shd w:val="clear" w:color="auto" w:fill="FFFFFF" w:themeFill="background1"/>
        <w:spacing w:before="0" w:beforeAutospacing="0" w:after="0" w:afterAutospacing="0"/>
        <w:ind w:firstLine="709"/>
        <w:jc w:val="both"/>
        <w:rPr>
          <w:sz w:val="24"/>
          <w:szCs w:val="24"/>
        </w:rPr>
      </w:pPr>
      <w:r w:rsidRPr="0B4C22A7">
        <w:rPr>
          <w:sz w:val="24"/>
          <w:szCs w:val="24"/>
        </w:rPr>
        <w:t xml:space="preserve">O estudo de Souza, Sousa, Nascimento e Bernardes (2016) analisou a aderência da resolução na elaboração e evidenciação das Demonstrações Contábeis por 19 clubes brasileiros no ano de 2013. Encontraram que 100% dos clubes evidenciam as demonstrações obrigatórias, exceto os resultados abrangentes. </w:t>
      </w:r>
      <w:r w:rsidRPr="000E09B2">
        <w:rPr>
          <w:sz w:val="24"/>
          <w:szCs w:val="24"/>
        </w:rPr>
        <w:t>E</w:t>
      </w:r>
      <w:r w:rsidRPr="0B4C22A7">
        <w:rPr>
          <w:sz w:val="24"/>
          <w:szCs w:val="24"/>
        </w:rPr>
        <w:t xml:space="preserve">m relação à formação dos atletas, 79% dos clubes </w:t>
      </w:r>
      <w:proofErr w:type="gramStart"/>
      <w:r w:rsidRPr="0B4C22A7">
        <w:rPr>
          <w:sz w:val="24"/>
          <w:szCs w:val="24"/>
        </w:rPr>
        <w:t>apresentaram,</w:t>
      </w:r>
      <w:proofErr w:type="gramEnd"/>
      <w:r w:rsidRPr="0B4C22A7">
        <w:rPr>
          <w:sz w:val="24"/>
          <w:szCs w:val="24"/>
        </w:rPr>
        <w:t xml:space="preserve"> já a amortização foi divulga</w:t>
      </w:r>
      <w:r w:rsidRPr="000E09B2">
        <w:rPr>
          <w:sz w:val="24"/>
          <w:szCs w:val="24"/>
        </w:rPr>
        <w:t>da</w:t>
      </w:r>
      <w:r w:rsidRPr="0B4C22A7">
        <w:rPr>
          <w:sz w:val="24"/>
          <w:szCs w:val="24"/>
        </w:rPr>
        <w:t xml:space="preserve"> por 84%. </w:t>
      </w:r>
      <w:r w:rsidR="000E09B2">
        <w:rPr>
          <w:sz w:val="24"/>
          <w:szCs w:val="24"/>
        </w:rPr>
        <w:t>O</w:t>
      </w:r>
      <w:r w:rsidRPr="0B4C22A7">
        <w:rPr>
          <w:sz w:val="24"/>
          <w:szCs w:val="24"/>
        </w:rPr>
        <w:t>s gastos com formação foram atendidos por 63% dos clubes, o seguro foi evidenciado por 58%, e por fim o total de atletas e o percentual de direito econômico apenas 21% da amostra evidenciaram. A média de evidenciação foi de 53,04%.</w:t>
      </w:r>
    </w:p>
    <w:p w:rsidR="005F4E77" w:rsidRPr="005F4E77" w:rsidRDefault="0B4C22A7" w:rsidP="00976A7C">
      <w:pPr>
        <w:pStyle w:val="NormalWeb"/>
        <w:shd w:val="clear" w:color="auto" w:fill="FFFFFF" w:themeFill="background1"/>
        <w:spacing w:before="0" w:beforeAutospacing="0" w:after="0" w:afterAutospacing="0"/>
        <w:ind w:firstLine="709"/>
        <w:jc w:val="both"/>
        <w:rPr>
          <w:sz w:val="24"/>
          <w:szCs w:val="24"/>
        </w:rPr>
      </w:pPr>
      <w:r w:rsidRPr="0B4C22A7">
        <w:rPr>
          <w:sz w:val="24"/>
          <w:szCs w:val="24"/>
        </w:rPr>
        <w:t>Percebe-se que os estudos não possuíram como foco amplo o intangível, visto que um analisou anterior a legislação e outro analisou apenas um ano e de maneira mais ampla. Além disso, o padrão proposto pela legislação anterior não ocorreu e quando ocorreu foi parcialmente, porém a NBC T 10.13 foi revogada, sendo assim, para uma maior padronização a ITG 2003 R1 (2013) entrou em vigor, por isso</w:t>
      </w:r>
      <w:r w:rsidR="000E09B2">
        <w:rPr>
          <w:sz w:val="24"/>
          <w:szCs w:val="24"/>
        </w:rPr>
        <w:t xml:space="preserve">, </w:t>
      </w:r>
      <w:r w:rsidRPr="0B4C22A7">
        <w:rPr>
          <w:sz w:val="24"/>
          <w:szCs w:val="24"/>
        </w:rPr>
        <w:t>faz-se necessário analisar se os clubes estão ou não seguindo a padronização.</w:t>
      </w:r>
    </w:p>
    <w:p w:rsidR="00976A7C" w:rsidRDefault="00976A7C" w:rsidP="005F4E77">
      <w:pPr>
        <w:pStyle w:val="NormalWeb"/>
        <w:shd w:val="clear" w:color="auto" w:fill="FFFFFF"/>
        <w:spacing w:before="0" w:beforeAutospacing="0" w:after="0" w:afterAutospacing="0"/>
        <w:jc w:val="both"/>
        <w:rPr>
          <w:b/>
          <w:sz w:val="24"/>
          <w:szCs w:val="24"/>
        </w:rPr>
      </w:pPr>
    </w:p>
    <w:p w:rsidR="005F4E77" w:rsidRPr="005F4E77" w:rsidRDefault="005F4E77" w:rsidP="005F4E77">
      <w:pPr>
        <w:pStyle w:val="NormalWeb"/>
        <w:shd w:val="clear" w:color="auto" w:fill="FFFFFF"/>
        <w:spacing w:before="0" w:beforeAutospacing="0" w:after="0" w:afterAutospacing="0"/>
        <w:jc w:val="both"/>
        <w:rPr>
          <w:b/>
          <w:sz w:val="24"/>
          <w:szCs w:val="24"/>
        </w:rPr>
      </w:pPr>
      <w:proofErr w:type="gramStart"/>
      <w:r w:rsidRPr="005F4E77">
        <w:rPr>
          <w:b/>
          <w:sz w:val="24"/>
          <w:szCs w:val="24"/>
        </w:rPr>
        <w:t>3</w:t>
      </w:r>
      <w:proofErr w:type="gramEnd"/>
      <w:r w:rsidRPr="005F4E77">
        <w:rPr>
          <w:b/>
          <w:sz w:val="24"/>
          <w:szCs w:val="24"/>
        </w:rPr>
        <w:t xml:space="preserve"> METODOLOGIA</w:t>
      </w:r>
    </w:p>
    <w:p w:rsidR="005F4E77" w:rsidRPr="005F4E77" w:rsidRDefault="005F4E77" w:rsidP="005F4E77">
      <w:pPr>
        <w:pStyle w:val="NormalWeb"/>
        <w:shd w:val="clear" w:color="auto" w:fill="FFFFFF"/>
        <w:spacing w:before="0" w:beforeAutospacing="0" w:after="0" w:afterAutospacing="0"/>
        <w:jc w:val="both"/>
        <w:rPr>
          <w:b/>
          <w:sz w:val="24"/>
          <w:szCs w:val="24"/>
        </w:rPr>
      </w:pPr>
      <w:proofErr w:type="gramStart"/>
      <w:r w:rsidRPr="005F4E77">
        <w:rPr>
          <w:b/>
          <w:sz w:val="24"/>
          <w:szCs w:val="24"/>
        </w:rPr>
        <w:t>3.1 Amostra</w:t>
      </w:r>
      <w:proofErr w:type="gramEnd"/>
      <w:r w:rsidRPr="005F4E77">
        <w:rPr>
          <w:b/>
          <w:sz w:val="24"/>
          <w:szCs w:val="24"/>
        </w:rPr>
        <w:t xml:space="preserve"> de Pesquisa</w:t>
      </w:r>
    </w:p>
    <w:p w:rsidR="005F4E77" w:rsidRPr="00A11EAB" w:rsidRDefault="005F4E77" w:rsidP="005F4E77">
      <w:pPr>
        <w:ind w:firstLine="567"/>
        <w:jc w:val="both"/>
        <w:rPr>
          <w:sz w:val="24"/>
          <w:szCs w:val="24"/>
        </w:rPr>
      </w:pPr>
      <w:r w:rsidRPr="005F4E77">
        <w:rPr>
          <w:sz w:val="24"/>
          <w:szCs w:val="24"/>
        </w:rPr>
        <w:t>Como existe</w:t>
      </w:r>
      <w:r w:rsidR="004F3AE6">
        <w:rPr>
          <w:sz w:val="24"/>
          <w:szCs w:val="24"/>
        </w:rPr>
        <w:t>m</w:t>
      </w:r>
      <w:r w:rsidRPr="005F4E77">
        <w:rPr>
          <w:sz w:val="24"/>
          <w:szCs w:val="24"/>
        </w:rPr>
        <w:t xml:space="preserve"> mais de 400 clubes de futebol disputando campeonatos estaduais no Brasil, foi tomado como base para serem analisados os clubes que disputaram o campeonato brasileiro nas séries A </w:t>
      </w:r>
      <w:r w:rsidR="004F3AE6">
        <w:rPr>
          <w:sz w:val="24"/>
          <w:szCs w:val="24"/>
        </w:rPr>
        <w:t xml:space="preserve">e B de 2017, conforme </w:t>
      </w:r>
      <w:r w:rsidR="004F3AE6" w:rsidRPr="00A11EAB">
        <w:rPr>
          <w:sz w:val="24"/>
          <w:szCs w:val="24"/>
        </w:rPr>
        <w:t>apresenta</w:t>
      </w:r>
      <w:r w:rsidR="007F38F8" w:rsidRPr="00A11EAB">
        <w:rPr>
          <w:sz w:val="24"/>
          <w:szCs w:val="24"/>
        </w:rPr>
        <w:t>do na</w:t>
      </w:r>
      <w:r w:rsidRPr="00A11EAB">
        <w:rPr>
          <w:sz w:val="24"/>
          <w:szCs w:val="24"/>
        </w:rPr>
        <w:t xml:space="preserve"> </w:t>
      </w:r>
      <w:r w:rsidR="007F38F8" w:rsidRPr="00A11EAB">
        <w:rPr>
          <w:sz w:val="24"/>
          <w:szCs w:val="24"/>
        </w:rPr>
        <w:t>Tabela 1</w:t>
      </w:r>
      <w:r w:rsidRPr="00A11EAB">
        <w:rPr>
          <w:sz w:val="24"/>
          <w:szCs w:val="24"/>
        </w:rPr>
        <w:t>.</w:t>
      </w:r>
    </w:p>
    <w:p w:rsidR="005F4E77" w:rsidRPr="005F4E77" w:rsidRDefault="007F38F8" w:rsidP="00A11EAB">
      <w:r w:rsidRPr="00A11EAB">
        <w:t>Tabela 1</w:t>
      </w:r>
      <w:r w:rsidR="005F4E77" w:rsidRPr="00A11EAB">
        <w:t xml:space="preserve"> –</w:t>
      </w:r>
      <w:r w:rsidR="005F4E77" w:rsidRPr="00A11EAB">
        <w:rPr>
          <w:b/>
        </w:rPr>
        <w:t xml:space="preserve"> </w:t>
      </w:r>
      <w:r w:rsidR="005F4E77" w:rsidRPr="00A11EAB">
        <w:t>Clubes de futebol das séries</w:t>
      </w:r>
      <w:r w:rsidR="005F4E77" w:rsidRPr="005F4E77">
        <w:t xml:space="preserve"> A e B de 2017</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661"/>
        <w:gridCol w:w="3174"/>
        <w:gridCol w:w="847"/>
        <w:gridCol w:w="661"/>
        <w:gridCol w:w="3017"/>
        <w:gridCol w:w="845"/>
      </w:tblGrid>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rPr>
                <w:b/>
              </w:rPr>
            </w:pPr>
            <w:r w:rsidRPr="005F4E77">
              <w:rPr>
                <w:b/>
              </w:rPr>
              <w:t>Série</w:t>
            </w:r>
          </w:p>
        </w:tc>
        <w:tc>
          <w:tcPr>
            <w:tcW w:w="1724" w:type="pct"/>
            <w:shd w:val="clear" w:color="auto" w:fill="auto"/>
            <w:noWrap/>
            <w:vAlign w:val="center"/>
            <w:hideMark/>
          </w:tcPr>
          <w:p w:rsidR="005F4E77" w:rsidRPr="005F4E77" w:rsidRDefault="005F4E77" w:rsidP="005F4E77">
            <w:pPr>
              <w:suppressAutoHyphens w:val="0"/>
              <w:rPr>
                <w:b/>
              </w:rPr>
            </w:pPr>
            <w:r w:rsidRPr="005F4E77">
              <w:rPr>
                <w:b/>
              </w:rPr>
              <w:t>Time</w:t>
            </w:r>
          </w:p>
        </w:tc>
        <w:tc>
          <w:tcPr>
            <w:tcW w:w="460" w:type="pct"/>
            <w:shd w:val="clear" w:color="auto" w:fill="auto"/>
            <w:noWrap/>
            <w:vAlign w:val="center"/>
            <w:hideMark/>
          </w:tcPr>
          <w:p w:rsidR="005F4E77" w:rsidRPr="005F4E77" w:rsidRDefault="005F4E77" w:rsidP="005F4E77">
            <w:pPr>
              <w:suppressAutoHyphens w:val="0"/>
              <w:jc w:val="center"/>
              <w:rPr>
                <w:b/>
              </w:rPr>
            </w:pPr>
            <w:r w:rsidRPr="005F4E77">
              <w:rPr>
                <w:b/>
              </w:rPr>
              <w:t>Estado</w:t>
            </w:r>
          </w:p>
        </w:tc>
        <w:tc>
          <w:tcPr>
            <w:tcW w:w="359" w:type="pct"/>
            <w:vAlign w:val="center"/>
          </w:tcPr>
          <w:p w:rsidR="005F4E77" w:rsidRPr="005F4E77" w:rsidRDefault="005F4E77" w:rsidP="005F4E77">
            <w:pPr>
              <w:suppressAutoHyphens w:val="0"/>
              <w:jc w:val="center"/>
              <w:rPr>
                <w:b/>
              </w:rPr>
            </w:pPr>
            <w:r w:rsidRPr="005F4E77">
              <w:rPr>
                <w:b/>
              </w:rPr>
              <w:t>Série</w:t>
            </w:r>
          </w:p>
        </w:tc>
        <w:tc>
          <w:tcPr>
            <w:tcW w:w="1639" w:type="pct"/>
            <w:vAlign w:val="center"/>
          </w:tcPr>
          <w:p w:rsidR="005F4E77" w:rsidRPr="005F4E77" w:rsidRDefault="005F4E77" w:rsidP="005F4E77">
            <w:pPr>
              <w:suppressAutoHyphens w:val="0"/>
              <w:rPr>
                <w:b/>
              </w:rPr>
            </w:pPr>
            <w:r w:rsidRPr="005F4E77">
              <w:rPr>
                <w:b/>
              </w:rPr>
              <w:t>Time</w:t>
            </w:r>
          </w:p>
        </w:tc>
        <w:tc>
          <w:tcPr>
            <w:tcW w:w="460" w:type="pct"/>
            <w:vAlign w:val="center"/>
          </w:tcPr>
          <w:p w:rsidR="005F4E77" w:rsidRPr="005F4E77" w:rsidRDefault="005F4E77" w:rsidP="005F4E77">
            <w:pPr>
              <w:suppressAutoHyphens w:val="0"/>
              <w:jc w:val="center"/>
              <w:rPr>
                <w:b/>
              </w:rPr>
            </w:pPr>
            <w:r w:rsidRPr="005F4E77">
              <w:rPr>
                <w:b/>
              </w:rPr>
              <w:t>Estado</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 xml:space="preserve">Atlético Clube </w:t>
            </w:r>
            <w:proofErr w:type="spellStart"/>
            <w:r w:rsidRPr="005F4E77">
              <w:t>Goianiense</w:t>
            </w:r>
            <w:proofErr w:type="spellEnd"/>
          </w:p>
        </w:tc>
        <w:tc>
          <w:tcPr>
            <w:tcW w:w="460" w:type="pct"/>
            <w:shd w:val="clear" w:color="auto" w:fill="auto"/>
            <w:noWrap/>
            <w:vAlign w:val="center"/>
            <w:hideMark/>
          </w:tcPr>
          <w:p w:rsidR="005F4E77" w:rsidRPr="005F4E77" w:rsidRDefault="005F4E77" w:rsidP="005F4E77">
            <w:pPr>
              <w:suppressAutoHyphens w:val="0"/>
              <w:jc w:val="center"/>
            </w:pPr>
            <w:r w:rsidRPr="005F4E77">
              <w:t>GO</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ABC Futebol Clube</w:t>
            </w:r>
          </w:p>
        </w:tc>
        <w:tc>
          <w:tcPr>
            <w:tcW w:w="460" w:type="pct"/>
            <w:vAlign w:val="center"/>
          </w:tcPr>
          <w:p w:rsidR="005F4E77" w:rsidRPr="005F4E77" w:rsidRDefault="005F4E77" w:rsidP="005F4E77">
            <w:pPr>
              <w:suppressAutoHyphens w:val="0"/>
              <w:jc w:val="center"/>
            </w:pPr>
            <w:r w:rsidRPr="005F4E77">
              <w:t>RN</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Clube Atlético Mineiro</w:t>
            </w:r>
          </w:p>
        </w:tc>
        <w:tc>
          <w:tcPr>
            <w:tcW w:w="460" w:type="pct"/>
            <w:shd w:val="clear" w:color="auto" w:fill="auto"/>
            <w:noWrap/>
            <w:vAlign w:val="center"/>
            <w:hideMark/>
          </w:tcPr>
          <w:p w:rsidR="005F4E77" w:rsidRPr="005F4E77" w:rsidRDefault="005F4E77" w:rsidP="005F4E77">
            <w:pPr>
              <w:suppressAutoHyphens w:val="0"/>
              <w:jc w:val="center"/>
            </w:pPr>
            <w:r w:rsidRPr="005F4E77">
              <w:t>MG</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América Futebol Clube</w:t>
            </w:r>
          </w:p>
        </w:tc>
        <w:tc>
          <w:tcPr>
            <w:tcW w:w="460" w:type="pct"/>
            <w:vAlign w:val="center"/>
          </w:tcPr>
          <w:p w:rsidR="005F4E77" w:rsidRPr="005F4E77" w:rsidRDefault="005F4E77" w:rsidP="005F4E77">
            <w:pPr>
              <w:suppressAutoHyphens w:val="0"/>
              <w:jc w:val="center"/>
            </w:pPr>
            <w:r w:rsidRPr="005F4E77">
              <w:t>MG</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Club Atlético Paranaense</w:t>
            </w:r>
          </w:p>
        </w:tc>
        <w:tc>
          <w:tcPr>
            <w:tcW w:w="460" w:type="pct"/>
            <w:shd w:val="clear" w:color="auto" w:fill="auto"/>
            <w:noWrap/>
            <w:vAlign w:val="center"/>
            <w:hideMark/>
          </w:tcPr>
          <w:p w:rsidR="005F4E77" w:rsidRPr="005F4E77" w:rsidRDefault="005F4E77" w:rsidP="005F4E77">
            <w:pPr>
              <w:suppressAutoHyphens w:val="0"/>
              <w:jc w:val="center"/>
            </w:pPr>
            <w:r w:rsidRPr="005F4E77">
              <w:t>PR</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proofErr w:type="gramStart"/>
            <w:r w:rsidRPr="005F4E77">
              <w:t>Boa Esporte</w:t>
            </w:r>
            <w:proofErr w:type="gramEnd"/>
            <w:r w:rsidRPr="005F4E77">
              <w:t xml:space="preserve"> Clube</w:t>
            </w:r>
          </w:p>
        </w:tc>
        <w:tc>
          <w:tcPr>
            <w:tcW w:w="460" w:type="pct"/>
            <w:vAlign w:val="center"/>
          </w:tcPr>
          <w:p w:rsidR="005F4E77" w:rsidRPr="005F4E77" w:rsidRDefault="005F4E77" w:rsidP="005F4E77">
            <w:pPr>
              <w:suppressAutoHyphens w:val="0"/>
              <w:jc w:val="center"/>
            </w:pPr>
            <w:r w:rsidRPr="005F4E77">
              <w:t>MG</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Avaí Futebol Clube</w:t>
            </w:r>
          </w:p>
        </w:tc>
        <w:tc>
          <w:tcPr>
            <w:tcW w:w="460" w:type="pct"/>
            <w:shd w:val="clear" w:color="auto" w:fill="auto"/>
            <w:noWrap/>
            <w:vAlign w:val="center"/>
            <w:hideMark/>
          </w:tcPr>
          <w:p w:rsidR="005F4E77" w:rsidRPr="005F4E77" w:rsidRDefault="005F4E77" w:rsidP="005F4E77">
            <w:pPr>
              <w:suppressAutoHyphens w:val="0"/>
              <w:jc w:val="center"/>
            </w:pPr>
            <w:r w:rsidRPr="005F4E77">
              <w:t>SC</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Grêmio Esportivo Brasil</w:t>
            </w:r>
          </w:p>
        </w:tc>
        <w:tc>
          <w:tcPr>
            <w:tcW w:w="460" w:type="pct"/>
            <w:vAlign w:val="center"/>
          </w:tcPr>
          <w:p w:rsidR="005F4E77" w:rsidRPr="005F4E77" w:rsidRDefault="005F4E77" w:rsidP="005F4E77">
            <w:pPr>
              <w:suppressAutoHyphens w:val="0"/>
              <w:jc w:val="center"/>
            </w:pPr>
            <w:r w:rsidRPr="005F4E77">
              <w:t>RS</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 xml:space="preserve">Esporte Clube Bahia </w:t>
            </w:r>
          </w:p>
        </w:tc>
        <w:tc>
          <w:tcPr>
            <w:tcW w:w="460" w:type="pct"/>
            <w:shd w:val="clear" w:color="auto" w:fill="auto"/>
            <w:noWrap/>
            <w:vAlign w:val="center"/>
            <w:hideMark/>
          </w:tcPr>
          <w:p w:rsidR="005F4E77" w:rsidRPr="005F4E77" w:rsidRDefault="005F4E77" w:rsidP="005F4E77">
            <w:pPr>
              <w:suppressAutoHyphens w:val="0"/>
              <w:jc w:val="center"/>
            </w:pPr>
            <w:r w:rsidRPr="005F4E77">
              <w:t>BA</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Ceará Sporting Club</w:t>
            </w:r>
          </w:p>
        </w:tc>
        <w:tc>
          <w:tcPr>
            <w:tcW w:w="460" w:type="pct"/>
            <w:vAlign w:val="center"/>
          </w:tcPr>
          <w:p w:rsidR="005F4E77" w:rsidRPr="005F4E77" w:rsidRDefault="005F4E77" w:rsidP="005F4E77">
            <w:pPr>
              <w:suppressAutoHyphens w:val="0"/>
              <w:jc w:val="center"/>
            </w:pPr>
            <w:r w:rsidRPr="005F4E77">
              <w:t>CE</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Botafogo De Futebol E Regatas</w:t>
            </w:r>
          </w:p>
        </w:tc>
        <w:tc>
          <w:tcPr>
            <w:tcW w:w="460" w:type="pct"/>
            <w:shd w:val="clear" w:color="auto" w:fill="auto"/>
            <w:noWrap/>
            <w:vAlign w:val="center"/>
            <w:hideMark/>
          </w:tcPr>
          <w:p w:rsidR="005F4E77" w:rsidRPr="005F4E77" w:rsidRDefault="005F4E77" w:rsidP="005F4E77">
            <w:pPr>
              <w:suppressAutoHyphens w:val="0"/>
              <w:jc w:val="center"/>
            </w:pPr>
            <w:r w:rsidRPr="005F4E77">
              <w:t>RJ</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Clube de Regatas Brasil - CRB</w:t>
            </w:r>
          </w:p>
        </w:tc>
        <w:tc>
          <w:tcPr>
            <w:tcW w:w="460" w:type="pct"/>
            <w:vAlign w:val="center"/>
          </w:tcPr>
          <w:p w:rsidR="005F4E77" w:rsidRPr="005F4E77" w:rsidRDefault="005F4E77" w:rsidP="005F4E77">
            <w:pPr>
              <w:suppressAutoHyphens w:val="0"/>
              <w:jc w:val="center"/>
            </w:pPr>
            <w:r w:rsidRPr="005F4E77">
              <w:t>AL</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Associação Chapecoense De Futebol</w:t>
            </w:r>
          </w:p>
        </w:tc>
        <w:tc>
          <w:tcPr>
            <w:tcW w:w="460" w:type="pct"/>
            <w:shd w:val="clear" w:color="auto" w:fill="auto"/>
            <w:noWrap/>
            <w:vAlign w:val="center"/>
            <w:hideMark/>
          </w:tcPr>
          <w:p w:rsidR="005F4E77" w:rsidRPr="005F4E77" w:rsidRDefault="005F4E77" w:rsidP="005F4E77">
            <w:pPr>
              <w:suppressAutoHyphens w:val="0"/>
              <w:jc w:val="center"/>
            </w:pPr>
            <w:r w:rsidRPr="005F4E77">
              <w:t>SC</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Criciúma Esporte Clube</w:t>
            </w:r>
          </w:p>
        </w:tc>
        <w:tc>
          <w:tcPr>
            <w:tcW w:w="460" w:type="pct"/>
            <w:vAlign w:val="center"/>
          </w:tcPr>
          <w:p w:rsidR="005F4E77" w:rsidRPr="005F4E77" w:rsidRDefault="005F4E77" w:rsidP="005F4E77">
            <w:pPr>
              <w:suppressAutoHyphens w:val="0"/>
              <w:jc w:val="center"/>
            </w:pPr>
            <w:r w:rsidRPr="005F4E77">
              <w:t>SC</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Sport Club Corinthians Paulista</w:t>
            </w:r>
          </w:p>
        </w:tc>
        <w:tc>
          <w:tcPr>
            <w:tcW w:w="460" w:type="pct"/>
            <w:shd w:val="clear" w:color="auto" w:fill="auto"/>
            <w:noWrap/>
            <w:vAlign w:val="center"/>
            <w:hideMark/>
          </w:tcPr>
          <w:p w:rsidR="005F4E77" w:rsidRPr="005F4E77" w:rsidRDefault="005F4E77" w:rsidP="005F4E77">
            <w:pPr>
              <w:suppressAutoHyphens w:val="0"/>
              <w:jc w:val="center"/>
            </w:pPr>
            <w:r w:rsidRPr="005F4E77">
              <w:t>SP</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Figueirense Futebol Clube</w:t>
            </w:r>
          </w:p>
        </w:tc>
        <w:tc>
          <w:tcPr>
            <w:tcW w:w="460" w:type="pct"/>
            <w:vAlign w:val="center"/>
          </w:tcPr>
          <w:p w:rsidR="005F4E77" w:rsidRPr="005F4E77" w:rsidRDefault="005F4E77" w:rsidP="005F4E77">
            <w:pPr>
              <w:suppressAutoHyphens w:val="0"/>
              <w:jc w:val="center"/>
            </w:pPr>
            <w:r w:rsidRPr="005F4E77">
              <w:t>SC</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 xml:space="preserve">Coritiba </w:t>
            </w:r>
            <w:proofErr w:type="spellStart"/>
            <w:r w:rsidRPr="005F4E77">
              <w:t>Foot</w:t>
            </w:r>
            <w:proofErr w:type="spellEnd"/>
            <w:r w:rsidRPr="005F4E77">
              <w:t xml:space="preserve"> Ball </w:t>
            </w:r>
            <w:proofErr w:type="spellStart"/>
            <w:r w:rsidRPr="005F4E77">
              <w:t>Club</w:t>
            </w:r>
            <w:proofErr w:type="spellEnd"/>
          </w:p>
        </w:tc>
        <w:tc>
          <w:tcPr>
            <w:tcW w:w="460" w:type="pct"/>
            <w:shd w:val="clear" w:color="auto" w:fill="auto"/>
            <w:noWrap/>
            <w:vAlign w:val="center"/>
            <w:hideMark/>
          </w:tcPr>
          <w:p w:rsidR="005F4E77" w:rsidRPr="005F4E77" w:rsidRDefault="005F4E77" w:rsidP="005F4E77">
            <w:pPr>
              <w:suppressAutoHyphens w:val="0"/>
              <w:jc w:val="center"/>
            </w:pPr>
            <w:r w:rsidRPr="005F4E77">
              <w:t>PR</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Goiás Esporte Clube</w:t>
            </w:r>
          </w:p>
        </w:tc>
        <w:tc>
          <w:tcPr>
            <w:tcW w:w="460" w:type="pct"/>
            <w:vAlign w:val="center"/>
          </w:tcPr>
          <w:p w:rsidR="005F4E77" w:rsidRPr="005F4E77" w:rsidRDefault="005F4E77" w:rsidP="005F4E77">
            <w:pPr>
              <w:suppressAutoHyphens w:val="0"/>
              <w:jc w:val="center"/>
            </w:pPr>
            <w:r w:rsidRPr="005F4E77">
              <w:t>GO</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Cruzeiro Esporte Clube</w:t>
            </w:r>
          </w:p>
        </w:tc>
        <w:tc>
          <w:tcPr>
            <w:tcW w:w="460" w:type="pct"/>
            <w:shd w:val="clear" w:color="auto" w:fill="auto"/>
            <w:noWrap/>
            <w:vAlign w:val="center"/>
            <w:hideMark/>
          </w:tcPr>
          <w:p w:rsidR="005F4E77" w:rsidRPr="005F4E77" w:rsidRDefault="005F4E77" w:rsidP="005F4E77">
            <w:pPr>
              <w:suppressAutoHyphens w:val="0"/>
              <w:jc w:val="center"/>
            </w:pPr>
            <w:r w:rsidRPr="005F4E77">
              <w:t>MG</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Guarani Futebol Clube</w:t>
            </w:r>
          </w:p>
        </w:tc>
        <w:tc>
          <w:tcPr>
            <w:tcW w:w="460" w:type="pct"/>
            <w:vAlign w:val="center"/>
          </w:tcPr>
          <w:p w:rsidR="005F4E77" w:rsidRPr="005F4E77" w:rsidRDefault="005F4E77" w:rsidP="005F4E77">
            <w:pPr>
              <w:suppressAutoHyphens w:val="0"/>
              <w:jc w:val="center"/>
            </w:pPr>
            <w:r w:rsidRPr="005F4E77">
              <w:t>SP</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Clube De Regatas Do Flamengo</w:t>
            </w:r>
          </w:p>
        </w:tc>
        <w:tc>
          <w:tcPr>
            <w:tcW w:w="460" w:type="pct"/>
            <w:shd w:val="clear" w:color="auto" w:fill="auto"/>
            <w:noWrap/>
            <w:vAlign w:val="center"/>
            <w:hideMark/>
          </w:tcPr>
          <w:p w:rsidR="005F4E77" w:rsidRPr="005F4E77" w:rsidRDefault="005F4E77" w:rsidP="005F4E77">
            <w:pPr>
              <w:suppressAutoHyphens w:val="0"/>
              <w:jc w:val="center"/>
            </w:pPr>
            <w:r w:rsidRPr="005F4E77">
              <w:t>RJ</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 xml:space="preserve">Sport Club Internacional </w:t>
            </w:r>
          </w:p>
        </w:tc>
        <w:tc>
          <w:tcPr>
            <w:tcW w:w="460" w:type="pct"/>
            <w:vAlign w:val="center"/>
          </w:tcPr>
          <w:p w:rsidR="005F4E77" w:rsidRPr="005F4E77" w:rsidRDefault="005F4E77" w:rsidP="005F4E77">
            <w:pPr>
              <w:suppressAutoHyphens w:val="0"/>
              <w:jc w:val="center"/>
            </w:pPr>
            <w:r w:rsidRPr="005F4E77">
              <w:t>RS</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 xml:space="preserve">Fluminense </w:t>
            </w:r>
            <w:proofErr w:type="spellStart"/>
            <w:r w:rsidRPr="005F4E77">
              <w:t>Football</w:t>
            </w:r>
            <w:proofErr w:type="spellEnd"/>
            <w:r w:rsidRPr="005F4E77">
              <w:t xml:space="preserve"> </w:t>
            </w:r>
            <w:proofErr w:type="spellStart"/>
            <w:r w:rsidRPr="005F4E77">
              <w:t>Club</w:t>
            </w:r>
            <w:proofErr w:type="spellEnd"/>
          </w:p>
        </w:tc>
        <w:tc>
          <w:tcPr>
            <w:tcW w:w="460" w:type="pct"/>
            <w:shd w:val="clear" w:color="auto" w:fill="auto"/>
            <w:noWrap/>
            <w:vAlign w:val="center"/>
            <w:hideMark/>
          </w:tcPr>
          <w:p w:rsidR="005F4E77" w:rsidRPr="005F4E77" w:rsidRDefault="005F4E77" w:rsidP="005F4E77">
            <w:pPr>
              <w:suppressAutoHyphens w:val="0"/>
              <w:jc w:val="center"/>
            </w:pPr>
            <w:r w:rsidRPr="005F4E77">
              <w:t>RJ</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 xml:space="preserve">Esporte Clube Juventude </w:t>
            </w:r>
          </w:p>
        </w:tc>
        <w:tc>
          <w:tcPr>
            <w:tcW w:w="460" w:type="pct"/>
            <w:vAlign w:val="center"/>
          </w:tcPr>
          <w:p w:rsidR="005F4E77" w:rsidRPr="005F4E77" w:rsidRDefault="005F4E77" w:rsidP="005F4E77">
            <w:pPr>
              <w:suppressAutoHyphens w:val="0"/>
              <w:jc w:val="center"/>
            </w:pPr>
            <w:r w:rsidRPr="005F4E77">
              <w:t>RS</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 xml:space="preserve">Grêmio </w:t>
            </w:r>
            <w:proofErr w:type="spellStart"/>
            <w:r w:rsidRPr="005F4E77">
              <w:t>Foot-Ball</w:t>
            </w:r>
            <w:proofErr w:type="spellEnd"/>
            <w:r w:rsidRPr="005F4E77">
              <w:t xml:space="preserve"> Porto Alegrense</w:t>
            </w:r>
          </w:p>
        </w:tc>
        <w:tc>
          <w:tcPr>
            <w:tcW w:w="460" w:type="pct"/>
            <w:shd w:val="clear" w:color="auto" w:fill="auto"/>
            <w:noWrap/>
            <w:vAlign w:val="center"/>
            <w:hideMark/>
          </w:tcPr>
          <w:p w:rsidR="005F4E77" w:rsidRPr="005F4E77" w:rsidRDefault="005F4E77" w:rsidP="005F4E77">
            <w:pPr>
              <w:suppressAutoHyphens w:val="0"/>
              <w:jc w:val="center"/>
            </w:pPr>
            <w:r w:rsidRPr="005F4E77">
              <w:t>RS</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Londrina Esporte Clube</w:t>
            </w:r>
          </w:p>
        </w:tc>
        <w:tc>
          <w:tcPr>
            <w:tcW w:w="460" w:type="pct"/>
            <w:vAlign w:val="center"/>
          </w:tcPr>
          <w:p w:rsidR="005F4E77" w:rsidRPr="005F4E77" w:rsidRDefault="005F4E77" w:rsidP="005F4E77">
            <w:pPr>
              <w:suppressAutoHyphens w:val="0"/>
              <w:jc w:val="center"/>
            </w:pPr>
            <w:r w:rsidRPr="005F4E77">
              <w:t>PR</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Sociedade Esportiva Palmeiras</w:t>
            </w:r>
          </w:p>
        </w:tc>
        <w:tc>
          <w:tcPr>
            <w:tcW w:w="460" w:type="pct"/>
            <w:shd w:val="clear" w:color="auto" w:fill="auto"/>
            <w:noWrap/>
            <w:vAlign w:val="center"/>
            <w:hideMark/>
          </w:tcPr>
          <w:p w:rsidR="005F4E77" w:rsidRPr="005F4E77" w:rsidRDefault="005F4E77" w:rsidP="005F4E77">
            <w:pPr>
              <w:suppressAutoHyphens w:val="0"/>
              <w:jc w:val="center"/>
            </w:pPr>
            <w:r w:rsidRPr="005F4E77">
              <w:t>SP</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proofErr w:type="spellStart"/>
            <w:r w:rsidRPr="005F4E77">
              <w:t>Luverdense</w:t>
            </w:r>
            <w:proofErr w:type="spellEnd"/>
            <w:r w:rsidRPr="005F4E77">
              <w:t xml:space="preserve"> Esporte Clube</w:t>
            </w:r>
          </w:p>
        </w:tc>
        <w:tc>
          <w:tcPr>
            <w:tcW w:w="460" w:type="pct"/>
            <w:vAlign w:val="center"/>
          </w:tcPr>
          <w:p w:rsidR="005F4E77" w:rsidRPr="005F4E77" w:rsidRDefault="005F4E77" w:rsidP="005F4E77">
            <w:pPr>
              <w:suppressAutoHyphens w:val="0"/>
              <w:jc w:val="center"/>
            </w:pPr>
            <w:r w:rsidRPr="005F4E77">
              <w:t>MT</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Associação Atlética Ponte Preta</w:t>
            </w:r>
          </w:p>
        </w:tc>
        <w:tc>
          <w:tcPr>
            <w:tcW w:w="460" w:type="pct"/>
            <w:shd w:val="clear" w:color="auto" w:fill="auto"/>
            <w:noWrap/>
            <w:vAlign w:val="center"/>
            <w:hideMark/>
          </w:tcPr>
          <w:p w:rsidR="005F4E77" w:rsidRPr="005F4E77" w:rsidRDefault="005F4E77" w:rsidP="005F4E77">
            <w:pPr>
              <w:suppressAutoHyphens w:val="0"/>
              <w:jc w:val="center"/>
            </w:pPr>
            <w:r w:rsidRPr="005F4E77">
              <w:t>SP</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Clube Náutico Capibaribe</w:t>
            </w:r>
          </w:p>
        </w:tc>
        <w:tc>
          <w:tcPr>
            <w:tcW w:w="460" w:type="pct"/>
            <w:vAlign w:val="center"/>
          </w:tcPr>
          <w:p w:rsidR="005F4E77" w:rsidRPr="005F4E77" w:rsidRDefault="005F4E77" w:rsidP="005F4E77">
            <w:pPr>
              <w:suppressAutoHyphens w:val="0"/>
              <w:jc w:val="center"/>
            </w:pPr>
            <w:r w:rsidRPr="005F4E77">
              <w:t>PE</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proofErr w:type="gramStart"/>
            <w:r w:rsidRPr="005F4E77">
              <w:t>Santos Futebol</w:t>
            </w:r>
            <w:proofErr w:type="gramEnd"/>
            <w:r w:rsidRPr="005F4E77">
              <w:t xml:space="preserve"> Clube</w:t>
            </w:r>
          </w:p>
        </w:tc>
        <w:tc>
          <w:tcPr>
            <w:tcW w:w="460" w:type="pct"/>
            <w:shd w:val="clear" w:color="auto" w:fill="auto"/>
            <w:noWrap/>
            <w:vAlign w:val="center"/>
            <w:hideMark/>
          </w:tcPr>
          <w:p w:rsidR="005F4E77" w:rsidRPr="005F4E77" w:rsidRDefault="005F4E77" w:rsidP="005F4E77">
            <w:pPr>
              <w:suppressAutoHyphens w:val="0"/>
              <w:jc w:val="center"/>
            </w:pPr>
            <w:r w:rsidRPr="005F4E77">
              <w:t>SP</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Oeste Futebol Clube</w:t>
            </w:r>
          </w:p>
        </w:tc>
        <w:tc>
          <w:tcPr>
            <w:tcW w:w="460" w:type="pct"/>
            <w:vAlign w:val="center"/>
          </w:tcPr>
          <w:p w:rsidR="005F4E77" w:rsidRPr="005F4E77" w:rsidRDefault="005F4E77" w:rsidP="005F4E77">
            <w:pPr>
              <w:suppressAutoHyphens w:val="0"/>
              <w:jc w:val="center"/>
            </w:pPr>
            <w:r w:rsidRPr="005F4E77">
              <w:t>SP</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São Paulo Futebol Clube</w:t>
            </w:r>
          </w:p>
        </w:tc>
        <w:tc>
          <w:tcPr>
            <w:tcW w:w="460" w:type="pct"/>
            <w:shd w:val="clear" w:color="auto" w:fill="auto"/>
            <w:noWrap/>
            <w:vAlign w:val="center"/>
            <w:hideMark/>
          </w:tcPr>
          <w:p w:rsidR="005F4E77" w:rsidRPr="005F4E77" w:rsidRDefault="005F4E77" w:rsidP="005F4E77">
            <w:pPr>
              <w:suppressAutoHyphens w:val="0"/>
              <w:jc w:val="center"/>
            </w:pPr>
            <w:r w:rsidRPr="005F4E77">
              <w:t>SP</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Paraná Clube</w:t>
            </w:r>
          </w:p>
        </w:tc>
        <w:tc>
          <w:tcPr>
            <w:tcW w:w="460" w:type="pct"/>
            <w:vAlign w:val="center"/>
          </w:tcPr>
          <w:p w:rsidR="005F4E77" w:rsidRPr="005F4E77" w:rsidRDefault="005F4E77" w:rsidP="005F4E77">
            <w:pPr>
              <w:suppressAutoHyphens w:val="0"/>
              <w:jc w:val="center"/>
            </w:pPr>
            <w:r w:rsidRPr="005F4E77">
              <w:t>PR</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Sport Club do Recife</w:t>
            </w:r>
          </w:p>
        </w:tc>
        <w:tc>
          <w:tcPr>
            <w:tcW w:w="460" w:type="pct"/>
            <w:shd w:val="clear" w:color="auto" w:fill="auto"/>
            <w:noWrap/>
            <w:vAlign w:val="center"/>
            <w:hideMark/>
          </w:tcPr>
          <w:p w:rsidR="005F4E77" w:rsidRPr="005F4E77" w:rsidRDefault="005F4E77" w:rsidP="005F4E77">
            <w:pPr>
              <w:suppressAutoHyphens w:val="0"/>
              <w:jc w:val="center"/>
            </w:pPr>
            <w:r w:rsidRPr="005F4E77">
              <w:t>PE</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Paysandu Sport Club</w:t>
            </w:r>
          </w:p>
        </w:tc>
        <w:tc>
          <w:tcPr>
            <w:tcW w:w="460" w:type="pct"/>
            <w:vAlign w:val="center"/>
          </w:tcPr>
          <w:p w:rsidR="005F4E77" w:rsidRPr="005F4E77" w:rsidRDefault="005F4E77" w:rsidP="005F4E77">
            <w:pPr>
              <w:suppressAutoHyphens w:val="0"/>
              <w:jc w:val="center"/>
            </w:pPr>
            <w:r w:rsidRPr="005F4E77">
              <w:t>PA</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 xml:space="preserve">Club de Regatas Vasco Da Gama </w:t>
            </w:r>
          </w:p>
        </w:tc>
        <w:tc>
          <w:tcPr>
            <w:tcW w:w="460" w:type="pct"/>
            <w:shd w:val="clear" w:color="auto" w:fill="auto"/>
            <w:noWrap/>
            <w:vAlign w:val="center"/>
            <w:hideMark/>
          </w:tcPr>
          <w:p w:rsidR="005F4E77" w:rsidRPr="005F4E77" w:rsidRDefault="005F4E77" w:rsidP="005F4E77">
            <w:pPr>
              <w:suppressAutoHyphens w:val="0"/>
              <w:jc w:val="center"/>
            </w:pPr>
            <w:r w:rsidRPr="005F4E77">
              <w:t>RJ</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Santa Cruz Futebol Clube</w:t>
            </w:r>
          </w:p>
        </w:tc>
        <w:tc>
          <w:tcPr>
            <w:tcW w:w="460" w:type="pct"/>
            <w:vAlign w:val="center"/>
          </w:tcPr>
          <w:p w:rsidR="005F4E77" w:rsidRPr="005F4E77" w:rsidRDefault="005F4E77" w:rsidP="005F4E77">
            <w:pPr>
              <w:suppressAutoHyphens w:val="0"/>
              <w:jc w:val="center"/>
            </w:pPr>
            <w:r w:rsidRPr="005F4E77">
              <w:t>PE</w:t>
            </w:r>
          </w:p>
        </w:tc>
      </w:tr>
      <w:tr w:rsidR="005F4E77" w:rsidRPr="005F4E77" w:rsidTr="00A11EAB">
        <w:trPr>
          <w:trHeight w:hRule="exact" w:val="255"/>
          <w:tblHeader/>
        </w:trPr>
        <w:tc>
          <w:tcPr>
            <w:tcW w:w="359" w:type="pct"/>
            <w:shd w:val="clear" w:color="auto" w:fill="auto"/>
            <w:noWrap/>
            <w:vAlign w:val="center"/>
            <w:hideMark/>
          </w:tcPr>
          <w:p w:rsidR="005F4E77" w:rsidRPr="005F4E77" w:rsidRDefault="005F4E77" w:rsidP="005F4E77">
            <w:pPr>
              <w:suppressAutoHyphens w:val="0"/>
              <w:jc w:val="center"/>
            </w:pPr>
            <w:r w:rsidRPr="005F4E77">
              <w:t>A</w:t>
            </w:r>
          </w:p>
        </w:tc>
        <w:tc>
          <w:tcPr>
            <w:tcW w:w="1724" w:type="pct"/>
            <w:shd w:val="clear" w:color="auto" w:fill="auto"/>
            <w:vAlign w:val="center"/>
            <w:hideMark/>
          </w:tcPr>
          <w:p w:rsidR="005F4E77" w:rsidRPr="005F4E77" w:rsidRDefault="005F4E77" w:rsidP="005F4E77">
            <w:pPr>
              <w:suppressAutoHyphens w:val="0"/>
            </w:pPr>
            <w:r w:rsidRPr="005F4E77">
              <w:t>Esporte Clube Vitória</w:t>
            </w:r>
          </w:p>
        </w:tc>
        <w:tc>
          <w:tcPr>
            <w:tcW w:w="460" w:type="pct"/>
            <w:shd w:val="clear" w:color="auto" w:fill="auto"/>
            <w:noWrap/>
            <w:vAlign w:val="center"/>
            <w:hideMark/>
          </w:tcPr>
          <w:p w:rsidR="005F4E77" w:rsidRPr="005F4E77" w:rsidRDefault="005F4E77" w:rsidP="005F4E77">
            <w:pPr>
              <w:suppressAutoHyphens w:val="0"/>
              <w:jc w:val="center"/>
            </w:pPr>
            <w:r w:rsidRPr="005F4E77">
              <w:t>BA</w:t>
            </w:r>
          </w:p>
        </w:tc>
        <w:tc>
          <w:tcPr>
            <w:tcW w:w="359" w:type="pct"/>
            <w:vAlign w:val="center"/>
          </w:tcPr>
          <w:p w:rsidR="005F4E77" w:rsidRPr="005F4E77" w:rsidRDefault="005F4E77" w:rsidP="005F4E77">
            <w:pPr>
              <w:suppressAutoHyphens w:val="0"/>
              <w:jc w:val="center"/>
            </w:pPr>
            <w:r w:rsidRPr="005F4E77">
              <w:t>B</w:t>
            </w:r>
          </w:p>
        </w:tc>
        <w:tc>
          <w:tcPr>
            <w:tcW w:w="1639" w:type="pct"/>
            <w:vAlign w:val="center"/>
          </w:tcPr>
          <w:p w:rsidR="005F4E77" w:rsidRPr="005F4E77" w:rsidRDefault="005F4E77" w:rsidP="005F4E77">
            <w:pPr>
              <w:suppressAutoHyphens w:val="0"/>
            </w:pPr>
            <w:r w:rsidRPr="005F4E77">
              <w:t>Vila Nova Futebol Clube</w:t>
            </w:r>
          </w:p>
        </w:tc>
        <w:tc>
          <w:tcPr>
            <w:tcW w:w="460" w:type="pct"/>
            <w:vAlign w:val="center"/>
          </w:tcPr>
          <w:p w:rsidR="005F4E77" w:rsidRPr="005F4E77" w:rsidRDefault="005F4E77" w:rsidP="005F4E77">
            <w:pPr>
              <w:suppressAutoHyphens w:val="0"/>
              <w:jc w:val="center"/>
            </w:pPr>
            <w:r w:rsidRPr="005F4E77">
              <w:t>GO</w:t>
            </w:r>
          </w:p>
        </w:tc>
      </w:tr>
    </w:tbl>
    <w:p w:rsidR="005F4E77" w:rsidRPr="005F4E77" w:rsidRDefault="005F4E77" w:rsidP="005F4E77">
      <w:pPr>
        <w:pStyle w:val="NormalWeb"/>
        <w:shd w:val="clear" w:color="auto" w:fill="FFFFFF"/>
        <w:spacing w:before="0" w:beforeAutospacing="0" w:after="0" w:afterAutospacing="0"/>
        <w:jc w:val="both"/>
      </w:pPr>
      <w:r w:rsidRPr="00A11EAB">
        <w:t>Fonte:</w:t>
      </w:r>
      <w:r w:rsidRPr="005F4E77">
        <w:t xml:space="preserve"> Confederação Brasileira de Futebol (2017a) e Confederação Brasileira de Futebol (2017b).</w:t>
      </w:r>
    </w:p>
    <w:p w:rsidR="005F4E77" w:rsidRPr="005F4E77" w:rsidRDefault="005F4E77" w:rsidP="007F38F8">
      <w:pPr>
        <w:ind w:firstLine="709"/>
        <w:jc w:val="both"/>
        <w:rPr>
          <w:sz w:val="24"/>
          <w:szCs w:val="24"/>
        </w:rPr>
      </w:pPr>
      <w:r w:rsidRPr="005F4E77">
        <w:rPr>
          <w:sz w:val="24"/>
          <w:szCs w:val="24"/>
        </w:rPr>
        <w:lastRenderedPageBreak/>
        <w:t>Dessa forma, a população p</w:t>
      </w:r>
      <w:r w:rsidR="007F38F8">
        <w:rPr>
          <w:sz w:val="24"/>
          <w:szCs w:val="24"/>
        </w:rPr>
        <w:t>ara análise é composta pelas</w:t>
      </w:r>
      <w:r w:rsidRPr="005F4E77">
        <w:rPr>
          <w:sz w:val="24"/>
          <w:szCs w:val="24"/>
        </w:rPr>
        <w:t xml:space="preserve"> demonstrações dos quarenta clubes de futebol (demonstrados </w:t>
      </w:r>
      <w:r w:rsidRPr="007F38F8">
        <w:rPr>
          <w:sz w:val="24"/>
          <w:szCs w:val="24"/>
        </w:rPr>
        <w:t>n</w:t>
      </w:r>
      <w:r w:rsidR="007F38F8" w:rsidRPr="007F38F8">
        <w:rPr>
          <w:sz w:val="24"/>
          <w:szCs w:val="24"/>
        </w:rPr>
        <w:t>a</w:t>
      </w:r>
      <w:r w:rsidRPr="007F38F8">
        <w:rPr>
          <w:sz w:val="24"/>
          <w:szCs w:val="24"/>
        </w:rPr>
        <w:t xml:space="preserve"> </w:t>
      </w:r>
      <w:r w:rsidR="007F38F8" w:rsidRPr="007F38F8">
        <w:rPr>
          <w:sz w:val="24"/>
          <w:szCs w:val="24"/>
        </w:rPr>
        <w:t>Tabela 1</w:t>
      </w:r>
      <w:r w:rsidR="007F38F8">
        <w:rPr>
          <w:sz w:val="24"/>
          <w:szCs w:val="24"/>
        </w:rPr>
        <w:t xml:space="preserve">), </w:t>
      </w:r>
      <w:r w:rsidRPr="005F4E77">
        <w:rPr>
          <w:sz w:val="24"/>
          <w:szCs w:val="24"/>
        </w:rPr>
        <w:t xml:space="preserve">coletados nos </w:t>
      </w:r>
      <w:r w:rsidRPr="005F4E77">
        <w:rPr>
          <w:i/>
          <w:iCs/>
          <w:sz w:val="24"/>
          <w:szCs w:val="24"/>
        </w:rPr>
        <w:t>sites</w:t>
      </w:r>
      <w:r w:rsidRPr="005F4E77">
        <w:rPr>
          <w:sz w:val="24"/>
          <w:szCs w:val="24"/>
        </w:rPr>
        <w:t xml:space="preserve"> oficiais dos respectivos clubes ou nos </w:t>
      </w:r>
      <w:r w:rsidRPr="005F4E77">
        <w:rPr>
          <w:i/>
          <w:iCs/>
          <w:sz w:val="24"/>
          <w:szCs w:val="24"/>
        </w:rPr>
        <w:t>sites</w:t>
      </w:r>
      <w:r w:rsidRPr="005F4E77">
        <w:rPr>
          <w:sz w:val="24"/>
          <w:szCs w:val="24"/>
        </w:rPr>
        <w:t xml:space="preserve"> da federação do estado, por exemplo, os clubes de Santa Catarina foram coletados no site da Federação Catarinense de Futebol, já do clube Sociedade Esportiva Palmeiras foi coletado do seu </w:t>
      </w:r>
      <w:r w:rsidRPr="005F4E77">
        <w:rPr>
          <w:i/>
          <w:iCs/>
          <w:sz w:val="24"/>
          <w:szCs w:val="24"/>
        </w:rPr>
        <w:t>site</w:t>
      </w:r>
      <w:r w:rsidR="007F38F8">
        <w:rPr>
          <w:sz w:val="24"/>
          <w:szCs w:val="24"/>
        </w:rPr>
        <w:t xml:space="preserve"> oficial. </w:t>
      </w:r>
      <w:r w:rsidRPr="005F4E77">
        <w:rPr>
          <w:sz w:val="24"/>
          <w:szCs w:val="24"/>
        </w:rPr>
        <w:t>Após esse levantamento, fo</w:t>
      </w:r>
      <w:r w:rsidR="004F3AE6">
        <w:rPr>
          <w:sz w:val="24"/>
          <w:szCs w:val="24"/>
        </w:rPr>
        <w:t>ram</w:t>
      </w:r>
      <w:r w:rsidRPr="005F4E77">
        <w:rPr>
          <w:sz w:val="24"/>
          <w:szCs w:val="24"/>
        </w:rPr>
        <w:t xml:space="preserve"> excluído</w:t>
      </w:r>
      <w:r w:rsidR="004F3AE6">
        <w:rPr>
          <w:sz w:val="24"/>
          <w:szCs w:val="24"/>
        </w:rPr>
        <w:t>s</w:t>
      </w:r>
      <w:r w:rsidRPr="005F4E77">
        <w:rPr>
          <w:sz w:val="24"/>
          <w:szCs w:val="24"/>
        </w:rPr>
        <w:t xml:space="preserve"> da amostra, por ano, os clubes que não publicaram as demonstrações contábeis, restando 119 demonstrações a serem analisadas, </w:t>
      </w:r>
      <w:r w:rsidR="007F38F8">
        <w:rPr>
          <w:sz w:val="24"/>
          <w:szCs w:val="24"/>
        </w:rPr>
        <w:t>conforme demonstrado na Tabela 2</w:t>
      </w:r>
      <w:r w:rsidRPr="005F4E77">
        <w:rPr>
          <w:sz w:val="24"/>
          <w:szCs w:val="24"/>
        </w:rPr>
        <w:t>.</w:t>
      </w:r>
    </w:p>
    <w:p w:rsidR="005F4E77" w:rsidRPr="005F4E77" w:rsidRDefault="007F38F8" w:rsidP="005F4E77">
      <w:r>
        <w:t>Tabela 2</w:t>
      </w:r>
      <w:r w:rsidR="005F4E77" w:rsidRPr="005F4E77">
        <w:t xml:space="preserve"> – População e exclusões da pesquisa</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4023"/>
        <w:gridCol w:w="1035"/>
        <w:gridCol w:w="1035"/>
        <w:gridCol w:w="1038"/>
        <w:gridCol w:w="1038"/>
        <w:gridCol w:w="1036"/>
      </w:tblGrid>
      <w:tr w:rsidR="005F4E77" w:rsidRPr="005F4E77" w:rsidTr="004D366C">
        <w:trPr>
          <w:trHeight w:hRule="exact" w:val="284"/>
        </w:trPr>
        <w:tc>
          <w:tcPr>
            <w:tcW w:w="2048"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rPr>
                <w:b/>
                <w:bCs/>
                <w:color w:val="000000"/>
              </w:rPr>
            </w:pPr>
            <w:r w:rsidRPr="005F4E77">
              <w:rPr>
                <w:b/>
                <w:bCs/>
                <w:color w:val="000000"/>
              </w:rPr>
              <w:t>Amostra \ Ano</w:t>
            </w:r>
          </w:p>
        </w:tc>
        <w:tc>
          <w:tcPr>
            <w:tcW w:w="590"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2013</w:t>
            </w:r>
          </w:p>
        </w:tc>
        <w:tc>
          <w:tcPr>
            <w:tcW w:w="590"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2014</w:t>
            </w:r>
          </w:p>
        </w:tc>
        <w:tc>
          <w:tcPr>
            <w:tcW w:w="591"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2015</w:t>
            </w:r>
          </w:p>
        </w:tc>
        <w:tc>
          <w:tcPr>
            <w:tcW w:w="591"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2016</w:t>
            </w:r>
          </w:p>
        </w:tc>
        <w:tc>
          <w:tcPr>
            <w:tcW w:w="591"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Total</w:t>
            </w:r>
          </w:p>
        </w:tc>
      </w:tr>
      <w:tr w:rsidR="005F4E77" w:rsidRPr="005F4E77" w:rsidTr="004D366C">
        <w:trPr>
          <w:trHeight w:hRule="exact" w:val="284"/>
        </w:trPr>
        <w:tc>
          <w:tcPr>
            <w:tcW w:w="2048" w:type="pct"/>
            <w:tcBorders>
              <w:top w:val="single" w:sz="12" w:space="0" w:color="auto"/>
            </w:tcBorders>
            <w:shd w:val="clear" w:color="auto" w:fill="auto"/>
            <w:noWrap/>
            <w:vAlign w:val="center"/>
            <w:hideMark/>
          </w:tcPr>
          <w:p w:rsidR="005F4E77" w:rsidRPr="005F4E77" w:rsidRDefault="005F4E77" w:rsidP="004D366C">
            <w:pPr>
              <w:suppressAutoHyphens w:val="0"/>
              <w:rPr>
                <w:color w:val="000000"/>
              </w:rPr>
            </w:pPr>
            <w:r w:rsidRPr="005F4E77">
              <w:rPr>
                <w:color w:val="000000"/>
              </w:rPr>
              <w:t>População</w:t>
            </w:r>
          </w:p>
        </w:tc>
        <w:tc>
          <w:tcPr>
            <w:tcW w:w="590" w:type="pct"/>
            <w:tcBorders>
              <w:top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40</w:t>
            </w:r>
          </w:p>
        </w:tc>
        <w:tc>
          <w:tcPr>
            <w:tcW w:w="590" w:type="pct"/>
            <w:tcBorders>
              <w:top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40</w:t>
            </w:r>
          </w:p>
        </w:tc>
        <w:tc>
          <w:tcPr>
            <w:tcW w:w="591" w:type="pct"/>
            <w:tcBorders>
              <w:top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40</w:t>
            </w:r>
          </w:p>
        </w:tc>
        <w:tc>
          <w:tcPr>
            <w:tcW w:w="591" w:type="pct"/>
            <w:tcBorders>
              <w:top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40</w:t>
            </w:r>
          </w:p>
        </w:tc>
        <w:tc>
          <w:tcPr>
            <w:tcW w:w="591" w:type="pct"/>
            <w:tcBorders>
              <w:top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160</w:t>
            </w:r>
          </w:p>
        </w:tc>
      </w:tr>
      <w:tr w:rsidR="005F4E77" w:rsidRPr="005F4E77" w:rsidTr="004D366C">
        <w:trPr>
          <w:trHeight w:hRule="exact" w:val="284"/>
        </w:trPr>
        <w:tc>
          <w:tcPr>
            <w:tcW w:w="2048" w:type="pct"/>
            <w:shd w:val="clear" w:color="auto" w:fill="auto"/>
            <w:noWrap/>
            <w:vAlign w:val="center"/>
            <w:hideMark/>
          </w:tcPr>
          <w:p w:rsidR="005F4E77" w:rsidRPr="005F4E77" w:rsidRDefault="005F4E77" w:rsidP="004D366C">
            <w:pPr>
              <w:suppressAutoHyphens w:val="0"/>
              <w:rPr>
                <w:color w:val="000000"/>
              </w:rPr>
            </w:pPr>
            <w:r w:rsidRPr="005F4E77">
              <w:rPr>
                <w:color w:val="000000"/>
              </w:rPr>
              <w:t>(-) Não publicaram as Demonstrações Contábeis</w:t>
            </w:r>
          </w:p>
        </w:tc>
        <w:tc>
          <w:tcPr>
            <w:tcW w:w="590" w:type="pct"/>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13</w:t>
            </w:r>
          </w:p>
        </w:tc>
        <w:tc>
          <w:tcPr>
            <w:tcW w:w="590" w:type="pct"/>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12</w:t>
            </w:r>
          </w:p>
        </w:tc>
        <w:tc>
          <w:tcPr>
            <w:tcW w:w="591"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8</w:t>
            </w:r>
            <w:proofErr w:type="gramEnd"/>
          </w:p>
        </w:tc>
        <w:tc>
          <w:tcPr>
            <w:tcW w:w="591"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8</w:t>
            </w:r>
            <w:proofErr w:type="gramEnd"/>
          </w:p>
        </w:tc>
        <w:tc>
          <w:tcPr>
            <w:tcW w:w="591" w:type="pct"/>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41</w:t>
            </w:r>
          </w:p>
        </w:tc>
      </w:tr>
      <w:tr w:rsidR="005F4E77" w:rsidRPr="005F4E77" w:rsidTr="004D366C">
        <w:trPr>
          <w:trHeight w:hRule="exact" w:val="284"/>
        </w:trPr>
        <w:tc>
          <w:tcPr>
            <w:tcW w:w="2048" w:type="pct"/>
            <w:shd w:val="clear" w:color="auto" w:fill="auto"/>
            <w:noWrap/>
            <w:vAlign w:val="center"/>
            <w:hideMark/>
          </w:tcPr>
          <w:p w:rsidR="005F4E77" w:rsidRPr="005F4E77" w:rsidRDefault="005F4E77" w:rsidP="004D366C">
            <w:pPr>
              <w:suppressAutoHyphens w:val="0"/>
              <w:rPr>
                <w:b/>
                <w:bCs/>
                <w:color w:val="000000"/>
              </w:rPr>
            </w:pPr>
            <w:r w:rsidRPr="005F4E77">
              <w:rPr>
                <w:b/>
                <w:bCs/>
                <w:color w:val="000000"/>
              </w:rPr>
              <w:t>Amostra</w:t>
            </w:r>
          </w:p>
        </w:tc>
        <w:tc>
          <w:tcPr>
            <w:tcW w:w="590" w:type="pct"/>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27</w:t>
            </w:r>
          </w:p>
        </w:tc>
        <w:tc>
          <w:tcPr>
            <w:tcW w:w="590" w:type="pct"/>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28</w:t>
            </w:r>
          </w:p>
        </w:tc>
        <w:tc>
          <w:tcPr>
            <w:tcW w:w="591" w:type="pct"/>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32</w:t>
            </w:r>
          </w:p>
        </w:tc>
        <w:tc>
          <w:tcPr>
            <w:tcW w:w="591" w:type="pct"/>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32</w:t>
            </w:r>
          </w:p>
        </w:tc>
        <w:tc>
          <w:tcPr>
            <w:tcW w:w="591" w:type="pct"/>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119</w:t>
            </w:r>
          </w:p>
        </w:tc>
      </w:tr>
      <w:tr w:rsidR="005F4E77" w:rsidRPr="005F4E77" w:rsidTr="004D366C">
        <w:trPr>
          <w:trHeight w:hRule="exact" w:val="284"/>
        </w:trPr>
        <w:tc>
          <w:tcPr>
            <w:tcW w:w="2048" w:type="pct"/>
            <w:shd w:val="clear" w:color="auto" w:fill="auto"/>
            <w:noWrap/>
            <w:vAlign w:val="center"/>
            <w:hideMark/>
          </w:tcPr>
          <w:p w:rsidR="005F4E77" w:rsidRPr="005F4E77" w:rsidRDefault="005F4E77" w:rsidP="004D366C">
            <w:pPr>
              <w:suppressAutoHyphens w:val="0"/>
              <w:rPr>
                <w:color w:val="000000"/>
              </w:rPr>
            </w:pPr>
            <w:r w:rsidRPr="005F4E77">
              <w:rPr>
                <w:color w:val="000000"/>
              </w:rPr>
              <w:t>(-) Não apresentaram as notas explicativas</w:t>
            </w:r>
          </w:p>
        </w:tc>
        <w:tc>
          <w:tcPr>
            <w:tcW w:w="59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2</w:t>
            </w:r>
            <w:proofErr w:type="gramEnd"/>
          </w:p>
        </w:tc>
        <w:tc>
          <w:tcPr>
            <w:tcW w:w="59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3</w:t>
            </w:r>
            <w:proofErr w:type="gramEnd"/>
          </w:p>
        </w:tc>
        <w:tc>
          <w:tcPr>
            <w:tcW w:w="591"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6</w:t>
            </w:r>
            <w:proofErr w:type="gramEnd"/>
          </w:p>
        </w:tc>
        <w:tc>
          <w:tcPr>
            <w:tcW w:w="591"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4</w:t>
            </w:r>
            <w:proofErr w:type="gramEnd"/>
          </w:p>
        </w:tc>
        <w:tc>
          <w:tcPr>
            <w:tcW w:w="591" w:type="pct"/>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15</w:t>
            </w:r>
          </w:p>
        </w:tc>
      </w:tr>
      <w:tr w:rsidR="005F4E77" w:rsidRPr="005F4E77" w:rsidTr="004D366C">
        <w:trPr>
          <w:trHeight w:hRule="exact" w:val="284"/>
        </w:trPr>
        <w:tc>
          <w:tcPr>
            <w:tcW w:w="2048" w:type="pct"/>
            <w:shd w:val="clear" w:color="auto" w:fill="auto"/>
            <w:noWrap/>
            <w:vAlign w:val="center"/>
            <w:hideMark/>
          </w:tcPr>
          <w:p w:rsidR="005F4E77" w:rsidRPr="005F4E77" w:rsidRDefault="005F4E77" w:rsidP="004D366C">
            <w:pPr>
              <w:suppressAutoHyphens w:val="0"/>
              <w:rPr>
                <w:color w:val="000000"/>
              </w:rPr>
            </w:pPr>
            <w:r w:rsidRPr="005F4E77">
              <w:rPr>
                <w:color w:val="000000"/>
              </w:rPr>
              <w:t>(-) Não possui jogadores no balanço</w:t>
            </w:r>
          </w:p>
        </w:tc>
        <w:tc>
          <w:tcPr>
            <w:tcW w:w="590" w:type="pct"/>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w:t>
            </w:r>
          </w:p>
        </w:tc>
        <w:tc>
          <w:tcPr>
            <w:tcW w:w="59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1</w:t>
            </w:r>
            <w:proofErr w:type="gramEnd"/>
          </w:p>
        </w:tc>
        <w:tc>
          <w:tcPr>
            <w:tcW w:w="591"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2</w:t>
            </w:r>
            <w:proofErr w:type="gramEnd"/>
          </w:p>
        </w:tc>
        <w:tc>
          <w:tcPr>
            <w:tcW w:w="591"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1</w:t>
            </w:r>
            <w:proofErr w:type="gramEnd"/>
          </w:p>
        </w:tc>
        <w:tc>
          <w:tcPr>
            <w:tcW w:w="591" w:type="pct"/>
            <w:shd w:val="clear" w:color="auto" w:fill="auto"/>
            <w:noWrap/>
            <w:vAlign w:val="center"/>
            <w:hideMark/>
          </w:tcPr>
          <w:p w:rsidR="005F4E77" w:rsidRPr="005F4E77" w:rsidRDefault="005F4E77" w:rsidP="004D366C">
            <w:pPr>
              <w:suppressAutoHyphens w:val="0"/>
              <w:jc w:val="center"/>
              <w:rPr>
                <w:b/>
                <w:bCs/>
                <w:color w:val="000000"/>
              </w:rPr>
            </w:pPr>
            <w:proofErr w:type="gramStart"/>
            <w:r w:rsidRPr="005F4E77">
              <w:rPr>
                <w:b/>
                <w:bCs/>
                <w:color w:val="000000"/>
              </w:rPr>
              <w:t>4</w:t>
            </w:r>
            <w:proofErr w:type="gramEnd"/>
          </w:p>
        </w:tc>
      </w:tr>
      <w:tr w:rsidR="005F4E77" w:rsidRPr="005F4E77" w:rsidTr="004D366C">
        <w:trPr>
          <w:trHeight w:hRule="exact" w:val="284"/>
        </w:trPr>
        <w:tc>
          <w:tcPr>
            <w:tcW w:w="2048" w:type="pct"/>
            <w:shd w:val="clear" w:color="auto" w:fill="auto"/>
            <w:noWrap/>
            <w:vAlign w:val="center"/>
            <w:hideMark/>
          </w:tcPr>
          <w:p w:rsidR="005F4E77" w:rsidRPr="005F4E77" w:rsidRDefault="005F4E77" w:rsidP="004D366C">
            <w:pPr>
              <w:suppressAutoHyphens w:val="0"/>
              <w:rPr>
                <w:color w:val="000000"/>
              </w:rPr>
            </w:pPr>
            <w:r w:rsidRPr="005F4E77">
              <w:rPr>
                <w:color w:val="000000"/>
              </w:rPr>
              <w:t>(-) Não aderiu a ITG 2003</w:t>
            </w:r>
          </w:p>
        </w:tc>
        <w:tc>
          <w:tcPr>
            <w:tcW w:w="59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4</w:t>
            </w:r>
            <w:proofErr w:type="gramEnd"/>
          </w:p>
        </w:tc>
        <w:tc>
          <w:tcPr>
            <w:tcW w:w="59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1</w:t>
            </w:r>
            <w:proofErr w:type="gramEnd"/>
          </w:p>
        </w:tc>
        <w:tc>
          <w:tcPr>
            <w:tcW w:w="591"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1</w:t>
            </w:r>
            <w:proofErr w:type="gramEnd"/>
          </w:p>
        </w:tc>
        <w:tc>
          <w:tcPr>
            <w:tcW w:w="591"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1</w:t>
            </w:r>
            <w:proofErr w:type="gramEnd"/>
          </w:p>
        </w:tc>
        <w:tc>
          <w:tcPr>
            <w:tcW w:w="591" w:type="pct"/>
            <w:shd w:val="clear" w:color="auto" w:fill="auto"/>
            <w:noWrap/>
            <w:vAlign w:val="center"/>
            <w:hideMark/>
          </w:tcPr>
          <w:p w:rsidR="005F4E77" w:rsidRPr="005F4E77" w:rsidRDefault="005F4E77" w:rsidP="004D366C">
            <w:pPr>
              <w:suppressAutoHyphens w:val="0"/>
              <w:jc w:val="center"/>
              <w:rPr>
                <w:b/>
                <w:bCs/>
                <w:color w:val="000000"/>
              </w:rPr>
            </w:pPr>
            <w:proofErr w:type="gramStart"/>
            <w:r w:rsidRPr="005F4E77">
              <w:rPr>
                <w:b/>
                <w:bCs/>
                <w:color w:val="000000"/>
              </w:rPr>
              <w:t>7</w:t>
            </w:r>
            <w:proofErr w:type="gramEnd"/>
          </w:p>
        </w:tc>
      </w:tr>
      <w:tr w:rsidR="005F4E77" w:rsidRPr="005F4E77" w:rsidTr="004D366C">
        <w:trPr>
          <w:trHeight w:hRule="exact" w:val="284"/>
        </w:trPr>
        <w:tc>
          <w:tcPr>
            <w:tcW w:w="2048" w:type="pct"/>
            <w:tcBorders>
              <w:bottom w:val="single" w:sz="12" w:space="0" w:color="auto"/>
            </w:tcBorders>
            <w:shd w:val="clear" w:color="auto" w:fill="auto"/>
            <w:noWrap/>
            <w:vAlign w:val="center"/>
            <w:hideMark/>
          </w:tcPr>
          <w:p w:rsidR="005F4E77" w:rsidRPr="005F4E77" w:rsidRDefault="005F4E77" w:rsidP="004D366C">
            <w:pPr>
              <w:suppressAutoHyphens w:val="0"/>
              <w:rPr>
                <w:b/>
                <w:bCs/>
                <w:color w:val="000000"/>
              </w:rPr>
            </w:pPr>
            <w:r w:rsidRPr="005F4E77">
              <w:rPr>
                <w:b/>
                <w:bCs/>
                <w:color w:val="000000"/>
              </w:rPr>
              <w:t>Amostra final</w:t>
            </w:r>
          </w:p>
        </w:tc>
        <w:tc>
          <w:tcPr>
            <w:tcW w:w="590"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21</w:t>
            </w:r>
          </w:p>
        </w:tc>
        <w:tc>
          <w:tcPr>
            <w:tcW w:w="590"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23</w:t>
            </w:r>
          </w:p>
        </w:tc>
        <w:tc>
          <w:tcPr>
            <w:tcW w:w="591"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23</w:t>
            </w:r>
          </w:p>
        </w:tc>
        <w:tc>
          <w:tcPr>
            <w:tcW w:w="591"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26</w:t>
            </w:r>
          </w:p>
        </w:tc>
        <w:tc>
          <w:tcPr>
            <w:tcW w:w="591"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b/>
                <w:bCs/>
                <w:color w:val="000000"/>
              </w:rPr>
            </w:pPr>
            <w:r w:rsidRPr="005F4E77">
              <w:rPr>
                <w:b/>
                <w:bCs/>
                <w:color w:val="000000"/>
              </w:rPr>
              <w:t>93</w:t>
            </w:r>
          </w:p>
        </w:tc>
      </w:tr>
    </w:tbl>
    <w:p w:rsidR="005F4E77" w:rsidRPr="005F4E77" w:rsidRDefault="005F4E77" w:rsidP="005F4E77">
      <w:r w:rsidRPr="005F4E77">
        <w:t>Fonte: Dados da pesquisa (2018).</w:t>
      </w:r>
    </w:p>
    <w:p w:rsidR="005F4E77" w:rsidRPr="005F4E77" w:rsidRDefault="005F4E77" w:rsidP="005F4E77">
      <w:pPr>
        <w:ind w:firstLine="709"/>
        <w:jc w:val="both"/>
        <w:rPr>
          <w:sz w:val="24"/>
          <w:szCs w:val="24"/>
        </w:rPr>
      </w:pPr>
      <w:r w:rsidRPr="005F4E77">
        <w:rPr>
          <w:sz w:val="24"/>
          <w:szCs w:val="24"/>
        </w:rPr>
        <w:t>Dentre as 41 demonstrações contábeis não apresentadas</w:t>
      </w:r>
      <w:r w:rsidR="004F3AE6">
        <w:rPr>
          <w:sz w:val="24"/>
          <w:szCs w:val="24"/>
        </w:rPr>
        <w:t>,</w:t>
      </w:r>
      <w:r w:rsidRPr="005F4E77">
        <w:rPr>
          <w:sz w:val="24"/>
          <w:szCs w:val="24"/>
        </w:rPr>
        <w:t xml:space="preserve"> 28 foram de clubes que não apresentaram as demonstrações contábeis em nenhum dos quatro anos analisados, são eles: ABC Futebol Clube, Boa Esporte Clube, Clube de Regatas Brasil – CRB, Londrina Esporte Clube, </w:t>
      </w:r>
      <w:proofErr w:type="spellStart"/>
      <w:r w:rsidRPr="005F4E77">
        <w:rPr>
          <w:sz w:val="24"/>
          <w:szCs w:val="24"/>
        </w:rPr>
        <w:t>Luverdense</w:t>
      </w:r>
      <w:proofErr w:type="spellEnd"/>
      <w:r w:rsidRPr="005F4E77">
        <w:rPr>
          <w:sz w:val="24"/>
          <w:szCs w:val="24"/>
        </w:rPr>
        <w:t xml:space="preserve"> Esporte Clube, Paraná Clube, e Oeste Futebol Clube.</w:t>
      </w:r>
    </w:p>
    <w:p w:rsidR="005F4E77" w:rsidRPr="005F4E77" w:rsidRDefault="005F4E77" w:rsidP="005F4E77">
      <w:pPr>
        <w:ind w:firstLine="709"/>
        <w:jc w:val="both"/>
        <w:rPr>
          <w:sz w:val="24"/>
          <w:szCs w:val="24"/>
        </w:rPr>
      </w:pPr>
      <w:r w:rsidRPr="005F4E77">
        <w:rPr>
          <w:sz w:val="24"/>
          <w:szCs w:val="24"/>
        </w:rPr>
        <w:t>Das 119 demonstrações que foram analisadas, 15 foram excluídas por não apresentarem suas notas explicativas, o que distorceria o nível de evidenciação apresentado a seguir, quatro por não apresentarem intangível/jogadores no balanço patrimonial e sete por não terem aderido a ITG 2003 R1(2013) durante o período da amostra, o que resultou em uma amostra final de 93 clubes de futebol para análise.</w:t>
      </w:r>
    </w:p>
    <w:p w:rsidR="005F4E77" w:rsidRPr="005F4E77" w:rsidRDefault="005F4E77" w:rsidP="002049C8">
      <w:pPr>
        <w:pStyle w:val="NormalWeb"/>
        <w:shd w:val="clear" w:color="auto" w:fill="FFFFFF"/>
        <w:spacing w:before="0" w:beforeAutospacing="0" w:after="0" w:afterAutospacing="0"/>
        <w:jc w:val="both"/>
        <w:rPr>
          <w:b/>
          <w:sz w:val="24"/>
          <w:szCs w:val="24"/>
        </w:rPr>
      </w:pPr>
      <w:r w:rsidRPr="005F4E77">
        <w:rPr>
          <w:b/>
          <w:sz w:val="24"/>
          <w:szCs w:val="24"/>
        </w:rPr>
        <w:t>3.2 Procedimentos de Análise dos Dados</w:t>
      </w:r>
    </w:p>
    <w:p w:rsidR="005F4E77" w:rsidRPr="005F4E77" w:rsidRDefault="005F4E77" w:rsidP="005F4E77">
      <w:pPr>
        <w:ind w:firstLine="709"/>
        <w:jc w:val="both"/>
        <w:rPr>
          <w:sz w:val="24"/>
          <w:szCs w:val="24"/>
          <w:highlight w:val="yellow"/>
        </w:rPr>
      </w:pPr>
      <w:r w:rsidRPr="005F4E77">
        <w:rPr>
          <w:sz w:val="24"/>
          <w:szCs w:val="24"/>
        </w:rPr>
        <w:t>A análise foi realizada em duas vertentes, sobre a evidenciação</w:t>
      </w:r>
      <w:r w:rsidR="004F3AE6">
        <w:rPr>
          <w:sz w:val="24"/>
          <w:szCs w:val="24"/>
        </w:rPr>
        <w:t xml:space="preserve"> e sobre o desempenho econômico-</w:t>
      </w:r>
      <w:r w:rsidRPr="005F4E77">
        <w:rPr>
          <w:sz w:val="24"/>
          <w:szCs w:val="24"/>
        </w:rPr>
        <w:t>financeiro</w:t>
      </w:r>
      <w:r w:rsidR="004F3AE6">
        <w:rPr>
          <w:sz w:val="24"/>
          <w:szCs w:val="24"/>
        </w:rPr>
        <w:t>. D</w:t>
      </w:r>
      <w:r w:rsidRPr="005F4E77">
        <w:rPr>
          <w:sz w:val="24"/>
          <w:szCs w:val="24"/>
        </w:rPr>
        <w:t>essa forma</w:t>
      </w:r>
      <w:r w:rsidR="004F3AE6">
        <w:rPr>
          <w:sz w:val="24"/>
          <w:szCs w:val="24"/>
        </w:rPr>
        <w:t>,</w:t>
      </w:r>
      <w:r w:rsidRPr="005F4E77">
        <w:rPr>
          <w:sz w:val="24"/>
          <w:szCs w:val="24"/>
        </w:rPr>
        <w:t xml:space="preserve"> subdividiram-se os procedimentos de análise dos dados.</w:t>
      </w:r>
    </w:p>
    <w:p w:rsidR="005F4E77" w:rsidRPr="005F4E77" w:rsidRDefault="005F4E77" w:rsidP="002049C8">
      <w:pPr>
        <w:pStyle w:val="NormalWeb"/>
        <w:shd w:val="clear" w:color="auto" w:fill="FFFFFF"/>
        <w:spacing w:before="0" w:beforeAutospacing="0" w:after="0" w:afterAutospacing="0"/>
        <w:jc w:val="both"/>
        <w:rPr>
          <w:b/>
          <w:sz w:val="24"/>
          <w:szCs w:val="24"/>
        </w:rPr>
      </w:pPr>
      <w:r w:rsidRPr="005F4E77">
        <w:rPr>
          <w:b/>
          <w:sz w:val="24"/>
          <w:szCs w:val="24"/>
        </w:rPr>
        <w:t>3.2.1 Nível de Evidenciação</w:t>
      </w:r>
    </w:p>
    <w:p w:rsidR="005F4E77" w:rsidRPr="005F4E77" w:rsidRDefault="005F4E77" w:rsidP="005F4E77">
      <w:pPr>
        <w:ind w:firstLine="709"/>
        <w:jc w:val="both"/>
        <w:rPr>
          <w:sz w:val="24"/>
          <w:szCs w:val="24"/>
        </w:rPr>
      </w:pPr>
      <w:r w:rsidRPr="005F4E77">
        <w:rPr>
          <w:sz w:val="24"/>
          <w:szCs w:val="24"/>
        </w:rPr>
        <w:t xml:space="preserve">Com o objetivo de introduzir “critérios e procedimentos específicos de avaliação, de registros contábeis e de estruturação das demonstrações contábeis” </w:t>
      </w:r>
      <w:r w:rsidR="004F3AE6">
        <w:rPr>
          <w:sz w:val="24"/>
          <w:szCs w:val="24"/>
        </w:rPr>
        <w:t xml:space="preserve">a </w:t>
      </w:r>
      <w:r w:rsidRPr="005F4E77">
        <w:rPr>
          <w:sz w:val="24"/>
          <w:szCs w:val="24"/>
        </w:rPr>
        <w:t>ITG 2003 R1 (2013) estabeleceu a mudança na legislação de forma a criar um padrão entre as entidades desportivas.</w:t>
      </w:r>
    </w:p>
    <w:p w:rsidR="005F4E77" w:rsidRDefault="005F4E77" w:rsidP="005F4E77">
      <w:pPr>
        <w:ind w:firstLine="709"/>
        <w:jc w:val="both"/>
        <w:rPr>
          <w:sz w:val="24"/>
          <w:szCs w:val="24"/>
        </w:rPr>
      </w:pPr>
      <w:r w:rsidRPr="005F4E77">
        <w:rPr>
          <w:sz w:val="24"/>
          <w:szCs w:val="24"/>
        </w:rPr>
        <w:t xml:space="preserve">No presente trabalho, para análise da evidenciação, são abordados os itens que foram extraídos da ITG 2003 R1 (2013), buscando analisar se os clubes de futebol apresentaram tais informações em suas notas explicativas ou na própria estrutura das demonstrações contábeis. </w:t>
      </w:r>
    </w:p>
    <w:p w:rsidR="00976A7C" w:rsidRPr="005F4E77" w:rsidRDefault="00976A7C" w:rsidP="00976A7C">
      <w:pPr>
        <w:ind w:firstLine="709"/>
        <w:jc w:val="both"/>
        <w:rPr>
          <w:sz w:val="24"/>
          <w:szCs w:val="24"/>
        </w:rPr>
      </w:pPr>
      <w:r w:rsidRPr="005F4E77">
        <w:rPr>
          <w:sz w:val="24"/>
          <w:szCs w:val="24"/>
        </w:rPr>
        <w:t xml:space="preserve">Visando medir o nível de evidenciação, foi calculado um índice com base na fórmula apresentada a seguir e na análise da evidenciação foi adotada a seguinte metodologia: nos casos em que a respectiva informação constava nas notas explicativas ou nas próprias demonstrações contábeis do respectivo clube em análise, atribuiu-se </w:t>
      </w:r>
      <w:proofErr w:type="gramStart"/>
      <w:r w:rsidRPr="005F4E77">
        <w:rPr>
          <w:sz w:val="24"/>
          <w:szCs w:val="24"/>
        </w:rPr>
        <w:t>1</w:t>
      </w:r>
      <w:proofErr w:type="gramEnd"/>
      <w:r w:rsidRPr="005F4E77">
        <w:rPr>
          <w:sz w:val="24"/>
          <w:szCs w:val="24"/>
        </w:rPr>
        <w:t xml:space="preserve"> (um ponto) indicando “sim” presença da informação. Nos casos em que a informação foi encontrada de maneira parcial (incompleta) atribuiu-se 0,5 (meio ponto) indicando “informações parciais”, e nos casos em que não houve a evidenciação da informação, atribuiu-se </w:t>
      </w:r>
      <w:proofErr w:type="gramStart"/>
      <w:r w:rsidRPr="005F4E77">
        <w:rPr>
          <w:sz w:val="24"/>
          <w:szCs w:val="24"/>
        </w:rPr>
        <w:t>0</w:t>
      </w:r>
      <w:proofErr w:type="gramEnd"/>
      <w:r w:rsidRPr="005F4E77">
        <w:rPr>
          <w:sz w:val="24"/>
          <w:szCs w:val="24"/>
        </w:rPr>
        <w:t xml:space="preserve"> (zero) indicando “não </w:t>
      </w:r>
      <w:r w:rsidRPr="005F4E77">
        <w:rPr>
          <w:sz w:val="24"/>
          <w:szCs w:val="24"/>
        </w:rPr>
        <w:lastRenderedPageBreak/>
        <w:t>evidenciação”. Nos casos em que a informação não se enquadrava no clube, foi atribuído “NA – não se aplica”, excluindo o item da métrica.</w:t>
      </w:r>
    </w:p>
    <w:tbl>
      <w:tblPr>
        <w:tblW w:w="0" w:type="auto"/>
        <w:tblLayout w:type="fixed"/>
        <w:tblLook w:val="04A0"/>
      </w:tblPr>
      <w:tblGrid>
        <w:gridCol w:w="4644"/>
        <w:gridCol w:w="3828"/>
      </w:tblGrid>
      <w:tr w:rsidR="00976A7C" w:rsidRPr="005F4E77" w:rsidTr="005471B1">
        <w:tc>
          <w:tcPr>
            <w:tcW w:w="4644" w:type="dxa"/>
            <w:vMerge w:val="restart"/>
            <w:vAlign w:val="center"/>
          </w:tcPr>
          <w:p w:rsidR="00976A7C" w:rsidRPr="005F4E77" w:rsidRDefault="00976A7C" w:rsidP="005471B1">
            <w:pPr>
              <w:jc w:val="right"/>
              <w:rPr>
                <w:sz w:val="24"/>
                <w:szCs w:val="24"/>
              </w:rPr>
            </w:pPr>
            <w:r w:rsidRPr="005F4E77">
              <w:rPr>
                <w:sz w:val="24"/>
                <w:szCs w:val="24"/>
              </w:rPr>
              <w:t>Índice de evidenciação=</w:t>
            </w:r>
          </w:p>
        </w:tc>
        <w:tc>
          <w:tcPr>
            <w:tcW w:w="3828" w:type="dxa"/>
            <w:tcBorders>
              <w:bottom w:val="single" w:sz="4" w:space="0" w:color="auto"/>
            </w:tcBorders>
            <w:vAlign w:val="center"/>
          </w:tcPr>
          <w:p w:rsidR="00976A7C" w:rsidRPr="005F4E77" w:rsidRDefault="00976A7C" w:rsidP="005471B1">
            <w:pPr>
              <w:ind w:left="34" w:right="-108"/>
              <w:jc w:val="center"/>
              <w:rPr>
                <w:sz w:val="24"/>
                <w:szCs w:val="24"/>
              </w:rPr>
            </w:pPr>
            <w:r w:rsidRPr="005F4E77">
              <w:rPr>
                <w:sz w:val="24"/>
                <w:szCs w:val="24"/>
              </w:rPr>
              <w:t>∑ item x 100</w:t>
            </w:r>
          </w:p>
        </w:tc>
      </w:tr>
      <w:tr w:rsidR="00976A7C" w:rsidRPr="005F4E77" w:rsidTr="005471B1">
        <w:tc>
          <w:tcPr>
            <w:tcW w:w="4644" w:type="dxa"/>
            <w:vMerge/>
          </w:tcPr>
          <w:p w:rsidR="00976A7C" w:rsidRPr="005F4E77" w:rsidRDefault="00976A7C" w:rsidP="005471B1">
            <w:pPr>
              <w:jc w:val="both"/>
              <w:rPr>
                <w:sz w:val="24"/>
                <w:szCs w:val="24"/>
              </w:rPr>
            </w:pPr>
          </w:p>
        </w:tc>
        <w:tc>
          <w:tcPr>
            <w:tcW w:w="3828" w:type="dxa"/>
            <w:tcBorders>
              <w:top w:val="single" w:sz="4" w:space="0" w:color="auto"/>
            </w:tcBorders>
            <w:vAlign w:val="center"/>
          </w:tcPr>
          <w:p w:rsidR="00976A7C" w:rsidRPr="005F4E77" w:rsidRDefault="00976A7C" w:rsidP="005471B1">
            <w:pPr>
              <w:rPr>
                <w:sz w:val="24"/>
                <w:szCs w:val="24"/>
              </w:rPr>
            </w:pPr>
            <w:r w:rsidRPr="005F4E77">
              <w:rPr>
                <w:sz w:val="24"/>
                <w:szCs w:val="24"/>
              </w:rPr>
              <w:t>(Número de quesitos – não se aplica)</w:t>
            </w:r>
          </w:p>
        </w:tc>
      </w:tr>
    </w:tbl>
    <w:p w:rsidR="00976A7C" w:rsidRPr="005F4E77" w:rsidRDefault="00976A7C" w:rsidP="00526D0C">
      <w:pPr>
        <w:ind w:firstLine="709"/>
        <w:jc w:val="both"/>
        <w:rPr>
          <w:sz w:val="24"/>
          <w:szCs w:val="24"/>
        </w:rPr>
      </w:pPr>
      <w:r w:rsidRPr="005F4E77">
        <w:rPr>
          <w:sz w:val="24"/>
          <w:szCs w:val="24"/>
        </w:rPr>
        <w:t>Em relação à lista de verificação</w:t>
      </w:r>
      <w:r>
        <w:rPr>
          <w:sz w:val="24"/>
          <w:szCs w:val="24"/>
        </w:rPr>
        <w:t xml:space="preserve">, apresentada </w:t>
      </w:r>
      <w:r w:rsidRPr="007F38F8">
        <w:rPr>
          <w:sz w:val="24"/>
          <w:szCs w:val="24"/>
        </w:rPr>
        <w:t>n</w:t>
      </w:r>
      <w:r w:rsidR="007F38F8" w:rsidRPr="007F38F8">
        <w:rPr>
          <w:sz w:val="24"/>
          <w:szCs w:val="24"/>
        </w:rPr>
        <w:t>a</w:t>
      </w:r>
      <w:r w:rsidRPr="007F38F8">
        <w:rPr>
          <w:sz w:val="24"/>
          <w:szCs w:val="24"/>
        </w:rPr>
        <w:t xml:space="preserve"> </w:t>
      </w:r>
      <w:r w:rsidR="007F38F8" w:rsidRPr="007F38F8">
        <w:rPr>
          <w:sz w:val="24"/>
          <w:szCs w:val="24"/>
        </w:rPr>
        <w:t>Tabela 3</w:t>
      </w:r>
      <w:r w:rsidRPr="007F38F8">
        <w:rPr>
          <w:sz w:val="24"/>
          <w:szCs w:val="24"/>
        </w:rPr>
        <w:t>,</w:t>
      </w:r>
      <w:r w:rsidRPr="005F4E77">
        <w:rPr>
          <w:sz w:val="24"/>
          <w:szCs w:val="24"/>
        </w:rPr>
        <w:t xml:space="preserve"> um dos itens para avaliar se o clube está atendendo a norma, é o fato de publicar suas demonstrações contábeis obrigatórias, sendo estas: </w:t>
      </w:r>
      <w:r w:rsidRPr="005F4E77">
        <w:rPr>
          <w:sz w:val="24"/>
          <w:szCs w:val="24"/>
          <w:shd w:val="clear" w:color="auto" w:fill="FFFFFF"/>
        </w:rPr>
        <w:t xml:space="preserve">balanço patrimonial, </w:t>
      </w:r>
      <w:r w:rsidRPr="005F4E77">
        <w:rPr>
          <w:sz w:val="24"/>
          <w:szCs w:val="24"/>
        </w:rPr>
        <w:t>demonstração do resultado do exercício, demonstração do resultado abrangente, demonstração das mutações do patrimônio líquido, demonstração do fluxo de caixa e notas explicativas. Para este item, nesta pesquisa, adotou-se a seguinte metodologia: caso algum clube tenha deixado de apresentar uma das demonstrações contábeis mencionadas, receberá 0,5.</w:t>
      </w:r>
    </w:p>
    <w:p w:rsidR="005F4E77" w:rsidRPr="005F4E77" w:rsidRDefault="007F38F8" w:rsidP="00A11EAB">
      <w:r w:rsidRPr="00A11EAB">
        <w:t>Tabela 3</w:t>
      </w:r>
      <w:r w:rsidR="005F4E77" w:rsidRPr="00A11EAB">
        <w:t xml:space="preserve"> -</w:t>
      </w:r>
      <w:r w:rsidR="005F4E77" w:rsidRPr="007F38F8">
        <w:t xml:space="preserve"> Lista</w:t>
      </w:r>
      <w:r w:rsidR="005F4E77" w:rsidRPr="005F4E77">
        <w:t xml:space="preserve"> de itens de verificação</w:t>
      </w:r>
    </w:p>
    <w:tbl>
      <w:tblPr>
        <w:tblW w:w="5000" w:type="pct"/>
        <w:tblBorders>
          <w:top w:val="single" w:sz="4" w:space="0" w:color="auto"/>
          <w:bottom w:val="single" w:sz="4" w:space="0" w:color="auto"/>
          <w:insideH w:val="single" w:sz="4" w:space="0" w:color="auto"/>
          <w:insideV w:val="single" w:sz="4" w:space="0" w:color="auto"/>
        </w:tblBorders>
        <w:tblLook w:val="04A0"/>
      </w:tblPr>
      <w:tblGrid>
        <w:gridCol w:w="830"/>
        <w:gridCol w:w="8451"/>
      </w:tblGrid>
      <w:tr w:rsidR="005F4E77" w:rsidRPr="005F4E77" w:rsidTr="00A11EAB">
        <w:trPr>
          <w:trHeight w:hRule="exact" w:val="284"/>
        </w:trPr>
        <w:tc>
          <w:tcPr>
            <w:tcW w:w="447" w:type="pct"/>
            <w:shd w:val="clear" w:color="auto" w:fill="auto"/>
            <w:vAlign w:val="center"/>
          </w:tcPr>
          <w:p w:rsidR="005F4E77" w:rsidRPr="005F4E77" w:rsidRDefault="005F4E77" w:rsidP="004D366C">
            <w:pPr>
              <w:jc w:val="center"/>
              <w:rPr>
                <w:b/>
              </w:rPr>
            </w:pPr>
            <w:r w:rsidRPr="005F4E77">
              <w:rPr>
                <w:b/>
              </w:rPr>
              <w:t>Item</w:t>
            </w:r>
          </w:p>
        </w:tc>
        <w:tc>
          <w:tcPr>
            <w:tcW w:w="4553" w:type="pct"/>
            <w:shd w:val="clear" w:color="auto" w:fill="auto"/>
            <w:vAlign w:val="center"/>
          </w:tcPr>
          <w:p w:rsidR="005F4E77" w:rsidRPr="005F4E77" w:rsidRDefault="005F4E77" w:rsidP="004D366C">
            <w:pPr>
              <w:jc w:val="both"/>
              <w:rPr>
                <w:b/>
              </w:rPr>
            </w:pPr>
            <w:r w:rsidRPr="005F4E77">
              <w:rPr>
                <w:b/>
              </w:rPr>
              <w:t>Evidenciação</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proofErr w:type="gramStart"/>
            <w:r w:rsidRPr="005F4E77">
              <w:t>1</w:t>
            </w:r>
            <w:proofErr w:type="gramEnd"/>
          </w:p>
        </w:tc>
        <w:tc>
          <w:tcPr>
            <w:tcW w:w="4553" w:type="pct"/>
            <w:shd w:val="clear" w:color="auto" w:fill="auto"/>
            <w:vAlign w:val="center"/>
          </w:tcPr>
          <w:p w:rsidR="005F4E77" w:rsidRPr="005F4E77" w:rsidRDefault="005F4E77" w:rsidP="004D366C">
            <w:pPr>
              <w:jc w:val="both"/>
            </w:pPr>
            <w:r w:rsidRPr="005F4E77">
              <w:t>Publicação das demonstrações obrigatórias</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proofErr w:type="gramStart"/>
            <w:r w:rsidRPr="005F4E77">
              <w:t>2</w:t>
            </w:r>
            <w:proofErr w:type="gramEnd"/>
          </w:p>
        </w:tc>
        <w:tc>
          <w:tcPr>
            <w:tcW w:w="4553" w:type="pct"/>
            <w:shd w:val="clear" w:color="auto" w:fill="auto"/>
            <w:vAlign w:val="center"/>
          </w:tcPr>
          <w:p w:rsidR="005F4E77" w:rsidRPr="005F4E77" w:rsidRDefault="005F4E77" w:rsidP="004D366C">
            <w:pPr>
              <w:jc w:val="both"/>
            </w:pPr>
            <w:r w:rsidRPr="005F4E77">
              <w:t>Publicação da Demonstração do Valor Adicionado</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proofErr w:type="gramStart"/>
            <w:r w:rsidRPr="005F4E77">
              <w:t>3</w:t>
            </w:r>
            <w:proofErr w:type="gramEnd"/>
          </w:p>
        </w:tc>
        <w:tc>
          <w:tcPr>
            <w:tcW w:w="4553" w:type="pct"/>
            <w:shd w:val="clear" w:color="auto" w:fill="auto"/>
            <w:vAlign w:val="center"/>
          </w:tcPr>
          <w:p w:rsidR="005F4E77" w:rsidRPr="005F4E77" w:rsidRDefault="005F4E77" w:rsidP="004D366C">
            <w:pPr>
              <w:jc w:val="both"/>
            </w:pPr>
            <w:r w:rsidRPr="005F4E77">
              <w:t>Natureza do ativo intangível</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proofErr w:type="gramStart"/>
            <w:r w:rsidRPr="005F4E77">
              <w:t>4</w:t>
            </w:r>
            <w:proofErr w:type="gramEnd"/>
          </w:p>
        </w:tc>
        <w:tc>
          <w:tcPr>
            <w:tcW w:w="4553" w:type="pct"/>
            <w:shd w:val="clear" w:color="auto" w:fill="auto"/>
            <w:vAlign w:val="center"/>
          </w:tcPr>
          <w:p w:rsidR="005F4E77" w:rsidRPr="005F4E77" w:rsidRDefault="005F4E77" w:rsidP="004D366C">
            <w:pPr>
              <w:jc w:val="both"/>
            </w:pPr>
            <w:r w:rsidRPr="005F4E77">
              <w:t>Prazo de amortização</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proofErr w:type="gramStart"/>
            <w:r w:rsidRPr="005F4E77">
              <w:t>5</w:t>
            </w:r>
            <w:proofErr w:type="gramEnd"/>
          </w:p>
        </w:tc>
        <w:tc>
          <w:tcPr>
            <w:tcW w:w="4553" w:type="pct"/>
            <w:shd w:val="clear" w:color="auto" w:fill="auto"/>
            <w:vAlign w:val="center"/>
          </w:tcPr>
          <w:p w:rsidR="005F4E77" w:rsidRPr="005F4E77" w:rsidRDefault="005F4E77" w:rsidP="004D366C">
            <w:pPr>
              <w:jc w:val="both"/>
            </w:pPr>
            <w:r w:rsidRPr="005F4E77">
              <w:t>Amortização acumulada</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proofErr w:type="gramStart"/>
            <w:r w:rsidRPr="005F4E77">
              <w:t>6</w:t>
            </w:r>
            <w:proofErr w:type="gramEnd"/>
          </w:p>
        </w:tc>
        <w:tc>
          <w:tcPr>
            <w:tcW w:w="4553" w:type="pct"/>
            <w:shd w:val="clear" w:color="auto" w:fill="auto"/>
            <w:vAlign w:val="center"/>
          </w:tcPr>
          <w:p w:rsidR="005F4E77" w:rsidRPr="005F4E77" w:rsidRDefault="005F4E77" w:rsidP="004D366C">
            <w:pPr>
              <w:jc w:val="both"/>
            </w:pPr>
            <w:r w:rsidRPr="005F4E77">
              <w:t>Amortização do exercício</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r w:rsidRPr="005F4E77">
              <w:t xml:space="preserve"> </w:t>
            </w:r>
            <w:proofErr w:type="gramStart"/>
            <w:r w:rsidRPr="005F4E77">
              <w:t>7</w:t>
            </w:r>
            <w:proofErr w:type="gramEnd"/>
          </w:p>
        </w:tc>
        <w:tc>
          <w:tcPr>
            <w:tcW w:w="4553" w:type="pct"/>
            <w:shd w:val="clear" w:color="auto" w:fill="auto"/>
            <w:vAlign w:val="center"/>
          </w:tcPr>
          <w:p w:rsidR="005F4E77" w:rsidRPr="005F4E77" w:rsidRDefault="005F4E77" w:rsidP="004D366C">
            <w:pPr>
              <w:jc w:val="both"/>
            </w:pPr>
            <w:r w:rsidRPr="005F4E77">
              <w:t>Valores gastos com a formação e aquisição de direitos contratuais</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proofErr w:type="gramStart"/>
            <w:r w:rsidRPr="005F4E77">
              <w:t>8</w:t>
            </w:r>
            <w:proofErr w:type="gramEnd"/>
          </w:p>
        </w:tc>
        <w:tc>
          <w:tcPr>
            <w:tcW w:w="4553" w:type="pct"/>
            <w:shd w:val="clear" w:color="auto" w:fill="auto"/>
            <w:vAlign w:val="center"/>
          </w:tcPr>
          <w:p w:rsidR="005F4E77" w:rsidRPr="005F4E77" w:rsidRDefault="005F4E77" w:rsidP="004D366C">
            <w:pPr>
              <w:jc w:val="both"/>
            </w:pPr>
            <w:r w:rsidRPr="005F4E77">
              <w:t>Separação por tipo e categoria</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proofErr w:type="gramStart"/>
            <w:r w:rsidRPr="005F4E77">
              <w:t>9</w:t>
            </w:r>
            <w:proofErr w:type="gramEnd"/>
          </w:p>
        </w:tc>
        <w:tc>
          <w:tcPr>
            <w:tcW w:w="4553" w:type="pct"/>
            <w:shd w:val="clear" w:color="auto" w:fill="auto"/>
            <w:vAlign w:val="center"/>
          </w:tcPr>
          <w:p w:rsidR="005F4E77" w:rsidRPr="005F4E77" w:rsidRDefault="005F4E77" w:rsidP="004D366C">
            <w:pPr>
              <w:jc w:val="both"/>
            </w:pPr>
            <w:r w:rsidRPr="005F4E77">
              <w:t>Informação se realizou o teste no valor recuperável</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r w:rsidRPr="005F4E77">
              <w:t>10</w:t>
            </w:r>
          </w:p>
        </w:tc>
        <w:tc>
          <w:tcPr>
            <w:tcW w:w="4553" w:type="pct"/>
            <w:shd w:val="clear" w:color="auto" w:fill="auto"/>
            <w:vAlign w:val="center"/>
          </w:tcPr>
          <w:p w:rsidR="005F4E77" w:rsidRPr="005F4E77" w:rsidRDefault="005F4E77" w:rsidP="004D366C">
            <w:pPr>
              <w:jc w:val="both"/>
            </w:pPr>
            <w:r w:rsidRPr="005F4E77">
              <w:t xml:space="preserve">Informação se o teste resultou na ocorrência ou não de uma perda no valor recuperável </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r w:rsidRPr="005F4E77">
              <w:t>11</w:t>
            </w:r>
          </w:p>
        </w:tc>
        <w:tc>
          <w:tcPr>
            <w:tcW w:w="4553" w:type="pct"/>
            <w:shd w:val="clear" w:color="auto" w:fill="auto"/>
            <w:vAlign w:val="center"/>
          </w:tcPr>
          <w:p w:rsidR="005F4E77" w:rsidRPr="005F4E77" w:rsidRDefault="005F4E77" w:rsidP="004D366C">
            <w:pPr>
              <w:jc w:val="both"/>
            </w:pPr>
            <w:r w:rsidRPr="005F4E77">
              <w:t>Total de atletas vinculados ao clube</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r w:rsidRPr="005F4E77">
              <w:t>12</w:t>
            </w:r>
          </w:p>
        </w:tc>
        <w:tc>
          <w:tcPr>
            <w:tcW w:w="4553" w:type="pct"/>
            <w:shd w:val="clear" w:color="auto" w:fill="auto"/>
            <w:vAlign w:val="center"/>
          </w:tcPr>
          <w:p w:rsidR="005F4E77" w:rsidRPr="005F4E77" w:rsidRDefault="005F4E77" w:rsidP="004D366C">
            <w:pPr>
              <w:jc w:val="both"/>
            </w:pPr>
            <w:r w:rsidRPr="005F4E77">
              <w:t>Direito econômico individual</w:t>
            </w:r>
          </w:p>
        </w:tc>
      </w:tr>
      <w:tr w:rsidR="005F4E77" w:rsidRPr="005F4E77" w:rsidTr="00A11EAB">
        <w:trPr>
          <w:trHeight w:hRule="exact" w:val="284"/>
        </w:trPr>
        <w:tc>
          <w:tcPr>
            <w:tcW w:w="447" w:type="pct"/>
            <w:shd w:val="clear" w:color="auto" w:fill="auto"/>
            <w:vAlign w:val="center"/>
          </w:tcPr>
          <w:p w:rsidR="005F4E77" w:rsidRPr="005F4E77" w:rsidRDefault="005F4E77" w:rsidP="004D366C">
            <w:pPr>
              <w:jc w:val="center"/>
            </w:pPr>
            <w:r w:rsidRPr="005F4E77">
              <w:t>13</w:t>
            </w:r>
          </w:p>
        </w:tc>
        <w:tc>
          <w:tcPr>
            <w:tcW w:w="4553" w:type="pct"/>
            <w:shd w:val="clear" w:color="auto" w:fill="auto"/>
            <w:vAlign w:val="center"/>
          </w:tcPr>
          <w:p w:rsidR="005F4E77" w:rsidRPr="005F4E77" w:rsidRDefault="005F4E77" w:rsidP="004D366C">
            <w:pPr>
              <w:jc w:val="both"/>
            </w:pPr>
            <w:r w:rsidRPr="005F4E77">
              <w:t>Seguro de atletas</w:t>
            </w:r>
          </w:p>
        </w:tc>
      </w:tr>
    </w:tbl>
    <w:p w:rsidR="005F4E77" w:rsidRPr="005F4E77" w:rsidRDefault="005F4E77" w:rsidP="005F4E77">
      <w:pPr>
        <w:jc w:val="both"/>
      </w:pPr>
      <w:r w:rsidRPr="00A11EAB">
        <w:t>Fonte:</w:t>
      </w:r>
      <w:r w:rsidRPr="005F4E77">
        <w:t xml:space="preserve"> Elaborado com base na ITG 2003 R1 (2013).</w:t>
      </w:r>
    </w:p>
    <w:p w:rsidR="005F4E77" w:rsidRPr="005F4E77" w:rsidRDefault="005F4E77" w:rsidP="005F4E77">
      <w:pPr>
        <w:ind w:firstLine="709"/>
        <w:jc w:val="both"/>
        <w:rPr>
          <w:sz w:val="24"/>
          <w:szCs w:val="24"/>
        </w:rPr>
      </w:pPr>
      <w:r w:rsidRPr="005F4E77">
        <w:rPr>
          <w:sz w:val="24"/>
          <w:szCs w:val="24"/>
        </w:rPr>
        <w:t>Além das demonstrações obrigatórias, o estudo buscou verificar se algum clube divulga a Demonstração do Valor Adicionado, ou seja, se o clube informa mais que o exigido.</w:t>
      </w:r>
    </w:p>
    <w:p w:rsidR="005F4E77" w:rsidRPr="005F4E77" w:rsidRDefault="005F4E77" w:rsidP="005F4E77">
      <w:pPr>
        <w:ind w:firstLine="709"/>
        <w:jc w:val="both"/>
        <w:rPr>
          <w:sz w:val="24"/>
          <w:szCs w:val="24"/>
        </w:rPr>
      </w:pPr>
      <w:r w:rsidRPr="005F4E77">
        <w:rPr>
          <w:sz w:val="24"/>
          <w:szCs w:val="24"/>
        </w:rPr>
        <w:t>Ainda explicando a análise da lista de verificação, quanto à análise do ativo intangível de cada clube, primeiramente verificou-se a natureza do ativo, em virtude de não serem apenas os atletas que são classificados como intangível</w:t>
      </w:r>
      <w:r w:rsidR="004F3AE6">
        <w:rPr>
          <w:sz w:val="24"/>
          <w:szCs w:val="24"/>
        </w:rPr>
        <w:t>. C</w:t>
      </w:r>
      <w:r w:rsidRPr="005F4E77">
        <w:rPr>
          <w:sz w:val="24"/>
          <w:szCs w:val="24"/>
        </w:rPr>
        <w:t xml:space="preserve">omo exemplos de outros itens pode-se citar </w:t>
      </w:r>
      <w:r w:rsidRPr="005F4E77">
        <w:rPr>
          <w:i/>
          <w:sz w:val="24"/>
          <w:szCs w:val="24"/>
        </w:rPr>
        <w:t>software</w:t>
      </w:r>
      <w:r w:rsidRPr="005F4E77">
        <w:rPr>
          <w:sz w:val="24"/>
          <w:szCs w:val="24"/>
        </w:rPr>
        <w:t xml:space="preserve"> e mar</w:t>
      </w:r>
      <w:r w:rsidR="004D366C">
        <w:rPr>
          <w:sz w:val="24"/>
          <w:szCs w:val="24"/>
        </w:rPr>
        <w:t xml:space="preserve">cas. Além disso, se a </w:t>
      </w:r>
      <w:r w:rsidRPr="005F4E77">
        <w:rPr>
          <w:sz w:val="24"/>
          <w:szCs w:val="24"/>
        </w:rPr>
        <w:t>aquisição de direitos contratuais, desde luvas a demais gastos para contratação ou renovação do contrato e os valores gastos com a formação de atletas são classificados no intangível.</w:t>
      </w:r>
    </w:p>
    <w:p w:rsidR="005F4E77" w:rsidRPr="005F4E77" w:rsidRDefault="005F4E77" w:rsidP="005F4E77">
      <w:pPr>
        <w:ind w:firstLine="709"/>
        <w:jc w:val="both"/>
        <w:rPr>
          <w:sz w:val="24"/>
          <w:szCs w:val="24"/>
        </w:rPr>
      </w:pPr>
      <w:r w:rsidRPr="005F4E77">
        <w:rPr>
          <w:sz w:val="24"/>
          <w:szCs w:val="24"/>
        </w:rPr>
        <w:t xml:space="preserve">Analisou-se também se o clube divulga a amortização de acordo com o prazo do contrato, bem como os gastos com formação e montante amortizado no exercício, e se faz isso por tipo – alojamento, alimentação, transporte, educação, vestuário, comissão técnica – e categoria – </w:t>
      </w:r>
      <w:proofErr w:type="gramStart"/>
      <w:r w:rsidRPr="005F4E77">
        <w:rPr>
          <w:sz w:val="24"/>
          <w:szCs w:val="24"/>
        </w:rPr>
        <w:t>infantil, juvenil</w:t>
      </w:r>
      <w:proofErr w:type="gramEnd"/>
      <w:r w:rsidRPr="005F4E77">
        <w:rPr>
          <w:sz w:val="24"/>
          <w:szCs w:val="24"/>
        </w:rPr>
        <w:t xml:space="preserve"> e juniores.</w:t>
      </w:r>
    </w:p>
    <w:p w:rsidR="005F4E77" w:rsidRPr="005F4E77" w:rsidRDefault="005F4E77" w:rsidP="005F4E77">
      <w:pPr>
        <w:ind w:firstLine="709"/>
        <w:jc w:val="both"/>
        <w:rPr>
          <w:sz w:val="24"/>
          <w:szCs w:val="24"/>
        </w:rPr>
      </w:pPr>
      <w:r w:rsidRPr="005F4E77">
        <w:rPr>
          <w:sz w:val="24"/>
          <w:szCs w:val="24"/>
        </w:rPr>
        <w:t>A ITG 2003 apoia que seja realizada no findar de cada exercício social uma avaliação dos direitos contratuais de cada atleta, para verificar a possibilidade de recuperação, e caso se confirme que houve uma redução na capacidade de recuperação, total ou parcial, o clube poderá registrar uma perda correspondente ao valor não recuperável constatado no ativo.</w:t>
      </w:r>
    </w:p>
    <w:p w:rsidR="005F4E77" w:rsidRPr="005F4E77" w:rsidRDefault="005F4E77" w:rsidP="005F4E77">
      <w:pPr>
        <w:ind w:firstLine="709"/>
        <w:jc w:val="both"/>
        <w:rPr>
          <w:sz w:val="24"/>
          <w:szCs w:val="24"/>
        </w:rPr>
      </w:pPr>
      <w:r w:rsidRPr="005F4E77">
        <w:rPr>
          <w:sz w:val="24"/>
          <w:szCs w:val="24"/>
        </w:rPr>
        <w:t xml:space="preserve">A análise do teste no valor recuperável foi dividida em duas etapas, nas quais foram analisados os itens </w:t>
      </w:r>
      <w:proofErr w:type="gramStart"/>
      <w:r w:rsidRPr="005F4E77">
        <w:rPr>
          <w:sz w:val="24"/>
          <w:szCs w:val="24"/>
        </w:rPr>
        <w:t>9</w:t>
      </w:r>
      <w:proofErr w:type="gramEnd"/>
      <w:r w:rsidRPr="005F4E77">
        <w:rPr>
          <w:sz w:val="24"/>
          <w:szCs w:val="24"/>
        </w:rPr>
        <w:t xml:space="preserve"> e 10 da lista de verificação. Em relação ao item </w:t>
      </w:r>
      <w:proofErr w:type="gramStart"/>
      <w:r w:rsidRPr="005F4E77">
        <w:rPr>
          <w:sz w:val="24"/>
          <w:szCs w:val="24"/>
        </w:rPr>
        <w:t>9</w:t>
      </w:r>
      <w:proofErr w:type="gramEnd"/>
      <w:r w:rsidRPr="005F4E77">
        <w:rPr>
          <w:sz w:val="24"/>
          <w:szCs w:val="24"/>
        </w:rPr>
        <w:t xml:space="preserve">, foi verificado se o </w:t>
      </w:r>
      <w:r w:rsidRPr="005F4E77">
        <w:rPr>
          <w:sz w:val="24"/>
          <w:szCs w:val="24"/>
        </w:rPr>
        <w:lastRenderedPageBreak/>
        <w:t>clube evidenciou que realizou o teste no valor recuperável, caso o clube tenha exposto apenas o conhecimento do teste, não indicando se realizou ou não foi atribuído zero, caso o clube afirme a realização do teste foi atribuído 1, e caso ele informe que não encontrou indícios de perda e por isso não realizou o teste foi atribuído 1. Enquanto no que tange ao item 10, foi verificado se o clube apresentou a informação se o teste resultou ou não em uma perda e/ou reversão no valor recuperável, caso o clube não tenha encontrado indícios foi atribuído “NA”.</w:t>
      </w:r>
    </w:p>
    <w:p w:rsidR="005F4E77" w:rsidRPr="005F4E77" w:rsidRDefault="005F4E77" w:rsidP="005F4E77">
      <w:pPr>
        <w:ind w:firstLine="709"/>
        <w:jc w:val="both"/>
        <w:rPr>
          <w:sz w:val="24"/>
          <w:szCs w:val="24"/>
        </w:rPr>
      </w:pPr>
      <w:r w:rsidRPr="005F4E77">
        <w:rPr>
          <w:sz w:val="24"/>
          <w:szCs w:val="24"/>
        </w:rPr>
        <w:t xml:space="preserve"> Conforme a lista de verificação, os clubes devem divulgar a composição dos direitos sobre os atletas, com gastos e amortizações, o número de atletas vinculados e o percentual de direito econômico individual, ou a inexistência dele. Por fim, a Lei nº 9.615/1998 em seu artigo 45, determina que o clube tenha um seguro de vida de seus atletas profissionais.</w:t>
      </w:r>
    </w:p>
    <w:p w:rsidR="005F4E77" w:rsidRPr="005F4E77" w:rsidRDefault="005F4E77" w:rsidP="005F4E77">
      <w:pPr>
        <w:jc w:val="both"/>
        <w:rPr>
          <w:b/>
          <w:sz w:val="24"/>
          <w:szCs w:val="24"/>
        </w:rPr>
      </w:pPr>
      <w:r w:rsidRPr="005F4E77">
        <w:rPr>
          <w:b/>
          <w:sz w:val="24"/>
          <w:szCs w:val="24"/>
        </w:rPr>
        <w:t>3.2.2 Associação entre o Nível de Evidenciação e o Desempenho Econômico Financeiro</w:t>
      </w:r>
    </w:p>
    <w:p w:rsidR="005F4E77" w:rsidRPr="005F4E77" w:rsidRDefault="005F4E77" w:rsidP="005F4E77">
      <w:pPr>
        <w:ind w:firstLine="709"/>
        <w:jc w:val="both"/>
        <w:rPr>
          <w:color w:val="FF0000"/>
          <w:sz w:val="24"/>
          <w:szCs w:val="24"/>
        </w:rPr>
      </w:pPr>
      <w:r w:rsidRPr="005F4E77">
        <w:rPr>
          <w:sz w:val="24"/>
          <w:szCs w:val="24"/>
        </w:rPr>
        <w:t>Para avaliar o desempenho econômico financeiro foram utilizadas seis medidas de</w:t>
      </w:r>
      <w:r w:rsidR="004D366C">
        <w:rPr>
          <w:sz w:val="24"/>
          <w:szCs w:val="24"/>
        </w:rPr>
        <w:t xml:space="preserve"> análise, conforme literatura, </w:t>
      </w:r>
      <w:r w:rsidRPr="005F4E77">
        <w:rPr>
          <w:sz w:val="24"/>
          <w:szCs w:val="24"/>
        </w:rPr>
        <w:t>as qu</w:t>
      </w:r>
      <w:r w:rsidR="004D366C">
        <w:rPr>
          <w:sz w:val="24"/>
          <w:szCs w:val="24"/>
        </w:rPr>
        <w:t>ais</w:t>
      </w:r>
      <w:r w:rsidRPr="005F4E77">
        <w:rPr>
          <w:sz w:val="24"/>
          <w:szCs w:val="24"/>
        </w:rPr>
        <w:t xml:space="preserve"> são: receita líquida, resultado líquido exercício, patrimônio líquido, ativo intangível, ativo total e intangibilidade.</w:t>
      </w:r>
    </w:p>
    <w:p w:rsidR="005F4E77" w:rsidRPr="005F4E77" w:rsidRDefault="005F4E77" w:rsidP="005F4E77">
      <w:pPr>
        <w:ind w:firstLine="709"/>
        <w:jc w:val="both"/>
        <w:rPr>
          <w:sz w:val="24"/>
          <w:szCs w:val="24"/>
        </w:rPr>
      </w:pPr>
      <w:r w:rsidRPr="005F4E77">
        <w:rPr>
          <w:sz w:val="24"/>
          <w:szCs w:val="24"/>
        </w:rPr>
        <w:t xml:space="preserve">Em relação à receita líquida, no futebol é um indicador de grande importância em virtude dos clubes </w:t>
      </w:r>
      <w:proofErr w:type="gramStart"/>
      <w:r w:rsidRPr="005F4E77">
        <w:rPr>
          <w:sz w:val="24"/>
          <w:szCs w:val="24"/>
        </w:rPr>
        <w:t>serem</w:t>
      </w:r>
      <w:proofErr w:type="gramEnd"/>
      <w:r w:rsidRPr="005F4E77">
        <w:rPr>
          <w:sz w:val="24"/>
          <w:szCs w:val="24"/>
        </w:rPr>
        <w:t xml:space="preserve"> alvos de grandes receitas como: participação em competições nacionais e estaduais, transmissão televisiva, publicidade, bilheteria, mensalidade dos sócios e venda de artigos relacionado ao clube. Caso o clube não apresentasse a receita líquida, utilizou-se a receita bruta.</w:t>
      </w:r>
    </w:p>
    <w:p w:rsidR="005F4E77" w:rsidRPr="005F4E77" w:rsidRDefault="005F4E77" w:rsidP="005F4E77">
      <w:pPr>
        <w:ind w:firstLine="709"/>
        <w:jc w:val="both"/>
        <w:rPr>
          <w:sz w:val="24"/>
          <w:szCs w:val="24"/>
        </w:rPr>
      </w:pPr>
      <w:r w:rsidRPr="005F4E77">
        <w:rPr>
          <w:sz w:val="24"/>
          <w:szCs w:val="24"/>
        </w:rPr>
        <w:t>O resultado do exercício tem por finalidade averiguar se apesar das grandes receitas o desempenho econômico financeiro da empresa no geral foi satisfatório. É uma medida importante, pois mede se a empresa durante</w:t>
      </w:r>
      <w:r w:rsidR="004D366C">
        <w:rPr>
          <w:sz w:val="24"/>
          <w:szCs w:val="24"/>
        </w:rPr>
        <w:t xml:space="preserve"> o</w:t>
      </w:r>
      <w:r w:rsidRPr="005F4E77">
        <w:rPr>
          <w:sz w:val="24"/>
          <w:szCs w:val="24"/>
        </w:rPr>
        <w:t xml:space="preserve"> ano obteve rentabilidade.</w:t>
      </w:r>
    </w:p>
    <w:p w:rsidR="005F4E77" w:rsidRPr="005F4E77" w:rsidRDefault="005F4E77" w:rsidP="005F4E77">
      <w:pPr>
        <w:ind w:firstLine="709"/>
        <w:jc w:val="both"/>
        <w:rPr>
          <w:sz w:val="24"/>
          <w:szCs w:val="24"/>
        </w:rPr>
      </w:pPr>
      <w:r w:rsidRPr="005F4E77">
        <w:rPr>
          <w:sz w:val="24"/>
          <w:szCs w:val="24"/>
        </w:rPr>
        <w:t>O patrimônio líquido representa o valor do clube ao longo dos anos, enquanto o ativo total demonstra o tamanho do clube. Já o intangível representa o quanto o clube investiu em jogadores, profissionais ou não. A intangibilidade é a razão entre o ativo intangível e o ativo total, na qual expressa a significância do intangível para o clube.</w:t>
      </w:r>
    </w:p>
    <w:p w:rsidR="005F4E77" w:rsidRPr="005F4E77" w:rsidRDefault="005F4E77" w:rsidP="005F4E77">
      <w:pPr>
        <w:ind w:firstLine="709"/>
        <w:jc w:val="both"/>
        <w:rPr>
          <w:sz w:val="24"/>
          <w:szCs w:val="24"/>
        </w:rPr>
      </w:pPr>
      <w:r w:rsidRPr="005F4E77">
        <w:rPr>
          <w:sz w:val="24"/>
          <w:szCs w:val="24"/>
        </w:rPr>
        <w:t xml:space="preserve">Além das variáveis de desempenho econômico financeiro, foi utilizada outra variável explicativa, a auditoria, que faz jus ao artigo 27, §6, inciso V da Lei nº 9.615/1998 alterada pelas Leis nº 10.672/2003 e nº 12.395/2011, em que as demonstrações financeiras devem ser apresentadas juntamente com o relatório de auditores independentes. Essa variável foi analisada por meio de uma </w:t>
      </w:r>
      <w:proofErr w:type="spellStart"/>
      <w:r w:rsidRPr="005F4E77">
        <w:rPr>
          <w:i/>
          <w:sz w:val="24"/>
          <w:szCs w:val="24"/>
        </w:rPr>
        <w:t>dummy</w:t>
      </w:r>
      <w:proofErr w:type="spellEnd"/>
      <w:r w:rsidRPr="005F4E77">
        <w:rPr>
          <w:sz w:val="24"/>
          <w:szCs w:val="24"/>
        </w:rPr>
        <w:t xml:space="preserve">, na qual a empresa que publicou as demonstrações financeiras e o relatório dos auditores recebe </w:t>
      </w:r>
      <w:proofErr w:type="gramStart"/>
      <w:r w:rsidRPr="005F4E77">
        <w:rPr>
          <w:sz w:val="24"/>
          <w:szCs w:val="24"/>
        </w:rPr>
        <w:t>1</w:t>
      </w:r>
      <w:proofErr w:type="gramEnd"/>
      <w:r w:rsidRPr="005F4E77">
        <w:rPr>
          <w:sz w:val="24"/>
          <w:szCs w:val="24"/>
        </w:rPr>
        <w:t xml:space="preserve"> (um), já a empresa que não apresentou o parecer dos auditores, 0 (zero).</w:t>
      </w:r>
    </w:p>
    <w:p w:rsidR="005F4E77" w:rsidRPr="005F4E77" w:rsidRDefault="005F4E77" w:rsidP="005F4E77">
      <w:pPr>
        <w:ind w:firstLine="709"/>
        <w:jc w:val="both"/>
        <w:rPr>
          <w:sz w:val="24"/>
          <w:szCs w:val="24"/>
        </w:rPr>
      </w:pPr>
      <w:r w:rsidRPr="005F4E77">
        <w:rPr>
          <w:sz w:val="24"/>
          <w:szCs w:val="24"/>
        </w:rPr>
        <w:t>Assim, foram coletados os dados relativos às variáveis dos clubes componentes da amostra de pesquisa nos anos de 2013, 2014, 2015 e 2016, na qual representa o período atual de vigor da ITG 2003 R1 (2013).</w:t>
      </w:r>
    </w:p>
    <w:p w:rsidR="005F4E77" w:rsidRPr="005F4E77" w:rsidRDefault="007F38F8" w:rsidP="005F4E77">
      <w:pPr>
        <w:jc w:val="center"/>
      </w:pPr>
      <w:r>
        <w:t>Tabela 4</w:t>
      </w:r>
      <w:r w:rsidR="005F4E77" w:rsidRPr="005F4E77">
        <w:t xml:space="preserve"> – Teste de estimadores do modelo</w:t>
      </w:r>
    </w:p>
    <w:tbl>
      <w:tblPr>
        <w:tblW w:w="5000" w:type="pct"/>
        <w:tblBorders>
          <w:top w:val="single" w:sz="8" w:space="0" w:color="000000"/>
          <w:bottom w:val="single" w:sz="8" w:space="0" w:color="000000"/>
        </w:tblBorders>
        <w:tblLook w:val="04A0"/>
      </w:tblPr>
      <w:tblGrid>
        <w:gridCol w:w="2866"/>
        <w:gridCol w:w="1869"/>
        <w:gridCol w:w="1650"/>
        <w:gridCol w:w="2896"/>
      </w:tblGrid>
      <w:tr w:rsidR="005F4E77" w:rsidRPr="005F4E77" w:rsidTr="00655FC7">
        <w:trPr>
          <w:trHeight w:hRule="exact" w:val="255"/>
        </w:trPr>
        <w:tc>
          <w:tcPr>
            <w:tcW w:w="1544" w:type="pct"/>
            <w:tcBorders>
              <w:top w:val="single" w:sz="12" w:space="0" w:color="auto"/>
              <w:left w:val="nil"/>
              <w:bottom w:val="single" w:sz="12" w:space="0" w:color="auto"/>
              <w:right w:val="nil"/>
            </w:tcBorders>
            <w:shd w:val="clear" w:color="auto" w:fill="auto"/>
            <w:noWrap/>
            <w:vAlign w:val="center"/>
            <w:hideMark/>
          </w:tcPr>
          <w:p w:rsidR="005F4E77" w:rsidRPr="005F4E77" w:rsidRDefault="005F4E77" w:rsidP="005F4E77">
            <w:pPr>
              <w:jc w:val="center"/>
              <w:rPr>
                <w:b/>
                <w:bCs/>
                <w:color w:val="000000"/>
              </w:rPr>
            </w:pPr>
            <w:r w:rsidRPr="005F4E77">
              <w:rPr>
                <w:b/>
                <w:bCs/>
                <w:color w:val="000000"/>
              </w:rPr>
              <w:t>Testes</w:t>
            </w:r>
          </w:p>
        </w:tc>
        <w:tc>
          <w:tcPr>
            <w:tcW w:w="1007" w:type="pct"/>
            <w:tcBorders>
              <w:top w:val="single" w:sz="12" w:space="0" w:color="auto"/>
              <w:left w:val="nil"/>
              <w:bottom w:val="single" w:sz="12" w:space="0" w:color="auto"/>
              <w:right w:val="nil"/>
            </w:tcBorders>
            <w:shd w:val="clear" w:color="auto" w:fill="auto"/>
            <w:noWrap/>
            <w:vAlign w:val="center"/>
            <w:hideMark/>
          </w:tcPr>
          <w:p w:rsidR="005F4E77" w:rsidRPr="005F4E77" w:rsidRDefault="005F4E77" w:rsidP="005F4E77">
            <w:pPr>
              <w:jc w:val="center"/>
              <w:rPr>
                <w:b/>
                <w:bCs/>
                <w:color w:val="000000"/>
              </w:rPr>
            </w:pPr>
            <w:r w:rsidRPr="005F4E77">
              <w:rPr>
                <w:b/>
                <w:bCs/>
                <w:color w:val="000000"/>
              </w:rPr>
              <w:t xml:space="preserve">P- </w:t>
            </w:r>
            <w:proofErr w:type="spellStart"/>
            <w:r w:rsidRPr="005F4E77">
              <w:rPr>
                <w:b/>
                <w:bCs/>
                <w:color w:val="000000"/>
              </w:rPr>
              <w:t>Value</w:t>
            </w:r>
            <w:proofErr w:type="spellEnd"/>
          </w:p>
        </w:tc>
        <w:tc>
          <w:tcPr>
            <w:tcW w:w="889" w:type="pct"/>
            <w:tcBorders>
              <w:top w:val="single" w:sz="12" w:space="0" w:color="auto"/>
              <w:left w:val="nil"/>
              <w:bottom w:val="single" w:sz="12" w:space="0" w:color="auto"/>
              <w:right w:val="nil"/>
            </w:tcBorders>
            <w:shd w:val="clear" w:color="auto" w:fill="auto"/>
            <w:noWrap/>
            <w:vAlign w:val="center"/>
            <w:hideMark/>
          </w:tcPr>
          <w:p w:rsidR="005F4E77" w:rsidRPr="005F4E77" w:rsidRDefault="005F4E77" w:rsidP="005F4E77">
            <w:pPr>
              <w:jc w:val="center"/>
              <w:rPr>
                <w:b/>
                <w:bCs/>
                <w:color w:val="000000"/>
              </w:rPr>
            </w:pPr>
            <w:r w:rsidRPr="005F4E77">
              <w:rPr>
                <w:b/>
                <w:bCs/>
                <w:color w:val="000000"/>
              </w:rPr>
              <w:t>Rejeita H</w:t>
            </w:r>
            <w:r w:rsidRPr="005F4E77">
              <w:rPr>
                <w:b/>
                <w:bCs/>
                <w:color w:val="000000"/>
                <w:vertAlign w:val="subscript"/>
              </w:rPr>
              <w:t>0</w:t>
            </w:r>
          </w:p>
        </w:tc>
        <w:tc>
          <w:tcPr>
            <w:tcW w:w="1560" w:type="pct"/>
            <w:tcBorders>
              <w:top w:val="single" w:sz="12" w:space="0" w:color="auto"/>
              <w:left w:val="nil"/>
              <w:bottom w:val="single" w:sz="12" w:space="0" w:color="auto"/>
              <w:right w:val="nil"/>
            </w:tcBorders>
            <w:shd w:val="clear" w:color="auto" w:fill="auto"/>
            <w:noWrap/>
            <w:vAlign w:val="center"/>
            <w:hideMark/>
          </w:tcPr>
          <w:p w:rsidR="005F4E77" w:rsidRPr="005F4E77" w:rsidRDefault="005F4E77" w:rsidP="005F4E77">
            <w:pPr>
              <w:jc w:val="center"/>
              <w:rPr>
                <w:b/>
                <w:bCs/>
                <w:color w:val="000000"/>
              </w:rPr>
            </w:pPr>
            <w:r w:rsidRPr="005F4E77">
              <w:rPr>
                <w:b/>
                <w:bCs/>
                <w:color w:val="000000"/>
              </w:rPr>
              <w:t>Modelo Adequado</w:t>
            </w:r>
          </w:p>
        </w:tc>
      </w:tr>
      <w:tr w:rsidR="005F4E77" w:rsidRPr="005F4E77" w:rsidTr="00655FC7">
        <w:trPr>
          <w:trHeight w:hRule="exact" w:val="255"/>
        </w:trPr>
        <w:tc>
          <w:tcPr>
            <w:tcW w:w="1544" w:type="pct"/>
            <w:shd w:val="clear" w:color="auto" w:fill="auto"/>
            <w:noWrap/>
            <w:vAlign w:val="center"/>
            <w:hideMark/>
          </w:tcPr>
          <w:p w:rsidR="005F4E77" w:rsidRPr="005F4E77" w:rsidRDefault="005F4E77" w:rsidP="005F4E77">
            <w:pPr>
              <w:jc w:val="center"/>
              <w:rPr>
                <w:b/>
                <w:bCs/>
                <w:color w:val="000000"/>
              </w:rPr>
            </w:pPr>
            <w:proofErr w:type="spellStart"/>
            <w:r w:rsidRPr="005F4E77">
              <w:rPr>
                <w:b/>
                <w:bCs/>
                <w:color w:val="000000"/>
              </w:rPr>
              <w:t>Chow</w:t>
            </w:r>
            <w:proofErr w:type="spellEnd"/>
          </w:p>
        </w:tc>
        <w:tc>
          <w:tcPr>
            <w:tcW w:w="1007" w:type="pct"/>
            <w:shd w:val="clear" w:color="auto" w:fill="auto"/>
            <w:noWrap/>
            <w:vAlign w:val="center"/>
            <w:hideMark/>
          </w:tcPr>
          <w:p w:rsidR="005F4E77" w:rsidRPr="005F4E77" w:rsidRDefault="005F4E77" w:rsidP="005F4E77">
            <w:pPr>
              <w:jc w:val="center"/>
              <w:rPr>
                <w:color w:val="000000"/>
              </w:rPr>
            </w:pPr>
            <w:r w:rsidRPr="005F4E77">
              <w:rPr>
                <w:color w:val="000000"/>
              </w:rPr>
              <w:t>0,0000</w:t>
            </w:r>
          </w:p>
        </w:tc>
        <w:tc>
          <w:tcPr>
            <w:tcW w:w="889" w:type="pct"/>
            <w:shd w:val="clear" w:color="auto" w:fill="auto"/>
            <w:noWrap/>
            <w:vAlign w:val="center"/>
            <w:hideMark/>
          </w:tcPr>
          <w:p w:rsidR="005F4E77" w:rsidRPr="005F4E77" w:rsidRDefault="005F4E77" w:rsidP="005F4E77">
            <w:pPr>
              <w:jc w:val="center"/>
              <w:rPr>
                <w:color w:val="000000"/>
              </w:rPr>
            </w:pPr>
            <w:r w:rsidRPr="005F4E77">
              <w:rPr>
                <w:color w:val="000000"/>
              </w:rPr>
              <w:t>Sim</w:t>
            </w:r>
          </w:p>
        </w:tc>
        <w:tc>
          <w:tcPr>
            <w:tcW w:w="1560" w:type="pct"/>
            <w:shd w:val="clear" w:color="auto" w:fill="auto"/>
            <w:noWrap/>
            <w:vAlign w:val="center"/>
            <w:hideMark/>
          </w:tcPr>
          <w:p w:rsidR="005F4E77" w:rsidRPr="005F4E77" w:rsidRDefault="005F4E77" w:rsidP="005F4E77">
            <w:pPr>
              <w:jc w:val="center"/>
              <w:rPr>
                <w:color w:val="000000"/>
              </w:rPr>
            </w:pPr>
            <w:r w:rsidRPr="005F4E77">
              <w:rPr>
                <w:color w:val="000000"/>
              </w:rPr>
              <w:t>Efeito Fixo</w:t>
            </w:r>
          </w:p>
        </w:tc>
      </w:tr>
      <w:tr w:rsidR="005F4E77" w:rsidRPr="005F4E77" w:rsidTr="00655FC7">
        <w:trPr>
          <w:trHeight w:hRule="exact" w:val="255"/>
        </w:trPr>
        <w:tc>
          <w:tcPr>
            <w:tcW w:w="1544" w:type="pct"/>
            <w:tcBorders>
              <w:left w:val="nil"/>
              <w:right w:val="nil"/>
            </w:tcBorders>
            <w:shd w:val="clear" w:color="auto" w:fill="auto"/>
            <w:noWrap/>
            <w:vAlign w:val="center"/>
            <w:hideMark/>
          </w:tcPr>
          <w:p w:rsidR="005F4E77" w:rsidRPr="005F4E77" w:rsidRDefault="005F4E77" w:rsidP="005F4E77">
            <w:pPr>
              <w:jc w:val="center"/>
              <w:rPr>
                <w:b/>
                <w:bCs/>
                <w:color w:val="000000"/>
              </w:rPr>
            </w:pPr>
            <w:r w:rsidRPr="005F4E77">
              <w:rPr>
                <w:b/>
                <w:bCs/>
                <w:color w:val="000000"/>
              </w:rPr>
              <w:t xml:space="preserve">LM </w:t>
            </w:r>
            <w:proofErr w:type="spellStart"/>
            <w:r w:rsidRPr="005F4E77">
              <w:rPr>
                <w:b/>
                <w:bCs/>
                <w:color w:val="000000"/>
              </w:rPr>
              <w:t>Breusch-Pagan</w:t>
            </w:r>
            <w:proofErr w:type="spellEnd"/>
          </w:p>
        </w:tc>
        <w:tc>
          <w:tcPr>
            <w:tcW w:w="1007" w:type="pct"/>
            <w:tcBorders>
              <w:left w:val="nil"/>
              <w:right w:val="nil"/>
            </w:tcBorders>
            <w:shd w:val="clear" w:color="auto" w:fill="auto"/>
            <w:noWrap/>
            <w:vAlign w:val="center"/>
            <w:hideMark/>
          </w:tcPr>
          <w:p w:rsidR="005F4E77" w:rsidRPr="005F4E77" w:rsidRDefault="005F4E77" w:rsidP="005F4E77">
            <w:pPr>
              <w:jc w:val="center"/>
              <w:rPr>
                <w:color w:val="000000"/>
              </w:rPr>
            </w:pPr>
            <w:r w:rsidRPr="005F4E77">
              <w:rPr>
                <w:color w:val="000000"/>
              </w:rPr>
              <w:t>0,0000</w:t>
            </w:r>
          </w:p>
        </w:tc>
        <w:tc>
          <w:tcPr>
            <w:tcW w:w="889" w:type="pct"/>
            <w:tcBorders>
              <w:left w:val="nil"/>
              <w:right w:val="nil"/>
            </w:tcBorders>
            <w:shd w:val="clear" w:color="auto" w:fill="auto"/>
            <w:noWrap/>
            <w:vAlign w:val="center"/>
            <w:hideMark/>
          </w:tcPr>
          <w:p w:rsidR="005F4E77" w:rsidRPr="005F4E77" w:rsidRDefault="005F4E77" w:rsidP="005F4E77">
            <w:pPr>
              <w:jc w:val="center"/>
              <w:rPr>
                <w:color w:val="000000"/>
              </w:rPr>
            </w:pPr>
            <w:r w:rsidRPr="005F4E77">
              <w:rPr>
                <w:color w:val="000000"/>
              </w:rPr>
              <w:t>Sim</w:t>
            </w:r>
          </w:p>
        </w:tc>
        <w:tc>
          <w:tcPr>
            <w:tcW w:w="1560" w:type="pct"/>
            <w:tcBorders>
              <w:left w:val="nil"/>
              <w:right w:val="nil"/>
            </w:tcBorders>
            <w:shd w:val="clear" w:color="auto" w:fill="auto"/>
            <w:noWrap/>
            <w:vAlign w:val="center"/>
            <w:hideMark/>
          </w:tcPr>
          <w:p w:rsidR="005F4E77" w:rsidRPr="005F4E77" w:rsidRDefault="005F4E77" w:rsidP="005F4E77">
            <w:pPr>
              <w:jc w:val="center"/>
              <w:rPr>
                <w:color w:val="000000"/>
              </w:rPr>
            </w:pPr>
            <w:r w:rsidRPr="005F4E77">
              <w:rPr>
                <w:color w:val="000000"/>
              </w:rPr>
              <w:t>Efeito Aleatório</w:t>
            </w:r>
          </w:p>
        </w:tc>
      </w:tr>
      <w:tr w:rsidR="005F4E77" w:rsidRPr="005F4E77" w:rsidTr="00655FC7">
        <w:trPr>
          <w:trHeight w:hRule="exact" w:val="255"/>
        </w:trPr>
        <w:tc>
          <w:tcPr>
            <w:tcW w:w="1544" w:type="pct"/>
            <w:tcBorders>
              <w:bottom w:val="single" w:sz="12" w:space="0" w:color="auto"/>
            </w:tcBorders>
            <w:shd w:val="clear" w:color="auto" w:fill="auto"/>
            <w:noWrap/>
            <w:vAlign w:val="center"/>
            <w:hideMark/>
          </w:tcPr>
          <w:p w:rsidR="005F4E77" w:rsidRPr="005F4E77" w:rsidRDefault="005F4E77" w:rsidP="005F4E77">
            <w:pPr>
              <w:jc w:val="center"/>
              <w:rPr>
                <w:b/>
                <w:bCs/>
                <w:color w:val="000000"/>
              </w:rPr>
            </w:pPr>
            <w:proofErr w:type="spellStart"/>
            <w:r w:rsidRPr="005F4E77">
              <w:rPr>
                <w:b/>
                <w:bCs/>
                <w:color w:val="000000"/>
              </w:rPr>
              <w:t>Hausman</w:t>
            </w:r>
            <w:proofErr w:type="spellEnd"/>
          </w:p>
        </w:tc>
        <w:tc>
          <w:tcPr>
            <w:tcW w:w="1007" w:type="pct"/>
            <w:tcBorders>
              <w:bottom w:val="single" w:sz="12" w:space="0" w:color="auto"/>
            </w:tcBorders>
            <w:shd w:val="clear" w:color="auto" w:fill="auto"/>
            <w:noWrap/>
            <w:vAlign w:val="center"/>
            <w:hideMark/>
          </w:tcPr>
          <w:p w:rsidR="005F4E77" w:rsidRPr="005F4E77" w:rsidRDefault="005F4E77" w:rsidP="005F4E77">
            <w:pPr>
              <w:jc w:val="center"/>
              <w:rPr>
                <w:color w:val="000000"/>
              </w:rPr>
            </w:pPr>
            <w:r w:rsidRPr="005F4E77">
              <w:rPr>
                <w:color w:val="000000"/>
              </w:rPr>
              <w:t>0,0171</w:t>
            </w:r>
          </w:p>
        </w:tc>
        <w:tc>
          <w:tcPr>
            <w:tcW w:w="889" w:type="pct"/>
            <w:tcBorders>
              <w:bottom w:val="single" w:sz="12" w:space="0" w:color="auto"/>
            </w:tcBorders>
            <w:shd w:val="clear" w:color="auto" w:fill="auto"/>
            <w:noWrap/>
            <w:vAlign w:val="center"/>
            <w:hideMark/>
          </w:tcPr>
          <w:p w:rsidR="005F4E77" w:rsidRPr="005F4E77" w:rsidRDefault="005F4E77" w:rsidP="005F4E77">
            <w:pPr>
              <w:jc w:val="center"/>
              <w:rPr>
                <w:color w:val="000000"/>
              </w:rPr>
            </w:pPr>
            <w:r w:rsidRPr="005F4E77">
              <w:rPr>
                <w:color w:val="000000"/>
              </w:rPr>
              <w:t>Sim</w:t>
            </w:r>
          </w:p>
        </w:tc>
        <w:tc>
          <w:tcPr>
            <w:tcW w:w="1560" w:type="pct"/>
            <w:tcBorders>
              <w:bottom w:val="single" w:sz="12" w:space="0" w:color="auto"/>
            </w:tcBorders>
            <w:shd w:val="clear" w:color="auto" w:fill="auto"/>
            <w:noWrap/>
            <w:vAlign w:val="center"/>
            <w:hideMark/>
          </w:tcPr>
          <w:p w:rsidR="005F4E77" w:rsidRPr="005F4E77" w:rsidRDefault="005F4E77" w:rsidP="005F4E77">
            <w:pPr>
              <w:jc w:val="center"/>
              <w:rPr>
                <w:color w:val="000000"/>
              </w:rPr>
            </w:pPr>
            <w:r w:rsidRPr="005F4E77">
              <w:rPr>
                <w:color w:val="000000"/>
              </w:rPr>
              <w:t>Efeito Fixo</w:t>
            </w:r>
          </w:p>
        </w:tc>
      </w:tr>
    </w:tbl>
    <w:p w:rsidR="005F4E77" w:rsidRPr="005F4E77" w:rsidRDefault="005F4E77" w:rsidP="005F4E77">
      <w:pPr>
        <w:jc w:val="both"/>
      </w:pPr>
      <w:r w:rsidRPr="005F4E77">
        <w:t>Fonte: Dados da pesquisa (2018).</w:t>
      </w:r>
    </w:p>
    <w:p w:rsidR="005F4E77" w:rsidRPr="005F4E77" w:rsidRDefault="005F4E77" w:rsidP="005F4E77">
      <w:pPr>
        <w:ind w:firstLine="709"/>
        <w:jc w:val="both"/>
        <w:rPr>
          <w:sz w:val="24"/>
          <w:szCs w:val="24"/>
        </w:rPr>
      </w:pPr>
      <w:r w:rsidRPr="005F4E77">
        <w:rPr>
          <w:sz w:val="24"/>
          <w:szCs w:val="24"/>
        </w:rPr>
        <w:t xml:space="preserve">A associação entre o nível de evidenciação, o desempenho econômico financeiro e a variável auditoria foi analisada através de uma regressão pelo </w:t>
      </w:r>
      <w:r w:rsidRPr="005F4E77">
        <w:rPr>
          <w:i/>
          <w:sz w:val="24"/>
          <w:szCs w:val="24"/>
        </w:rPr>
        <w:t>software</w:t>
      </w:r>
      <w:r w:rsidRPr="005F4E77">
        <w:rPr>
          <w:sz w:val="24"/>
          <w:szCs w:val="24"/>
        </w:rPr>
        <w:t xml:space="preserve"> </w:t>
      </w:r>
      <w:proofErr w:type="spellStart"/>
      <w:r w:rsidRPr="005F4E77">
        <w:rPr>
          <w:sz w:val="24"/>
          <w:szCs w:val="24"/>
        </w:rPr>
        <w:t>Stata</w:t>
      </w:r>
      <w:proofErr w:type="spellEnd"/>
      <w:r w:rsidRPr="005F4E77">
        <w:rPr>
          <w:sz w:val="24"/>
          <w:szCs w:val="24"/>
        </w:rPr>
        <w:t xml:space="preserve">® com dados em painel curto, estimado pelo modelo de efeito fixo, conforme </w:t>
      </w:r>
      <w:r w:rsidR="007F38F8">
        <w:rPr>
          <w:sz w:val="24"/>
          <w:szCs w:val="24"/>
        </w:rPr>
        <w:t>Tabela 4</w:t>
      </w:r>
      <w:r w:rsidRPr="005F4E77">
        <w:rPr>
          <w:sz w:val="24"/>
          <w:szCs w:val="24"/>
        </w:rPr>
        <w:t xml:space="preserve">, que apresenta o resultado dos testes F de </w:t>
      </w:r>
      <w:proofErr w:type="spellStart"/>
      <w:r w:rsidRPr="005F4E77">
        <w:rPr>
          <w:sz w:val="24"/>
          <w:szCs w:val="24"/>
        </w:rPr>
        <w:t>Chow</w:t>
      </w:r>
      <w:proofErr w:type="spellEnd"/>
      <w:r w:rsidRPr="005F4E77">
        <w:rPr>
          <w:sz w:val="24"/>
          <w:szCs w:val="24"/>
        </w:rPr>
        <w:t xml:space="preserve">, </w:t>
      </w:r>
      <w:proofErr w:type="spellStart"/>
      <w:r w:rsidRPr="005F4E77">
        <w:rPr>
          <w:sz w:val="24"/>
          <w:szCs w:val="24"/>
        </w:rPr>
        <w:t>Langrang</w:t>
      </w:r>
      <w:proofErr w:type="spellEnd"/>
      <w:r w:rsidRPr="005F4E77">
        <w:rPr>
          <w:sz w:val="24"/>
          <w:szCs w:val="24"/>
        </w:rPr>
        <w:t xml:space="preserve"> </w:t>
      </w:r>
      <w:proofErr w:type="spellStart"/>
      <w:r w:rsidRPr="005F4E77">
        <w:rPr>
          <w:sz w:val="24"/>
          <w:szCs w:val="24"/>
        </w:rPr>
        <w:t>multiplier</w:t>
      </w:r>
      <w:proofErr w:type="spellEnd"/>
      <w:r w:rsidRPr="005F4E77">
        <w:rPr>
          <w:sz w:val="24"/>
          <w:szCs w:val="24"/>
        </w:rPr>
        <w:t xml:space="preserve"> de </w:t>
      </w:r>
      <w:proofErr w:type="spellStart"/>
      <w:r w:rsidRPr="005F4E77">
        <w:rPr>
          <w:sz w:val="24"/>
          <w:szCs w:val="24"/>
        </w:rPr>
        <w:t>Breush-Pagan</w:t>
      </w:r>
      <w:proofErr w:type="spellEnd"/>
      <w:r w:rsidRPr="005F4E77">
        <w:rPr>
          <w:sz w:val="24"/>
          <w:szCs w:val="24"/>
        </w:rPr>
        <w:t xml:space="preserve"> e o de </w:t>
      </w:r>
      <w:proofErr w:type="spellStart"/>
      <w:r w:rsidRPr="005F4E77">
        <w:rPr>
          <w:sz w:val="24"/>
          <w:szCs w:val="24"/>
        </w:rPr>
        <w:t>Hausman</w:t>
      </w:r>
      <w:proofErr w:type="spellEnd"/>
      <w:r w:rsidRPr="005F4E77">
        <w:rPr>
          <w:sz w:val="24"/>
          <w:szCs w:val="24"/>
        </w:rPr>
        <w:t xml:space="preserve">. No </w:t>
      </w:r>
      <w:r w:rsidRPr="005F4E77">
        <w:rPr>
          <w:sz w:val="24"/>
          <w:szCs w:val="24"/>
        </w:rPr>
        <w:lastRenderedPageBreak/>
        <w:t xml:space="preserve">tocante a correlação entre as variáveis, foi constatada alta correlação apenas entre </w:t>
      </w:r>
      <w:proofErr w:type="gramStart"/>
      <w:r w:rsidRPr="005F4E77">
        <w:rPr>
          <w:sz w:val="24"/>
          <w:szCs w:val="24"/>
        </w:rPr>
        <w:t>as variáveis receit</w:t>
      </w:r>
      <w:r w:rsidR="000E09B2">
        <w:rPr>
          <w:sz w:val="24"/>
          <w:szCs w:val="24"/>
        </w:rPr>
        <w:t>a</w:t>
      </w:r>
      <w:proofErr w:type="gramEnd"/>
      <w:r w:rsidR="000E09B2">
        <w:rPr>
          <w:sz w:val="24"/>
          <w:szCs w:val="24"/>
        </w:rPr>
        <w:t xml:space="preserve"> líquida e patrimônio líquido.</w:t>
      </w:r>
    </w:p>
    <w:p w:rsidR="005F4E77" w:rsidRPr="005F4E77" w:rsidRDefault="005F4E77" w:rsidP="005F4E77">
      <w:pPr>
        <w:jc w:val="both"/>
        <w:rPr>
          <w:sz w:val="24"/>
          <w:szCs w:val="24"/>
        </w:rPr>
      </w:pPr>
    </w:p>
    <w:p w:rsidR="005F4E77" w:rsidRPr="005F4E77" w:rsidRDefault="005F4E77" w:rsidP="005F4E77">
      <w:pPr>
        <w:jc w:val="both"/>
        <w:rPr>
          <w:b/>
          <w:sz w:val="24"/>
          <w:szCs w:val="24"/>
        </w:rPr>
      </w:pPr>
      <w:proofErr w:type="gramStart"/>
      <w:r w:rsidRPr="005F4E77">
        <w:rPr>
          <w:b/>
          <w:sz w:val="24"/>
          <w:szCs w:val="24"/>
        </w:rPr>
        <w:t>4</w:t>
      </w:r>
      <w:proofErr w:type="gramEnd"/>
      <w:r w:rsidRPr="005F4E77">
        <w:rPr>
          <w:b/>
          <w:sz w:val="24"/>
          <w:szCs w:val="24"/>
        </w:rPr>
        <w:t xml:space="preserve"> RESULTADOS DA PESQUISA</w:t>
      </w:r>
    </w:p>
    <w:p w:rsidR="005F4E77" w:rsidRPr="005F4E77" w:rsidRDefault="005F4E77" w:rsidP="005F4E77">
      <w:pPr>
        <w:ind w:firstLine="709"/>
        <w:jc w:val="both"/>
        <w:rPr>
          <w:sz w:val="24"/>
          <w:szCs w:val="24"/>
        </w:rPr>
      </w:pPr>
      <w:r w:rsidRPr="005F4E77">
        <w:rPr>
          <w:sz w:val="24"/>
          <w:szCs w:val="24"/>
        </w:rPr>
        <w:t xml:space="preserve">O nível de evidenciação dos clubes de futebol ao longo dos quatro anos está descrito na </w:t>
      </w:r>
      <w:r w:rsidR="007F38F8">
        <w:rPr>
          <w:sz w:val="24"/>
          <w:szCs w:val="24"/>
        </w:rPr>
        <w:t>Tabela 5</w:t>
      </w:r>
      <w:r w:rsidR="004D366C">
        <w:rPr>
          <w:sz w:val="24"/>
          <w:szCs w:val="24"/>
        </w:rPr>
        <w:t>.</w:t>
      </w:r>
      <w:r w:rsidR="00A11EAB">
        <w:rPr>
          <w:sz w:val="24"/>
          <w:szCs w:val="24"/>
        </w:rPr>
        <w:t xml:space="preserve"> P</w:t>
      </w:r>
      <w:r w:rsidR="00A11EAB" w:rsidRPr="005F4E77">
        <w:rPr>
          <w:sz w:val="24"/>
          <w:szCs w:val="24"/>
        </w:rPr>
        <w:t>ode-se observar que em grande maioria o nível de evidenciação foi se adequando à ITG 2003 (2013), porém os clubes ainda não atendem inteiramente esta norma.</w:t>
      </w:r>
    </w:p>
    <w:p w:rsidR="005F4E77" w:rsidRPr="005F4E77" w:rsidRDefault="007F38F8" w:rsidP="005F4E77">
      <w:pPr>
        <w:jc w:val="both"/>
      </w:pPr>
      <w:r>
        <w:t>Tabela 5</w:t>
      </w:r>
      <w:r w:rsidR="005F4E77" w:rsidRPr="005F4E77">
        <w:t xml:space="preserve"> – Nível de evidenciação dos clubes de futebol por ano</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3156"/>
        <w:gridCol w:w="1513"/>
        <w:gridCol w:w="1513"/>
        <w:gridCol w:w="1513"/>
        <w:gridCol w:w="1510"/>
      </w:tblGrid>
      <w:tr w:rsidR="005F4E77" w:rsidRPr="005F4E77" w:rsidTr="004D366C">
        <w:trPr>
          <w:trHeight w:hRule="exact" w:val="284"/>
          <w:tblHeader/>
        </w:trPr>
        <w:tc>
          <w:tcPr>
            <w:tcW w:w="1714" w:type="pct"/>
            <w:tcBorders>
              <w:top w:val="single" w:sz="12" w:space="0" w:color="auto"/>
              <w:bottom w:val="single" w:sz="12" w:space="0" w:color="auto"/>
            </w:tcBorders>
            <w:shd w:val="clear" w:color="auto" w:fill="auto"/>
            <w:vAlign w:val="center"/>
            <w:hideMark/>
          </w:tcPr>
          <w:p w:rsidR="005F4E77" w:rsidRPr="005F4E77" w:rsidRDefault="005F4E77" w:rsidP="004D366C">
            <w:pPr>
              <w:suppressAutoHyphens w:val="0"/>
              <w:jc w:val="center"/>
              <w:rPr>
                <w:b/>
              </w:rPr>
            </w:pPr>
            <w:r w:rsidRPr="005F4E77">
              <w:rPr>
                <w:b/>
              </w:rPr>
              <w:t>Clube de Futebol - Estado</w:t>
            </w:r>
          </w:p>
        </w:tc>
        <w:tc>
          <w:tcPr>
            <w:tcW w:w="822"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rPr>
            </w:pPr>
            <w:r w:rsidRPr="005F4E77">
              <w:rPr>
                <w:b/>
              </w:rPr>
              <w:t>2013</w:t>
            </w:r>
          </w:p>
        </w:tc>
        <w:tc>
          <w:tcPr>
            <w:tcW w:w="822"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rPr>
            </w:pPr>
            <w:r w:rsidRPr="005F4E77">
              <w:rPr>
                <w:b/>
              </w:rPr>
              <w:t>2014</w:t>
            </w:r>
          </w:p>
        </w:tc>
        <w:tc>
          <w:tcPr>
            <w:tcW w:w="822"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rPr>
            </w:pPr>
            <w:r w:rsidRPr="005F4E77">
              <w:rPr>
                <w:b/>
              </w:rPr>
              <w:t>2015</w:t>
            </w:r>
          </w:p>
        </w:tc>
        <w:tc>
          <w:tcPr>
            <w:tcW w:w="820"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rPr>
            </w:pPr>
            <w:r w:rsidRPr="005F4E77">
              <w:rPr>
                <w:b/>
              </w:rPr>
              <w:t>2016</w:t>
            </w:r>
          </w:p>
        </w:tc>
      </w:tr>
      <w:tr w:rsidR="005F4E77" w:rsidRPr="005F4E77" w:rsidTr="004D366C">
        <w:trPr>
          <w:trHeight w:hRule="exact" w:val="284"/>
          <w:tblHeader/>
        </w:trPr>
        <w:tc>
          <w:tcPr>
            <w:tcW w:w="1714" w:type="pct"/>
            <w:tcBorders>
              <w:top w:val="single" w:sz="12" w:space="0" w:color="auto"/>
            </w:tcBorders>
            <w:shd w:val="clear" w:color="auto" w:fill="auto"/>
            <w:vAlign w:val="center"/>
            <w:hideMark/>
          </w:tcPr>
          <w:p w:rsidR="005F4E77" w:rsidRPr="005F4E77" w:rsidRDefault="005F4E77" w:rsidP="004D366C">
            <w:pPr>
              <w:suppressAutoHyphens w:val="0"/>
              <w:jc w:val="center"/>
            </w:pPr>
            <w:r w:rsidRPr="005F4E77">
              <w:t>Bahia – BA</w:t>
            </w:r>
          </w:p>
        </w:tc>
        <w:tc>
          <w:tcPr>
            <w:tcW w:w="822" w:type="pct"/>
            <w:tcBorders>
              <w:top w:val="single" w:sz="12" w:space="0" w:color="auto"/>
            </w:tcBorders>
            <w:shd w:val="clear" w:color="auto" w:fill="auto"/>
            <w:noWrap/>
            <w:vAlign w:val="center"/>
            <w:hideMark/>
          </w:tcPr>
          <w:p w:rsidR="005F4E77" w:rsidRPr="005F4E77" w:rsidRDefault="005F4E77" w:rsidP="004D366C">
            <w:pPr>
              <w:jc w:val="center"/>
            </w:pPr>
            <w:r w:rsidRPr="005F4E77">
              <w:t>38,46%</w:t>
            </w:r>
          </w:p>
        </w:tc>
        <w:tc>
          <w:tcPr>
            <w:tcW w:w="822" w:type="pct"/>
            <w:tcBorders>
              <w:top w:val="single" w:sz="12" w:space="0" w:color="auto"/>
            </w:tcBorders>
            <w:shd w:val="clear" w:color="auto" w:fill="auto"/>
            <w:noWrap/>
            <w:vAlign w:val="center"/>
            <w:hideMark/>
          </w:tcPr>
          <w:p w:rsidR="005F4E77" w:rsidRPr="005F4E77" w:rsidRDefault="005F4E77" w:rsidP="004D366C">
            <w:pPr>
              <w:jc w:val="center"/>
            </w:pPr>
            <w:r w:rsidRPr="005F4E77">
              <w:t>46,15%</w:t>
            </w:r>
          </w:p>
        </w:tc>
        <w:tc>
          <w:tcPr>
            <w:tcW w:w="822" w:type="pct"/>
            <w:tcBorders>
              <w:top w:val="single" w:sz="12" w:space="0" w:color="auto"/>
            </w:tcBorders>
            <w:shd w:val="clear" w:color="auto" w:fill="auto"/>
            <w:noWrap/>
            <w:vAlign w:val="center"/>
            <w:hideMark/>
          </w:tcPr>
          <w:p w:rsidR="005F4E77" w:rsidRPr="005F4E77" w:rsidRDefault="005F4E77" w:rsidP="004D366C">
            <w:pPr>
              <w:jc w:val="center"/>
            </w:pPr>
            <w:r w:rsidRPr="005F4E77">
              <w:t>57,69%</w:t>
            </w:r>
          </w:p>
        </w:tc>
        <w:tc>
          <w:tcPr>
            <w:tcW w:w="820" w:type="pct"/>
            <w:tcBorders>
              <w:top w:val="single" w:sz="12" w:space="0" w:color="auto"/>
            </w:tcBorders>
            <w:shd w:val="clear" w:color="auto" w:fill="auto"/>
            <w:noWrap/>
            <w:vAlign w:val="center"/>
            <w:hideMark/>
          </w:tcPr>
          <w:p w:rsidR="005F4E77" w:rsidRPr="005F4E77" w:rsidRDefault="005F4E77" w:rsidP="004D366C">
            <w:pPr>
              <w:jc w:val="center"/>
            </w:pPr>
            <w:r w:rsidRPr="005F4E77">
              <w:t>42,31%</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Vitória – BA</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53,85%</w:t>
            </w:r>
          </w:p>
        </w:tc>
        <w:tc>
          <w:tcPr>
            <w:tcW w:w="820" w:type="pct"/>
            <w:shd w:val="clear" w:color="auto" w:fill="auto"/>
            <w:noWrap/>
            <w:vAlign w:val="center"/>
            <w:hideMark/>
          </w:tcPr>
          <w:p w:rsidR="005F4E77" w:rsidRPr="005F4E77" w:rsidRDefault="005F4E77" w:rsidP="004D366C">
            <w:pPr>
              <w:jc w:val="center"/>
            </w:pPr>
            <w:r w:rsidRPr="005F4E77">
              <w:t>50,00%</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rPr>
                <w:bCs/>
              </w:rPr>
            </w:pPr>
            <w:r w:rsidRPr="005F4E77">
              <w:rPr>
                <w:bCs/>
              </w:rPr>
              <w:t>Ceará – CE</w:t>
            </w:r>
          </w:p>
        </w:tc>
        <w:tc>
          <w:tcPr>
            <w:tcW w:w="822" w:type="pct"/>
            <w:shd w:val="clear" w:color="auto" w:fill="auto"/>
            <w:noWrap/>
            <w:vAlign w:val="center"/>
            <w:hideMark/>
          </w:tcPr>
          <w:p w:rsidR="005F4E77" w:rsidRPr="005F4E77" w:rsidRDefault="005F4E77" w:rsidP="004D366C">
            <w:pPr>
              <w:jc w:val="both"/>
            </w:pPr>
            <w:r w:rsidRPr="005F4E77">
              <w:t>-</w:t>
            </w:r>
          </w:p>
        </w:tc>
        <w:tc>
          <w:tcPr>
            <w:tcW w:w="822" w:type="pct"/>
            <w:shd w:val="clear" w:color="auto" w:fill="auto"/>
            <w:noWrap/>
            <w:vAlign w:val="center"/>
            <w:hideMark/>
          </w:tcPr>
          <w:p w:rsidR="005F4E77" w:rsidRPr="005F4E77" w:rsidRDefault="005F4E77" w:rsidP="004D366C">
            <w:pPr>
              <w:jc w:val="both"/>
            </w:pPr>
            <w:r w:rsidRPr="005F4E77">
              <w:t>-</w:t>
            </w:r>
          </w:p>
        </w:tc>
        <w:tc>
          <w:tcPr>
            <w:tcW w:w="822" w:type="pct"/>
            <w:shd w:val="clear" w:color="auto" w:fill="auto"/>
            <w:noWrap/>
            <w:vAlign w:val="center"/>
            <w:hideMark/>
          </w:tcPr>
          <w:p w:rsidR="005F4E77" w:rsidRPr="005F4E77" w:rsidRDefault="005F4E77" w:rsidP="004D366C">
            <w:pPr>
              <w:jc w:val="center"/>
            </w:pPr>
            <w:r w:rsidRPr="005F4E77">
              <w:t>7,69%</w:t>
            </w:r>
          </w:p>
        </w:tc>
        <w:tc>
          <w:tcPr>
            <w:tcW w:w="820" w:type="pct"/>
            <w:shd w:val="clear" w:color="auto" w:fill="auto"/>
            <w:noWrap/>
            <w:vAlign w:val="center"/>
            <w:hideMark/>
          </w:tcPr>
          <w:p w:rsidR="005F4E77" w:rsidRPr="005F4E77" w:rsidRDefault="005F4E77" w:rsidP="004D366C">
            <w:pPr>
              <w:jc w:val="center"/>
            </w:pPr>
            <w:r w:rsidRPr="005F4E77">
              <w:t>15,38%</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Goiás – GO</w:t>
            </w:r>
          </w:p>
        </w:tc>
        <w:tc>
          <w:tcPr>
            <w:tcW w:w="822" w:type="pct"/>
            <w:shd w:val="clear" w:color="auto" w:fill="auto"/>
            <w:noWrap/>
            <w:vAlign w:val="center"/>
            <w:hideMark/>
          </w:tcPr>
          <w:p w:rsidR="005F4E77" w:rsidRPr="005F4E77" w:rsidRDefault="005F4E77" w:rsidP="004D366C">
            <w:pPr>
              <w:jc w:val="center"/>
            </w:pPr>
            <w:r w:rsidRPr="005F4E77">
              <w:t>50,00%</w:t>
            </w:r>
          </w:p>
        </w:tc>
        <w:tc>
          <w:tcPr>
            <w:tcW w:w="822" w:type="pct"/>
            <w:shd w:val="clear" w:color="auto" w:fill="auto"/>
            <w:noWrap/>
            <w:vAlign w:val="center"/>
            <w:hideMark/>
          </w:tcPr>
          <w:p w:rsidR="005F4E77" w:rsidRPr="005F4E77" w:rsidRDefault="005F4E77" w:rsidP="004D366C">
            <w:pPr>
              <w:jc w:val="center"/>
            </w:pPr>
            <w:r w:rsidRPr="005F4E77">
              <w:t>69,23%</w:t>
            </w:r>
          </w:p>
        </w:tc>
        <w:tc>
          <w:tcPr>
            <w:tcW w:w="822" w:type="pct"/>
            <w:shd w:val="clear" w:color="auto" w:fill="auto"/>
            <w:noWrap/>
            <w:vAlign w:val="center"/>
            <w:hideMark/>
          </w:tcPr>
          <w:p w:rsidR="005F4E77" w:rsidRPr="005F4E77" w:rsidRDefault="005F4E77" w:rsidP="004D366C">
            <w:pPr>
              <w:jc w:val="center"/>
            </w:pPr>
            <w:r w:rsidRPr="005F4E77">
              <w:t>76,92%</w:t>
            </w:r>
          </w:p>
        </w:tc>
        <w:tc>
          <w:tcPr>
            <w:tcW w:w="820" w:type="pct"/>
            <w:shd w:val="clear" w:color="auto" w:fill="auto"/>
            <w:noWrap/>
            <w:vAlign w:val="center"/>
            <w:hideMark/>
          </w:tcPr>
          <w:p w:rsidR="005F4E77" w:rsidRPr="005F4E77" w:rsidRDefault="005F4E77" w:rsidP="004D366C">
            <w:pPr>
              <w:jc w:val="center"/>
            </w:pPr>
            <w:r w:rsidRPr="005F4E77">
              <w:t>83,33%</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América – MG</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23,08%</w:t>
            </w:r>
          </w:p>
        </w:tc>
        <w:tc>
          <w:tcPr>
            <w:tcW w:w="822" w:type="pct"/>
            <w:shd w:val="clear" w:color="auto" w:fill="auto"/>
            <w:noWrap/>
            <w:vAlign w:val="center"/>
            <w:hideMark/>
          </w:tcPr>
          <w:p w:rsidR="005F4E77" w:rsidRPr="005F4E77" w:rsidRDefault="005F4E77" w:rsidP="004D366C">
            <w:pPr>
              <w:jc w:val="center"/>
            </w:pPr>
          </w:p>
        </w:tc>
        <w:tc>
          <w:tcPr>
            <w:tcW w:w="820" w:type="pct"/>
            <w:shd w:val="clear" w:color="auto" w:fill="auto"/>
            <w:noWrap/>
            <w:vAlign w:val="center"/>
            <w:hideMark/>
          </w:tcPr>
          <w:p w:rsidR="005F4E77" w:rsidRPr="005F4E77" w:rsidRDefault="005F4E77" w:rsidP="004D366C">
            <w:pPr>
              <w:jc w:val="center"/>
            </w:pPr>
            <w:r w:rsidRPr="005F4E77">
              <w:t>38,46%</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Atlético – MG</w:t>
            </w:r>
          </w:p>
        </w:tc>
        <w:tc>
          <w:tcPr>
            <w:tcW w:w="822" w:type="pct"/>
            <w:shd w:val="clear" w:color="auto" w:fill="auto"/>
            <w:noWrap/>
            <w:vAlign w:val="center"/>
            <w:hideMark/>
          </w:tcPr>
          <w:p w:rsidR="005F4E77" w:rsidRPr="005F4E77" w:rsidRDefault="005F4E77" w:rsidP="004D366C">
            <w:pPr>
              <w:jc w:val="center"/>
            </w:pPr>
            <w:r w:rsidRPr="005F4E77">
              <w:t>38,46%</w:t>
            </w:r>
          </w:p>
        </w:tc>
        <w:tc>
          <w:tcPr>
            <w:tcW w:w="822" w:type="pct"/>
            <w:shd w:val="clear" w:color="auto" w:fill="auto"/>
            <w:noWrap/>
            <w:vAlign w:val="center"/>
            <w:hideMark/>
          </w:tcPr>
          <w:p w:rsidR="005F4E77" w:rsidRPr="005F4E77" w:rsidRDefault="005F4E77" w:rsidP="004D366C">
            <w:pPr>
              <w:jc w:val="center"/>
            </w:pPr>
            <w:r w:rsidRPr="005F4E77">
              <w:t>38,46%</w:t>
            </w:r>
          </w:p>
        </w:tc>
        <w:tc>
          <w:tcPr>
            <w:tcW w:w="822" w:type="pct"/>
            <w:shd w:val="clear" w:color="auto" w:fill="auto"/>
            <w:noWrap/>
            <w:vAlign w:val="center"/>
            <w:hideMark/>
          </w:tcPr>
          <w:p w:rsidR="005F4E77" w:rsidRPr="005F4E77" w:rsidRDefault="005F4E77" w:rsidP="004D366C">
            <w:pPr>
              <w:jc w:val="center"/>
            </w:pPr>
            <w:r w:rsidRPr="005F4E77">
              <w:t>61,54%</w:t>
            </w:r>
          </w:p>
        </w:tc>
        <w:tc>
          <w:tcPr>
            <w:tcW w:w="820" w:type="pct"/>
            <w:shd w:val="clear" w:color="auto" w:fill="auto"/>
            <w:noWrap/>
            <w:vAlign w:val="center"/>
            <w:hideMark/>
          </w:tcPr>
          <w:p w:rsidR="005F4E77" w:rsidRPr="005F4E77" w:rsidRDefault="005F4E77" w:rsidP="004D366C">
            <w:pPr>
              <w:jc w:val="center"/>
            </w:pPr>
            <w:r w:rsidRPr="005F4E77">
              <w:t>75,00%</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Cruzeiro – MG</w:t>
            </w:r>
          </w:p>
        </w:tc>
        <w:tc>
          <w:tcPr>
            <w:tcW w:w="822" w:type="pct"/>
            <w:shd w:val="clear" w:color="auto" w:fill="auto"/>
            <w:noWrap/>
            <w:vAlign w:val="center"/>
            <w:hideMark/>
          </w:tcPr>
          <w:p w:rsidR="005F4E77" w:rsidRPr="005F4E77" w:rsidRDefault="005F4E77" w:rsidP="004D366C">
            <w:pPr>
              <w:jc w:val="center"/>
            </w:pPr>
            <w:r w:rsidRPr="005F4E77">
              <w:t>57,69%</w:t>
            </w:r>
          </w:p>
        </w:tc>
        <w:tc>
          <w:tcPr>
            <w:tcW w:w="822" w:type="pct"/>
            <w:shd w:val="clear" w:color="auto" w:fill="auto"/>
            <w:noWrap/>
            <w:vAlign w:val="center"/>
            <w:hideMark/>
          </w:tcPr>
          <w:p w:rsidR="005F4E77" w:rsidRPr="005F4E77" w:rsidRDefault="005F4E77" w:rsidP="004D366C">
            <w:pPr>
              <w:jc w:val="center"/>
            </w:pPr>
            <w:r w:rsidRPr="005F4E77">
              <w:t>57,69%</w:t>
            </w:r>
          </w:p>
        </w:tc>
        <w:tc>
          <w:tcPr>
            <w:tcW w:w="822" w:type="pct"/>
            <w:shd w:val="clear" w:color="auto" w:fill="auto"/>
            <w:noWrap/>
            <w:vAlign w:val="center"/>
            <w:hideMark/>
          </w:tcPr>
          <w:p w:rsidR="005F4E77" w:rsidRPr="005F4E77" w:rsidRDefault="005F4E77" w:rsidP="004D366C">
            <w:pPr>
              <w:jc w:val="center"/>
            </w:pPr>
            <w:r w:rsidRPr="005F4E77">
              <w:t>57,69%</w:t>
            </w:r>
          </w:p>
        </w:tc>
        <w:tc>
          <w:tcPr>
            <w:tcW w:w="820" w:type="pct"/>
            <w:shd w:val="clear" w:color="auto" w:fill="auto"/>
            <w:noWrap/>
            <w:vAlign w:val="center"/>
            <w:hideMark/>
          </w:tcPr>
          <w:p w:rsidR="005F4E77" w:rsidRPr="005F4E77" w:rsidRDefault="005F4E77" w:rsidP="004D366C">
            <w:pPr>
              <w:jc w:val="center"/>
            </w:pPr>
            <w:r w:rsidRPr="005F4E77">
              <w:t>65,38%</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Paysandu – PA</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w:t>
            </w:r>
          </w:p>
        </w:tc>
        <w:tc>
          <w:tcPr>
            <w:tcW w:w="820" w:type="pct"/>
            <w:shd w:val="clear" w:color="auto" w:fill="auto"/>
            <w:noWrap/>
            <w:vAlign w:val="center"/>
            <w:hideMark/>
          </w:tcPr>
          <w:p w:rsidR="005F4E77" w:rsidRPr="005F4E77" w:rsidRDefault="005F4E77" w:rsidP="004D366C">
            <w:pPr>
              <w:jc w:val="center"/>
            </w:pPr>
            <w:r w:rsidRPr="005F4E77">
              <w:t>19,23%</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Náutico – PE</w:t>
            </w:r>
          </w:p>
        </w:tc>
        <w:tc>
          <w:tcPr>
            <w:tcW w:w="822" w:type="pct"/>
            <w:shd w:val="clear" w:color="auto" w:fill="auto"/>
            <w:noWrap/>
            <w:vAlign w:val="center"/>
            <w:hideMark/>
          </w:tcPr>
          <w:p w:rsidR="005F4E77" w:rsidRPr="005F4E77" w:rsidRDefault="005F4E77" w:rsidP="004D366C">
            <w:pPr>
              <w:jc w:val="center"/>
            </w:pPr>
            <w:r w:rsidRPr="005F4E77">
              <w:t>30,77%</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w:t>
            </w:r>
          </w:p>
        </w:tc>
        <w:tc>
          <w:tcPr>
            <w:tcW w:w="820" w:type="pct"/>
            <w:shd w:val="clear" w:color="auto" w:fill="auto"/>
            <w:noWrap/>
            <w:vAlign w:val="center"/>
            <w:hideMark/>
          </w:tcPr>
          <w:p w:rsidR="005F4E77" w:rsidRPr="005F4E77" w:rsidRDefault="005F4E77" w:rsidP="004D366C">
            <w:pPr>
              <w:jc w:val="center"/>
            </w:pPr>
            <w:r w:rsidRPr="005F4E77">
              <w:t>-</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Santa Cruz – PE</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38,46%</w:t>
            </w:r>
          </w:p>
        </w:tc>
        <w:tc>
          <w:tcPr>
            <w:tcW w:w="822" w:type="pct"/>
            <w:shd w:val="clear" w:color="auto" w:fill="auto"/>
            <w:noWrap/>
            <w:vAlign w:val="center"/>
            <w:hideMark/>
          </w:tcPr>
          <w:p w:rsidR="005F4E77" w:rsidRPr="005F4E77" w:rsidRDefault="005F4E77" w:rsidP="004D366C">
            <w:pPr>
              <w:jc w:val="center"/>
            </w:pPr>
            <w:r w:rsidRPr="005F4E77">
              <w:t>-</w:t>
            </w:r>
          </w:p>
        </w:tc>
        <w:tc>
          <w:tcPr>
            <w:tcW w:w="820" w:type="pct"/>
            <w:shd w:val="clear" w:color="auto" w:fill="auto"/>
            <w:noWrap/>
            <w:vAlign w:val="center"/>
            <w:hideMark/>
          </w:tcPr>
          <w:p w:rsidR="005F4E77" w:rsidRPr="005F4E77" w:rsidRDefault="005F4E77" w:rsidP="004D366C">
            <w:pPr>
              <w:jc w:val="center"/>
            </w:pPr>
            <w:r w:rsidRPr="005F4E77">
              <w:t>-</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Sport – PE</w:t>
            </w:r>
          </w:p>
        </w:tc>
        <w:tc>
          <w:tcPr>
            <w:tcW w:w="822" w:type="pct"/>
            <w:shd w:val="clear" w:color="auto" w:fill="auto"/>
            <w:noWrap/>
            <w:vAlign w:val="center"/>
            <w:hideMark/>
          </w:tcPr>
          <w:p w:rsidR="005F4E77" w:rsidRPr="005F4E77" w:rsidRDefault="005F4E77" w:rsidP="004D366C">
            <w:pPr>
              <w:jc w:val="center"/>
            </w:pPr>
            <w:r w:rsidRPr="005F4E77">
              <w:t>38,46%</w:t>
            </w:r>
          </w:p>
        </w:tc>
        <w:tc>
          <w:tcPr>
            <w:tcW w:w="822" w:type="pct"/>
            <w:shd w:val="clear" w:color="auto" w:fill="auto"/>
            <w:noWrap/>
            <w:vAlign w:val="center"/>
            <w:hideMark/>
          </w:tcPr>
          <w:p w:rsidR="005F4E77" w:rsidRPr="005F4E77" w:rsidRDefault="005F4E77" w:rsidP="004D366C">
            <w:pPr>
              <w:jc w:val="center"/>
            </w:pPr>
            <w:r w:rsidRPr="005F4E77">
              <w:t>50,00%</w:t>
            </w:r>
          </w:p>
        </w:tc>
        <w:tc>
          <w:tcPr>
            <w:tcW w:w="822" w:type="pct"/>
            <w:shd w:val="clear" w:color="auto" w:fill="auto"/>
            <w:noWrap/>
            <w:vAlign w:val="center"/>
            <w:hideMark/>
          </w:tcPr>
          <w:p w:rsidR="005F4E77" w:rsidRPr="005F4E77" w:rsidRDefault="005F4E77" w:rsidP="004D366C">
            <w:pPr>
              <w:jc w:val="center"/>
            </w:pPr>
            <w:r w:rsidRPr="005F4E77">
              <w:t>-</w:t>
            </w:r>
          </w:p>
        </w:tc>
        <w:tc>
          <w:tcPr>
            <w:tcW w:w="820" w:type="pct"/>
            <w:shd w:val="clear" w:color="auto" w:fill="auto"/>
            <w:noWrap/>
            <w:vAlign w:val="center"/>
            <w:hideMark/>
          </w:tcPr>
          <w:p w:rsidR="005F4E77" w:rsidRPr="005F4E77" w:rsidRDefault="005F4E77" w:rsidP="004D366C">
            <w:pPr>
              <w:jc w:val="center"/>
            </w:pPr>
            <w:r w:rsidRPr="005F4E77">
              <w:t>50,00%</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Atlético – PR</w:t>
            </w:r>
          </w:p>
        </w:tc>
        <w:tc>
          <w:tcPr>
            <w:tcW w:w="822" w:type="pct"/>
            <w:shd w:val="clear" w:color="auto" w:fill="auto"/>
            <w:noWrap/>
            <w:vAlign w:val="center"/>
            <w:hideMark/>
          </w:tcPr>
          <w:p w:rsidR="005F4E77" w:rsidRPr="005F4E77" w:rsidRDefault="005F4E77" w:rsidP="004D366C">
            <w:pPr>
              <w:jc w:val="center"/>
            </w:pPr>
            <w:r w:rsidRPr="005F4E77">
              <w:t>38,46%</w:t>
            </w:r>
          </w:p>
        </w:tc>
        <w:tc>
          <w:tcPr>
            <w:tcW w:w="822" w:type="pct"/>
            <w:shd w:val="clear" w:color="auto" w:fill="auto"/>
            <w:noWrap/>
            <w:vAlign w:val="center"/>
            <w:hideMark/>
          </w:tcPr>
          <w:p w:rsidR="005F4E77" w:rsidRPr="005F4E77" w:rsidRDefault="005F4E77" w:rsidP="004D366C">
            <w:pPr>
              <w:jc w:val="center"/>
            </w:pPr>
            <w:r w:rsidRPr="005F4E77">
              <w:t>38,46%</w:t>
            </w:r>
          </w:p>
        </w:tc>
        <w:tc>
          <w:tcPr>
            <w:tcW w:w="822" w:type="pct"/>
            <w:shd w:val="clear" w:color="auto" w:fill="auto"/>
            <w:noWrap/>
            <w:vAlign w:val="center"/>
            <w:hideMark/>
          </w:tcPr>
          <w:p w:rsidR="005F4E77" w:rsidRPr="005F4E77" w:rsidRDefault="005F4E77" w:rsidP="004D366C">
            <w:pPr>
              <w:jc w:val="center"/>
            </w:pPr>
            <w:r w:rsidRPr="005F4E77">
              <w:t>46,15%</w:t>
            </w:r>
          </w:p>
        </w:tc>
        <w:tc>
          <w:tcPr>
            <w:tcW w:w="820" w:type="pct"/>
            <w:shd w:val="clear" w:color="auto" w:fill="auto"/>
            <w:noWrap/>
            <w:vAlign w:val="center"/>
            <w:hideMark/>
          </w:tcPr>
          <w:p w:rsidR="005F4E77" w:rsidRPr="005F4E77" w:rsidRDefault="005F4E77" w:rsidP="004D366C">
            <w:pPr>
              <w:jc w:val="center"/>
            </w:pPr>
            <w:r w:rsidRPr="005F4E77">
              <w:t>46,15%</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Coritiba – PR</w:t>
            </w:r>
          </w:p>
        </w:tc>
        <w:tc>
          <w:tcPr>
            <w:tcW w:w="822" w:type="pct"/>
            <w:shd w:val="clear" w:color="auto" w:fill="auto"/>
            <w:noWrap/>
            <w:vAlign w:val="center"/>
            <w:hideMark/>
          </w:tcPr>
          <w:p w:rsidR="005F4E77" w:rsidRPr="005F4E77" w:rsidRDefault="005F4E77" w:rsidP="004D366C">
            <w:pPr>
              <w:jc w:val="center"/>
            </w:pPr>
            <w:r w:rsidRPr="005F4E77">
              <w:t>84,62%</w:t>
            </w:r>
          </w:p>
        </w:tc>
        <w:tc>
          <w:tcPr>
            <w:tcW w:w="822" w:type="pct"/>
            <w:shd w:val="clear" w:color="auto" w:fill="auto"/>
            <w:noWrap/>
            <w:vAlign w:val="center"/>
            <w:hideMark/>
          </w:tcPr>
          <w:p w:rsidR="005F4E77" w:rsidRPr="005F4E77" w:rsidRDefault="005F4E77" w:rsidP="004D366C">
            <w:pPr>
              <w:jc w:val="center"/>
            </w:pPr>
            <w:r w:rsidRPr="005F4E77">
              <w:t>76,92%</w:t>
            </w:r>
          </w:p>
        </w:tc>
        <w:tc>
          <w:tcPr>
            <w:tcW w:w="822" w:type="pct"/>
            <w:shd w:val="clear" w:color="auto" w:fill="auto"/>
            <w:noWrap/>
            <w:vAlign w:val="center"/>
            <w:hideMark/>
          </w:tcPr>
          <w:p w:rsidR="005F4E77" w:rsidRPr="005F4E77" w:rsidRDefault="005F4E77" w:rsidP="004D366C">
            <w:pPr>
              <w:jc w:val="center"/>
            </w:pPr>
            <w:r w:rsidRPr="005F4E77">
              <w:t>92,31%</w:t>
            </w:r>
          </w:p>
        </w:tc>
        <w:tc>
          <w:tcPr>
            <w:tcW w:w="820" w:type="pct"/>
            <w:shd w:val="clear" w:color="auto" w:fill="auto"/>
            <w:noWrap/>
            <w:vAlign w:val="center"/>
            <w:hideMark/>
          </w:tcPr>
          <w:p w:rsidR="005F4E77" w:rsidRPr="005F4E77" w:rsidRDefault="005F4E77" w:rsidP="004D366C">
            <w:pPr>
              <w:jc w:val="center"/>
            </w:pPr>
            <w:r w:rsidRPr="005F4E77">
              <w:t>92,31%</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Botafogo – RJ</w:t>
            </w:r>
          </w:p>
        </w:tc>
        <w:tc>
          <w:tcPr>
            <w:tcW w:w="822" w:type="pct"/>
            <w:shd w:val="clear" w:color="auto" w:fill="auto"/>
            <w:noWrap/>
            <w:vAlign w:val="center"/>
            <w:hideMark/>
          </w:tcPr>
          <w:p w:rsidR="005F4E77" w:rsidRPr="005F4E77" w:rsidRDefault="005F4E77" w:rsidP="004D366C">
            <w:pPr>
              <w:jc w:val="center"/>
            </w:pPr>
            <w:r w:rsidRPr="005F4E77">
              <w:t>53,85%</w:t>
            </w:r>
          </w:p>
        </w:tc>
        <w:tc>
          <w:tcPr>
            <w:tcW w:w="822" w:type="pct"/>
            <w:shd w:val="clear" w:color="auto" w:fill="auto"/>
            <w:noWrap/>
            <w:vAlign w:val="center"/>
            <w:hideMark/>
          </w:tcPr>
          <w:p w:rsidR="005F4E77" w:rsidRPr="005F4E77" w:rsidRDefault="005F4E77" w:rsidP="004D366C">
            <w:pPr>
              <w:jc w:val="center"/>
            </w:pPr>
            <w:r w:rsidRPr="005F4E77">
              <w:t>76,92%</w:t>
            </w:r>
          </w:p>
        </w:tc>
        <w:tc>
          <w:tcPr>
            <w:tcW w:w="822" w:type="pct"/>
            <w:shd w:val="clear" w:color="auto" w:fill="auto"/>
            <w:noWrap/>
            <w:vAlign w:val="center"/>
            <w:hideMark/>
          </w:tcPr>
          <w:p w:rsidR="005F4E77" w:rsidRPr="005F4E77" w:rsidRDefault="005F4E77" w:rsidP="004D366C">
            <w:pPr>
              <w:jc w:val="center"/>
            </w:pPr>
            <w:r w:rsidRPr="005F4E77">
              <w:t>92,31%</w:t>
            </w:r>
          </w:p>
        </w:tc>
        <w:tc>
          <w:tcPr>
            <w:tcW w:w="820" w:type="pct"/>
            <w:shd w:val="clear" w:color="auto" w:fill="auto"/>
            <w:noWrap/>
            <w:vAlign w:val="center"/>
            <w:hideMark/>
          </w:tcPr>
          <w:p w:rsidR="005F4E77" w:rsidRPr="005F4E77" w:rsidRDefault="005F4E77" w:rsidP="004D366C">
            <w:pPr>
              <w:jc w:val="center"/>
            </w:pPr>
            <w:r w:rsidRPr="005F4E77">
              <w:t>92,31%</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Flamengo – RJ</w:t>
            </w:r>
          </w:p>
        </w:tc>
        <w:tc>
          <w:tcPr>
            <w:tcW w:w="822" w:type="pct"/>
            <w:shd w:val="clear" w:color="auto" w:fill="auto"/>
            <w:noWrap/>
            <w:vAlign w:val="center"/>
            <w:hideMark/>
          </w:tcPr>
          <w:p w:rsidR="005F4E77" w:rsidRPr="005F4E77" w:rsidRDefault="005F4E77" w:rsidP="004D366C">
            <w:pPr>
              <w:jc w:val="center"/>
            </w:pPr>
            <w:r w:rsidRPr="005F4E77">
              <w:t>61,54%</w:t>
            </w:r>
          </w:p>
        </w:tc>
        <w:tc>
          <w:tcPr>
            <w:tcW w:w="822" w:type="pct"/>
            <w:shd w:val="clear" w:color="auto" w:fill="auto"/>
            <w:noWrap/>
            <w:vAlign w:val="center"/>
            <w:hideMark/>
          </w:tcPr>
          <w:p w:rsidR="005F4E77" w:rsidRPr="005F4E77" w:rsidRDefault="005F4E77" w:rsidP="004D366C">
            <w:pPr>
              <w:jc w:val="center"/>
            </w:pPr>
            <w:r w:rsidRPr="005F4E77">
              <w:t>61,54%</w:t>
            </w:r>
          </w:p>
        </w:tc>
        <w:tc>
          <w:tcPr>
            <w:tcW w:w="822" w:type="pct"/>
            <w:shd w:val="clear" w:color="auto" w:fill="auto"/>
            <w:noWrap/>
            <w:vAlign w:val="center"/>
            <w:hideMark/>
          </w:tcPr>
          <w:p w:rsidR="005F4E77" w:rsidRPr="005F4E77" w:rsidRDefault="005F4E77" w:rsidP="004D366C">
            <w:pPr>
              <w:jc w:val="center"/>
            </w:pPr>
            <w:r w:rsidRPr="005F4E77">
              <w:t>61,54%</w:t>
            </w:r>
          </w:p>
        </w:tc>
        <w:tc>
          <w:tcPr>
            <w:tcW w:w="820" w:type="pct"/>
            <w:shd w:val="clear" w:color="auto" w:fill="auto"/>
            <w:noWrap/>
            <w:vAlign w:val="center"/>
            <w:hideMark/>
          </w:tcPr>
          <w:p w:rsidR="005F4E77" w:rsidRPr="005F4E77" w:rsidRDefault="005F4E77" w:rsidP="004D366C">
            <w:pPr>
              <w:jc w:val="center"/>
            </w:pPr>
            <w:r w:rsidRPr="005F4E77">
              <w:t>61,54%</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Fluminense – RJ</w:t>
            </w:r>
          </w:p>
        </w:tc>
        <w:tc>
          <w:tcPr>
            <w:tcW w:w="822" w:type="pct"/>
            <w:shd w:val="clear" w:color="auto" w:fill="auto"/>
            <w:noWrap/>
            <w:vAlign w:val="center"/>
            <w:hideMark/>
          </w:tcPr>
          <w:p w:rsidR="005F4E77" w:rsidRPr="005F4E77" w:rsidRDefault="005F4E77" w:rsidP="004D366C">
            <w:pPr>
              <w:jc w:val="center"/>
            </w:pPr>
            <w:r w:rsidRPr="005F4E77">
              <w:t>46,15%</w:t>
            </w:r>
          </w:p>
        </w:tc>
        <w:tc>
          <w:tcPr>
            <w:tcW w:w="822" w:type="pct"/>
            <w:shd w:val="clear" w:color="auto" w:fill="auto"/>
            <w:noWrap/>
            <w:vAlign w:val="center"/>
            <w:hideMark/>
          </w:tcPr>
          <w:p w:rsidR="005F4E77" w:rsidRPr="005F4E77" w:rsidRDefault="005F4E77" w:rsidP="004D366C">
            <w:pPr>
              <w:jc w:val="center"/>
            </w:pPr>
            <w:r w:rsidRPr="005F4E77">
              <w:t>61,54%</w:t>
            </w:r>
          </w:p>
        </w:tc>
        <w:tc>
          <w:tcPr>
            <w:tcW w:w="822" w:type="pct"/>
            <w:shd w:val="clear" w:color="auto" w:fill="auto"/>
            <w:noWrap/>
            <w:vAlign w:val="center"/>
            <w:hideMark/>
          </w:tcPr>
          <w:p w:rsidR="005F4E77" w:rsidRPr="005F4E77" w:rsidRDefault="005F4E77" w:rsidP="004D366C">
            <w:pPr>
              <w:jc w:val="center"/>
            </w:pPr>
            <w:r w:rsidRPr="005F4E77">
              <w:t>69,23%</w:t>
            </w:r>
          </w:p>
        </w:tc>
        <w:tc>
          <w:tcPr>
            <w:tcW w:w="820" w:type="pct"/>
            <w:shd w:val="clear" w:color="auto" w:fill="auto"/>
            <w:noWrap/>
            <w:vAlign w:val="center"/>
            <w:hideMark/>
          </w:tcPr>
          <w:p w:rsidR="005F4E77" w:rsidRPr="005F4E77" w:rsidRDefault="005F4E77" w:rsidP="004D366C">
            <w:pPr>
              <w:jc w:val="center"/>
            </w:pPr>
            <w:r w:rsidRPr="005F4E77">
              <w:t>69,23%</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Vasco Da Gama – RJ</w:t>
            </w:r>
          </w:p>
        </w:tc>
        <w:tc>
          <w:tcPr>
            <w:tcW w:w="822" w:type="pct"/>
            <w:shd w:val="clear" w:color="auto" w:fill="auto"/>
            <w:noWrap/>
            <w:vAlign w:val="center"/>
            <w:hideMark/>
          </w:tcPr>
          <w:p w:rsidR="005F4E77" w:rsidRPr="005F4E77" w:rsidRDefault="005F4E77" w:rsidP="004D366C">
            <w:pPr>
              <w:jc w:val="center"/>
            </w:pPr>
            <w:r w:rsidRPr="005F4E77">
              <w:t>30,77%</w:t>
            </w:r>
          </w:p>
        </w:tc>
        <w:tc>
          <w:tcPr>
            <w:tcW w:w="822" w:type="pct"/>
            <w:shd w:val="clear" w:color="auto" w:fill="auto"/>
            <w:noWrap/>
            <w:vAlign w:val="center"/>
            <w:hideMark/>
          </w:tcPr>
          <w:p w:rsidR="005F4E77" w:rsidRPr="005F4E77" w:rsidRDefault="005F4E77" w:rsidP="004D366C">
            <w:pPr>
              <w:jc w:val="center"/>
            </w:pPr>
            <w:r w:rsidRPr="005F4E77">
              <w:t>38,46%</w:t>
            </w:r>
          </w:p>
        </w:tc>
        <w:tc>
          <w:tcPr>
            <w:tcW w:w="822" w:type="pct"/>
            <w:shd w:val="clear" w:color="auto" w:fill="auto"/>
            <w:noWrap/>
            <w:vAlign w:val="center"/>
            <w:hideMark/>
          </w:tcPr>
          <w:p w:rsidR="005F4E77" w:rsidRPr="005F4E77" w:rsidRDefault="005F4E77" w:rsidP="004D366C">
            <w:pPr>
              <w:jc w:val="center"/>
            </w:pPr>
            <w:r w:rsidRPr="005F4E77">
              <w:t>30,77%</w:t>
            </w:r>
          </w:p>
        </w:tc>
        <w:tc>
          <w:tcPr>
            <w:tcW w:w="820" w:type="pct"/>
            <w:shd w:val="clear" w:color="auto" w:fill="auto"/>
            <w:noWrap/>
            <w:vAlign w:val="center"/>
            <w:hideMark/>
          </w:tcPr>
          <w:p w:rsidR="005F4E77" w:rsidRPr="005F4E77" w:rsidRDefault="005F4E77" w:rsidP="004D366C">
            <w:pPr>
              <w:jc w:val="center"/>
            </w:pPr>
            <w:r w:rsidRPr="005F4E77">
              <w:t>38,46%</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Grêmio – RS</w:t>
            </w:r>
          </w:p>
        </w:tc>
        <w:tc>
          <w:tcPr>
            <w:tcW w:w="822" w:type="pct"/>
            <w:shd w:val="clear" w:color="auto" w:fill="auto"/>
            <w:noWrap/>
            <w:vAlign w:val="center"/>
            <w:hideMark/>
          </w:tcPr>
          <w:p w:rsidR="005F4E77" w:rsidRPr="005F4E77" w:rsidRDefault="005F4E77" w:rsidP="004D366C">
            <w:pPr>
              <w:jc w:val="center"/>
            </w:pPr>
            <w:r w:rsidRPr="005F4E77">
              <w:t>57,69%</w:t>
            </w:r>
          </w:p>
        </w:tc>
        <w:tc>
          <w:tcPr>
            <w:tcW w:w="822" w:type="pct"/>
            <w:shd w:val="clear" w:color="auto" w:fill="auto"/>
            <w:noWrap/>
            <w:vAlign w:val="center"/>
            <w:hideMark/>
          </w:tcPr>
          <w:p w:rsidR="005F4E77" w:rsidRPr="005F4E77" w:rsidRDefault="005F4E77" w:rsidP="004D366C">
            <w:pPr>
              <w:jc w:val="center"/>
            </w:pPr>
            <w:r w:rsidRPr="005F4E77">
              <w:t>69,23%</w:t>
            </w:r>
          </w:p>
        </w:tc>
        <w:tc>
          <w:tcPr>
            <w:tcW w:w="822" w:type="pct"/>
            <w:shd w:val="clear" w:color="auto" w:fill="auto"/>
            <w:noWrap/>
            <w:vAlign w:val="center"/>
            <w:hideMark/>
          </w:tcPr>
          <w:p w:rsidR="005F4E77" w:rsidRPr="005F4E77" w:rsidRDefault="005F4E77" w:rsidP="004D366C">
            <w:pPr>
              <w:jc w:val="center"/>
            </w:pPr>
            <w:r w:rsidRPr="005F4E77">
              <w:t>76,92%</w:t>
            </w:r>
          </w:p>
        </w:tc>
        <w:tc>
          <w:tcPr>
            <w:tcW w:w="820" w:type="pct"/>
            <w:shd w:val="clear" w:color="auto" w:fill="auto"/>
            <w:noWrap/>
            <w:vAlign w:val="center"/>
            <w:hideMark/>
          </w:tcPr>
          <w:p w:rsidR="005F4E77" w:rsidRPr="005F4E77" w:rsidRDefault="005F4E77" w:rsidP="004D366C">
            <w:pPr>
              <w:jc w:val="center"/>
            </w:pPr>
            <w:r w:rsidRPr="005F4E77">
              <w:t>69,23%</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Internacional – RS</w:t>
            </w:r>
          </w:p>
        </w:tc>
        <w:tc>
          <w:tcPr>
            <w:tcW w:w="822" w:type="pct"/>
            <w:shd w:val="clear" w:color="auto" w:fill="auto"/>
            <w:noWrap/>
            <w:vAlign w:val="center"/>
            <w:hideMark/>
          </w:tcPr>
          <w:p w:rsidR="005F4E77" w:rsidRPr="005F4E77" w:rsidRDefault="005F4E77" w:rsidP="004D366C">
            <w:pPr>
              <w:jc w:val="center"/>
            </w:pPr>
            <w:r w:rsidRPr="005F4E77">
              <w:t>69,23%</w:t>
            </w:r>
          </w:p>
        </w:tc>
        <w:tc>
          <w:tcPr>
            <w:tcW w:w="822" w:type="pct"/>
            <w:shd w:val="clear" w:color="auto" w:fill="auto"/>
            <w:noWrap/>
            <w:vAlign w:val="center"/>
            <w:hideMark/>
          </w:tcPr>
          <w:p w:rsidR="005F4E77" w:rsidRPr="005F4E77" w:rsidRDefault="005F4E77" w:rsidP="004D366C">
            <w:pPr>
              <w:jc w:val="center"/>
            </w:pPr>
            <w:r w:rsidRPr="005F4E77">
              <w:t>61,54%</w:t>
            </w:r>
          </w:p>
        </w:tc>
        <w:tc>
          <w:tcPr>
            <w:tcW w:w="822" w:type="pct"/>
            <w:shd w:val="clear" w:color="auto" w:fill="auto"/>
            <w:noWrap/>
            <w:vAlign w:val="center"/>
            <w:hideMark/>
          </w:tcPr>
          <w:p w:rsidR="005F4E77" w:rsidRPr="005F4E77" w:rsidRDefault="005F4E77" w:rsidP="004D366C">
            <w:pPr>
              <w:jc w:val="center"/>
            </w:pPr>
            <w:r w:rsidRPr="005F4E77">
              <w:t>69,23%</w:t>
            </w:r>
          </w:p>
        </w:tc>
        <w:tc>
          <w:tcPr>
            <w:tcW w:w="820" w:type="pct"/>
            <w:shd w:val="clear" w:color="auto" w:fill="auto"/>
            <w:noWrap/>
            <w:vAlign w:val="center"/>
            <w:hideMark/>
          </w:tcPr>
          <w:p w:rsidR="005F4E77" w:rsidRPr="005F4E77" w:rsidRDefault="005F4E77" w:rsidP="004D366C">
            <w:pPr>
              <w:jc w:val="center"/>
            </w:pPr>
            <w:r w:rsidRPr="005F4E77">
              <w:t>69,23%</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Avaí – SC</w:t>
            </w:r>
          </w:p>
        </w:tc>
        <w:tc>
          <w:tcPr>
            <w:tcW w:w="822" w:type="pct"/>
            <w:shd w:val="clear" w:color="auto" w:fill="auto"/>
            <w:noWrap/>
            <w:vAlign w:val="center"/>
            <w:hideMark/>
          </w:tcPr>
          <w:p w:rsidR="005F4E77" w:rsidRPr="005F4E77" w:rsidRDefault="005F4E77" w:rsidP="004D366C">
            <w:pPr>
              <w:jc w:val="center"/>
            </w:pPr>
            <w:r w:rsidRPr="005F4E77">
              <w:t>73,08%</w:t>
            </w:r>
          </w:p>
        </w:tc>
        <w:tc>
          <w:tcPr>
            <w:tcW w:w="822" w:type="pct"/>
            <w:shd w:val="clear" w:color="auto" w:fill="auto"/>
            <w:noWrap/>
            <w:vAlign w:val="center"/>
            <w:hideMark/>
          </w:tcPr>
          <w:p w:rsidR="005F4E77" w:rsidRPr="005F4E77" w:rsidRDefault="005F4E77" w:rsidP="004D366C">
            <w:pPr>
              <w:jc w:val="center"/>
            </w:pPr>
            <w:r w:rsidRPr="005F4E77">
              <w:t>73,08%</w:t>
            </w:r>
          </w:p>
        </w:tc>
        <w:tc>
          <w:tcPr>
            <w:tcW w:w="822" w:type="pct"/>
            <w:shd w:val="clear" w:color="auto" w:fill="auto"/>
            <w:noWrap/>
            <w:vAlign w:val="center"/>
            <w:hideMark/>
          </w:tcPr>
          <w:p w:rsidR="005F4E77" w:rsidRPr="005F4E77" w:rsidRDefault="005F4E77" w:rsidP="004D366C">
            <w:pPr>
              <w:jc w:val="center"/>
            </w:pPr>
            <w:r w:rsidRPr="005F4E77">
              <w:t>69,23%</w:t>
            </w:r>
          </w:p>
        </w:tc>
        <w:tc>
          <w:tcPr>
            <w:tcW w:w="820" w:type="pct"/>
            <w:shd w:val="clear" w:color="auto" w:fill="auto"/>
            <w:noWrap/>
            <w:vAlign w:val="center"/>
            <w:hideMark/>
          </w:tcPr>
          <w:p w:rsidR="005F4E77" w:rsidRPr="005F4E77" w:rsidRDefault="005F4E77" w:rsidP="004D366C">
            <w:pPr>
              <w:jc w:val="center"/>
            </w:pPr>
            <w:r w:rsidRPr="005F4E77">
              <w:t>69,23%</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Chapecoense – SC</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46,15%</w:t>
            </w:r>
          </w:p>
        </w:tc>
        <w:tc>
          <w:tcPr>
            <w:tcW w:w="820" w:type="pct"/>
            <w:shd w:val="clear" w:color="auto" w:fill="auto"/>
            <w:noWrap/>
            <w:vAlign w:val="center"/>
            <w:hideMark/>
          </w:tcPr>
          <w:p w:rsidR="005F4E77" w:rsidRPr="005F4E77" w:rsidRDefault="005F4E77" w:rsidP="004D366C">
            <w:pPr>
              <w:jc w:val="center"/>
            </w:pPr>
            <w:r w:rsidRPr="005F4E77">
              <w:t>53,85%</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Criciúma – SC</w:t>
            </w:r>
          </w:p>
        </w:tc>
        <w:tc>
          <w:tcPr>
            <w:tcW w:w="822" w:type="pct"/>
            <w:shd w:val="clear" w:color="auto" w:fill="auto"/>
            <w:noWrap/>
            <w:vAlign w:val="center"/>
            <w:hideMark/>
          </w:tcPr>
          <w:p w:rsidR="005F4E77" w:rsidRPr="005F4E77" w:rsidRDefault="005F4E77" w:rsidP="004D366C">
            <w:pPr>
              <w:jc w:val="center"/>
            </w:pPr>
            <w:r w:rsidRPr="005F4E77">
              <w:t>61,54%</w:t>
            </w:r>
          </w:p>
        </w:tc>
        <w:tc>
          <w:tcPr>
            <w:tcW w:w="822" w:type="pct"/>
            <w:shd w:val="clear" w:color="auto" w:fill="auto"/>
            <w:noWrap/>
            <w:vAlign w:val="center"/>
            <w:hideMark/>
          </w:tcPr>
          <w:p w:rsidR="005F4E77" w:rsidRPr="005F4E77" w:rsidRDefault="005F4E77" w:rsidP="004D366C">
            <w:pPr>
              <w:jc w:val="center"/>
            </w:pPr>
            <w:r w:rsidRPr="005F4E77">
              <w:t>53,85%</w:t>
            </w:r>
          </w:p>
        </w:tc>
        <w:tc>
          <w:tcPr>
            <w:tcW w:w="822" w:type="pct"/>
            <w:shd w:val="clear" w:color="auto" w:fill="auto"/>
            <w:noWrap/>
            <w:vAlign w:val="center"/>
            <w:hideMark/>
          </w:tcPr>
          <w:p w:rsidR="005F4E77" w:rsidRPr="005F4E77" w:rsidRDefault="005F4E77" w:rsidP="004D366C">
            <w:pPr>
              <w:jc w:val="center"/>
            </w:pPr>
            <w:r w:rsidRPr="005F4E77">
              <w:t>61,54%</w:t>
            </w:r>
          </w:p>
        </w:tc>
        <w:tc>
          <w:tcPr>
            <w:tcW w:w="820" w:type="pct"/>
            <w:shd w:val="clear" w:color="auto" w:fill="auto"/>
            <w:noWrap/>
            <w:vAlign w:val="center"/>
            <w:hideMark/>
          </w:tcPr>
          <w:p w:rsidR="005F4E77" w:rsidRPr="005F4E77" w:rsidRDefault="005F4E77" w:rsidP="004D366C">
            <w:pPr>
              <w:jc w:val="center"/>
            </w:pPr>
            <w:r w:rsidRPr="005F4E77">
              <w:t>61,54%</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Figueirense – SC</w:t>
            </w:r>
          </w:p>
        </w:tc>
        <w:tc>
          <w:tcPr>
            <w:tcW w:w="822" w:type="pct"/>
            <w:shd w:val="clear" w:color="auto" w:fill="auto"/>
            <w:noWrap/>
            <w:vAlign w:val="center"/>
            <w:hideMark/>
          </w:tcPr>
          <w:p w:rsidR="005F4E77" w:rsidRPr="005F4E77" w:rsidRDefault="005F4E77" w:rsidP="004D366C">
            <w:pPr>
              <w:jc w:val="center"/>
            </w:pPr>
            <w:r w:rsidRPr="005F4E77">
              <w:t>57,69%</w:t>
            </w:r>
          </w:p>
        </w:tc>
        <w:tc>
          <w:tcPr>
            <w:tcW w:w="822" w:type="pct"/>
            <w:shd w:val="clear" w:color="auto" w:fill="auto"/>
            <w:noWrap/>
            <w:vAlign w:val="center"/>
            <w:hideMark/>
          </w:tcPr>
          <w:p w:rsidR="005F4E77" w:rsidRPr="005F4E77" w:rsidRDefault="005F4E77" w:rsidP="004D366C">
            <w:pPr>
              <w:jc w:val="center"/>
            </w:pPr>
            <w:r w:rsidRPr="005F4E77">
              <w:t>57,69%</w:t>
            </w:r>
          </w:p>
        </w:tc>
        <w:tc>
          <w:tcPr>
            <w:tcW w:w="822" w:type="pct"/>
            <w:shd w:val="clear" w:color="auto" w:fill="auto"/>
            <w:noWrap/>
            <w:vAlign w:val="center"/>
            <w:hideMark/>
          </w:tcPr>
          <w:p w:rsidR="005F4E77" w:rsidRPr="005F4E77" w:rsidRDefault="005F4E77" w:rsidP="004D366C">
            <w:pPr>
              <w:jc w:val="center"/>
            </w:pPr>
            <w:r w:rsidRPr="005F4E77">
              <w:t>57,69%</w:t>
            </w:r>
          </w:p>
        </w:tc>
        <w:tc>
          <w:tcPr>
            <w:tcW w:w="820" w:type="pct"/>
            <w:shd w:val="clear" w:color="auto" w:fill="auto"/>
            <w:noWrap/>
            <w:vAlign w:val="center"/>
            <w:hideMark/>
          </w:tcPr>
          <w:p w:rsidR="005F4E77" w:rsidRPr="005F4E77" w:rsidRDefault="005F4E77" w:rsidP="004D366C">
            <w:pPr>
              <w:jc w:val="center"/>
            </w:pPr>
            <w:r w:rsidRPr="005F4E77">
              <w:t>65,38%</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Corinthians – SP</w:t>
            </w:r>
          </w:p>
        </w:tc>
        <w:tc>
          <w:tcPr>
            <w:tcW w:w="822" w:type="pct"/>
            <w:shd w:val="clear" w:color="auto" w:fill="auto"/>
            <w:noWrap/>
            <w:vAlign w:val="center"/>
            <w:hideMark/>
          </w:tcPr>
          <w:p w:rsidR="005F4E77" w:rsidRPr="005F4E77" w:rsidRDefault="005F4E77" w:rsidP="004D366C">
            <w:pPr>
              <w:jc w:val="center"/>
            </w:pPr>
            <w:r w:rsidRPr="005F4E77">
              <w:t>61,54%</w:t>
            </w:r>
          </w:p>
        </w:tc>
        <w:tc>
          <w:tcPr>
            <w:tcW w:w="822" w:type="pct"/>
            <w:shd w:val="clear" w:color="auto" w:fill="auto"/>
            <w:noWrap/>
            <w:vAlign w:val="center"/>
            <w:hideMark/>
          </w:tcPr>
          <w:p w:rsidR="005F4E77" w:rsidRPr="005F4E77" w:rsidRDefault="005F4E77" w:rsidP="004D366C">
            <w:pPr>
              <w:jc w:val="center"/>
            </w:pPr>
            <w:r w:rsidRPr="005F4E77">
              <w:t>53,85%</w:t>
            </w:r>
          </w:p>
        </w:tc>
        <w:tc>
          <w:tcPr>
            <w:tcW w:w="822" w:type="pct"/>
            <w:shd w:val="clear" w:color="auto" w:fill="auto"/>
            <w:noWrap/>
            <w:vAlign w:val="center"/>
            <w:hideMark/>
          </w:tcPr>
          <w:p w:rsidR="005F4E77" w:rsidRPr="005F4E77" w:rsidRDefault="005F4E77" w:rsidP="004D366C">
            <w:pPr>
              <w:jc w:val="center"/>
            </w:pPr>
            <w:r w:rsidRPr="005F4E77">
              <w:t>-</w:t>
            </w:r>
          </w:p>
        </w:tc>
        <w:tc>
          <w:tcPr>
            <w:tcW w:w="820" w:type="pct"/>
            <w:shd w:val="clear" w:color="auto" w:fill="auto"/>
            <w:noWrap/>
            <w:vAlign w:val="center"/>
            <w:hideMark/>
          </w:tcPr>
          <w:p w:rsidR="005F4E77" w:rsidRPr="005F4E77" w:rsidRDefault="005F4E77" w:rsidP="004D366C">
            <w:pPr>
              <w:jc w:val="center"/>
            </w:pPr>
            <w:r w:rsidRPr="005F4E77">
              <w:t>76,92%</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Guarani – SP</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53,85%</w:t>
            </w:r>
          </w:p>
        </w:tc>
        <w:tc>
          <w:tcPr>
            <w:tcW w:w="820" w:type="pct"/>
            <w:shd w:val="clear" w:color="auto" w:fill="auto"/>
            <w:noWrap/>
            <w:vAlign w:val="center"/>
            <w:hideMark/>
          </w:tcPr>
          <w:p w:rsidR="005F4E77" w:rsidRPr="005F4E77" w:rsidRDefault="005F4E77" w:rsidP="004D366C">
            <w:pPr>
              <w:jc w:val="center"/>
            </w:pPr>
            <w:r w:rsidRPr="005F4E77">
              <w:t>-</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Palmeiras – SP</w:t>
            </w:r>
          </w:p>
        </w:tc>
        <w:tc>
          <w:tcPr>
            <w:tcW w:w="822" w:type="pct"/>
            <w:shd w:val="clear" w:color="auto" w:fill="auto"/>
            <w:noWrap/>
            <w:vAlign w:val="center"/>
            <w:hideMark/>
          </w:tcPr>
          <w:p w:rsidR="005F4E77" w:rsidRPr="005F4E77" w:rsidRDefault="005F4E77" w:rsidP="004D366C">
            <w:pPr>
              <w:jc w:val="center"/>
            </w:pPr>
            <w:r w:rsidRPr="005F4E77">
              <w:t>61,54%</w:t>
            </w:r>
          </w:p>
        </w:tc>
        <w:tc>
          <w:tcPr>
            <w:tcW w:w="822" w:type="pct"/>
            <w:shd w:val="clear" w:color="auto" w:fill="auto"/>
            <w:noWrap/>
            <w:vAlign w:val="center"/>
            <w:hideMark/>
          </w:tcPr>
          <w:p w:rsidR="005F4E77" w:rsidRPr="005F4E77" w:rsidRDefault="005F4E77" w:rsidP="004D366C">
            <w:pPr>
              <w:jc w:val="center"/>
            </w:pPr>
            <w:r w:rsidRPr="005F4E77">
              <w:t>61,54%</w:t>
            </w:r>
          </w:p>
        </w:tc>
        <w:tc>
          <w:tcPr>
            <w:tcW w:w="822" w:type="pct"/>
            <w:shd w:val="clear" w:color="auto" w:fill="auto"/>
            <w:noWrap/>
            <w:vAlign w:val="center"/>
            <w:hideMark/>
          </w:tcPr>
          <w:p w:rsidR="005F4E77" w:rsidRPr="005F4E77" w:rsidRDefault="005F4E77" w:rsidP="004D366C">
            <w:pPr>
              <w:jc w:val="center"/>
            </w:pPr>
            <w:r w:rsidRPr="005F4E77">
              <w:t>75,00%</w:t>
            </w:r>
          </w:p>
        </w:tc>
        <w:tc>
          <w:tcPr>
            <w:tcW w:w="820" w:type="pct"/>
            <w:shd w:val="clear" w:color="auto" w:fill="auto"/>
            <w:noWrap/>
            <w:vAlign w:val="center"/>
            <w:hideMark/>
          </w:tcPr>
          <w:p w:rsidR="005F4E77" w:rsidRPr="005F4E77" w:rsidRDefault="005F4E77" w:rsidP="004D366C">
            <w:pPr>
              <w:jc w:val="center"/>
            </w:pPr>
            <w:r w:rsidRPr="005F4E77">
              <w:t>75,00%</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Ponte Preta – SP</w:t>
            </w:r>
          </w:p>
        </w:tc>
        <w:tc>
          <w:tcPr>
            <w:tcW w:w="822" w:type="pct"/>
            <w:shd w:val="clear" w:color="auto" w:fill="auto"/>
            <w:noWrap/>
            <w:vAlign w:val="center"/>
            <w:hideMark/>
          </w:tcPr>
          <w:p w:rsidR="005F4E77" w:rsidRPr="005F4E77" w:rsidRDefault="005F4E77" w:rsidP="004D366C">
            <w:pPr>
              <w:jc w:val="center"/>
            </w:pPr>
            <w:r w:rsidRPr="005F4E77">
              <w:t>-</w:t>
            </w:r>
          </w:p>
        </w:tc>
        <w:tc>
          <w:tcPr>
            <w:tcW w:w="822" w:type="pct"/>
            <w:shd w:val="clear" w:color="auto" w:fill="auto"/>
            <w:noWrap/>
            <w:vAlign w:val="center"/>
            <w:hideMark/>
          </w:tcPr>
          <w:p w:rsidR="005F4E77" w:rsidRPr="005F4E77" w:rsidRDefault="005F4E77" w:rsidP="004D366C">
            <w:pPr>
              <w:jc w:val="center"/>
            </w:pPr>
            <w:r w:rsidRPr="005F4E77">
              <w:t>38,46%</w:t>
            </w:r>
          </w:p>
        </w:tc>
        <w:tc>
          <w:tcPr>
            <w:tcW w:w="822" w:type="pct"/>
            <w:shd w:val="clear" w:color="auto" w:fill="auto"/>
            <w:noWrap/>
            <w:vAlign w:val="center"/>
            <w:hideMark/>
          </w:tcPr>
          <w:p w:rsidR="005F4E77" w:rsidRPr="005F4E77" w:rsidRDefault="005F4E77" w:rsidP="004D366C">
            <w:pPr>
              <w:jc w:val="center"/>
            </w:pPr>
            <w:r w:rsidRPr="005F4E77">
              <w:t>38,46%</w:t>
            </w:r>
          </w:p>
        </w:tc>
        <w:tc>
          <w:tcPr>
            <w:tcW w:w="820" w:type="pct"/>
            <w:shd w:val="clear" w:color="auto" w:fill="auto"/>
            <w:noWrap/>
            <w:vAlign w:val="center"/>
            <w:hideMark/>
          </w:tcPr>
          <w:p w:rsidR="005F4E77" w:rsidRPr="005F4E77" w:rsidRDefault="005F4E77" w:rsidP="004D366C">
            <w:pPr>
              <w:jc w:val="center"/>
            </w:pPr>
            <w:r w:rsidRPr="005F4E77">
              <w:t>30,77%</w:t>
            </w:r>
          </w:p>
        </w:tc>
      </w:tr>
      <w:tr w:rsidR="005F4E77" w:rsidRPr="005F4E77" w:rsidTr="004D366C">
        <w:trPr>
          <w:trHeight w:hRule="exact" w:val="284"/>
          <w:tblHeader/>
        </w:trPr>
        <w:tc>
          <w:tcPr>
            <w:tcW w:w="1714" w:type="pct"/>
            <w:shd w:val="clear" w:color="auto" w:fill="auto"/>
            <w:vAlign w:val="center"/>
            <w:hideMark/>
          </w:tcPr>
          <w:p w:rsidR="005F4E77" w:rsidRPr="005F4E77" w:rsidRDefault="005F4E77" w:rsidP="004D366C">
            <w:pPr>
              <w:suppressAutoHyphens w:val="0"/>
              <w:jc w:val="center"/>
            </w:pPr>
            <w:r w:rsidRPr="005F4E77">
              <w:t>Santos – SP</w:t>
            </w:r>
          </w:p>
        </w:tc>
        <w:tc>
          <w:tcPr>
            <w:tcW w:w="822" w:type="pct"/>
            <w:shd w:val="clear" w:color="auto" w:fill="auto"/>
            <w:noWrap/>
            <w:vAlign w:val="center"/>
            <w:hideMark/>
          </w:tcPr>
          <w:p w:rsidR="005F4E77" w:rsidRPr="005F4E77" w:rsidRDefault="005F4E77" w:rsidP="004D366C">
            <w:pPr>
              <w:jc w:val="center"/>
            </w:pPr>
            <w:r w:rsidRPr="005F4E77">
              <w:t>84,62%</w:t>
            </w:r>
          </w:p>
        </w:tc>
        <w:tc>
          <w:tcPr>
            <w:tcW w:w="822" w:type="pct"/>
            <w:shd w:val="clear" w:color="auto" w:fill="auto"/>
            <w:noWrap/>
            <w:vAlign w:val="center"/>
            <w:hideMark/>
          </w:tcPr>
          <w:p w:rsidR="005F4E77" w:rsidRPr="005F4E77" w:rsidRDefault="005F4E77" w:rsidP="004D366C">
            <w:pPr>
              <w:jc w:val="center"/>
            </w:pPr>
            <w:r w:rsidRPr="005F4E77">
              <w:t>92,31%</w:t>
            </w:r>
          </w:p>
        </w:tc>
        <w:tc>
          <w:tcPr>
            <w:tcW w:w="822" w:type="pct"/>
            <w:shd w:val="clear" w:color="auto" w:fill="auto"/>
            <w:noWrap/>
            <w:vAlign w:val="center"/>
            <w:hideMark/>
          </w:tcPr>
          <w:p w:rsidR="005F4E77" w:rsidRPr="005F4E77" w:rsidRDefault="005F4E77" w:rsidP="004D366C">
            <w:pPr>
              <w:jc w:val="center"/>
            </w:pPr>
            <w:r w:rsidRPr="005F4E77">
              <w:t>92,31%</w:t>
            </w:r>
          </w:p>
        </w:tc>
        <w:tc>
          <w:tcPr>
            <w:tcW w:w="820" w:type="pct"/>
            <w:shd w:val="clear" w:color="auto" w:fill="auto"/>
            <w:noWrap/>
            <w:vAlign w:val="center"/>
            <w:hideMark/>
          </w:tcPr>
          <w:p w:rsidR="005F4E77" w:rsidRPr="005F4E77" w:rsidRDefault="005F4E77" w:rsidP="004D366C">
            <w:pPr>
              <w:jc w:val="center"/>
            </w:pPr>
            <w:r w:rsidRPr="005F4E77">
              <w:t>92,31%</w:t>
            </w:r>
          </w:p>
        </w:tc>
      </w:tr>
      <w:tr w:rsidR="005F4E77" w:rsidRPr="005F4E77" w:rsidTr="004D366C">
        <w:trPr>
          <w:trHeight w:hRule="exact" w:val="284"/>
          <w:tblHeader/>
        </w:trPr>
        <w:tc>
          <w:tcPr>
            <w:tcW w:w="1714" w:type="pct"/>
            <w:tcBorders>
              <w:bottom w:val="single" w:sz="12" w:space="0" w:color="auto"/>
            </w:tcBorders>
            <w:shd w:val="clear" w:color="auto" w:fill="auto"/>
            <w:vAlign w:val="center"/>
            <w:hideMark/>
          </w:tcPr>
          <w:p w:rsidR="005F4E77" w:rsidRPr="005F4E77" w:rsidRDefault="005F4E77" w:rsidP="004D366C">
            <w:pPr>
              <w:suppressAutoHyphens w:val="0"/>
              <w:jc w:val="center"/>
            </w:pPr>
            <w:r w:rsidRPr="005F4E77">
              <w:t>São Paulo – SP</w:t>
            </w:r>
          </w:p>
        </w:tc>
        <w:tc>
          <w:tcPr>
            <w:tcW w:w="822" w:type="pct"/>
            <w:tcBorders>
              <w:bottom w:val="single" w:sz="12" w:space="0" w:color="auto"/>
            </w:tcBorders>
            <w:shd w:val="clear" w:color="auto" w:fill="auto"/>
            <w:noWrap/>
            <w:vAlign w:val="center"/>
            <w:hideMark/>
          </w:tcPr>
          <w:p w:rsidR="005F4E77" w:rsidRPr="005F4E77" w:rsidRDefault="005F4E77" w:rsidP="004D366C">
            <w:pPr>
              <w:jc w:val="center"/>
            </w:pPr>
            <w:r w:rsidRPr="005F4E77">
              <w:t>73,08%</w:t>
            </w:r>
          </w:p>
        </w:tc>
        <w:tc>
          <w:tcPr>
            <w:tcW w:w="822" w:type="pct"/>
            <w:tcBorders>
              <w:bottom w:val="single" w:sz="12" w:space="0" w:color="auto"/>
            </w:tcBorders>
            <w:shd w:val="clear" w:color="auto" w:fill="auto"/>
            <w:noWrap/>
            <w:vAlign w:val="center"/>
            <w:hideMark/>
          </w:tcPr>
          <w:p w:rsidR="005F4E77" w:rsidRPr="005F4E77" w:rsidRDefault="005F4E77" w:rsidP="004D366C">
            <w:pPr>
              <w:jc w:val="center"/>
            </w:pPr>
            <w:r w:rsidRPr="005F4E77">
              <w:t>96,15%</w:t>
            </w:r>
          </w:p>
        </w:tc>
        <w:tc>
          <w:tcPr>
            <w:tcW w:w="822" w:type="pct"/>
            <w:tcBorders>
              <w:bottom w:val="single" w:sz="12" w:space="0" w:color="auto"/>
            </w:tcBorders>
            <w:shd w:val="clear" w:color="auto" w:fill="auto"/>
            <w:noWrap/>
            <w:vAlign w:val="center"/>
            <w:hideMark/>
          </w:tcPr>
          <w:p w:rsidR="005F4E77" w:rsidRPr="005F4E77" w:rsidRDefault="005F4E77" w:rsidP="004D366C">
            <w:pPr>
              <w:jc w:val="center"/>
            </w:pPr>
            <w:r w:rsidRPr="005F4E77">
              <w:t>96,15%</w:t>
            </w:r>
          </w:p>
        </w:tc>
        <w:tc>
          <w:tcPr>
            <w:tcW w:w="820" w:type="pct"/>
            <w:tcBorders>
              <w:bottom w:val="single" w:sz="12" w:space="0" w:color="auto"/>
            </w:tcBorders>
            <w:shd w:val="clear" w:color="auto" w:fill="auto"/>
            <w:noWrap/>
            <w:vAlign w:val="center"/>
            <w:hideMark/>
          </w:tcPr>
          <w:p w:rsidR="005F4E77" w:rsidRPr="005F4E77" w:rsidRDefault="005F4E77" w:rsidP="004D366C">
            <w:pPr>
              <w:jc w:val="center"/>
            </w:pPr>
            <w:r w:rsidRPr="005F4E77">
              <w:t>95,83%</w:t>
            </w:r>
          </w:p>
        </w:tc>
      </w:tr>
    </w:tbl>
    <w:p w:rsidR="005F4E77" w:rsidRPr="005F4E77" w:rsidRDefault="005F4E77" w:rsidP="005F4E77">
      <w:r w:rsidRPr="005F4E77">
        <w:t>Fonte: Dados da pesquisa (2018).</w:t>
      </w:r>
    </w:p>
    <w:p w:rsidR="005F4E77" w:rsidRPr="005F4E77" w:rsidRDefault="005F4E77" w:rsidP="005F4E77">
      <w:pPr>
        <w:ind w:firstLine="709"/>
        <w:jc w:val="both"/>
        <w:rPr>
          <w:sz w:val="24"/>
          <w:szCs w:val="24"/>
        </w:rPr>
      </w:pPr>
      <w:r w:rsidRPr="005F4E77">
        <w:rPr>
          <w:sz w:val="24"/>
          <w:szCs w:val="24"/>
        </w:rPr>
        <w:t>Clubes como Coritiba, Botafogo, Santos e São Paulo mantiveram o nível de evidenciação alto em 2015 e 2016, enquanto Bahia, Vitória, Grêmio e Ponte Preta reduziram seus níveis de evidenciação. Ressalta-se que a Ponte Preta em 2013, não estava de acordo com a ITG 2003 (2013), e em 2014 e 2015 atendeu 38,46% da métrica estabelecida, percentual esse que decaiu no ano seguinte.</w:t>
      </w:r>
    </w:p>
    <w:p w:rsidR="005F4E77" w:rsidRPr="005F4E77" w:rsidRDefault="005F4E77" w:rsidP="005F4E77">
      <w:pPr>
        <w:ind w:firstLine="709"/>
        <w:jc w:val="both"/>
        <w:rPr>
          <w:sz w:val="24"/>
          <w:szCs w:val="24"/>
        </w:rPr>
      </w:pPr>
      <w:r w:rsidRPr="005F4E77">
        <w:rPr>
          <w:sz w:val="24"/>
          <w:szCs w:val="24"/>
        </w:rPr>
        <w:lastRenderedPageBreak/>
        <w:t>Nota-se também que alguns clubes, como Náutico, Paysandu e Guarani, apresentaram o nível de evidenciação apenas de um ano, em decorrência de que teve ano que as demonstrações não foram encontradas e outros que evidenciaram apenas o balanço patrimonial e demonstração do resultado, o que prejudicaria a análise, e por isso foram excluídos da amostra, conforme explicado na metodologia.</w:t>
      </w:r>
    </w:p>
    <w:p w:rsidR="005F4E77" w:rsidRPr="005F4E77" w:rsidRDefault="005F4E77" w:rsidP="005F4E77">
      <w:pPr>
        <w:ind w:firstLine="709"/>
        <w:jc w:val="both"/>
        <w:rPr>
          <w:sz w:val="24"/>
          <w:szCs w:val="24"/>
        </w:rPr>
      </w:pPr>
      <w:r w:rsidRPr="005F4E77">
        <w:rPr>
          <w:sz w:val="24"/>
          <w:szCs w:val="24"/>
        </w:rPr>
        <w:t xml:space="preserve">O maior nível de evidenciação foi do São Paulo, com 96,15% nos anos de 2014 e 2015, que preencheu todos os itens da métrica, exceto o prazo de amortização, que evidenciou parcialmente, visto que apresentou a taxa de amortização do </w:t>
      </w:r>
      <w:r w:rsidRPr="005F4E77">
        <w:rPr>
          <w:i/>
          <w:sz w:val="24"/>
          <w:szCs w:val="24"/>
        </w:rPr>
        <w:t>software</w:t>
      </w:r>
      <w:r w:rsidRPr="005F4E77">
        <w:rPr>
          <w:sz w:val="24"/>
          <w:szCs w:val="24"/>
        </w:rPr>
        <w:t>, marcas e patentes, mas não apresentou dos seus jogadores profissionais.</w:t>
      </w:r>
    </w:p>
    <w:p w:rsidR="005F4E77" w:rsidRPr="005F4E77" w:rsidRDefault="005F4E77" w:rsidP="005F4E77">
      <w:pPr>
        <w:ind w:firstLine="709"/>
        <w:jc w:val="both"/>
        <w:rPr>
          <w:sz w:val="24"/>
          <w:szCs w:val="24"/>
        </w:rPr>
      </w:pPr>
      <w:r w:rsidRPr="005F4E77">
        <w:rPr>
          <w:sz w:val="24"/>
          <w:szCs w:val="24"/>
        </w:rPr>
        <w:t xml:space="preserve">Em 2016, o São Paulo também foi o maior nível de evidenciação, com 95,83%, e apresentou o mesmo que em 2014 e 2015, mantendo o padrão, exceto pelo item 10 sobre o resultado do teste de recuperabilidade, que recebeu um “não aplicável”. Em 2013, o maior nível de evidenciação foi </w:t>
      </w:r>
      <w:proofErr w:type="gramStart"/>
      <w:r w:rsidRPr="005F4E77">
        <w:rPr>
          <w:sz w:val="24"/>
          <w:szCs w:val="24"/>
        </w:rPr>
        <w:t>do Santos</w:t>
      </w:r>
      <w:proofErr w:type="gramEnd"/>
      <w:r w:rsidRPr="005F4E77">
        <w:rPr>
          <w:sz w:val="24"/>
          <w:szCs w:val="24"/>
        </w:rPr>
        <w:t>, com 84,62%, que não divulgou os gastos com a formação dos jogadores e o prazo de amortização.</w:t>
      </w:r>
    </w:p>
    <w:p w:rsidR="005F4E77" w:rsidRPr="005F4E77" w:rsidRDefault="005F4E77" w:rsidP="005F4E77">
      <w:pPr>
        <w:ind w:firstLine="709"/>
        <w:jc w:val="both"/>
        <w:rPr>
          <w:sz w:val="24"/>
          <w:szCs w:val="24"/>
        </w:rPr>
      </w:pPr>
      <w:r w:rsidRPr="005F4E77">
        <w:rPr>
          <w:sz w:val="24"/>
          <w:szCs w:val="24"/>
        </w:rPr>
        <w:t>Em contrapartida</w:t>
      </w:r>
      <w:r w:rsidR="004D366C">
        <w:rPr>
          <w:sz w:val="24"/>
          <w:szCs w:val="24"/>
        </w:rPr>
        <w:t>, o menor</w:t>
      </w:r>
      <w:r w:rsidRPr="005F4E77">
        <w:rPr>
          <w:sz w:val="24"/>
          <w:szCs w:val="24"/>
        </w:rPr>
        <w:t xml:space="preserve"> foi de 7,69%, também em 2015, do Ceará, que pontuou apenas no item um referente à publicação das demonstrações contábeis, apesar de apresentar as notas explicativas, não informou os detalhes da métrica. Já em 2016, o Ceará também apresentou o menor item, porém agora pontuou em dois quesitos, além das demonstrações também evidenciou o valor da amortização do exercício (item seis).</w:t>
      </w:r>
    </w:p>
    <w:p w:rsidR="005F4E77" w:rsidRPr="005F4E77" w:rsidRDefault="005F4E77" w:rsidP="005F4E77">
      <w:pPr>
        <w:ind w:firstLine="709"/>
        <w:jc w:val="both"/>
        <w:rPr>
          <w:sz w:val="24"/>
          <w:szCs w:val="24"/>
        </w:rPr>
      </w:pPr>
      <w:r w:rsidRPr="005F4E77">
        <w:rPr>
          <w:sz w:val="24"/>
          <w:szCs w:val="24"/>
        </w:rPr>
        <w:t xml:space="preserve">Os dados descritivos dos clubes podem ser observados na </w:t>
      </w:r>
      <w:r w:rsidR="007F38F8">
        <w:rPr>
          <w:sz w:val="24"/>
          <w:szCs w:val="24"/>
        </w:rPr>
        <w:t>Tabela 6</w:t>
      </w:r>
      <w:r w:rsidRPr="005F4E77">
        <w:rPr>
          <w:sz w:val="24"/>
          <w:szCs w:val="24"/>
        </w:rPr>
        <w:t xml:space="preserve">, nota-se o mínimo e o máximo descrito anteriormente, além de que no geral o nível de evidenciação foi de 59,64%, próximo à mediana, o que torna os resultados semelhantes, visto que praticamente metade dos dados está acima da mediana. A média de evidenciação foi superior a Souza </w:t>
      </w:r>
      <w:proofErr w:type="gramStart"/>
      <w:r w:rsidRPr="005F4E77">
        <w:rPr>
          <w:sz w:val="24"/>
          <w:szCs w:val="24"/>
        </w:rPr>
        <w:t>et</w:t>
      </w:r>
      <w:proofErr w:type="gramEnd"/>
      <w:r w:rsidRPr="005F4E77">
        <w:rPr>
          <w:sz w:val="24"/>
          <w:szCs w:val="24"/>
        </w:rPr>
        <w:t xml:space="preserve"> al</w:t>
      </w:r>
      <w:r w:rsidRPr="005F4E77">
        <w:rPr>
          <w:i/>
          <w:sz w:val="24"/>
          <w:szCs w:val="24"/>
        </w:rPr>
        <w:t>.</w:t>
      </w:r>
      <w:r w:rsidRPr="005F4E77">
        <w:rPr>
          <w:sz w:val="24"/>
          <w:szCs w:val="24"/>
        </w:rPr>
        <w:t xml:space="preserve"> (2016), o que evidencia que os clubes de futebol estão melhorando suas divulgações, se adequando a norma.</w:t>
      </w:r>
    </w:p>
    <w:p w:rsidR="005F4E77" w:rsidRPr="005F4E77" w:rsidRDefault="007F38F8" w:rsidP="005F4E77">
      <w:r>
        <w:t>Tabela 6</w:t>
      </w:r>
      <w:r w:rsidR="005F4E77" w:rsidRPr="005F4E77">
        <w:t xml:space="preserve"> – Estatística descritiva do nível de evidenciação por ano</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2711"/>
        <w:gridCol w:w="1300"/>
        <w:gridCol w:w="1300"/>
        <w:gridCol w:w="1300"/>
        <w:gridCol w:w="1298"/>
        <w:gridCol w:w="1296"/>
      </w:tblGrid>
      <w:tr w:rsidR="005F4E77" w:rsidRPr="005F4E77" w:rsidTr="004D366C">
        <w:trPr>
          <w:trHeight w:hRule="exact" w:val="284"/>
        </w:trPr>
        <w:tc>
          <w:tcPr>
            <w:tcW w:w="1473" w:type="pct"/>
            <w:tcBorders>
              <w:top w:val="single" w:sz="12" w:space="0" w:color="auto"/>
              <w:bottom w:val="single" w:sz="12" w:space="0" w:color="auto"/>
            </w:tcBorders>
            <w:shd w:val="clear" w:color="000000" w:fill="FFFFFF"/>
            <w:vAlign w:val="center"/>
            <w:hideMark/>
          </w:tcPr>
          <w:p w:rsidR="005F4E77" w:rsidRPr="005F4E77" w:rsidRDefault="005F4E77" w:rsidP="004D366C">
            <w:pPr>
              <w:suppressAutoHyphens w:val="0"/>
              <w:rPr>
                <w:b/>
              </w:rPr>
            </w:pPr>
            <w:r w:rsidRPr="005F4E77">
              <w:rPr>
                <w:b/>
              </w:rPr>
              <w:t>Estatística / Ano</w:t>
            </w:r>
          </w:p>
        </w:tc>
        <w:tc>
          <w:tcPr>
            <w:tcW w:w="706"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rPr>
            </w:pPr>
            <w:r w:rsidRPr="005F4E77">
              <w:rPr>
                <w:b/>
              </w:rPr>
              <w:t>2013</w:t>
            </w:r>
          </w:p>
        </w:tc>
        <w:tc>
          <w:tcPr>
            <w:tcW w:w="706"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rPr>
            </w:pPr>
            <w:r w:rsidRPr="005F4E77">
              <w:rPr>
                <w:b/>
              </w:rPr>
              <w:t>2014</w:t>
            </w:r>
          </w:p>
        </w:tc>
        <w:tc>
          <w:tcPr>
            <w:tcW w:w="706"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rPr>
            </w:pPr>
            <w:r w:rsidRPr="005F4E77">
              <w:rPr>
                <w:b/>
              </w:rPr>
              <w:t>2015</w:t>
            </w:r>
          </w:p>
        </w:tc>
        <w:tc>
          <w:tcPr>
            <w:tcW w:w="705"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rPr>
            </w:pPr>
            <w:r w:rsidRPr="005F4E77">
              <w:rPr>
                <w:b/>
              </w:rPr>
              <w:t>2016</w:t>
            </w:r>
          </w:p>
        </w:tc>
        <w:tc>
          <w:tcPr>
            <w:tcW w:w="704" w:type="pct"/>
            <w:tcBorders>
              <w:top w:val="single" w:sz="12" w:space="0" w:color="auto"/>
              <w:bottom w:val="single" w:sz="12" w:space="0" w:color="auto"/>
            </w:tcBorders>
            <w:vAlign w:val="center"/>
          </w:tcPr>
          <w:p w:rsidR="005F4E77" w:rsidRPr="005F4E77" w:rsidRDefault="005F4E77" w:rsidP="004D366C">
            <w:pPr>
              <w:suppressAutoHyphens w:val="0"/>
              <w:jc w:val="center"/>
              <w:rPr>
                <w:b/>
              </w:rPr>
            </w:pPr>
            <w:r w:rsidRPr="005F4E77">
              <w:rPr>
                <w:b/>
              </w:rPr>
              <w:t>Geral</w:t>
            </w:r>
          </w:p>
        </w:tc>
      </w:tr>
      <w:tr w:rsidR="005F4E77" w:rsidRPr="005F4E77" w:rsidTr="004D366C">
        <w:trPr>
          <w:trHeight w:hRule="exact" w:val="284"/>
        </w:trPr>
        <w:tc>
          <w:tcPr>
            <w:tcW w:w="1473" w:type="pct"/>
            <w:tcBorders>
              <w:top w:val="single" w:sz="12" w:space="0" w:color="auto"/>
            </w:tcBorders>
            <w:shd w:val="clear" w:color="000000" w:fill="FFFFFF"/>
            <w:vAlign w:val="center"/>
            <w:hideMark/>
          </w:tcPr>
          <w:p w:rsidR="005F4E77" w:rsidRPr="005F4E77" w:rsidRDefault="005F4E77" w:rsidP="004D366C">
            <w:pPr>
              <w:suppressAutoHyphens w:val="0"/>
            </w:pPr>
            <w:r w:rsidRPr="005F4E77">
              <w:t>Número de observações</w:t>
            </w:r>
          </w:p>
        </w:tc>
        <w:tc>
          <w:tcPr>
            <w:tcW w:w="706" w:type="pct"/>
            <w:tcBorders>
              <w:top w:val="single" w:sz="12" w:space="0" w:color="auto"/>
            </w:tcBorders>
            <w:shd w:val="clear" w:color="auto" w:fill="auto"/>
            <w:noWrap/>
            <w:vAlign w:val="center"/>
            <w:hideMark/>
          </w:tcPr>
          <w:p w:rsidR="005F4E77" w:rsidRPr="005F4E77" w:rsidRDefault="005F4E77" w:rsidP="004D366C">
            <w:pPr>
              <w:jc w:val="center"/>
            </w:pPr>
            <w:r w:rsidRPr="005F4E77">
              <w:t>21</w:t>
            </w:r>
          </w:p>
        </w:tc>
        <w:tc>
          <w:tcPr>
            <w:tcW w:w="706" w:type="pct"/>
            <w:tcBorders>
              <w:top w:val="single" w:sz="12" w:space="0" w:color="auto"/>
            </w:tcBorders>
            <w:shd w:val="clear" w:color="auto" w:fill="auto"/>
            <w:noWrap/>
            <w:vAlign w:val="center"/>
            <w:hideMark/>
          </w:tcPr>
          <w:p w:rsidR="005F4E77" w:rsidRPr="005F4E77" w:rsidRDefault="005F4E77" w:rsidP="004D366C">
            <w:pPr>
              <w:jc w:val="center"/>
            </w:pPr>
            <w:r w:rsidRPr="005F4E77">
              <w:t>23</w:t>
            </w:r>
          </w:p>
        </w:tc>
        <w:tc>
          <w:tcPr>
            <w:tcW w:w="706" w:type="pct"/>
            <w:tcBorders>
              <w:top w:val="single" w:sz="12" w:space="0" w:color="auto"/>
            </w:tcBorders>
            <w:shd w:val="clear" w:color="auto" w:fill="auto"/>
            <w:noWrap/>
            <w:vAlign w:val="center"/>
            <w:hideMark/>
          </w:tcPr>
          <w:p w:rsidR="005F4E77" w:rsidRPr="005F4E77" w:rsidRDefault="005F4E77" w:rsidP="004D366C">
            <w:pPr>
              <w:jc w:val="center"/>
            </w:pPr>
            <w:r w:rsidRPr="005F4E77">
              <w:t>23</w:t>
            </w:r>
          </w:p>
        </w:tc>
        <w:tc>
          <w:tcPr>
            <w:tcW w:w="705" w:type="pct"/>
            <w:tcBorders>
              <w:top w:val="single" w:sz="12" w:space="0" w:color="auto"/>
            </w:tcBorders>
            <w:shd w:val="clear" w:color="auto" w:fill="auto"/>
            <w:noWrap/>
            <w:vAlign w:val="center"/>
            <w:hideMark/>
          </w:tcPr>
          <w:p w:rsidR="005F4E77" w:rsidRPr="005F4E77" w:rsidRDefault="005F4E77" w:rsidP="004D366C">
            <w:pPr>
              <w:jc w:val="center"/>
            </w:pPr>
            <w:r w:rsidRPr="005F4E77">
              <w:t>26</w:t>
            </w:r>
          </w:p>
        </w:tc>
        <w:tc>
          <w:tcPr>
            <w:tcW w:w="704" w:type="pct"/>
            <w:tcBorders>
              <w:top w:val="single" w:sz="12" w:space="0" w:color="auto"/>
            </w:tcBorders>
            <w:vAlign w:val="center"/>
          </w:tcPr>
          <w:p w:rsidR="005F4E77" w:rsidRPr="005F4E77" w:rsidRDefault="005F4E77" w:rsidP="004D366C">
            <w:pPr>
              <w:jc w:val="center"/>
              <w:rPr>
                <w:color w:val="000000"/>
              </w:rPr>
            </w:pPr>
            <w:r w:rsidRPr="005F4E77">
              <w:rPr>
                <w:color w:val="000000"/>
              </w:rPr>
              <w:t>93</w:t>
            </w:r>
          </w:p>
        </w:tc>
      </w:tr>
      <w:tr w:rsidR="005F4E77" w:rsidRPr="005F4E77" w:rsidTr="004D366C">
        <w:trPr>
          <w:trHeight w:hRule="exact" w:val="284"/>
        </w:trPr>
        <w:tc>
          <w:tcPr>
            <w:tcW w:w="1473" w:type="pct"/>
            <w:shd w:val="clear" w:color="000000" w:fill="FFFFFF"/>
            <w:vAlign w:val="center"/>
            <w:hideMark/>
          </w:tcPr>
          <w:p w:rsidR="005F4E77" w:rsidRPr="005F4E77" w:rsidRDefault="005F4E77" w:rsidP="004D366C">
            <w:pPr>
              <w:suppressAutoHyphens w:val="0"/>
            </w:pPr>
            <w:r w:rsidRPr="005F4E77">
              <w:t>Média</w:t>
            </w:r>
          </w:p>
        </w:tc>
        <w:tc>
          <w:tcPr>
            <w:tcW w:w="706" w:type="pct"/>
            <w:shd w:val="clear" w:color="auto" w:fill="auto"/>
            <w:noWrap/>
            <w:vAlign w:val="center"/>
            <w:hideMark/>
          </w:tcPr>
          <w:p w:rsidR="005F4E77" w:rsidRPr="005F4E77" w:rsidRDefault="005F4E77" w:rsidP="004D366C">
            <w:pPr>
              <w:jc w:val="center"/>
            </w:pPr>
            <w:r w:rsidRPr="005F4E77">
              <w:t>55,68%</w:t>
            </w:r>
          </w:p>
        </w:tc>
        <w:tc>
          <w:tcPr>
            <w:tcW w:w="706" w:type="pct"/>
            <w:shd w:val="clear" w:color="auto" w:fill="auto"/>
            <w:noWrap/>
            <w:vAlign w:val="center"/>
            <w:hideMark/>
          </w:tcPr>
          <w:p w:rsidR="005F4E77" w:rsidRPr="005F4E77" w:rsidRDefault="005F4E77" w:rsidP="004D366C">
            <w:pPr>
              <w:jc w:val="center"/>
            </w:pPr>
            <w:r w:rsidRPr="005F4E77">
              <w:t>58,03%</w:t>
            </w:r>
          </w:p>
        </w:tc>
        <w:tc>
          <w:tcPr>
            <w:tcW w:w="706" w:type="pct"/>
            <w:shd w:val="clear" w:color="auto" w:fill="auto"/>
            <w:noWrap/>
            <w:vAlign w:val="center"/>
            <w:hideMark/>
          </w:tcPr>
          <w:p w:rsidR="005F4E77" w:rsidRPr="005F4E77" w:rsidRDefault="005F4E77" w:rsidP="004D366C">
            <w:pPr>
              <w:jc w:val="center"/>
            </w:pPr>
            <w:r w:rsidRPr="005F4E77">
              <w:t>62,79%</w:t>
            </w:r>
          </w:p>
        </w:tc>
        <w:tc>
          <w:tcPr>
            <w:tcW w:w="705" w:type="pct"/>
            <w:shd w:val="clear" w:color="auto" w:fill="auto"/>
            <w:noWrap/>
            <w:vAlign w:val="center"/>
            <w:hideMark/>
          </w:tcPr>
          <w:p w:rsidR="005F4E77" w:rsidRPr="005F4E77" w:rsidRDefault="005F4E77" w:rsidP="004D366C">
            <w:pPr>
              <w:jc w:val="center"/>
            </w:pPr>
            <w:r w:rsidRPr="005F4E77">
              <w:t>61,48%</w:t>
            </w:r>
          </w:p>
        </w:tc>
        <w:tc>
          <w:tcPr>
            <w:tcW w:w="704" w:type="pct"/>
            <w:vAlign w:val="center"/>
          </w:tcPr>
          <w:p w:rsidR="005F4E77" w:rsidRPr="005F4E77" w:rsidRDefault="005F4E77" w:rsidP="004D366C">
            <w:pPr>
              <w:jc w:val="center"/>
              <w:rPr>
                <w:color w:val="000000"/>
              </w:rPr>
            </w:pPr>
            <w:r w:rsidRPr="005F4E77">
              <w:rPr>
                <w:color w:val="000000"/>
              </w:rPr>
              <w:t>59,64%</w:t>
            </w:r>
          </w:p>
        </w:tc>
      </w:tr>
      <w:tr w:rsidR="005F4E77" w:rsidRPr="005F4E77" w:rsidTr="004D366C">
        <w:trPr>
          <w:trHeight w:hRule="exact" w:val="284"/>
        </w:trPr>
        <w:tc>
          <w:tcPr>
            <w:tcW w:w="1473" w:type="pct"/>
            <w:shd w:val="clear" w:color="000000" w:fill="FFFFFF"/>
            <w:vAlign w:val="center"/>
            <w:hideMark/>
          </w:tcPr>
          <w:p w:rsidR="005F4E77" w:rsidRPr="005F4E77" w:rsidRDefault="005F4E77" w:rsidP="004D366C">
            <w:pPr>
              <w:suppressAutoHyphens w:val="0"/>
            </w:pPr>
            <w:r w:rsidRPr="005F4E77">
              <w:t>Mediana</w:t>
            </w:r>
          </w:p>
        </w:tc>
        <w:tc>
          <w:tcPr>
            <w:tcW w:w="706" w:type="pct"/>
            <w:shd w:val="clear" w:color="auto" w:fill="auto"/>
            <w:noWrap/>
            <w:vAlign w:val="center"/>
            <w:hideMark/>
          </w:tcPr>
          <w:p w:rsidR="005F4E77" w:rsidRPr="005F4E77" w:rsidRDefault="005F4E77" w:rsidP="004D366C">
            <w:pPr>
              <w:jc w:val="center"/>
            </w:pPr>
            <w:r w:rsidRPr="005F4E77">
              <w:t>57,69%</w:t>
            </w:r>
          </w:p>
        </w:tc>
        <w:tc>
          <w:tcPr>
            <w:tcW w:w="706" w:type="pct"/>
            <w:shd w:val="clear" w:color="auto" w:fill="auto"/>
            <w:noWrap/>
            <w:vAlign w:val="center"/>
            <w:hideMark/>
          </w:tcPr>
          <w:p w:rsidR="005F4E77" w:rsidRPr="005F4E77" w:rsidRDefault="005F4E77" w:rsidP="004D366C">
            <w:pPr>
              <w:jc w:val="center"/>
            </w:pPr>
            <w:r w:rsidRPr="005F4E77">
              <w:t>57,69%</w:t>
            </w:r>
          </w:p>
        </w:tc>
        <w:tc>
          <w:tcPr>
            <w:tcW w:w="706" w:type="pct"/>
            <w:shd w:val="clear" w:color="auto" w:fill="auto"/>
            <w:noWrap/>
            <w:vAlign w:val="center"/>
            <w:hideMark/>
          </w:tcPr>
          <w:p w:rsidR="005F4E77" w:rsidRPr="005F4E77" w:rsidRDefault="005F4E77" w:rsidP="004D366C">
            <w:pPr>
              <w:jc w:val="center"/>
            </w:pPr>
            <w:r w:rsidRPr="005F4E77">
              <w:t>61,54%</w:t>
            </w:r>
          </w:p>
        </w:tc>
        <w:tc>
          <w:tcPr>
            <w:tcW w:w="705" w:type="pct"/>
            <w:shd w:val="clear" w:color="auto" w:fill="auto"/>
            <w:noWrap/>
            <w:vAlign w:val="center"/>
            <w:hideMark/>
          </w:tcPr>
          <w:p w:rsidR="005F4E77" w:rsidRPr="005F4E77" w:rsidRDefault="005F4E77" w:rsidP="004D366C">
            <w:pPr>
              <w:jc w:val="center"/>
            </w:pPr>
            <w:r w:rsidRPr="005F4E77">
              <w:t>65,38%</w:t>
            </w:r>
          </w:p>
        </w:tc>
        <w:tc>
          <w:tcPr>
            <w:tcW w:w="704" w:type="pct"/>
            <w:vAlign w:val="center"/>
          </w:tcPr>
          <w:p w:rsidR="005F4E77" w:rsidRPr="005F4E77" w:rsidRDefault="005F4E77" w:rsidP="004D366C">
            <w:pPr>
              <w:jc w:val="center"/>
              <w:rPr>
                <w:color w:val="000000"/>
              </w:rPr>
            </w:pPr>
            <w:r w:rsidRPr="005F4E77">
              <w:rPr>
                <w:color w:val="000000"/>
              </w:rPr>
              <w:t>61,54%</w:t>
            </w:r>
          </w:p>
        </w:tc>
      </w:tr>
      <w:tr w:rsidR="005F4E77" w:rsidRPr="005F4E77" w:rsidTr="004D366C">
        <w:trPr>
          <w:trHeight w:hRule="exact" w:val="284"/>
        </w:trPr>
        <w:tc>
          <w:tcPr>
            <w:tcW w:w="1473" w:type="pct"/>
            <w:shd w:val="clear" w:color="000000" w:fill="FFFFFF"/>
            <w:vAlign w:val="center"/>
            <w:hideMark/>
          </w:tcPr>
          <w:p w:rsidR="005F4E77" w:rsidRPr="005F4E77" w:rsidRDefault="005F4E77" w:rsidP="004D366C">
            <w:pPr>
              <w:suppressAutoHyphens w:val="0"/>
            </w:pPr>
            <w:r w:rsidRPr="005F4E77">
              <w:t>Desvio Padrão</w:t>
            </w:r>
          </w:p>
        </w:tc>
        <w:tc>
          <w:tcPr>
            <w:tcW w:w="706" w:type="pct"/>
            <w:shd w:val="clear" w:color="auto" w:fill="auto"/>
            <w:noWrap/>
            <w:vAlign w:val="center"/>
            <w:hideMark/>
          </w:tcPr>
          <w:p w:rsidR="005F4E77" w:rsidRPr="005F4E77" w:rsidRDefault="005F4E77" w:rsidP="004D366C">
            <w:pPr>
              <w:jc w:val="center"/>
            </w:pPr>
            <w:r w:rsidRPr="005F4E77">
              <w:t>0,1607</w:t>
            </w:r>
          </w:p>
        </w:tc>
        <w:tc>
          <w:tcPr>
            <w:tcW w:w="706" w:type="pct"/>
            <w:shd w:val="clear" w:color="auto" w:fill="auto"/>
            <w:noWrap/>
            <w:vAlign w:val="center"/>
            <w:hideMark/>
          </w:tcPr>
          <w:p w:rsidR="005F4E77" w:rsidRPr="005F4E77" w:rsidRDefault="005F4E77" w:rsidP="004D366C">
            <w:pPr>
              <w:jc w:val="center"/>
            </w:pPr>
            <w:r w:rsidRPr="005F4E77">
              <w:t>0,1815</w:t>
            </w:r>
          </w:p>
        </w:tc>
        <w:tc>
          <w:tcPr>
            <w:tcW w:w="706" w:type="pct"/>
            <w:shd w:val="clear" w:color="auto" w:fill="auto"/>
            <w:noWrap/>
            <w:vAlign w:val="center"/>
            <w:hideMark/>
          </w:tcPr>
          <w:p w:rsidR="005F4E77" w:rsidRPr="005F4E77" w:rsidRDefault="005F4E77" w:rsidP="004D366C">
            <w:pPr>
              <w:jc w:val="center"/>
            </w:pPr>
            <w:r w:rsidRPr="005F4E77">
              <w:t>0,2116</w:t>
            </w:r>
          </w:p>
        </w:tc>
        <w:tc>
          <w:tcPr>
            <w:tcW w:w="705" w:type="pct"/>
            <w:shd w:val="clear" w:color="auto" w:fill="auto"/>
            <w:noWrap/>
            <w:vAlign w:val="center"/>
            <w:hideMark/>
          </w:tcPr>
          <w:p w:rsidR="005F4E77" w:rsidRPr="005F4E77" w:rsidRDefault="005F4E77" w:rsidP="004D366C">
            <w:pPr>
              <w:jc w:val="center"/>
            </w:pPr>
            <w:r w:rsidRPr="005F4E77">
              <w:t>0,2211</w:t>
            </w:r>
          </w:p>
        </w:tc>
        <w:tc>
          <w:tcPr>
            <w:tcW w:w="704" w:type="pct"/>
            <w:vAlign w:val="center"/>
          </w:tcPr>
          <w:p w:rsidR="005F4E77" w:rsidRPr="005F4E77" w:rsidRDefault="005F4E77" w:rsidP="004D366C">
            <w:pPr>
              <w:jc w:val="center"/>
              <w:rPr>
                <w:color w:val="000000"/>
              </w:rPr>
            </w:pPr>
            <w:r w:rsidRPr="005F4E77">
              <w:rPr>
                <w:color w:val="000000"/>
              </w:rPr>
              <w:t>0,1956</w:t>
            </w:r>
          </w:p>
        </w:tc>
      </w:tr>
      <w:tr w:rsidR="005F4E77" w:rsidRPr="005F4E77" w:rsidTr="004D366C">
        <w:trPr>
          <w:trHeight w:hRule="exact" w:val="284"/>
        </w:trPr>
        <w:tc>
          <w:tcPr>
            <w:tcW w:w="1473" w:type="pct"/>
            <w:shd w:val="clear" w:color="000000" w:fill="FFFFFF"/>
            <w:vAlign w:val="center"/>
            <w:hideMark/>
          </w:tcPr>
          <w:p w:rsidR="005F4E77" w:rsidRPr="005F4E77" w:rsidRDefault="005F4E77" w:rsidP="004D366C">
            <w:pPr>
              <w:suppressAutoHyphens w:val="0"/>
            </w:pPr>
            <w:r w:rsidRPr="005F4E77">
              <w:t>Mínimo</w:t>
            </w:r>
          </w:p>
        </w:tc>
        <w:tc>
          <w:tcPr>
            <w:tcW w:w="706" w:type="pct"/>
            <w:shd w:val="clear" w:color="auto" w:fill="auto"/>
            <w:noWrap/>
            <w:vAlign w:val="center"/>
            <w:hideMark/>
          </w:tcPr>
          <w:p w:rsidR="005F4E77" w:rsidRPr="005F4E77" w:rsidRDefault="005F4E77" w:rsidP="004D366C">
            <w:pPr>
              <w:jc w:val="center"/>
            </w:pPr>
            <w:r w:rsidRPr="005F4E77">
              <w:t>30,77%</w:t>
            </w:r>
          </w:p>
        </w:tc>
        <w:tc>
          <w:tcPr>
            <w:tcW w:w="706" w:type="pct"/>
            <w:shd w:val="clear" w:color="auto" w:fill="auto"/>
            <w:noWrap/>
            <w:vAlign w:val="center"/>
            <w:hideMark/>
          </w:tcPr>
          <w:p w:rsidR="005F4E77" w:rsidRPr="005F4E77" w:rsidRDefault="005F4E77" w:rsidP="004D366C">
            <w:pPr>
              <w:jc w:val="center"/>
            </w:pPr>
            <w:r w:rsidRPr="005F4E77">
              <w:t>23,08%</w:t>
            </w:r>
          </w:p>
        </w:tc>
        <w:tc>
          <w:tcPr>
            <w:tcW w:w="706" w:type="pct"/>
            <w:shd w:val="clear" w:color="auto" w:fill="auto"/>
            <w:noWrap/>
            <w:vAlign w:val="center"/>
            <w:hideMark/>
          </w:tcPr>
          <w:p w:rsidR="005F4E77" w:rsidRPr="005F4E77" w:rsidRDefault="005F4E77" w:rsidP="004D366C">
            <w:pPr>
              <w:jc w:val="center"/>
            </w:pPr>
            <w:r w:rsidRPr="005F4E77">
              <w:t>7,69%</w:t>
            </w:r>
          </w:p>
        </w:tc>
        <w:tc>
          <w:tcPr>
            <w:tcW w:w="705" w:type="pct"/>
            <w:shd w:val="clear" w:color="auto" w:fill="auto"/>
            <w:noWrap/>
            <w:vAlign w:val="center"/>
            <w:hideMark/>
          </w:tcPr>
          <w:p w:rsidR="005F4E77" w:rsidRPr="005F4E77" w:rsidRDefault="005F4E77" w:rsidP="004D366C">
            <w:pPr>
              <w:jc w:val="center"/>
            </w:pPr>
            <w:r w:rsidRPr="005F4E77">
              <w:t>15,38%</w:t>
            </w:r>
          </w:p>
        </w:tc>
        <w:tc>
          <w:tcPr>
            <w:tcW w:w="704" w:type="pct"/>
            <w:vAlign w:val="center"/>
          </w:tcPr>
          <w:p w:rsidR="005F4E77" w:rsidRPr="005F4E77" w:rsidRDefault="005F4E77" w:rsidP="004D366C">
            <w:pPr>
              <w:jc w:val="center"/>
              <w:rPr>
                <w:color w:val="000000"/>
              </w:rPr>
            </w:pPr>
            <w:r w:rsidRPr="005F4E77">
              <w:rPr>
                <w:color w:val="000000"/>
              </w:rPr>
              <w:t>7,69%</w:t>
            </w:r>
          </w:p>
        </w:tc>
      </w:tr>
      <w:tr w:rsidR="005F4E77" w:rsidRPr="005F4E77" w:rsidTr="004D366C">
        <w:trPr>
          <w:trHeight w:hRule="exact" w:val="284"/>
        </w:trPr>
        <w:tc>
          <w:tcPr>
            <w:tcW w:w="1473" w:type="pct"/>
            <w:tcBorders>
              <w:bottom w:val="single" w:sz="12" w:space="0" w:color="auto"/>
            </w:tcBorders>
            <w:shd w:val="clear" w:color="000000" w:fill="FFFFFF"/>
            <w:vAlign w:val="center"/>
            <w:hideMark/>
          </w:tcPr>
          <w:p w:rsidR="005F4E77" w:rsidRPr="005F4E77" w:rsidRDefault="005F4E77" w:rsidP="004D366C">
            <w:pPr>
              <w:suppressAutoHyphens w:val="0"/>
            </w:pPr>
            <w:r w:rsidRPr="005F4E77">
              <w:t>Máximo</w:t>
            </w:r>
          </w:p>
        </w:tc>
        <w:tc>
          <w:tcPr>
            <w:tcW w:w="706" w:type="pct"/>
            <w:tcBorders>
              <w:bottom w:val="single" w:sz="12" w:space="0" w:color="auto"/>
            </w:tcBorders>
            <w:shd w:val="clear" w:color="auto" w:fill="auto"/>
            <w:noWrap/>
            <w:vAlign w:val="center"/>
            <w:hideMark/>
          </w:tcPr>
          <w:p w:rsidR="005F4E77" w:rsidRPr="005F4E77" w:rsidRDefault="005F4E77" w:rsidP="004D366C">
            <w:pPr>
              <w:jc w:val="center"/>
            </w:pPr>
            <w:r w:rsidRPr="005F4E77">
              <w:t>84,62%</w:t>
            </w:r>
          </w:p>
        </w:tc>
        <w:tc>
          <w:tcPr>
            <w:tcW w:w="706" w:type="pct"/>
            <w:tcBorders>
              <w:bottom w:val="single" w:sz="12" w:space="0" w:color="auto"/>
            </w:tcBorders>
            <w:shd w:val="clear" w:color="auto" w:fill="auto"/>
            <w:noWrap/>
            <w:vAlign w:val="center"/>
            <w:hideMark/>
          </w:tcPr>
          <w:p w:rsidR="005F4E77" w:rsidRPr="005F4E77" w:rsidRDefault="005F4E77" w:rsidP="004D366C">
            <w:pPr>
              <w:jc w:val="center"/>
            </w:pPr>
            <w:r w:rsidRPr="005F4E77">
              <w:t>96,15%</w:t>
            </w:r>
          </w:p>
        </w:tc>
        <w:tc>
          <w:tcPr>
            <w:tcW w:w="706" w:type="pct"/>
            <w:tcBorders>
              <w:bottom w:val="single" w:sz="12" w:space="0" w:color="auto"/>
            </w:tcBorders>
            <w:shd w:val="clear" w:color="auto" w:fill="auto"/>
            <w:noWrap/>
            <w:vAlign w:val="center"/>
            <w:hideMark/>
          </w:tcPr>
          <w:p w:rsidR="005F4E77" w:rsidRPr="005F4E77" w:rsidRDefault="005F4E77" w:rsidP="004D366C">
            <w:pPr>
              <w:jc w:val="center"/>
            </w:pPr>
            <w:r w:rsidRPr="005F4E77">
              <w:t>96,15%</w:t>
            </w:r>
          </w:p>
        </w:tc>
        <w:tc>
          <w:tcPr>
            <w:tcW w:w="705" w:type="pct"/>
            <w:tcBorders>
              <w:bottom w:val="single" w:sz="12" w:space="0" w:color="auto"/>
            </w:tcBorders>
            <w:shd w:val="clear" w:color="auto" w:fill="auto"/>
            <w:noWrap/>
            <w:vAlign w:val="center"/>
            <w:hideMark/>
          </w:tcPr>
          <w:p w:rsidR="005F4E77" w:rsidRPr="005F4E77" w:rsidRDefault="005F4E77" w:rsidP="004D366C">
            <w:pPr>
              <w:jc w:val="center"/>
            </w:pPr>
            <w:r w:rsidRPr="005F4E77">
              <w:t>95,83%</w:t>
            </w:r>
          </w:p>
        </w:tc>
        <w:tc>
          <w:tcPr>
            <w:tcW w:w="704" w:type="pct"/>
            <w:tcBorders>
              <w:bottom w:val="single" w:sz="12" w:space="0" w:color="auto"/>
            </w:tcBorders>
            <w:vAlign w:val="center"/>
          </w:tcPr>
          <w:p w:rsidR="005F4E77" w:rsidRPr="005F4E77" w:rsidRDefault="005F4E77" w:rsidP="004D366C">
            <w:pPr>
              <w:jc w:val="center"/>
              <w:rPr>
                <w:color w:val="000000"/>
              </w:rPr>
            </w:pPr>
            <w:r w:rsidRPr="005F4E77">
              <w:rPr>
                <w:color w:val="000000"/>
              </w:rPr>
              <w:t>96,15%</w:t>
            </w:r>
          </w:p>
        </w:tc>
      </w:tr>
    </w:tbl>
    <w:p w:rsidR="005F4E77" w:rsidRPr="005F4E77" w:rsidRDefault="005F4E77" w:rsidP="005F4E77">
      <w:pPr>
        <w:jc w:val="both"/>
      </w:pPr>
      <w:r w:rsidRPr="005F4E77">
        <w:t>Fonte: Dados da pesquisa (2018).</w:t>
      </w:r>
    </w:p>
    <w:p w:rsidR="005F4E77" w:rsidRDefault="005F4E77" w:rsidP="005F4E77">
      <w:pPr>
        <w:ind w:firstLine="709"/>
        <w:jc w:val="both"/>
        <w:rPr>
          <w:sz w:val="24"/>
          <w:szCs w:val="24"/>
        </w:rPr>
      </w:pPr>
      <w:r w:rsidRPr="005F4E77">
        <w:rPr>
          <w:sz w:val="24"/>
          <w:szCs w:val="24"/>
        </w:rPr>
        <w:t xml:space="preserve">A </w:t>
      </w:r>
      <w:r w:rsidR="007F38F8">
        <w:rPr>
          <w:sz w:val="24"/>
          <w:szCs w:val="24"/>
        </w:rPr>
        <w:t>Tabela 7</w:t>
      </w:r>
      <w:r w:rsidRPr="005F4E77">
        <w:rPr>
          <w:sz w:val="24"/>
          <w:szCs w:val="24"/>
        </w:rPr>
        <w:t xml:space="preserve"> mostra por ano o n</w:t>
      </w:r>
      <w:r w:rsidR="004D366C">
        <w:rPr>
          <w:sz w:val="24"/>
          <w:szCs w:val="24"/>
        </w:rPr>
        <w:t>ú</w:t>
      </w:r>
      <w:r w:rsidRPr="005F4E77">
        <w:rPr>
          <w:sz w:val="24"/>
          <w:szCs w:val="24"/>
        </w:rPr>
        <w:t>mero de adesão de cada item da métrica, na qual o item que foi cumprido em todos os anos foi a publicação das demonstrações obrigatória</w:t>
      </w:r>
      <w:r w:rsidR="00006992">
        <w:rPr>
          <w:sz w:val="24"/>
          <w:szCs w:val="24"/>
        </w:rPr>
        <w:t>s</w:t>
      </w:r>
      <w:r w:rsidRPr="005F4E77">
        <w:rPr>
          <w:sz w:val="24"/>
          <w:szCs w:val="24"/>
        </w:rPr>
        <w:t xml:space="preserve"> (item um), resultado esse que corrobora Souza </w:t>
      </w:r>
      <w:proofErr w:type="gramStart"/>
      <w:r w:rsidRPr="005F4E77">
        <w:rPr>
          <w:sz w:val="24"/>
          <w:szCs w:val="24"/>
        </w:rPr>
        <w:t>et</w:t>
      </w:r>
      <w:proofErr w:type="gramEnd"/>
      <w:r w:rsidRPr="005F4E77">
        <w:rPr>
          <w:sz w:val="24"/>
          <w:szCs w:val="24"/>
        </w:rPr>
        <w:t xml:space="preserve"> al. (2016). Em contrapartida, a publicação da demonstração do valor adicionado teve três, dois, quatro e sete</w:t>
      </w:r>
      <w:r w:rsidR="004D366C">
        <w:rPr>
          <w:sz w:val="24"/>
          <w:szCs w:val="24"/>
        </w:rPr>
        <w:t xml:space="preserve"> publicações em 2013, 2014, 201</w:t>
      </w:r>
      <w:r w:rsidRPr="005F4E77">
        <w:rPr>
          <w:sz w:val="24"/>
          <w:szCs w:val="24"/>
        </w:rPr>
        <w:t>5 e 2016, respectivamente.</w:t>
      </w:r>
    </w:p>
    <w:p w:rsidR="00526D0C" w:rsidRDefault="00526D0C" w:rsidP="00526D0C">
      <w:pPr>
        <w:ind w:firstLine="709"/>
        <w:jc w:val="both"/>
        <w:rPr>
          <w:sz w:val="24"/>
          <w:szCs w:val="24"/>
        </w:rPr>
      </w:pPr>
      <w:r w:rsidRPr="005F4E77">
        <w:rPr>
          <w:sz w:val="24"/>
          <w:szCs w:val="24"/>
        </w:rPr>
        <w:t xml:space="preserve">O item 5 – amortização acumulada, que pode ser evidenciada no balanço patrimonial ou na nota explicativa do intangível, foi evidenciada por 62 clubes, aproximadamente 67%. A adesão da evidenciação desse item foi inferior ao estudo de Souza </w:t>
      </w:r>
      <w:proofErr w:type="spellStart"/>
      <w:proofErr w:type="gramStart"/>
      <w:r w:rsidRPr="005F4E77">
        <w:rPr>
          <w:sz w:val="24"/>
          <w:szCs w:val="24"/>
        </w:rPr>
        <w:t>et</w:t>
      </w:r>
      <w:proofErr w:type="spellEnd"/>
      <w:proofErr w:type="gramEnd"/>
      <w:r w:rsidRPr="005F4E77">
        <w:rPr>
          <w:sz w:val="24"/>
          <w:szCs w:val="24"/>
        </w:rPr>
        <w:t xml:space="preserve"> al. (2016), que obteve um nível de aderência de 84%.</w:t>
      </w:r>
    </w:p>
    <w:p w:rsidR="00A11EAB" w:rsidRPr="005F4E77" w:rsidRDefault="00A11EAB" w:rsidP="00A11EAB">
      <w:pPr>
        <w:ind w:firstLine="709"/>
        <w:jc w:val="both"/>
        <w:rPr>
          <w:sz w:val="24"/>
          <w:szCs w:val="24"/>
        </w:rPr>
      </w:pPr>
      <w:r w:rsidRPr="005F4E77">
        <w:rPr>
          <w:sz w:val="24"/>
          <w:szCs w:val="24"/>
        </w:rPr>
        <w:t xml:space="preserve">Os itens </w:t>
      </w:r>
      <w:proofErr w:type="gramStart"/>
      <w:r w:rsidRPr="005F4E77">
        <w:rPr>
          <w:sz w:val="24"/>
          <w:szCs w:val="24"/>
        </w:rPr>
        <w:t>9</w:t>
      </w:r>
      <w:proofErr w:type="gramEnd"/>
      <w:r w:rsidRPr="005F4E77">
        <w:rPr>
          <w:sz w:val="24"/>
          <w:szCs w:val="24"/>
        </w:rPr>
        <w:t xml:space="preserve"> e 10 sobre o teste de recuperabilidade estavam presentes nas práticas contábeis, porém sem qualquer indício de ter sido realizado ou não, portanto, apenas quatro </w:t>
      </w:r>
      <w:r w:rsidRPr="005F4E77">
        <w:rPr>
          <w:sz w:val="24"/>
          <w:szCs w:val="24"/>
        </w:rPr>
        <w:lastRenderedPageBreak/>
        <w:t xml:space="preserve">clubes apresentaram que realizaram o teste em 2013 e evidenciaram o resultado, em 2014 dobrou o número de clubes que informaram esses itens. Em 2015, um dos dez clubes que divulgou sobre o teste de recuperabilidade informou que não houve indícios de perda, o que fez o número de observações do item 10 ser inferior em uma do item </w:t>
      </w:r>
      <w:proofErr w:type="gramStart"/>
      <w:r w:rsidRPr="005F4E77">
        <w:rPr>
          <w:sz w:val="24"/>
          <w:szCs w:val="24"/>
        </w:rPr>
        <w:t>9</w:t>
      </w:r>
      <w:proofErr w:type="gramEnd"/>
      <w:r w:rsidRPr="005F4E77">
        <w:rPr>
          <w:sz w:val="24"/>
          <w:szCs w:val="24"/>
        </w:rPr>
        <w:t>. Em 2016, o mesmo ocorreu cinco vezes. No geral ainda se observa uma falta de informação em relação ao teste, visto que em todos os anos menos da metade dos clubes evidenciaram sua realização e/ou resultado, problema persistente, visto que aproximadamente 65% dos clubes estudados por Maia e Vasconcelos (2016) também não evidenciaram o teste.</w:t>
      </w:r>
    </w:p>
    <w:p w:rsidR="005F4E77" w:rsidRPr="005F4E77" w:rsidRDefault="007F38F8" w:rsidP="005F4E77">
      <w:pPr>
        <w:jc w:val="both"/>
      </w:pPr>
      <w:r>
        <w:t>Tabela 7</w:t>
      </w:r>
      <w:r w:rsidR="005F4E77" w:rsidRPr="005F4E77">
        <w:t xml:space="preserve"> – Nível de evidenciação por item</w:t>
      </w:r>
    </w:p>
    <w:tbl>
      <w:tblPr>
        <w:tblW w:w="5000"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tblPr>
      <w:tblGrid>
        <w:gridCol w:w="680"/>
        <w:gridCol w:w="6093"/>
        <w:gridCol w:w="608"/>
        <w:gridCol w:w="608"/>
        <w:gridCol w:w="608"/>
        <w:gridCol w:w="608"/>
      </w:tblGrid>
      <w:tr w:rsidR="005F4E77" w:rsidRPr="005F4E77" w:rsidTr="004D366C">
        <w:trPr>
          <w:trHeight w:hRule="exact" w:val="284"/>
        </w:trPr>
        <w:tc>
          <w:tcPr>
            <w:tcW w:w="370" w:type="pct"/>
            <w:tcBorders>
              <w:top w:val="single" w:sz="12" w:space="0" w:color="auto"/>
              <w:bottom w:val="single" w:sz="12" w:space="0" w:color="auto"/>
            </w:tcBorders>
            <w:vAlign w:val="center"/>
          </w:tcPr>
          <w:p w:rsidR="005F4E77" w:rsidRPr="005F4E77" w:rsidRDefault="005F4E77" w:rsidP="004D366C">
            <w:pPr>
              <w:suppressAutoHyphens w:val="0"/>
              <w:jc w:val="center"/>
              <w:rPr>
                <w:b/>
                <w:color w:val="000000"/>
              </w:rPr>
            </w:pPr>
            <w:r w:rsidRPr="005F4E77">
              <w:rPr>
                <w:b/>
                <w:color w:val="000000"/>
              </w:rPr>
              <w:t>Item</w:t>
            </w:r>
          </w:p>
        </w:tc>
        <w:tc>
          <w:tcPr>
            <w:tcW w:w="3309"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Descrição</w:t>
            </w:r>
          </w:p>
        </w:tc>
        <w:tc>
          <w:tcPr>
            <w:tcW w:w="330"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2013</w:t>
            </w:r>
          </w:p>
        </w:tc>
        <w:tc>
          <w:tcPr>
            <w:tcW w:w="330"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2014</w:t>
            </w:r>
          </w:p>
        </w:tc>
        <w:tc>
          <w:tcPr>
            <w:tcW w:w="330"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2015</w:t>
            </w:r>
          </w:p>
        </w:tc>
        <w:tc>
          <w:tcPr>
            <w:tcW w:w="330"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2016</w:t>
            </w:r>
          </w:p>
        </w:tc>
      </w:tr>
      <w:tr w:rsidR="005F4E77" w:rsidRPr="005F4E77" w:rsidTr="004D366C">
        <w:trPr>
          <w:trHeight w:hRule="exact" w:val="284"/>
        </w:trPr>
        <w:tc>
          <w:tcPr>
            <w:tcW w:w="370" w:type="pct"/>
            <w:tcBorders>
              <w:top w:val="single" w:sz="12" w:space="0" w:color="auto"/>
            </w:tcBorders>
            <w:vAlign w:val="center"/>
          </w:tcPr>
          <w:p w:rsidR="005F4E77" w:rsidRPr="005F4E77" w:rsidRDefault="005F4E77" w:rsidP="004D366C">
            <w:pPr>
              <w:suppressAutoHyphens w:val="0"/>
              <w:jc w:val="center"/>
              <w:rPr>
                <w:color w:val="000000"/>
              </w:rPr>
            </w:pPr>
            <w:proofErr w:type="gramStart"/>
            <w:r w:rsidRPr="005F4E77">
              <w:rPr>
                <w:color w:val="000000"/>
              </w:rPr>
              <w:t>1</w:t>
            </w:r>
            <w:proofErr w:type="gramEnd"/>
          </w:p>
        </w:tc>
        <w:tc>
          <w:tcPr>
            <w:tcW w:w="3309" w:type="pct"/>
            <w:tcBorders>
              <w:top w:val="single" w:sz="12" w:space="0" w:color="auto"/>
            </w:tcBorders>
            <w:shd w:val="clear" w:color="auto" w:fill="auto"/>
            <w:vAlign w:val="center"/>
            <w:hideMark/>
          </w:tcPr>
          <w:p w:rsidR="005F4E77" w:rsidRPr="005F4E77" w:rsidRDefault="005F4E77" w:rsidP="004D366C">
            <w:pPr>
              <w:suppressAutoHyphens w:val="0"/>
              <w:rPr>
                <w:color w:val="000000"/>
              </w:rPr>
            </w:pPr>
            <w:r w:rsidRPr="005F4E77">
              <w:rPr>
                <w:color w:val="000000"/>
              </w:rPr>
              <w:t>Publicação das demonstrações obrigatórias</w:t>
            </w:r>
          </w:p>
        </w:tc>
        <w:tc>
          <w:tcPr>
            <w:tcW w:w="330" w:type="pct"/>
            <w:tcBorders>
              <w:top w:val="single" w:sz="12" w:space="0" w:color="auto"/>
            </w:tcBorders>
            <w:shd w:val="clear" w:color="auto" w:fill="auto"/>
            <w:noWrap/>
            <w:vAlign w:val="center"/>
            <w:hideMark/>
          </w:tcPr>
          <w:p w:rsidR="005F4E77" w:rsidRPr="005F4E77" w:rsidRDefault="005F4E77" w:rsidP="008350E2">
            <w:pPr>
              <w:suppressAutoHyphens w:val="0"/>
              <w:jc w:val="center"/>
              <w:rPr>
                <w:color w:val="000000"/>
              </w:rPr>
            </w:pPr>
            <w:r w:rsidRPr="005F4E77">
              <w:rPr>
                <w:color w:val="000000"/>
              </w:rPr>
              <w:t>21</w:t>
            </w:r>
          </w:p>
        </w:tc>
        <w:tc>
          <w:tcPr>
            <w:tcW w:w="330" w:type="pct"/>
            <w:tcBorders>
              <w:top w:val="single" w:sz="12" w:space="0" w:color="auto"/>
            </w:tcBorders>
            <w:shd w:val="clear" w:color="auto" w:fill="auto"/>
            <w:noWrap/>
            <w:vAlign w:val="center"/>
            <w:hideMark/>
          </w:tcPr>
          <w:p w:rsidR="005F4E77" w:rsidRPr="005F4E77" w:rsidRDefault="008350E2" w:rsidP="004D366C">
            <w:pPr>
              <w:suppressAutoHyphens w:val="0"/>
              <w:jc w:val="center"/>
              <w:rPr>
                <w:color w:val="000000"/>
              </w:rPr>
            </w:pPr>
            <w:r>
              <w:rPr>
                <w:color w:val="000000"/>
              </w:rPr>
              <w:t>23</w:t>
            </w:r>
          </w:p>
        </w:tc>
        <w:tc>
          <w:tcPr>
            <w:tcW w:w="330" w:type="pct"/>
            <w:tcBorders>
              <w:top w:val="single" w:sz="12" w:space="0" w:color="auto"/>
            </w:tcBorders>
            <w:shd w:val="clear" w:color="auto" w:fill="auto"/>
            <w:noWrap/>
            <w:vAlign w:val="center"/>
            <w:hideMark/>
          </w:tcPr>
          <w:p w:rsidR="005F4E77" w:rsidRPr="005F4E77" w:rsidRDefault="008926AB" w:rsidP="008926AB">
            <w:pPr>
              <w:suppressAutoHyphens w:val="0"/>
              <w:jc w:val="center"/>
              <w:rPr>
                <w:color w:val="000000"/>
              </w:rPr>
            </w:pPr>
            <w:r>
              <w:rPr>
                <w:color w:val="000000"/>
              </w:rPr>
              <w:t>23</w:t>
            </w:r>
          </w:p>
        </w:tc>
        <w:tc>
          <w:tcPr>
            <w:tcW w:w="330" w:type="pct"/>
            <w:tcBorders>
              <w:top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25,5</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proofErr w:type="gramStart"/>
            <w:r w:rsidRPr="005F4E77">
              <w:rPr>
                <w:color w:val="000000"/>
              </w:rPr>
              <w:t>2</w:t>
            </w:r>
            <w:proofErr w:type="gramEnd"/>
          </w:p>
        </w:tc>
        <w:tc>
          <w:tcPr>
            <w:tcW w:w="3309" w:type="pct"/>
            <w:shd w:val="clear" w:color="auto" w:fill="auto"/>
            <w:vAlign w:val="center"/>
            <w:hideMark/>
          </w:tcPr>
          <w:p w:rsidR="005F4E77" w:rsidRPr="005F4E77" w:rsidRDefault="005F4E77" w:rsidP="004D366C">
            <w:pPr>
              <w:suppressAutoHyphens w:val="0"/>
              <w:rPr>
                <w:color w:val="000000"/>
              </w:rPr>
            </w:pPr>
            <w:r w:rsidRPr="005F4E77">
              <w:rPr>
                <w:color w:val="000000"/>
              </w:rPr>
              <w:t>Publicação da Demonstração do Valor Adicionado</w:t>
            </w:r>
          </w:p>
        </w:tc>
        <w:tc>
          <w:tcPr>
            <w:tcW w:w="33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3</w:t>
            </w:r>
            <w:proofErr w:type="gramEnd"/>
          </w:p>
        </w:tc>
        <w:tc>
          <w:tcPr>
            <w:tcW w:w="33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2</w:t>
            </w:r>
            <w:proofErr w:type="gramEnd"/>
          </w:p>
        </w:tc>
        <w:tc>
          <w:tcPr>
            <w:tcW w:w="33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4</w:t>
            </w:r>
            <w:proofErr w:type="gramEnd"/>
          </w:p>
        </w:tc>
        <w:tc>
          <w:tcPr>
            <w:tcW w:w="330" w:type="pct"/>
            <w:shd w:val="clear" w:color="auto" w:fill="auto"/>
            <w:noWrap/>
            <w:vAlign w:val="center"/>
            <w:hideMark/>
          </w:tcPr>
          <w:p w:rsidR="005F4E77" w:rsidRPr="005F4E77" w:rsidRDefault="005F4E77" w:rsidP="008926AB">
            <w:pPr>
              <w:suppressAutoHyphens w:val="0"/>
              <w:jc w:val="center"/>
              <w:rPr>
                <w:color w:val="000000"/>
              </w:rPr>
            </w:pPr>
            <w:proofErr w:type="gramStart"/>
            <w:r w:rsidRPr="005F4E77">
              <w:rPr>
                <w:color w:val="000000"/>
              </w:rPr>
              <w:t>7</w:t>
            </w:r>
            <w:proofErr w:type="gramEnd"/>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proofErr w:type="gramStart"/>
            <w:r w:rsidRPr="005F4E77">
              <w:rPr>
                <w:color w:val="000000"/>
              </w:rPr>
              <w:t>3</w:t>
            </w:r>
            <w:proofErr w:type="gramEnd"/>
          </w:p>
        </w:tc>
        <w:tc>
          <w:tcPr>
            <w:tcW w:w="3309" w:type="pct"/>
            <w:shd w:val="clear" w:color="auto" w:fill="auto"/>
            <w:noWrap/>
            <w:vAlign w:val="center"/>
            <w:hideMark/>
          </w:tcPr>
          <w:p w:rsidR="005F4E77" w:rsidRPr="005F4E77" w:rsidRDefault="005F4E77" w:rsidP="004D366C">
            <w:pPr>
              <w:suppressAutoHyphens w:val="0"/>
              <w:rPr>
                <w:color w:val="000000"/>
              </w:rPr>
            </w:pPr>
            <w:r w:rsidRPr="005F4E77">
              <w:rPr>
                <w:color w:val="000000"/>
              </w:rPr>
              <w:t>Natura do intangível</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21</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22</w:t>
            </w:r>
          </w:p>
        </w:tc>
        <w:tc>
          <w:tcPr>
            <w:tcW w:w="330" w:type="pct"/>
            <w:shd w:val="clear" w:color="auto" w:fill="auto"/>
            <w:noWrap/>
            <w:vAlign w:val="center"/>
            <w:hideMark/>
          </w:tcPr>
          <w:p w:rsidR="005F4E77" w:rsidRPr="005F4E77" w:rsidRDefault="005F4E77" w:rsidP="008926AB">
            <w:pPr>
              <w:suppressAutoHyphens w:val="0"/>
              <w:jc w:val="center"/>
              <w:rPr>
                <w:color w:val="000000"/>
              </w:rPr>
            </w:pPr>
            <w:r w:rsidRPr="005F4E77">
              <w:rPr>
                <w:color w:val="000000"/>
              </w:rPr>
              <w:t>22</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25</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proofErr w:type="gramStart"/>
            <w:r w:rsidRPr="005F4E77">
              <w:rPr>
                <w:color w:val="000000"/>
              </w:rPr>
              <w:t>4</w:t>
            </w:r>
            <w:proofErr w:type="gramEnd"/>
          </w:p>
        </w:tc>
        <w:tc>
          <w:tcPr>
            <w:tcW w:w="3309" w:type="pct"/>
            <w:shd w:val="clear" w:color="auto" w:fill="auto"/>
            <w:noWrap/>
            <w:vAlign w:val="center"/>
            <w:hideMark/>
          </w:tcPr>
          <w:p w:rsidR="005F4E77" w:rsidRPr="005F4E77" w:rsidRDefault="005F4E77" w:rsidP="004D366C">
            <w:pPr>
              <w:suppressAutoHyphens w:val="0"/>
              <w:rPr>
                <w:color w:val="000000"/>
              </w:rPr>
            </w:pPr>
            <w:r w:rsidRPr="005F4E77">
              <w:t xml:space="preserve">Prazo de </w:t>
            </w:r>
            <w:r w:rsidRPr="005F4E77">
              <w:rPr>
                <w:color w:val="000000"/>
              </w:rPr>
              <w:t>amortização</w:t>
            </w:r>
          </w:p>
        </w:tc>
        <w:tc>
          <w:tcPr>
            <w:tcW w:w="330" w:type="pct"/>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6,5</w:t>
            </w:r>
          </w:p>
        </w:tc>
        <w:tc>
          <w:tcPr>
            <w:tcW w:w="330" w:type="pct"/>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4,5</w:t>
            </w:r>
          </w:p>
        </w:tc>
        <w:tc>
          <w:tcPr>
            <w:tcW w:w="33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3</w:t>
            </w:r>
            <w:proofErr w:type="gramEnd"/>
          </w:p>
        </w:tc>
        <w:tc>
          <w:tcPr>
            <w:tcW w:w="330" w:type="pct"/>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4,5</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proofErr w:type="gramStart"/>
            <w:r w:rsidRPr="005F4E77">
              <w:rPr>
                <w:color w:val="000000"/>
              </w:rPr>
              <w:t>5</w:t>
            </w:r>
            <w:proofErr w:type="gramEnd"/>
          </w:p>
        </w:tc>
        <w:tc>
          <w:tcPr>
            <w:tcW w:w="3309" w:type="pct"/>
            <w:shd w:val="clear" w:color="auto" w:fill="auto"/>
            <w:noWrap/>
            <w:vAlign w:val="center"/>
            <w:hideMark/>
          </w:tcPr>
          <w:p w:rsidR="005F4E77" w:rsidRPr="005F4E77" w:rsidRDefault="005F4E77" w:rsidP="004D366C">
            <w:pPr>
              <w:suppressAutoHyphens w:val="0"/>
              <w:rPr>
                <w:color w:val="000000"/>
              </w:rPr>
            </w:pPr>
            <w:r w:rsidRPr="005F4E77">
              <w:rPr>
                <w:color w:val="000000"/>
              </w:rPr>
              <w:t>Amortização acumulada</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15</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18</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14</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15</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proofErr w:type="gramStart"/>
            <w:r w:rsidRPr="005F4E77">
              <w:rPr>
                <w:color w:val="000000"/>
              </w:rPr>
              <w:t>6</w:t>
            </w:r>
            <w:proofErr w:type="gramEnd"/>
          </w:p>
        </w:tc>
        <w:tc>
          <w:tcPr>
            <w:tcW w:w="3309" w:type="pct"/>
            <w:shd w:val="clear" w:color="auto" w:fill="auto"/>
            <w:noWrap/>
            <w:vAlign w:val="center"/>
            <w:hideMark/>
          </w:tcPr>
          <w:p w:rsidR="005F4E77" w:rsidRPr="005F4E77" w:rsidRDefault="005F4E77" w:rsidP="004D366C">
            <w:pPr>
              <w:suppressAutoHyphens w:val="0"/>
              <w:rPr>
                <w:color w:val="000000"/>
              </w:rPr>
            </w:pPr>
            <w:r w:rsidRPr="005F4E77">
              <w:rPr>
                <w:color w:val="000000"/>
              </w:rPr>
              <w:t>Amortização do exercício</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15</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16</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16</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19</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proofErr w:type="gramStart"/>
            <w:r w:rsidRPr="005F4E77">
              <w:rPr>
                <w:color w:val="000000"/>
              </w:rPr>
              <w:t>7</w:t>
            </w:r>
            <w:proofErr w:type="gramEnd"/>
          </w:p>
        </w:tc>
        <w:tc>
          <w:tcPr>
            <w:tcW w:w="3309" w:type="pct"/>
            <w:shd w:val="clear" w:color="auto" w:fill="auto"/>
            <w:noWrap/>
            <w:vAlign w:val="center"/>
            <w:hideMark/>
          </w:tcPr>
          <w:p w:rsidR="005F4E77" w:rsidRPr="005F4E77" w:rsidRDefault="005F4E77" w:rsidP="004D366C">
            <w:pPr>
              <w:suppressAutoHyphens w:val="0"/>
              <w:rPr>
                <w:color w:val="000000"/>
              </w:rPr>
            </w:pPr>
            <w:r w:rsidRPr="005F4E77">
              <w:rPr>
                <w:color w:val="000000"/>
              </w:rPr>
              <w:t>Valores gastos com a formação e aquisição de direitos contratuais</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11</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14</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13</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18</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proofErr w:type="gramStart"/>
            <w:r w:rsidRPr="005F4E77">
              <w:rPr>
                <w:color w:val="000000"/>
              </w:rPr>
              <w:t>8</w:t>
            </w:r>
            <w:proofErr w:type="gramEnd"/>
          </w:p>
        </w:tc>
        <w:tc>
          <w:tcPr>
            <w:tcW w:w="3309" w:type="pct"/>
            <w:shd w:val="clear" w:color="auto" w:fill="auto"/>
            <w:noWrap/>
            <w:vAlign w:val="center"/>
            <w:hideMark/>
          </w:tcPr>
          <w:p w:rsidR="005F4E77" w:rsidRPr="005F4E77" w:rsidRDefault="005F4E77" w:rsidP="004D366C">
            <w:pPr>
              <w:suppressAutoHyphens w:val="0"/>
              <w:rPr>
                <w:color w:val="000000"/>
              </w:rPr>
            </w:pPr>
            <w:r w:rsidRPr="005F4E77">
              <w:rPr>
                <w:color w:val="000000"/>
              </w:rPr>
              <w:t>Separação por tipo e categoria</w:t>
            </w:r>
          </w:p>
        </w:tc>
        <w:tc>
          <w:tcPr>
            <w:tcW w:w="330" w:type="pct"/>
            <w:shd w:val="clear" w:color="auto" w:fill="auto"/>
            <w:noWrap/>
            <w:vAlign w:val="center"/>
            <w:hideMark/>
          </w:tcPr>
          <w:p w:rsidR="005F4E77" w:rsidRPr="005F4E77" w:rsidRDefault="005F4E77" w:rsidP="008350E2">
            <w:pPr>
              <w:suppressAutoHyphens w:val="0"/>
              <w:jc w:val="center"/>
              <w:rPr>
                <w:color w:val="000000"/>
              </w:rPr>
            </w:pPr>
            <w:r w:rsidRPr="005F4E77">
              <w:rPr>
                <w:color w:val="000000"/>
              </w:rPr>
              <w:t>20</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20</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22</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25</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proofErr w:type="gramStart"/>
            <w:r w:rsidRPr="005F4E77">
              <w:rPr>
                <w:color w:val="000000"/>
              </w:rPr>
              <w:t>9</w:t>
            </w:r>
            <w:proofErr w:type="gramEnd"/>
          </w:p>
        </w:tc>
        <w:tc>
          <w:tcPr>
            <w:tcW w:w="3309" w:type="pct"/>
            <w:shd w:val="clear" w:color="auto" w:fill="auto"/>
            <w:noWrap/>
            <w:vAlign w:val="center"/>
            <w:hideMark/>
          </w:tcPr>
          <w:p w:rsidR="005F4E77" w:rsidRPr="005F4E77" w:rsidRDefault="005F4E77" w:rsidP="004D366C">
            <w:pPr>
              <w:suppressAutoHyphens w:val="0"/>
              <w:rPr>
                <w:color w:val="000000"/>
              </w:rPr>
            </w:pPr>
            <w:r w:rsidRPr="005F4E77">
              <w:t>Informação se realizou o teste no valor recuperável</w:t>
            </w:r>
          </w:p>
        </w:tc>
        <w:tc>
          <w:tcPr>
            <w:tcW w:w="330" w:type="pct"/>
            <w:shd w:val="clear" w:color="auto" w:fill="auto"/>
            <w:noWrap/>
            <w:vAlign w:val="center"/>
            <w:hideMark/>
          </w:tcPr>
          <w:p w:rsidR="005F4E77" w:rsidRPr="005F4E77" w:rsidRDefault="008350E2" w:rsidP="008350E2">
            <w:pPr>
              <w:suppressAutoHyphens w:val="0"/>
              <w:jc w:val="center"/>
              <w:rPr>
                <w:color w:val="000000"/>
              </w:rPr>
            </w:pPr>
            <w:proofErr w:type="gramStart"/>
            <w:r>
              <w:rPr>
                <w:color w:val="000000"/>
              </w:rPr>
              <w:t>4</w:t>
            </w:r>
            <w:proofErr w:type="gramEnd"/>
          </w:p>
        </w:tc>
        <w:tc>
          <w:tcPr>
            <w:tcW w:w="330" w:type="pct"/>
            <w:shd w:val="clear" w:color="auto" w:fill="auto"/>
            <w:noWrap/>
            <w:vAlign w:val="center"/>
            <w:hideMark/>
          </w:tcPr>
          <w:p w:rsidR="005F4E77" w:rsidRPr="005F4E77" w:rsidRDefault="008350E2" w:rsidP="004D366C">
            <w:pPr>
              <w:suppressAutoHyphens w:val="0"/>
              <w:jc w:val="center"/>
              <w:rPr>
                <w:color w:val="000000"/>
              </w:rPr>
            </w:pPr>
            <w:proofErr w:type="gramStart"/>
            <w:r>
              <w:rPr>
                <w:color w:val="000000"/>
              </w:rPr>
              <w:t>8</w:t>
            </w:r>
            <w:proofErr w:type="gramEnd"/>
          </w:p>
        </w:tc>
        <w:tc>
          <w:tcPr>
            <w:tcW w:w="330" w:type="pct"/>
            <w:shd w:val="clear" w:color="auto" w:fill="auto"/>
            <w:noWrap/>
            <w:vAlign w:val="center"/>
            <w:hideMark/>
          </w:tcPr>
          <w:p w:rsidR="005F4E77" w:rsidRPr="005F4E77" w:rsidRDefault="005F4E77" w:rsidP="008926AB">
            <w:pPr>
              <w:suppressAutoHyphens w:val="0"/>
              <w:jc w:val="center"/>
              <w:rPr>
                <w:color w:val="000000"/>
              </w:rPr>
            </w:pPr>
            <w:r w:rsidRPr="005F4E77">
              <w:rPr>
                <w:color w:val="000000"/>
              </w:rPr>
              <w:t>10</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10</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r w:rsidRPr="005F4E77">
              <w:rPr>
                <w:color w:val="000000"/>
              </w:rPr>
              <w:t>10</w:t>
            </w:r>
          </w:p>
        </w:tc>
        <w:tc>
          <w:tcPr>
            <w:tcW w:w="3309" w:type="pct"/>
            <w:shd w:val="clear" w:color="auto" w:fill="auto"/>
            <w:noWrap/>
            <w:vAlign w:val="center"/>
            <w:hideMark/>
          </w:tcPr>
          <w:p w:rsidR="005F4E77" w:rsidRPr="005F4E77" w:rsidRDefault="005F4E77" w:rsidP="004D366C">
            <w:pPr>
              <w:suppressAutoHyphens w:val="0"/>
              <w:rPr>
                <w:color w:val="000000"/>
              </w:rPr>
            </w:pPr>
            <w:r w:rsidRPr="005F4E77">
              <w:t>Informação o resultado do teste de perda no valor recuperável</w:t>
            </w:r>
          </w:p>
        </w:tc>
        <w:tc>
          <w:tcPr>
            <w:tcW w:w="330" w:type="pct"/>
            <w:shd w:val="clear" w:color="auto" w:fill="auto"/>
            <w:noWrap/>
            <w:vAlign w:val="center"/>
            <w:hideMark/>
          </w:tcPr>
          <w:p w:rsidR="005F4E77" w:rsidRPr="005F4E77" w:rsidRDefault="005F4E77" w:rsidP="008350E2">
            <w:pPr>
              <w:suppressAutoHyphens w:val="0"/>
              <w:jc w:val="center"/>
              <w:rPr>
                <w:color w:val="000000"/>
              </w:rPr>
            </w:pPr>
            <w:proofErr w:type="gramStart"/>
            <w:r w:rsidRPr="005F4E77">
              <w:rPr>
                <w:color w:val="000000"/>
              </w:rPr>
              <w:t>4</w:t>
            </w:r>
            <w:proofErr w:type="gramEnd"/>
          </w:p>
        </w:tc>
        <w:tc>
          <w:tcPr>
            <w:tcW w:w="330" w:type="pct"/>
            <w:shd w:val="clear" w:color="auto" w:fill="auto"/>
            <w:noWrap/>
            <w:vAlign w:val="center"/>
            <w:hideMark/>
          </w:tcPr>
          <w:p w:rsidR="005F4E77" w:rsidRPr="005F4E77" w:rsidRDefault="008350E2" w:rsidP="008350E2">
            <w:pPr>
              <w:suppressAutoHyphens w:val="0"/>
              <w:jc w:val="center"/>
              <w:rPr>
                <w:color w:val="000000"/>
              </w:rPr>
            </w:pPr>
            <w:proofErr w:type="gramStart"/>
            <w:r>
              <w:rPr>
                <w:color w:val="000000"/>
              </w:rPr>
              <w:t>8</w:t>
            </w:r>
            <w:proofErr w:type="gramEnd"/>
          </w:p>
        </w:tc>
        <w:tc>
          <w:tcPr>
            <w:tcW w:w="330" w:type="pct"/>
            <w:shd w:val="clear" w:color="auto" w:fill="auto"/>
            <w:noWrap/>
            <w:vAlign w:val="center"/>
            <w:hideMark/>
          </w:tcPr>
          <w:p w:rsidR="005F4E77" w:rsidRPr="005F4E77" w:rsidRDefault="008926AB" w:rsidP="004D366C">
            <w:pPr>
              <w:suppressAutoHyphens w:val="0"/>
              <w:jc w:val="center"/>
              <w:rPr>
                <w:color w:val="000000"/>
              </w:rPr>
            </w:pPr>
            <w:proofErr w:type="gramStart"/>
            <w:r>
              <w:rPr>
                <w:color w:val="000000"/>
              </w:rPr>
              <w:t>9</w:t>
            </w:r>
            <w:proofErr w:type="gramEnd"/>
          </w:p>
        </w:tc>
        <w:tc>
          <w:tcPr>
            <w:tcW w:w="330" w:type="pct"/>
            <w:shd w:val="clear" w:color="auto" w:fill="auto"/>
            <w:noWrap/>
            <w:vAlign w:val="center"/>
            <w:hideMark/>
          </w:tcPr>
          <w:p w:rsidR="005F4E77" w:rsidRPr="005F4E77" w:rsidRDefault="008926AB" w:rsidP="004D366C">
            <w:pPr>
              <w:suppressAutoHyphens w:val="0"/>
              <w:jc w:val="center"/>
              <w:rPr>
                <w:color w:val="000000"/>
              </w:rPr>
            </w:pPr>
            <w:proofErr w:type="gramStart"/>
            <w:r>
              <w:rPr>
                <w:color w:val="000000"/>
              </w:rPr>
              <w:t>5</w:t>
            </w:r>
            <w:proofErr w:type="gramEnd"/>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r w:rsidRPr="005F4E77">
              <w:rPr>
                <w:color w:val="000000"/>
              </w:rPr>
              <w:t>11</w:t>
            </w:r>
          </w:p>
        </w:tc>
        <w:tc>
          <w:tcPr>
            <w:tcW w:w="3309" w:type="pct"/>
            <w:shd w:val="clear" w:color="auto" w:fill="auto"/>
            <w:noWrap/>
            <w:vAlign w:val="center"/>
            <w:hideMark/>
          </w:tcPr>
          <w:p w:rsidR="005F4E77" w:rsidRPr="005F4E77" w:rsidRDefault="005F4E77" w:rsidP="004D366C">
            <w:pPr>
              <w:suppressAutoHyphens w:val="0"/>
              <w:rPr>
                <w:color w:val="000000"/>
              </w:rPr>
            </w:pPr>
            <w:r w:rsidRPr="005F4E77">
              <w:rPr>
                <w:color w:val="000000"/>
              </w:rPr>
              <w:t>Total de atletas vinculados ao clube</w:t>
            </w:r>
          </w:p>
        </w:tc>
        <w:tc>
          <w:tcPr>
            <w:tcW w:w="330" w:type="pct"/>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12,5</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14</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19</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19</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r w:rsidRPr="005F4E77">
              <w:rPr>
                <w:color w:val="000000"/>
              </w:rPr>
              <w:t>12</w:t>
            </w:r>
          </w:p>
        </w:tc>
        <w:tc>
          <w:tcPr>
            <w:tcW w:w="3309" w:type="pct"/>
            <w:shd w:val="clear" w:color="auto" w:fill="auto"/>
            <w:noWrap/>
            <w:vAlign w:val="center"/>
            <w:hideMark/>
          </w:tcPr>
          <w:p w:rsidR="005F4E77" w:rsidRPr="005F4E77" w:rsidRDefault="005F4E77" w:rsidP="004D366C">
            <w:pPr>
              <w:suppressAutoHyphens w:val="0"/>
              <w:rPr>
                <w:color w:val="000000"/>
              </w:rPr>
            </w:pPr>
            <w:r w:rsidRPr="005F4E77">
              <w:rPr>
                <w:color w:val="000000"/>
              </w:rPr>
              <w:t>Direito econômico individual</w:t>
            </w:r>
          </w:p>
        </w:tc>
        <w:tc>
          <w:tcPr>
            <w:tcW w:w="330" w:type="pct"/>
            <w:shd w:val="clear" w:color="auto" w:fill="auto"/>
            <w:noWrap/>
            <w:vAlign w:val="center"/>
            <w:hideMark/>
          </w:tcPr>
          <w:p w:rsidR="005F4E77" w:rsidRPr="005F4E77" w:rsidRDefault="005F4E77" w:rsidP="004D366C">
            <w:pPr>
              <w:suppressAutoHyphens w:val="0"/>
              <w:jc w:val="center"/>
              <w:rPr>
                <w:color w:val="000000"/>
              </w:rPr>
            </w:pPr>
            <w:proofErr w:type="gramStart"/>
            <w:r w:rsidRPr="005F4E77">
              <w:rPr>
                <w:color w:val="000000"/>
              </w:rPr>
              <w:t>7</w:t>
            </w:r>
            <w:proofErr w:type="gramEnd"/>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10</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14</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14</w:t>
            </w:r>
          </w:p>
        </w:tc>
      </w:tr>
      <w:tr w:rsidR="005F4E77" w:rsidRPr="005F4E77" w:rsidTr="004D366C">
        <w:trPr>
          <w:trHeight w:hRule="exact" w:val="284"/>
        </w:trPr>
        <w:tc>
          <w:tcPr>
            <w:tcW w:w="370" w:type="pct"/>
            <w:vAlign w:val="center"/>
          </w:tcPr>
          <w:p w:rsidR="005F4E77" w:rsidRPr="005F4E77" w:rsidRDefault="005F4E77" w:rsidP="004D366C">
            <w:pPr>
              <w:suppressAutoHyphens w:val="0"/>
              <w:jc w:val="center"/>
              <w:rPr>
                <w:color w:val="000000"/>
              </w:rPr>
            </w:pPr>
            <w:r w:rsidRPr="005F4E77">
              <w:rPr>
                <w:color w:val="000000"/>
              </w:rPr>
              <w:t>13</w:t>
            </w:r>
          </w:p>
        </w:tc>
        <w:tc>
          <w:tcPr>
            <w:tcW w:w="3309" w:type="pct"/>
            <w:shd w:val="clear" w:color="auto" w:fill="auto"/>
            <w:noWrap/>
            <w:vAlign w:val="center"/>
            <w:hideMark/>
          </w:tcPr>
          <w:p w:rsidR="005F4E77" w:rsidRPr="005F4E77" w:rsidRDefault="005F4E77" w:rsidP="004D366C">
            <w:pPr>
              <w:suppressAutoHyphens w:val="0"/>
              <w:rPr>
                <w:color w:val="000000"/>
              </w:rPr>
            </w:pPr>
            <w:r w:rsidRPr="005F4E77">
              <w:rPr>
                <w:color w:val="000000"/>
              </w:rPr>
              <w:t>Seguro de atletas</w:t>
            </w:r>
          </w:p>
        </w:tc>
        <w:tc>
          <w:tcPr>
            <w:tcW w:w="330" w:type="pct"/>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12</w:t>
            </w:r>
          </w:p>
        </w:tc>
        <w:tc>
          <w:tcPr>
            <w:tcW w:w="330" w:type="pct"/>
            <w:shd w:val="clear" w:color="auto" w:fill="auto"/>
            <w:noWrap/>
            <w:vAlign w:val="center"/>
            <w:hideMark/>
          </w:tcPr>
          <w:p w:rsidR="005F4E77" w:rsidRPr="005F4E77" w:rsidRDefault="008350E2" w:rsidP="008350E2">
            <w:pPr>
              <w:suppressAutoHyphens w:val="0"/>
              <w:jc w:val="center"/>
              <w:rPr>
                <w:color w:val="000000"/>
              </w:rPr>
            </w:pPr>
            <w:r>
              <w:rPr>
                <w:color w:val="000000"/>
              </w:rPr>
              <w:t>14</w:t>
            </w:r>
          </w:p>
        </w:tc>
        <w:tc>
          <w:tcPr>
            <w:tcW w:w="330" w:type="pct"/>
            <w:shd w:val="clear" w:color="auto" w:fill="auto"/>
            <w:noWrap/>
            <w:vAlign w:val="center"/>
            <w:hideMark/>
          </w:tcPr>
          <w:p w:rsidR="005F4E77" w:rsidRPr="005F4E77" w:rsidRDefault="008926AB" w:rsidP="004D366C">
            <w:pPr>
              <w:suppressAutoHyphens w:val="0"/>
              <w:jc w:val="center"/>
              <w:rPr>
                <w:color w:val="000000"/>
              </w:rPr>
            </w:pPr>
            <w:r>
              <w:rPr>
                <w:color w:val="000000"/>
              </w:rPr>
              <w:t>18</w:t>
            </w:r>
          </w:p>
        </w:tc>
        <w:tc>
          <w:tcPr>
            <w:tcW w:w="330" w:type="pct"/>
            <w:shd w:val="clear" w:color="auto" w:fill="auto"/>
            <w:noWrap/>
            <w:vAlign w:val="center"/>
            <w:hideMark/>
          </w:tcPr>
          <w:p w:rsidR="005F4E77" w:rsidRPr="005F4E77" w:rsidRDefault="008926AB" w:rsidP="008926AB">
            <w:pPr>
              <w:suppressAutoHyphens w:val="0"/>
              <w:jc w:val="center"/>
              <w:rPr>
                <w:color w:val="000000"/>
              </w:rPr>
            </w:pPr>
            <w:r>
              <w:rPr>
                <w:color w:val="000000"/>
              </w:rPr>
              <w:t>17</w:t>
            </w:r>
          </w:p>
        </w:tc>
      </w:tr>
      <w:tr w:rsidR="005F4E77" w:rsidRPr="005F4E77" w:rsidTr="004D366C">
        <w:trPr>
          <w:trHeight w:hRule="exact" w:val="284"/>
        </w:trPr>
        <w:tc>
          <w:tcPr>
            <w:tcW w:w="370" w:type="pct"/>
            <w:tcBorders>
              <w:bottom w:val="single" w:sz="12" w:space="0" w:color="auto"/>
            </w:tcBorders>
            <w:vAlign w:val="center"/>
          </w:tcPr>
          <w:p w:rsidR="005F4E77" w:rsidRPr="005F4E77" w:rsidRDefault="005F4E77" w:rsidP="004D366C">
            <w:pPr>
              <w:suppressAutoHyphens w:val="0"/>
              <w:jc w:val="center"/>
              <w:rPr>
                <w:color w:val="000000"/>
              </w:rPr>
            </w:pPr>
          </w:p>
        </w:tc>
        <w:tc>
          <w:tcPr>
            <w:tcW w:w="3309" w:type="pct"/>
            <w:tcBorders>
              <w:bottom w:val="single" w:sz="12" w:space="0" w:color="auto"/>
            </w:tcBorders>
            <w:shd w:val="clear" w:color="auto" w:fill="auto"/>
            <w:noWrap/>
            <w:vAlign w:val="center"/>
            <w:hideMark/>
          </w:tcPr>
          <w:p w:rsidR="005F4E77" w:rsidRPr="005F4E77" w:rsidRDefault="005F4E77" w:rsidP="004D366C">
            <w:pPr>
              <w:suppressAutoHyphens w:val="0"/>
              <w:rPr>
                <w:color w:val="000000"/>
              </w:rPr>
            </w:pPr>
            <w:r w:rsidRPr="005F4E77">
              <w:rPr>
                <w:color w:val="000000"/>
              </w:rPr>
              <w:t>Número de observações</w:t>
            </w:r>
          </w:p>
        </w:tc>
        <w:tc>
          <w:tcPr>
            <w:tcW w:w="330"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21</w:t>
            </w:r>
          </w:p>
        </w:tc>
        <w:tc>
          <w:tcPr>
            <w:tcW w:w="330"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23</w:t>
            </w:r>
          </w:p>
        </w:tc>
        <w:tc>
          <w:tcPr>
            <w:tcW w:w="330"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23</w:t>
            </w:r>
          </w:p>
        </w:tc>
        <w:tc>
          <w:tcPr>
            <w:tcW w:w="330" w:type="pct"/>
            <w:tcBorders>
              <w:bottom w:val="single" w:sz="12" w:space="0" w:color="auto"/>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26</w:t>
            </w:r>
          </w:p>
        </w:tc>
      </w:tr>
    </w:tbl>
    <w:p w:rsidR="005F4E77" w:rsidRPr="005F4E77" w:rsidRDefault="005F4E77" w:rsidP="005F4E77">
      <w:pPr>
        <w:jc w:val="both"/>
      </w:pPr>
      <w:r w:rsidRPr="005F4E77">
        <w:t>Fonte: Dados da pesquisa (2018).</w:t>
      </w:r>
    </w:p>
    <w:p w:rsidR="005F4E77" w:rsidRPr="005F4E77" w:rsidRDefault="005F4E77" w:rsidP="005F4E77">
      <w:pPr>
        <w:ind w:firstLine="709"/>
        <w:jc w:val="both"/>
        <w:rPr>
          <w:sz w:val="24"/>
          <w:szCs w:val="24"/>
        </w:rPr>
      </w:pPr>
      <w:r w:rsidRPr="005F4E77">
        <w:rPr>
          <w:sz w:val="24"/>
          <w:szCs w:val="24"/>
        </w:rPr>
        <w:t xml:space="preserve">Quanto ao item 12 – direito econômico individual, alguns clubes relataram que deixaram de apresentar o percentual em virtude de sigilo comercial, outros não apresentaram justificativa para não apresentação. Da amostra </w:t>
      </w:r>
      <w:r w:rsidR="008350E2">
        <w:rPr>
          <w:sz w:val="24"/>
          <w:szCs w:val="24"/>
        </w:rPr>
        <w:t>48,39%</w:t>
      </w:r>
      <w:r w:rsidRPr="005F4E77">
        <w:rPr>
          <w:sz w:val="24"/>
          <w:szCs w:val="24"/>
        </w:rPr>
        <w:t xml:space="preserve"> apresentaram o percentual econômico, enquanto 69,35% e</w:t>
      </w:r>
      <w:r w:rsidR="008926AB">
        <w:rPr>
          <w:sz w:val="24"/>
          <w:szCs w:val="24"/>
        </w:rPr>
        <w:t>videnciaram o total de atletas</w:t>
      </w:r>
      <w:r w:rsidRPr="005F4E77">
        <w:rPr>
          <w:sz w:val="24"/>
          <w:szCs w:val="24"/>
        </w:rPr>
        <w:t xml:space="preserve">, os resultados se mostram superiores ao de Souza </w:t>
      </w:r>
      <w:proofErr w:type="gramStart"/>
      <w:r w:rsidRPr="005F4E77">
        <w:rPr>
          <w:sz w:val="24"/>
          <w:szCs w:val="24"/>
        </w:rPr>
        <w:t>et</w:t>
      </w:r>
      <w:proofErr w:type="gramEnd"/>
      <w:r w:rsidRPr="005F4E77">
        <w:rPr>
          <w:sz w:val="24"/>
          <w:szCs w:val="24"/>
        </w:rPr>
        <w:t xml:space="preserve"> al. (2016), onde apenas 21% evidenciou os direitos econômicos, e Maia e Vasconcelos (2016) onde o número de atletas foi evidenciado por apenas </w:t>
      </w:r>
      <w:r w:rsidR="008926AB">
        <w:rPr>
          <w:sz w:val="24"/>
          <w:szCs w:val="24"/>
        </w:rPr>
        <w:t>9,09% dos clubes.</w:t>
      </w:r>
    </w:p>
    <w:p w:rsidR="005F4E77" w:rsidRPr="005F4E77" w:rsidRDefault="005F4E77" w:rsidP="005F4E77">
      <w:pPr>
        <w:ind w:firstLine="709"/>
        <w:jc w:val="both"/>
        <w:rPr>
          <w:sz w:val="24"/>
          <w:szCs w:val="24"/>
        </w:rPr>
      </w:pPr>
      <w:r w:rsidRPr="005F4E77">
        <w:rPr>
          <w:sz w:val="24"/>
          <w:szCs w:val="24"/>
        </w:rPr>
        <w:t>Já em relação ao item 13 – seguro de atletas, item obrigatório pelo artigo 45 da Lei nº 9.615/1998, alguns clubes</w:t>
      </w:r>
      <w:r w:rsidR="004D366C">
        <w:rPr>
          <w:sz w:val="24"/>
          <w:szCs w:val="24"/>
        </w:rPr>
        <w:t xml:space="preserve"> não evidenciaram enquanto outro</w:t>
      </w:r>
      <w:r w:rsidRPr="005F4E77">
        <w:rPr>
          <w:sz w:val="24"/>
          <w:szCs w:val="24"/>
        </w:rPr>
        <w:t xml:space="preserve">s falavam que possuíam seguro, mas não especificavam que era dos atletas, ou então apenas informavam que o seguro era referente aos interesses do clube, o que foi atribuído zero, prejudicando a métrica da equipe no ano. Dentre os clubes pesquisados, 61 (65,59%) cumpriram o quesito, quase oito pontos percentuais a mais que o estudo de Souza </w:t>
      </w:r>
      <w:proofErr w:type="gramStart"/>
      <w:r w:rsidRPr="005F4E77">
        <w:rPr>
          <w:sz w:val="24"/>
          <w:szCs w:val="24"/>
        </w:rPr>
        <w:t>et</w:t>
      </w:r>
      <w:proofErr w:type="gramEnd"/>
      <w:r w:rsidRPr="005F4E77">
        <w:rPr>
          <w:sz w:val="24"/>
          <w:szCs w:val="24"/>
        </w:rPr>
        <w:t xml:space="preserve"> al. (2016).</w:t>
      </w:r>
    </w:p>
    <w:p w:rsidR="005F4E77" w:rsidRPr="005F4E77" w:rsidRDefault="005F4E77" w:rsidP="005F4E77">
      <w:pPr>
        <w:ind w:firstLine="709"/>
        <w:jc w:val="both"/>
        <w:rPr>
          <w:sz w:val="24"/>
          <w:szCs w:val="24"/>
        </w:rPr>
      </w:pPr>
      <w:r w:rsidRPr="005F4E77">
        <w:rPr>
          <w:sz w:val="24"/>
          <w:szCs w:val="24"/>
        </w:rPr>
        <w:t>Ressalta-se que apesar de não fazer parte da métrica, alguns clubes como Santos e São Paulo, evidenciam um detalhamento das transações realizadas no período com a venda de atletas, detalhando o valor da receita, e o destino do jogador, bem como se o valor foi inteiro ou parcialmente pago. Além disso, o Atlético – PR foi o único que evidenciou juntamente com as demonstrações contábeis o seu Balanço Social nos quatro anos aqui estudados.</w:t>
      </w:r>
    </w:p>
    <w:p w:rsidR="005F4E77" w:rsidRPr="005F4E77" w:rsidRDefault="005F4E77" w:rsidP="005F4E77">
      <w:pPr>
        <w:ind w:firstLine="709"/>
        <w:jc w:val="both"/>
        <w:rPr>
          <w:sz w:val="24"/>
          <w:szCs w:val="24"/>
        </w:rPr>
      </w:pPr>
      <w:r w:rsidRPr="005F4E77">
        <w:rPr>
          <w:sz w:val="24"/>
          <w:szCs w:val="24"/>
        </w:rPr>
        <w:t xml:space="preserve">Por fim, a Ponte Preta em 2014 e 2015 reavaliou seus jogadores, aumentando o valor do ativo mesmo sem que tenham ocorrido perdas anteriormente. Já o Internacional apresentou </w:t>
      </w:r>
      <w:r w:rsidRPr="005F4E77">
        <w:rPr>
          <w:sz w:val="24"/>
          <w:szCs w:val="24"/>
        </w:rPr>
        <w:lastRenderedPageBreak/>
        <w:t>os gastos mensais com os jogadores em formação, esses gastos deveriam ser divulgados mensalmente, porém o clube cumpriu uma das exigências da ITG 2003 R1 (2013), apesar desse item também não pertencer à métrica.</w:t>
      </w:r>
    </w:p>
    <w:p w:rsidR="005F4E77" w:rsidRPr="005F4E77" w:rsidRDefault="005F4E77" w:rsidP="005F4E77">
      <w:pPr>
        <w:ind w:firstLine="709"/>
        <w:jc w:val="both"/>
        <w:rPr>
          <w:sz w:val="24"/>
          <w:szCs w:val="24"/>
        </w:rPr>
      </w:pPr>
      <w:r w:rsidRPr="005F4E77">
        <w:rPr>
          <w:sz w:val="24"/>
          <w:szCs w:val="24"/>
        </w:rPr>
        <w:t xml:space="preserve">A </w:t>
      </w:r>
      <w:r w:rsidR="007F38F8">
        <w:rPr>
          <w:sz w:val="24"/>
          <w:szCs w:val="24"/>
        </w:rPr>
        <w:t>Tabela 8</w:t>
      </w:r>
      <w:r w:rsidRPr="005F4E77">
        <w:rPr>
          <w:sz w:val="24"/>
          <w:szCs w:val="24"/>
        </w:rPr>
        <w:t xml:space="preserve"> apresenta a estatística descritiva das variáveis utilizadas (com exceção da variável qualitativa auditoria), o maior ativo intangível pertence ao São Paulo em todos os anos, sendo que em 2013 também apresentou a maior receita líquida. Enquanto a menor receita líquida e o ativo intangível pertencem, em 2013, ao Avaí e ao Náutico, respectivamente.</w:t>
      </w:r>
    </w:p>
    <w:p w:rsidR="005F4E77" w:rsidRPr="005F4E77" w:rsidRDefault="007F38F8" w:rsidP="005F4E77">
      <w:pPr>
        <w:jc w:val="both"/>
      </w:pPr>
      <w:r>
        <w:t>Tabela 8</w:t>
      </w:r>
      <w:r w:rsidR="005F4E77" w:rsidRPr="005F4E77">
        <w:t xml:space="preserve"> – Estatística descritiva das variáveis (em milhares de reais)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775"/>
        <w:gridCol w:w="2408"/>
        <w:gridCol w:w="1134"/>
        <w:gridCol w:w="1134"/>
        <w:gridCol w:w="1418"/>
        <w:gridCol w:w="1276"/>
        <w:gridCol w:w="1060"/>
      </w:tblGrid>
      <w:tr w:rsidR="005F4E77" w:rsidRPr="005F4E77" w:rsidTr="004D366C">
        <w:trPr>
          <w:trHeight w:hRule="exact" w:val="284"/>
        </w:trPr>
        <w:tc>
          <w:tcPr>
            <w:tcW w:w="421" w:type="pct"/>
            <w:tcBorders>
              <w:top w:val="single" w:sz="12" w:space="0" w:color="auto"/>
              <w:left w:val="nil"/>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Ano</w:t>
            </w:r>
          </w:p>
        </w:tc>
        <w:tc>
          <w:tcPr>
            <w:tcW w:w="1308"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rPr>
                <w:b/>
                <w:color w:val="000000"/>
              </w:rPr>
            </w:pPr>
            <w:r w:rsidRPr="005F4E77">
              <w:rPr>
                <w:b/>
                <w:color w:val="000000"/>
              </w:rPr>
              <w:t>Conta</w:t>
            </w:r>
          </w:p>
        </w:tc>
        <w:tc>
          <w:tcPr>
            <w:tcW w:w="616"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Média</w:t>
            </w:r>
          </w:p>
        </w:tc>
        <w:tc>
          <w:tcPr>
            <w:tcW w:w="616"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Mediana</w:t>
            </w:r>
          </w:p>
        </w:tc>
        <w:tc>
          <w:tcPr>
            <w:tcW w:w="770"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Desvio Padrão</w:t>
            </w:r>
          </w:p>
        </w:tc>
        <w:tc>
          <w:tcPr>
            <w:tcW w:w="693" w:type="pct"/>
            <w:tcBorders>
              <w:top w:val="single" w:sz="12" w:space="0" w:color="auto"/>
              <w:bottom w:val="single" w:sz="12" w:space="0" w:color="auto"/>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Máximo</w:t>
            </w:r>
          </w:p>
        </w:tc>
        <w:tc>
          <w:tcPr>
            <w:tcW w:w="576" w:type="pct"/>
            <w:tcBorders>
              <w:top w:val="single" w:sz="12" w:space="0" w:color="auto"/>
              <w:bottom w:val="single" w:sz="12" w:space="0" w:color="auto"/>
              <w:right w:val="nil"/>
            </w:tcBorders>
            <w:shd w:val="clear" w:color="auto" w:fill="auto"/>
            <w:noWrap/>
            <w:vAlign w:val="center"/>
            <w:hideMark/>
          </w:tcPr>
          <w:p w:rsidR="005F4E77" w:rsidRPr="005F4E77" w:rsidRDefault="005F4E77" w:rsidP="004D366C">
            <w:pPr>
              <w:suppressAutoHyphens w:val="0"/>
              <w:jc w:val="center"/>
              <w:rPr>
                <w:b/>
                <w:color w:val="000000"/>
              </w:rPr>
            </w:pPr>
            <w:r w:rsidRPr="005F4E77">
              <w:rPr>
                <w:b/>
                <w:color w:val="000000"/>
              </w:rPr>
              <w:t>Mínimo</w:t>
            </w:r>
          </w:p>
        </w:tc>
      </w:tr>
      <w:tr w:rsidR="005F4E77" w:rsidRPr="005F4E77" w:rsidTr="004D366C">
        <w:trPr>
          <w:trHeight w:hRule="exact" w:val="284"/>
        </w:trPr>
        <w:tc>
          <w:tcPr>
            <w:tcW w:w="421" w:type="pct"/>
            <w:vMerge w:val="restart"/>
            <w:tcBorders>
              <w:top w:val="single" w:sz="12" w:space="0" w:color="auto"/>
              <w:left w:val="nil"/>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2013</w:t>
            </w:r>
          </w:p>
        </w:tc>
        <w:tc>
          <w:tcPr>
            <w:tcW w:w="1308" w:type="pct"/>
            <w:tcBorders>
              <w:top w:val="single" w:sz="12" w:space="0" w:color="auto"/>
            </w:tcBorders>
            <w:shd w:val="clear" w:color="auto" w:fill="auto"/>
            <w:vAlign w:val="center"/>
            <w:hideMark/>
          </w:tcPr>
          <w:p w:rsidR="005F4E77" w:rsidRPr="005F4E77" w:rsidRDefault="005F4E77" w:rsidP="004D366C">
            <w:pPr>
              <w:suppressAutoHyphens w:val="0"/>
              <w:rPr>
                <w:color w:val="000000"/>
              </w:rPr>
            </w:pPr>
            <w:r w:rsidRPr="005F4E77">
              <w:rPr>
                <w:color w:val="000000"/>
              </w:rPr>
              <w:t xml:space="preserve">Receita Líquida do clube </w:t>
            </w:r>
          </w:p>
        </w:tc>
        <w:tc>
          <w:tcPr>
            <w:tcW w:w="616"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141.761 </w:t>
            </w:r>
          </w:p>
        </w:tc>
        <w:tc>
          <w:tcPr>
            <w:tcW w:w="616"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150.229 </w:t>
            </w:r>
          </w:p>
        </w:tc>
        <w:tc>
          <w:tcPr>
            <w:tcW w:w="770"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95.821 </w:t>
            </w:r>
          </w:p>
        </w:tc>
        <w:tc>
          <w:tcPr>
            <w:tcW w:w="693"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362.832 </w:t>
            </w:r>
          </w:p>
        </w:tc>
        <w:tc>
          <w:tcPr>
            <w:tcW w:w="576" w:type="pct"/>
            <w:tcBorders>
              <w:top w:val="single" w:sz="12" w:space="0" w:color="auto"/>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19.192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Resultado Líquido</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-15.524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-6.664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32.934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40.621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-113.062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Patrimônio Líquido</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-17.807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13.000 </w:t>
            </w:r>
          </w:p>
        </w:tc>
        <w:tc>
          <w:tcPr>
            <w:tcW w:w="770" w:type="pct"/>
            <w:tcBorders>
              <w:right w:val="single" w:sz="8"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242.084 </w:t>
            </w:r>
          </w:p>
        </w:tc>
        <w:tc>
          <w:tcPr>
            <w:tcW w:w="693" w:type="pct"/>
            <w:tcBorders>
              <w:left w:val="single" w:sz="8"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421.357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-614.996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Ativo Intangível</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349.750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288.902 </w:t>
            </w:r>
          </w:p>
        </w:tc>
        <w:tc>
          <w:tcPr>
            <w:tcW w:w="770" w:type="pct"/>
            <w:tcBorders>
              <w:right w:val="single" w:sz="8"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320.009 </w:t>
            </w:r>
          </w:p>
        </w:tc>
        <w:tc>
          <w:tcPr>
            <w:tcW w:w="693" w:type="pct"/>
            <w:tcBorders>
              <w:left w:val="single" w:sz="8"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1.280.977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24.094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Ativo Total</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44.825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39.696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47.829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196.337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1.110 </w:t>
            </w:r>
          </w:p>
        </w:tc>
      </w:tr>
      <w:tr w:rsidR="005F4E77" w:rsidRPr="005F4E77" w:rsidTr="004D366C">
        <w:trPr>
          <w:trHeight w:hRule="exact" w:val="284"/>
        </w:trPr>
        <w:tc>
          <w:tcPr>
            <w:tcW w:w="421" w:type="pct"/>
            <w:vMerge/>
            <w:tcBorders>
              <w:left w:val="nil"/>
              <w:bottom w:val="single" w:sz="12" w:space="0" w:color="auto"/>
            </w:tcBorders>
            <w:vAlign w:val="center"/>
            <w:hideMark/>
          </w:tcPr>
          <w:p w:rsidR="005F4E77" w:rsidRPr="005F4E77" w:rsidRDefault="005F4E77" w:rsidP="004D366C">
            <w:pPr>
              <w:suppressAutoHyphens w:val="0"/>
              <w:jc w:val="center"/>
              <w:rPr>
                <w:color w:val="000000"/>
              </w:rPr>
            </w:pPr>
          </w:p>
        </w:tc>
        <w:tc>
          <w:tcPr>
            <w:tcW w:w="1308" w:type="pct"/>
            <w:tcBorders>
              <w:bottom w:val="single" w:sz="12" w:space="0" w:color="auto"/>
            </w:tcBorders>
            <w:shd w:val="clear" w:color="auto" w:fill="auto"/>
            <w:noWrap/>
            <w:vAlign w:val="center"/>
            <w:hideMark/>
          </w:tcPr>
          <w:p w:rsidR="005F4E77" w:rsidRPr="005F4E77" w:rsidRDefault="005F4E77" w:rsidP="004D366C">
            <w:pPr>
              <w:suppressAutoHyphens w:val="0"/>
              <w:rPr>
                <w:color w:val="000000"/>
              </w:rPr>
            </w:pPr>
            <w:r w:rsidRPr="005F4E77">
              <w:rPr>
                <w:color w:val="000000"/>
              </w:rPr>
              <w:t>% Intangibilidade</w:t>
            </w:r>
          </w:p>
        </w:tc>
        <w:tc>
          <w:tcPr>
            <w:tcW w:w="616"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16,53%</w:t>
            </w:r>
          </w:p>
        </w:tc>
        <w:tc>
          <w:tcPr>
            <w:tcW w:w="616"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16,61%</w:t>
            </w:r>
          </w:p>
        </w:tc>
        <w:tc>
          <w:tcPr>
            <w:tcW w:w="770"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15,46%</w:t>
            </w:r>
          </w:p>
        </w:tc>
        <w:tc>
          <w:tcPr>
            <w:tcW w:w="693"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62,75%</w:t>
            </w:r>
          </w:p>
        </w:tc>
        <w:tc>
          <w:tcPr>
            <w:tcW w:w="576" w:type="pct"/>
            <w:tcBorders>
              <w:bottom w:val="single" w:sz="12" w:space="0" w:color="auto"/>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0,61%</w:t>
            </w:r>
          </w:p>
        </w:tc>
      </w:tr>
      <w:tr w:rsidR="005F4E77" w:rsidRPr="005F4E77" w:rsidTr="004D366C">
        <w:trPr>
          <w:trHeight w:hRule="exact" w:val="284"/>
        </w:trPr>
        <w:tc>
          <w:tcPr>
            <w:tcW w:w="421" w:type="pct"/>
            <w:vMerge w:val="restart"/>
            <w:tcBorders>
              <w:top w:val="single" w:sz="12" w:space="0" w:color="auto"/>
              <w:left w:val="nil"/>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2014</w:t>
            </w:r>
          </w:p>
        </w:tc>
        <w:tc>
          <w:tcPr>
            <w:tcW w:w="1308" w:type="pct"/>
            <w:tcBorders>
              <w:top w:val="single" w:sz="12" w:space="0" w:color="auto"/>
            </w:tcBorders>
            <w:shd w:val="clear" w:color="auto" w:fill="auto"/>
            <w:vAlign w:val="center"/>
            <w:hideMark/>
          </w:tcPr>
          <w:p w:rsidR="005F4E77" w:rsidRPr="005F4E77" w:rsidRDefault="005F4E77" w:rsidP="004D366C">
            <w:pPr>
              <w:suppressAutoHyphens w:val="0"/>
              <w:rPr>
                <w:color w:val="000000"/>
              </w:rPr>
            </w:pPr>
            <w:r w:rsidRPr="005F4E77">
              <w:rPr>
                <w:color w:val="000000"/>
              </w:rPr>
              <w:t xml:space="preserve">Receita Líquida do clube </w:t>
            </w:r>
          </w:p>
        </w:tc>
        <w:tc>
          <w:tcPr>
            <w:tcW w:w="616"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128.820 </w:t>
            </w:r>
          </w:p>
        </w:tc>
        <w:tc>
          <w:tcPr>
            <w:tcW w:w="616"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113.492 </w:t>
            </w:r>
          </w:p>
        </w:tc>
        <w:tc>
          <w:tcPr>
            <w:tcW w:w="770"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90.098 </w:t>
            </w:r>
          </w:p>
        </w:tc>
        <w:tc>
          <w:tcPr>
            <w:tcW w:w="693"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334.308 </w:t>
            </w:r>
          </w:p>
        </w:tc>
        <w:tc>
          <w:tcPr>
            <w:tcW w:w="576" w:type="pct"/>
            <w:tcBorders>
              <w:top w:val="single" w:sz="12" w:space="0" w:color="auto"/>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14.946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Resultado Líquido</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-11.992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-8.940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70.932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230.561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-174.844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Patrimônio Líquido</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-22.551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2.121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252.625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372.275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-790.100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Ativo Intangível</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44.944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33.989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49.371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200.774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78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Ativo Total</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358.616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250.265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347.943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1.453.117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25.100 </w:t>
            </w:r>
          </w:p>
        </w:tc>
      </w:tr>
      <w:tr w:rsidR="005F4E77" w:rsidRPr="005F4E77" w:rsidTr="004D366C">
        <w:trPr>
          <w:trHeight w:hRule="exact" w:val="284"/>
        </w:trPr>
        <w:tc>
          <w:tcPr>
            <w:tcW w:w="421" w:type="pct"/>
            <w:vMerge/>
            <w:tcBorders>
              <w:left w:val="nil"/>
              <w:bottom w:val="single" w:sz="12" w:space="0" w:color="auto"/>
            </w:tcBorders>
            <w:vAlign w:val="center"/>
            <w:hideMark/>
          </w:tcPr>
          <w:p w:rsidR="005F4E77" w:rsidRPr="005F4E77" w:rsidRDefault="005F4E77" w:rsidP="004D366C">
            <w:pPr>
              <w:suppressAutoHyphens w:val="0"/>
              <w:jc w:val="center"/>
              <w:rPr>
                <w:color w:val="000000"/>
              </w:rPr>
            </w:pPr>
          </w:p>
        </w:tc>
        <w:tc>
          <w:tcPr>
            <w:tcW w:w="1308" w:type="pct"/>
            <w:tcBorders>
              <w:bottom w:val="single" w:sz="12" w:space="0" w:color="auto"/>
            </w:tcBorders>
            <w:shd w:val="clear" w:color="auto" w:fill="auto"/>
            <w:noWrap/>
            <w:vAlign w:val="center"/>
            <w:hideMark/>
          </w:tcPr>
          <w:p w:rsidR="005F4E77" w:rsidRPr="005F4E77" w:rsidRDefault="005F4E77" w:rsidP="004D366C">
            <w:pPr>
              <w:suppressAutoHyphens w:val="0"/>
              <w:rPr>
                <w:color w:val="000000"/>
              </w:rPr>
            </w:pPr>
            <w:r w:rsidRPr="005F4E77">
              <w:rPr>
                <w:color w:val="000000"/>
              </w:rPr>
              <w:t>% Intangibilidade</w:t>
            </w:r>
          </w:p>
        </w:tc>
        <w:tc>
          <w:tcPr>
            <w:tcW w:w="616"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17,51%</w:t>
            </w:r>
          </w:p>
        </w:tc>
        <w:tc>
          <w:tcPr>
            <w:tcW w:w="616"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10,62%</w:t>
            </w:r>
          </w:p>
        </w:tc>
        <w:tc>
          <w:tcPr>
            <w:tcW w:w="770"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20,08%</w:t>
            </w:r>
          </w:p>
        </w:tc>
        <w:tc>
          <w:tcPr>
            <w:tcW w:w="693"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80,87%</w:t>
            </w:r>
          </w:p>
        </w:tc>
        <w:tc>
          <w:tcPr>
            <w:tcW w:w="576" w:type="pct"/>
            <w:tcBorders>
              <w:bottom w:val="single" w:sz="12" w:space="0" w:color="auto"/>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0,03%</w:t>
            </w:r>
          </w:p>
        </w:tc>
      </w:tr>
      <w:tr w:rsidR="005F4E77" w:rsidRPr="005F4E77" w:rsidTr="004D366C">
        <w:trPr>
          <w:trHeight w:hRule="exact" w:val="284"/>
        </w:trPr>
        <w:tc>
          <w:tcPr>
            <w:tcW w:w="421" w:type="pct"/>
            <w:vMerge w:val="restart"/>
            <w:tcBorders>
              <w:top w:val="single" w:sz="12" w:space="0" w:color="auto"/>
              <w:left w:val="nil"/>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2015</w:t>
            </w:r>
          </w:p>
        </w:tc>
        <w:tc>
          <w:tcPr>
            <w:tcW w:w="1308" w:type="pct"/>
            <w:tcBorders>
              <w:top w:val="single" w:sz="12" w:space="0" w:color="auto"/>
            </w:tcBorders>
            <w:shd w:val="clear" w:color="auto" w:fill="auto"/>
            <w:vAlign w:val="center"/>
            <w:hideMark/>
          </w:tcPr>
          <w:p w:rsidR="005F4E77" w:rsidRPr="005F4E77" w:rsidRDefault="005F4E77" w:rsidP="004D366C">
            <w:pPr>
              <w:suppressAutoHyphens w:val="0"/>
              <w:rPr>
                <w:color w:val="000000"/>
              </w:rPr>
            </w:pPr>
            <w:r w:rsidRPr="005F4E77">
              <w:rPr>
                <w:color w:val="000000"/>
              </w:rPr>
              <w:t xml:space="preserve">Receita Líquida do clube </w:t>
            </w:r>
          </w:p>
        </w:tc>
        <w:tc>
          <w:tcPr>
            <w:tcW w:w="616"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141.482 </w:t>
            </w:r>
          </w:p>
        </w:tc>
        <w:tc>
          <w:tcPr>
            <w:tcW w:w="616"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91.985 </w:t>
            </w:r>
          </w:p>
        </w:tc>
        <w:tc>
          <w:tcPr>
            <w:tcW w:w="770"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114.793 </w:t>
            </w:r>
          </w:p>
        </w:tc>
        <w:tc>
          <w:tcPr>
            <w:tcW w:w="693"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351.480 </w:t>
            </w:r>
          </w:p>
        </w:tc>
        <w:tc>
          <w:tcPr>
            <w:tcW w:w="576" w:type="pct"/>
            <w:tcBorders>
              <w:top w:val="single" w:sz="12" w:space="0" w:color="auto"/>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5.086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Resultado Líquido</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12.001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1.050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52.215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130.450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-78.190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Patrimônio Líquido</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-31.116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-10.408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222.532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399.237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-681.300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Ativo Intangível</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46.977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29.904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44.974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160.857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proofErr w:type="gramStart"/>
            <w:r w:rsidRPr="005F4E77">
              <w:rPr>
                <w:color w:val="000000"/>
              </w:rPr>
              <w:t>9</w:t>
            </w:r>
            <w:proofErr w:type="gramEnd"/>
            <w:r w:rsidRPr="005F4E77">
              <w:rPr>
                <w:color w:val="000000"/>
              </w:rPr>
              <w:t xml:space="preserve"> </w:t>
            </w:r>
          </w:p>
        </w:tc>
      </w:tr>
      <w:tr w:rsidR="005F4E77" w:rsidRPr="005F4E77" w:rsidTr="004D366C">
        <w:trPr>
          <w:trHeight w:hRule="exact" w:val="284"/>
        </w:trPr>
        <w:tc>
          <w:tcPr>
            <w:tcW w:w="421" w:type="pct"/>
            <w:vMerge/>
            <w:tcBorders>
              <w:left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Ativo Total</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324.838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249.311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313.120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1.047.094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4.372 </w:t>
            </w:r>
          </w:p>
        </w:tc>
      </w:tr>
      <w:tr w:rsidR="005F4E77" w:rsidRPr="005F4E77" w:rsidTr="004D366C">
        <w:trPr>
          <w:trHeight w:hRule="exact" w:val="284"/>
        </w:trPr>
        <w:tc>
          <w:tcPr>
            <w:tcW w:w="421" w:type="pct"/>
            <w:vMerge/>
            <w:tcBorders>
              <w:left w:val="nil"/>
              <w:bottom w:val="single" w:sz="12" w:space="0" w:color="auto"/>
            </w:tcBorders>
            <w:vAlign w:val="center"/>
            <w:hideMark/>
          </w:tcPr>
          <w:p w:rsidR="005F4E77" w:rsidRPr="005F4E77" w:rsidRDefault="005F4E77" w:rsidP="004D366C">
            <w:pPr>
              <w:suppressAutoHyphens w:val="0"/>
              <w:jc w:val="center"/>
              <w:rPr>
                <w:color w:val="000000"/>
              </w:rPr>
            </w:pPr>
          </w:p>
        </w:tc>
        <w:tc>
          <w:tcPr>
            <w:tcW w:w="1308" w:type="pct"/>
            <w:tcBorders>
              <w:bottom w:val="single" w:sz="12" w:space="0" w:color="auto"/>
            </w:tcBorders>
            <w:shd w:val="clear" w:color="auto" w:fill="auto"/>
            <w:noWrap/>
            <w:vAlign w:val="center"/>
            <w:hideMark/>
          </w:tcPr>
          <w:p w:rsidR="005F4E77" w:rsidRPr="005F4E77" w:rsidRDefault="005F4E77" w:rsidP="004D366C">
            <w:pPr>
              <w:suppressAutoHyphens w:val="0"/>
              <w:rPr>
                <w:color w:val="000000"/>
              </w:rPr>
            </w:pPr>
            <w:r w:rsidRPr="005F4E77">
              <w:rPr>
                <w:color w:val="000000"/>
              </w:rPr>
              <w:t>% Intangibilidade</w:t>
            </w:r>
          </w:p>
        </w:tc>
        <w:tc>
          <w:tcPr>
            <w:tcW w:w="616"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16,52%</w:t>
            </w:r>
          </w:p>
        </w:tc>
        <w:tc>
          <w:tcPr>
            <w:tcW w:w="616"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15,36%</w:t>
            </w:r>
          </w:p>
        </w:tc>
        <w:tc>
          <w:tcPr>
            <w:tcW w:w="770"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12,11%</w:t>
            </w:r>
          </w:p>
        </w:tc>
        <w:tc>
          <w:tcPr>
            <w:tcW w:w="693"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52,90%</w:t>
            </w:r>
          </w:p>
        </w:tc>
        <w:tc>
          <w:tcPr>
            <w:tcW w:w="576" w:type="pct"/>
            <w:tcBorders>
              <w:bottom w:val="single" w:sz="12" w:space="0" w:color="auto"/>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0,21%</w:t>
            </w:r>
          </w:p>
        </w:tc>
      </w:tr>
      <w:tr w:rsidR="005F4E77" w:rsidRPr="005F4E77" w:rsidTr="004D366C">
        <w:trPr>
          <w:trHeight w:hRule="exact" w:val="284"/>
        </w:trPr>
        <w:tc>
          <w:tcPr>
            <w:tcW w:w="421" w:type="pct"/>
            <w:vMerge w:val="restart"/>
            <w:tcBorders>
              <w:top w:val="single" w:sz="12" w:space="0" w:color="auto"/>
              <w:left w:val="nil"/>
              <w:bottom w:val="nil"/>
            </w:tcBorders>
            <w:shd w:val="clear" w:color="auto" w:fill="auto"/>
            <w:noWrap/>
            <w:vAlign w:val="center"/>
            <w:hideMark/>
          </w:tcPr>
          <w:p w:rsidR="005F4E77" w:rsidRPr="005F4E77" w:rsidRDefault="005F4E77" w:rsidP="004D366C">
            <w:pPr>
              <w:suppressAutoHyphens w:val="0"/>
              <w:jc w:val="center"/>
              <w:rPr>
                <w:color w:val="000000"/>
              </w:rPr>
            </w:pPr>
            <w:r w:rsidRPr="005F4E77">
              <w:rPr>
                <w:color w:val="000000"/>
              </w:rPr>
              <w:t>2016</w:t>
            </w:r>
          </w:p>
        </w:tc>
        <w:tc>
          <w:tcPr>
            <w:tcW w:w="1308" w:type="pct"/>
            <w:tcBorders>
              <w:top w:val="single" w:sz="12" w:space="0" w:color="auto"/>
            </w:tcBorders>
            <w:shd w:val="clear" w:color="auto" w:fill="auto"/>
            <w:vAlign w:val="center"/>
            <w:hideMark/>
          </w:tcPr>
          <w:p w:rsidR="005F4E77" w:rsidRPr="005F4E77" w:rsidRDefault="005F4E77" w:rsidP="004D366C">
            <w:pPr>
              <w:suppressAutoHyphens w:val="0"/>
              <w:rPr>
                <w:color w:val="000000"/>
              </w:rPr>
            </w:pPr>
            <w:r w:rsidRPr="005F4E77">
              <w:rPr>
                <w:color w:val="000000"/>
              </w:rPr>
              <w:t xml:space="preserve">Receita Líquida do clube </w:t>
            </w:r>
          </w:p>
        </w:tc>
        <w:tc>
          <w:tcPr>
            <w:tcW w:w="616"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183.586 </w:t>
            </w:r>
          </w:p>
        </w:tc>
        <w:tc>
          <w:tcPr>
            <w:tcW w:w="616"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123.399 </w:t>
            </w:r>
          </w:p>
        </w:tc>
        <w:tc>
          <w:tcPr>
            <w:tcW w:w="770"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145.566 </w:t>
            </w:r>
          </w:p>
        </w:tc>
        <w:tc>
          <w:tcPr>
            <w:tcW w:w="693" w:type="pct"/>
            <w:tcBorders>
              <w:top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483.493 </w:t>
            </w:r>
          </w:p>
        </w:tc>
        <w:tc>
          <w:tcPr>
            <w:tcW w:w="576" w:type="pct"/>
            <w:tcBorders>
              <w:top w:val="single" w:sz="12" w:space="0" w:color="auto"/>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20.357 </w:t>
            </w:r>
          </w:p>
        </w:tc>
      </w:tr>
      <w:tr w:rsidR="005F4E77" w:rsidRPr="005F4E77" w:rsidTr="004D366C">
        <w:trPr>
          <w:trHeight w:hRule="exact" w:val="284"/>
        </w:trPr>
        <w:tc>
          <w:tcPr>
            <w:tcW w:w="421" w:type="pct"/>
            <w:vMerge/>
            <w:tcBorders>
              <w:left w:val="nil"/>
              <w:bottom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Resultado Líquido</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19.614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5.783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38.851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153.478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-29.318 </w:t>
            </w:r>
          </w:p>
        </w:tc>
      </w:tr>
      <w:tr w:rsidR="005F4E77" w:rsidRPr="005F4E77" w:rsidTr="004D366C">
        <w:trPr>
          <w:trHeight w:hRule="exact" w:val="284"/>
        </w:trPr>
        <w:tc>
          <w:tcPr>
            <w:tcW w:w="421" w:type="pct"/>
            <w:vMerge/>
            <w:tcBorders>
              <w:left w:val="nil"/>
              <w:bottom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Patrimônio Líquido</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3.851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-2.259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213.958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388.079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-690.543 </w:t>
            </w:r>
          </w:p>
        </w:tc>
      </w:tr>
      <w:tr w:rsidR="005F4E77" w:rsidRPr="005F4E77" w:rsidTr="004D366C">
        <w:trPr>
          <w:trHeight w:hRule="exact" w:val="284"/>
        </w:trPr>
        <w:tc>
          <w:tcPr>
            <w:tcW w:w="421" w:type="pct"/>
            <w:vMerge/>
            <w:tcBorders>
              <w:left w:val="nil"/>
              <w:bottom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Ativo Intangível</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59.242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36.173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58.952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198.865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639 </w:t>
            </w:r>
          </w:p>
        </w:tc>
      </w:tr>
      <w:tr w:rsidR="005F4E77" w:rsidRPr="005F4E77" w:rsidTr="004D366C">
        <w:trPr>
          <w:trHeight w:hRule="exact" w:val="284"/>
        </w:trPr>
        <w:tc>
          <w:tcPr>
            <w:tcW w:w="421" w:type="pct"/>
            <w:vMerge/>
            <w:tcBorders>
              <w:left w:val="nil"/>
              <w:bottom w:val="nil"/>
            </w:tcBorders>
            <w:vAlign w:val="center"/>
            <w:hideMark/>
          </w:tcPr>
          <w:p w:rsidR="005F4E77" w:rsidRPr="005F4E77" w:rsidRDefault="005F4E77" w:rsidP="004D366C">
            <w:pPr>
              <w:suppressAutoHyphens w:val="0"/>
              <w:jc w:val="center"/>
              <w:rPr>
                <w:color w:val="000000"/>
              </w:rPr>
            </w:pPr>
          </w:p>
        </w:tc>
        <w:tc>
          <w:tcPr>
            <w:tcW w:w="1308" w:type="pct"/>
            <w:shd w:val="clear" w:color="auto" w:fill="auto"/>
            <w:noWrap/>
            <w:vAlign w:val="center"/>
            <w:hideMark/>
          </w:tcPr>
          <w:p w:rsidR="005F4E77" w:rsidRPr="005F4E77" w:rsidRDefault="005F4E77" w:rsidP="004D366C">
            <w:pPr>
              <w:suppressAutoHyphens w:val="0"/>
              <w:rPr>
                <w:color w:val="000000"/>
              </w:rPr>
            </w:pPr>
            <w:r w:rsidRPr="005F4E77">
              <w:rPr>
                <w:color w:val="000000"/>
              </w:rPr>
              <w:t>Ativo Total</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403.681 </w:t>
            </w:r>
          </w:p>
        </w:tc>
        <w:tc>
          <w:tcPr>
            <w:tcW w:w="616"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216.215 </w:t>
            </w:r>
          </w:p>
        </w:tc>
        <w:tc>
          <w:tcPr>
            <w:tcW w:w="770"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481.338 </w:t>
            </w:r>
          </w:p>
        </w:tc>
        <w:tc>
          <w:tcPr>
            <w:tcW w:w="693" w:type="pct"/>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2.164.040 </w:t>
            </w:r>
          </w:p>
        </w:tc>
        <w:tc>
          <w:tcPr>
            <w:tcW w:w="576" w:type="pct"/>
            <w:tcBorders>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 xml:space="preserve">7.081 </w:t>
            </w:r>
          </w:p>
        </w:tc>
      </w:tr>
      <w:tr w:rsidR="005F4E77" w:rsidRPr="005F4E77" w:rsidTr="004D366C">
        <w:trPr>
          <w:trHeight w:hRule="exact" w:val="284"/>
        </w:trPr>
        <w:tc>
          <w:tcPr>
            <w:tcW w:w="421" w:type="pct"/>
            <w:vMerge/>
            <w:tcBorders>
              <w:left w:val="nil"/>
              <w:bottom w:val="single" w:sz="12" w:space="0" w:color="auto"/>
            </w:tcBorders>
            <w:vAlign w:val="center"/>
            <w:hideMark/>
          </w:tcPr>
          <w:p w:rsidR="005F4E77" w:rsidRPr="005F4E77" w:rsidRDefault="005F4E77" w:rsidP="004D366C">
            <w:pPr>
              <w:suppressAutoHyphens w:val="0"/>
              <w:jc w:val="center"/>
              <w:rPr>
                <w:color w:val="000000"/>
              </w:rPr>
            </w:pPr>
          </w:p>
        </w:tc>
        <w:tc>
          <w:tcPr>
            <w:tcW w:w="1308" w:type="pct"/>
            <w:tcBorders>
              <w:bottom w:val="single" w:sz="12" w:space="0" w:color="auto"/>
            </w:tcBorders>
            <w:shd w:val="clear" w:color="auto" w:fill="auto"/>
            <w:noWrap/>
            <w:vAlign w:val="center"/>
            <w:hideMark/>
          </w:tcPr>
          <w:p w:rsidR="005F4E77" w:rsidRPr="005F4E77" w:rsidRDefault="005F4E77" w:rsidP="004D366C">
            <w:pPr>
              <w:suppressAutoHyphens w:val="0"/>
              <w:rPr>
                <w:color w:val="000000"/>
              </w:rPr>
            </w:pPr>
            <w:r w:rsidRPr="005F4E77">
              <w:rPr>
                <w:color w:val="000000"/>
              </w:rPr>
              <w:t>% Intangibilidade</w:t>
            </w:r>
          </w:p>
        </w:tc>
        <w:tc>
          <w:tcPr>
            <w:tcW w:w="616"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17,01%</w:t>
            </w:r>
          </w:p>
        </w:tc>
        <w:tc>
          <w:tcPr>
            <w:tcW w:w="616"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16,34%</w:t>
            </w:r>
          </w:p>
        </w:tc>
        <w:tc>
          <w:tcPr>
            <w:tcW w:w="770"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11,03%</w:t>
            </w:r>
          </w:p>
        </w:tc>
        <w:tc>
          <w:tcPr>
            <w:tcW w:w="693" w:type="pct"/>
            <w:tcBorders>
              <w:bottom w:val="single" w:sz="12" w:space="0" w:color="auto"/>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45,49%</w:t>
            </w:r>
          </w:p>
        </w:tc>
        <w:tc>
          <w:tcPr>
            <w:tcW w:w="576" w:type="pct"/>
            <w:tcBorders>
              <w:bottom w:val="single" w:sz="12" w:space="0" w:color="auto"/>
              <w:right w:val="nil"/>
            </w:tcBorders>
            <w:shd w:val="clear" w:color="auto" w:fill="auto"/>
            <w:noWrap/>
            <w:vAlign w:val="center"/>
            <w:hideMark/>
          </w:tcPr>
          <w:p w:rsidR="005F4E77" w:rsidRPr="005F4E77" w:rsidRDefault="005F4E77" w:rsidP="004D366C">
            <w:pPr>
              <w:suppressAutoHyphens w:val="0"/>
              <w:jc w:val="right"/>
              <w:rPr>
                <w:color w:val="000000"/>
              </w:rPr>
            </w:pPr>
            <w:r w:rsidRPr="005F4E77">
              <w:rPr>
                <w:color w:val="000000"/>
              </w:rPr>
              <w:t>1,88%</w:t>
            </w:r>
          </w:p>
        </w:tc>
      </w:tr>
    </w:tbl>
    <w:p w:rsidR="00A1020A" w:rsidRDefault="005F4E77" w:rsidP="00A1020A">
      <w:pPr>
        <w:jc w:val="both"/>
      </w:pPr>
      <w:r w:rsidRPr="005F4E77">
        <w:t>Fonte: Dados da pesquisa (2018).</w:t>
      </w:r>
    </w:p>
    <w:p w:rsidR="005F4E77" w:rsidRPr="00A1020A" w:rsidRDefault="005F4E77" w:rsidP="00A1020A">
      <w:pPr>
        <w:ind w:firstLine="708"/>
        <w:jc w:val="both"/>
      </w:pPr>
      <w:r w:rsidRPr="005F4E77">
        <w:rPr>
          <w:sz w:val="24"/>
          <w:szCs w:val="24"/>
        </w:rPr>
        <w:t>O menor percentual de intangibilidade, por con</w:t>
      </w:r>
      <w:r w:rsidR="004D366C">
        <w:rPr>
          <w:sz w:val="24"/>
          <w:szCs w:val="24"/>
        </w:rPr>
        <w:t xml:space="preserve">seguinte, pertence ao Náutico, já </w:t>
      </w:r>
      <w:r w:rsidRPr="005F4E77">
        <w:rPr>
          <w:sz w:val="24"/>
          <w:szCs w:val="24"/>
        </w:rPr>
        <w:t xml:space="preserve">o maior (62,75%) pertence </w:t>
      </w:r>
      <w:proofErr w:type="gramStart"/>
      <w:r w:rsidRPr="005F4E77">
        <w:rPr>
          <w:sz w:val="24"/>
          <w:szCs w:val="24"/>
        </w:rPr>
        <w:t>ao Santos</w:t>
      </w:r>
      <w:proofErr w:type="gramEnd"/>
      <w:r w:rsidRPr="005F4E77">
        <w:rPr>
          <w:sz w:val="24"/>
          <w:szCs w:val="24"/>
        </w:rPr>
        <w:t xml:space="preserve">. Percebe-se que a média de resultado líquido e do patrimônio líquido são </w:t>
      </w:r>
      <w:proofErr w:type="gramStart"/>
      <w:r w:rsidRPr="005F4E77">
        <w:rPr>
          <w:sz w:val="24"/>
          <w:szCs w:val="24"/>
        </w:rPr>
        <w:t>negativos</w:t>
      </w:r>
      <w:proofErr w:type="gramEnd"/>
      <w:r w:rsidRPr="005F4E77">
        <w:rPr>
          <w:sz w:val="24"/>
          <w:szCs w:val="24"/>
        </w:rPr>
        <w:t xml:space="preserve"> tanto em 2013 como em 2014, sendo que o </w:t>
      </w:r>
      <w:r w:rsidR="008350E2">
        <w:rPr>
          <w:sz w:val="24"/>
          <w:szCs w:val="24"/>
        </w:rPr>
        <w:t xml:space="preserve">menor </w:t>
      </w:r>
      <w:r w:rsidRPr="005F4E77">
        <w:rPr>
          <w:sz w:val="24"/>
          <w:szCs w:val="24"/>
        </w:rPr>
        <w:t xml:space="preserve">resultado líquido de 2013 pertence ao Bahia, enquanto o de 2014 e o </w:t>
      </w:r>
      <w:r w:rsidR="008350E2">
        <w:rPr>
          <w:sz w:val="24"/>
          <w:szCs w:val="24"/>
        </w:rPr>
        <w:t xml:space="preserve">menor </w:t>
      </w:r>
      <w:r w:rsidRPr="005F4E77">
        <w:rPr>
          <w:sz w:val="24"/>
          <w:szCs w:val="24"/>
        </w:rPr>
        <w:t>patrimônio de ambos os anos pertencem ao Botafogo. O Botafogo, aliás, apresentou o menor patrimônio líquido em todos os anos.</w:t>
      </w:r>
    </w:p>
    <w:p w:rsidR="005F4E77" w:rsidRPr="005F4E77" w:rsidRDefault="005F4E77" w:rsidP="005F4E77">
      <w:pPr>
        <w:ind w:firstLine="709"/>
        <w:jc w:val="both"/>
        <w:rPr>
          <w:sz w:val="24"/>
          <w:szCs w:val="24"/>
        </w:rPr>
      </w:pPr>
      <w:r w:rsidRPr="005F4E77">
        <w:rPr>
          <w:sz w:val="24"/>
          <w:szCs w:val="24"/>
        </w:rPr>
        <w:t xml:space="preserve">Em 2014, o Corinthians apresentou o maior resultado líquido e o maior ativo total, em contrapartida a Ponte Preta apresentou o menor ativo intangível e ficou responsável pelo menor nível de intangibilidade, enquanto o maior foi representado </w:t>
      </w:r>
      <w:proofErr w:type="gramStart"/>
      <w:r w:rsidRPr="005F4E77">
        <w:rPr>
          <w:sz w:val="24"/>
          <w:szCs w:val="24"/>
        </w:rPr>
        <w:t>pelo Santa Cruz</w:t>
      </w:r>
      <w:proofErr w:type="gramEnd"/>
      <w:r w:rsidRPr="005F4E77">
        <w:rPr>
          <w:sz w:val="24"/>
          <w:szCs w:val="24"/>
        </w:rPr>
        <w:t xml:space="preserve"> com cerca de 80%, clube este que possui a menor receita do ano.</w:t>
      </w:r>
    </w:p>
    <w:p w:rsidR="005F4E77" w:rsidRPr="005F4E77" w:rsidRDefault="005F4E77" w:rsidP="005F4E77">
      <w:pPr>
        <w:ind w:firstLine="709"/>
        <w:jc w:val="both"/>
        <w:rPr>
          <w:sz w:val="24"/>
          <w:szCs w:val="24"/>
        </w:rPr>
      </w:pPr>
      <w:r w:rsidRPr="005F4E77">
        <w:rPr>
          <w:sz w:val="24"/>
          <w:szCs w:val="24"/>
        </w:rPr>
        <w:lastRenderedPageBreak/>
        <w:t xml:space="preserve">Em 2015, o São Paulo apresentou o maior ativo total, assim como o maior intangível, porém o maior percentual de intangibilidade foi </w:t>
      </w:r>
      <w:proofErr w:type="gramStart"/>
      <w:r w:rsidRPr="005F4E77">
        <w:rPr>
          <w:sz w:val="24"/>
          <w:szCs w:val="24"/>
        </w:rPr>
        <w:t>do Santos</w:t>
      </w:r>
      <w:proofErr w:type="gramEnd"/>
      <w:r w:rsidRPr="005F4E77">
        <w:rPr>
          <w:sz w:val="24"/>
          <w:szCs w:val="24"/>
        </w:rPr>
        <w:t>, assim como em 2013 e o mesmo ocorreu em 2016. Este por sinal apresentou o menor resultado líquido do ano, enquanto o Flamengo apresentou o maior. A maior e menor receita líquida também pertence aos clubes paulistas, Palmeiras e Guarani, respectivamente.</w:t>
      </w:r>
    </w:p>
    <w:p w:rsidR="005F4E77" w:rsidRPr="005F4E77" w:rsidRDefault="005F4E77" w:rsidP="005F4E77">
      <w:pPr>
        <w:ind w:firstLine="709"/>
        <w:jc w:val="both"/>
        <w:rPr>
          <w:sz w:val="24"/>
          <w:szCs w:val="24"/>
        </w:rPr>
      </w:pPr>
      <w:r w:rsidRPr="005F4E77">
        <w:rPr>
          <w:sz w:val="24"/>
          <w:szCs w:val="24"/>
        </w:rPr>
        <w:t>Já o Ceará foi responsável pelo menor ativo total e menor intangível, fato esse que se repetiu em 2016. Em 2016, o Flamengo foi responsável pela maior receita líquida e maior resultado</w:t>
      </w:r>
      <w:r w:rsidR="008350E2">
        <w:rPr>
          <w:sz w:val="24"/>
          <w:szCs w:val="24"/>
        </w:rPr>
        <w:t xml:space="preserve"> líquido</w:t>
      </w:r>
      <w:r w:rsidRPr="005F4E77">
        <w:rPr>
          <w:sz w:val="24"/>
          <w:szCs w:val="24"/>
        </w:rPr>
        <w:t>. Em relação ao resultado</w:t>
      </w:r>
      <w:r w:rsidR="004D366C">
        <w:rPr>
          <w:sz w:val="24"/>
          <w:szCs w:val="24"/>
        </w:rPr>
        <w:t xml:space="preserve"> líquido</w:t>
      </w:r>
      <w:r w:rsidRPr="005F4E77">
        <w:rPr>
          <w:sz w:val="24"/>
          <w:szCs w:val="24"/>
        </w:rPr>
        <w:t>, o menor foi apresentado pelo Cruzeiro, já em relação a menor receita líquida, o Avaí. Com relação ao patrimônio líquido, o Internacional apresentou o maior em todos os anos.</w:t>
      </w:r>
    </w:p>
    <w:p w:rsidR="005F4E77" w:rsidRPr="005F4E77" w:rsidRDefault="005F4E77" w:rsidP="005F4E77">
      <w:pPr>
        <w:ind w:firstLine="709"/>
        <w:jc w:val="both"/>
        <w:rPr>
          <w:sz w:val="24"/>
          <w:szCs w:val="24"/>
        </w:rPr>
      </w:pPr>
      <w:r w:rsidRPr="005F4E77">
        <w:rPr>
          <w:sz w:val="24"/>
          <w:szCs w:val="24"/>
        </w:rPr>
        <w:t xml:space="preserve">Em suma, pode-se perceber que os valores médios da receita líquida anual </w:t>
      </w:r>
      <w:proofErr w:type="gramStart"/>
      <w:r w:rsidRPr="005F4E77">
        <w:rPr>
          <w:sz w:val="24"/>
          <w:szCs w:val="24"/>
        </w:rPr>
        <w:t>ser</w:t>
      </w:r>
      <w:r w:rsidR="008926AB">
        <w:rPr>
          <w:sz w:val="24"/>
          <w:szCs w:val="24"/>
        </w:rPr>
        <w:t>em</w:t>
      </w:r>
      <w:proofErr w:type="gramEnd"/>
      <w:r w:rsidR="008926AB">
        <w:rPr>
          <w:sz w:val="24"/>
          <w:szCs w:val="24"/>
        </w:rPr>
        <w:t xml:space="preserve"> grandiosos</w:t>
      </w:r>
      <w:r w:rsidRPr="005F4E77">
        <w:rPr>
          <w:sz w:val="24"/>
          <w:szCs w:val="24"/>
        </w:rPr>
        <w:t xml:space="preserve">, o resultado líquido foi negativo em 2013 e 2014, e obteve-se uma média baixa em 2015 e 2016. De modo que se pode inferir que os clubes possuem uma receita grandiosa, porém seus gastos são superiores, o que impossibilita que o resultado seja positivo, esse achado corrobora Romão e Castellar (2008), que encontrou apenas seis de 21 clubes com resultados positivos, apesar </w:t>
      </w:r>
      <w:proofErr w:type="gramStart"/>
      <w:r w:rsidRPr="005F4E77">
        <w:rPr>
          <w:sz w:val="24"/>
          <w:szCs w:val="24"/>
        </w:rPr>
        <w:t>da receita ser</w:t>
      </w:r>
      <w:proofErr w:type="gramEnd"/>
      <w:r w:rsidRPr="005F4E77">
        <w:rPr>
          <w:sz w:val="24"/>
          <w:szCs w:val="24"/>
        </w:rPr>
        <w:t xml:space="preserve"> superior a 11 milhões de reais em 2007.</w:t>
      </w:r>
    </w:p>
    <w:p w:rsidR="005F4E77" w:rsidRPr="005F4E77" w:rsidRDefault="005F4E77" w:rsidP="005F4E77">
      <w:pPr>
        <w:ind w:firstLine="709"/>
        <w:jc w:val="both"/>
        <w:rPr>
          <w:sz w:val="24"/>
          <w:szCs w:val="24"/>
        </w:rPr>
      </w:pPr>
      <w:r w:rsidRPr="005F4E77">
        <w:rPr>
          <w:sz w:val="24"/>
          <w:szCs w:val="24"/>
        </w:rPr>
        <w:t xml:space="preserve">As variáveis da </w:t>
      </w:r>
      <w:r w:rsidR="007F38F8">
        <w:rPr>
          <w:sz w:val="24"/>
          <w:szCs w:val="24"/>
        </w:rPr>
        <w:t>Tabela 8</w:t>
      </w:r>
      <w:r w:rsidRPr="005F4E77">
        <w:rPr>
          <w:sz w:val="24"/>
          <w:szCs w:val="24"/>
        </w:rPr>
        <w:t xml:space="preserve"> correspondem as variáveis explicativas representativas da situação econômica e financeira, para análise da associação com o nível de evidenciação do intangível nos clubes adicionou-se a variável </w:t>
      </w:r>
      <w:proofErr w:type="spellStart"/>
      <w:r w:rsidRPr="005F4E77">
        <w:rPr>
          <w:i/>
          <w:sz w:val="24"/>
          <w:szCs w:val="24"/>
        </w:rPr>
        <w:t>dummy</w:t>
      </w:r>
      <w:proofErr w:type="spellEnd"/>
      <w:r w:rsidRPr="005F4E77">
        <w:rPr>
          <w:sz w:val="24"/>
          <w:szCs w:val="24"/>
        </w:rPr>
        <w:t xml:space="preserve"> referente à auditoria, conforme já exposto na metodologia. A regressão com todas as variáveis pode ser observada na </w:t>
      </w:r>
      <w:r w:rsidR="007F38F8">
        <w:rPr>
          <w:sz w:val="24"/>
          <w:szCs w:val="24"/>
        </w:rPr>
        <w:t>Tabela 9</w:t>
      </w:r>
      <w:r w:rsidRPr="005F4E77">
        <w:rPr>
          <w:sz w:val="24"/>
          <w:szCs w:val="24"/>
        </w:rPr>
        <w:t>.</w:t>
      </w:r>
    </w:p>
    <w:p w:rsidR="005F4E77" w:rsidRPr="005F4E77" w:rsidRDefault="007F38F8" w:rsidP="005F4E77">
      <w:pPr>
        <w:jc w:val="both"/>
      </w:pPr>
      <w:r>
        <w:t>Tabela 9</w:t>
      </w:r>
      <w:r w:rsidR="005F4E77" w:rsidRPr="005F4E77">
        <w:t xml:space="preserve"> - Regressão entre o nível de evidenciação e as variáveis explicativas</w:t>
      </w:r>
    </w:p>
    <w:tbl>
      <w:tblPr>
        <w:tblW w:w="5000" w:type="pct"/>
        <w:tblBorders>
          <w:top w:val="single" w:sz="4" w:space="0" w:color="auto"/>
          <w:bottom w:val="single" w:sz="4" w:space="0" w:color="auto"/>
          <w:insideH w:val="single" w:sz="4" w:space="0" w:color="auto"/>
          <w:insideV w:val="single" w:sz="4" w:space="0" w:color="auto"/>
        </w:tblBorders>
        <w:tblLook w:val="04A0"/>
      </w:tblPr>
      <w:tblGrid>
        <w:gridCol w:w="2375"/>
        <w:gridCol w:w="1841"/>
        <w:gridCol w:w="568"/>
        <w:gridCol w:w="1132"/>
        <w:gridCol w:w="1639"/>
        <w:gridCol w:w="1726"/>
      </w:tblGrid>
      <w:tr w:rsidR="005F4E77" w:rsidRPr="005F4E77" w:rsidTr="004D366C">
        <w:trPr>
          <w:trHeight w:hRule="exact" w:val="284"/>
        </w:trPr>
        <w:tc>
          <w:tcPr>
            <w:tcW w:w="5000" w:type="pct"/>
            <w:gridSpan w:val="6"/>
            <w:tcBorders>
              <w:top w:val="single" w:sz="12" w:space="0" w:color="auto"/>
              <w:bottom w:val="single" w:sz="8" w:space="0" w:color="auto"/>
            </w:tcBorders>
            <w:vAlign w:val="center"/>
          </w:tcPr>
          <w:p w:rsidR="005F4E77" w:rsidRPr="005F4E77" w:rsidRDefault="005F4E77" w:rsidP="004D366C">
            <w:pPr>
              <w:jc w:val="center"/>
              <w:rPr>
                <w:b/>
              </w:rPr>
            </w:pPr>
            <w:r w:rsidRPr="005F4E77">
              <w:rPr>
                <w:b/>
              </w:rPr>
              <w:t>Painel A</w:t>
            </w:r>
          </w:p>
        </w:tc>
      </w:tr>
      <w:tr w:rsidR="005F4E77" w:rsidRPr="005F4E77" w:rsidTr="004D366C">
        <w:trPr>
          <w:trHeight w:hRule="exact" w:val="284"/>
        </w:trPr>
        <w:tc>
          <w:tcPr>
            <w:tcW w:w="1279" w:type="pct"/>
            <w:tcBorders>
              <w:top w:val="single" w:sz="12" w:space="0" w:color="auto"/>
            </w:tcBorders>
            <w:vAlign w:val="center"/>
          </w:tcPr>
          <w:p w:rsidR="005F4E77" w:rsidRPr="005F4E77" w:rsidRDefault="005F4E77" w:rsidP="004D366C">
            <w:pPr>
              <w:jc w:val="center"/>
              <w:rPr>
                <w:b/>
              </w:rPr>
            </w:pPr>
            <w:r w:rsidRPr="005F4E77">
              <w:rPr>
                <w:b/>
              </w:rPr>
              <w:t>Variável</w:t>
            </w:r>
          </w:p>
        </w:tc>
        <w:tc>
          <w:tcPr>
            <w:tcW w:w="992" w:type="pct"/>
            <w:tcBorders>
              <w:top w:val="single" w:sz="12" w:space="0" w:color="auto"/>
            </w:tcBorders>
            <w:vAlign w:val="center"/>
          </w:tcPr>
          <w:p w:rsidR="005F4E77" w:rsidRPr="005F4E77" w:rsidRDefault="005F4E77" w:rsidP="004D366C">
            <w:pPr>
              <w:jc w:val="center"/>
              <w:rPr>
                <w:b/>
              </w:rPr>
            </w:pPr>
            <w:r w:rsidRPr="005F4E77">
              <w:rPr>
                <w:b/>
              </w:rPr>
              <w:t>Coeficiente</w:t>
            </w:r>
          </w:p>
        </w:tc>
        <w:tc>
          <w:tcPr>
            <w:tcW w:w="916" w:type="pct"/>
            <w:gridSpan w:val="2"/>
            <w:tcBorders>
              <w:top w:val="single" w:sz="12" w:space="0" w:color="auto"/>
            </w:tcBorders>
            <w:vAlign w:val="center"/>
          </w:tcPr>
          <w:p w:rsidR="005F4E77" w:rsidRPr="005F4E77" w:rsidRDefault="005F4E77" w:rsidP="004D366C">
            <w:pPr>
              <w:jc w:val="center"/>
              <w:rPr>
                <w:b/>
              </w:rPr>
            </w:pPr>
            <w:r w:rsidRPr="005F4E77">
              <w:rPr>
                <w:b/>
              </w:rPr>
              <w:t>Erro Padrão</w:t>
            </w:r>
          </w:p>
        </w:tc>
        <w:tc>
          <w:tcPr>
            <w:tcW w:w="883" w:type="pct"/>
            <w:tcBorders>
              <w:top w:val="single" w:sz="12" w:space="0" w:color="auto"/>
            </w:tcBorders>
            <w:vAlign w:val="center"/>
          </w:tcPr>
          <w:p w:rsidR="005F4E77" w:rsidRPr="005F4E77" w:rsidRDefault="005F4E77" w:rsidP="004D366C">
            <w:pPr>
              <w:jc w:val="center"/>
              <w:rPr>
                <w:b/>
              </w:rPr>
            </w:pPr>
            <w:r w:rsidRPr="005F4E77">
              <w:rPr>
                <w:b/>
              </w:rPr>
              <w:t>Teste T</w:t>
            </w:r>
          </w:p>
        </w:tc>
        <w:tc>
          <w:tcPr>
            <w:tcW w:w="930" w:type="pct"/>
            <w:tcBorders>
              <w:top w:val="single" w:sz="12" w:space="0" w:color="auto"/>
            </w:tcBorders>
            <w:vAlign w:val="center"/>
          </w:tcPr>
          <w:p w:rsidR="005F4E77" w:rsidRPr="005F4E77" w:rsidRDefault="005F4E77" w:rsidP="004D366C">
            <w:pPr>
              <w:jc w:val="center"/>
              <w:rPr>
                <w:b/>
              </w:rPr>
            </w:pPr>
            <w:proofErr w:type="gramStart"/>
            <w:r w:rsidRPr="005F4E77">
              <w:rPr>
                <w:b/>
              </w:rPr>
              <w:t>p</w:t>
            </w:r>
            <w:proofErr w:type="gramEnd"/>
            <w:r w:rsidRPr="005F4E77">
              <w:rPr>
                <w:b/>
              </w:rPr>
              <w:t>-</w:t>
            </w:r>
            <w:r w:rsidRPr="005F4E77">
              <w:rPr>
                <w:b/>
                <w:i/>
              </w:rPr>
              <w:t>value</w:t>
            </w:r>
          </w:p>
        </w:tc>
      </w:tr>
      <w:tr w:rsidR="005F4E77" w:rsidRPr="005F4E77" w:rsidTr="004D366C">
        <w:trPr>
          <w:trHeight w:hRule="exact" w:val="284"/>
        </w:trPr>
        <w:tc>
          <w:tcPr>
            <w:tcW w:w="1279" w:type="pct"/>
            <w:vAlign w:val="center"/>
          </w:tcPr>
          <w:p w:rsidR="005F4E77" w:rsidRPr="005F4E77" w:rsidRDefault="005F4E77" w:rsidP="004D366C">
            <w:r w:rsidRPr="005F4E77">
              <w:t>Nível de Evidenciação</w:t>
            </w:r>
          </w:p>
        </w:tc>
        <w:tc>
          <w:tcPr>
            <w:tcW w:w="992" w:type="pct"/>
            <w:vAlign w:val="center"/>
          </w:tcPr>
          <w:p w:rsidR="005F4E77" w:rsidRPr="005F4E77" w:rsidRDefault="005F4E77" w:rsidP="004D366C">
            <w:pPr>
              <w:jc w:val="right"/>
            </w:pPr>
            <w:r w:rsidRPr="005F4E77">
              <w:t>60,79118</w:t>
            </w:r>
          </w:p>
        </w:tc>
        <w:tc>
          <w:tcPr>
            <w:tcW w:w="916" w:type="pct"/>
            <w:gridSpan w:val="2"/>
            <w:vAlign w:val="center"/>
          </w:tcPr>
          <w:p w:rsidR="005F4E77" w:rsidRPr="005F4E77" w:rsidRDefault="005F4E77" w:rsidP="004D366C">
            <w:pPr>
              <w:jc w:val="right"/>
            </w:pPr>
            <w:r w:rsidRPr="005F4E77">
              <w:t>7,31368</w:t>
            </w:r>
          </w:p>
        </w:tc>
        <w:tc>
          <w:tcPr>
            <w:tcW w:w="883" w:type="pct"/>
            <w:vAlign w:val="center"/>
          </w:tcPr>
          <w:p w:rsidR="005F4E77" w:rsidRPr="005F4E77" w:rsidRDefault="005F4E77" w:rsidP="004D366C">
            <w:pPr>
              <w:jc w:val="center"/>
            </w:pPr>
            <w:r w:rsidRPr="005F4E77">
              <w:t>8,31</w:t>
            </w:r>
          </w:p>
        </w:tc>
        <w:tc>
          <w:tcPr>
            <w:tcW w:w="930" w:type="pct"/>
            <w:vAlign w:val="center"/>
          </w:tcPr>
          <w:p w:rsidR="005F4E77" w:rsidRPr="005F4E77" w:rsidRDefault="005F4E77" w:rsidP="004D366C">
            <w:pPr>
              <w:jc w:val="center"/>
            </w:pPr>
            <w:r w:rsidRPr="005F4E77">
              <w:t>0,000</w:t>
            </w:r>
          </w:p>
        </w:tc>
      </w:tr>
      <w:tr w:rsidR="005F4E77" w:rsidRPr="005F4E77" w:rsidTr="004D366C">
        <w:trPr>
          <w:trHeight w:hRule="exact" w:val="284"/>
        </w:trPr>
        <w:tc>
          <w:tcPr>
            <w:tcW w:w="1279" w:type="pct"/>
            <w:vAlign w:val="center"/>
          </w:tcPr>
          <w:p w:rsidR="005F4E77" w:rsidRPr="005F4E77" w:rsidRDefault="005F4E77" w:rsidP="004D366C">
            <w:r w:rsidRPr="005F4E77">
              <w:t>Receita Líquida</w:t>
            </w:r>
          </w:p>
        </w:tc>
        <w:tc>
          <w:tcPr>
            <w:tcW w:w="992" w:type="pct"/>
            <w:vAlign w:val="center"/>
          </w:tcPr>
          <w:p w:rsidR="005F4E77" w:rsidRPr="005F4E77" w:rsidRDefault="005F4E77" w:rsidP="004D366C">
            <w:pPr>
              <w:jc w:val="right"/>
            </w:pPr>
            <w:r w:rsidRPr="005F4E77">
              <w:t>0,000012</w:t>
            </w:r>
          </w:p>
        </w:tc>
        <w:tc>
          <w:tcPr>
            <w:tcW w:w="916" w:type="pct"/>
            <w:gridSpan w:val="2"/>
            <w:vAlign w:val="center"/>
          </w:tcPr>
          <w:p w:rsidR="005F4E77" w:rsidRPr="005F4E77" w:rsidRDefault="005F4E77" w:rsidP="004D366C">
            <w:pPr>
              <w:jc w:val="right"/>
            </w:pPr>
            <w:r w:rsidRPr="005F4E77">
              <w:t>0,0000265</w:t>
            </w:r>
          </w:p>
        </w:tc>
        <w:tc>
          <w:tcPr>
            <w:tcW w:w="883" w:type="pct"/>
            <w:vAlign w:val="center"/>
          </w:tcPr>
          <w:p w:rsidR="005F4E77" w:rsidRPr="005F4E77" w:rsidRDefault="005F4E77" w:rsidP="004D366C">
            <w:pPr>
              <w:jc w:val="center"/>
            </w:pPr>
            <w:r w:rsidRPr="005F4E77">
              <w:t>0,46</w:t>
            </w:r>
          </w:p>
        </w:tc>
        <w:tc>
          <w:tcPr>
            <w:tcW w:w="930" w:type="pct"/>
            <w:vAlign w:val="center"/>
          </w:tcPr>
          <w:p w:rsidR="005F4E77" w:rsidRPr="005F4E77" w:rsidRDefault="005F4E77" w:rsidP="004D366C">
            <w:pPr>
              <w:jc w:val="center"/>
            </w:pPr>
            <w:r w:rsidRPr="005F4E77">
              <w:t>0,646</w:t>
            </w:r>
          </w:p>
        </w:tc>
      </w:tr>
      <w:tr w:rsidR="005F4E77" w:rsidRPr="005F4E77" w:rsidTr="004D366C">
        <w:trPr>
          <w:trHeight w:hRule="exact" w:val="284"/>
        </w:trPr>
        <w:tc>
          <w:tcPr>
            <w:tcW w:w="1279" w:type="pct"/>
            <w:vAlign w:val="center"/>
          </w:tcPr>
          <w:p w:rsidR="005F4E77" w:rsidRPr="005F4E77" w:rsidRDefault="005F4E77" w:rsidP="004D366C">
            <w:r w:rsidRPr="005F4E77">
              <w:t>Resultado Líquido</w:t>
            </w:r>
          </w:p>
        </w:tc>
        <w:tc>
          <w:tcPr>
            <w:tcW w:w="992" w:type="pct"/>
            <w:vAlign w:val="center"/>
          </w:tcPr>
          <w:p w:rsidR="005F4E77" w:rsidRPr="005F4E77" w:rsidRDefault="005F4E77" w:rsidP="004D366C">
            <w:pPr>
              <w:jc w:val="right"/>
            </w:pPr>
            <w:r w:rsidRPr="005F4E77">
              <w:t>0,000043</w:t>
            </w:r>
          </w:p>
        </w:tc>
        <w:tc>
          <w:tcPr>
            <w:tcW w:w="916" w:type="pct"/>
            <w:gridSpan w:val="2"/>
            <w:vAlign w:val="center"/>
          </w:tcPr>
          <w:p w:rsidR="005F4E77" w:rsidRPr="005F4E77" w:rsidRDefault="005F4E77" w:rsidP="004D366C">
            <w:pPr>
              <w:jc w:val="right"/>
            </w:pPr>
            <w:r w:rsidRPr="005F4E77">
              <w:t>0,0000265</w:t>
            </w:r>
          </w:p>
        </w:tc>
        <w:tc>
          <w:tcPr>
            <w:tcW w:w="883" w:type="pct"/>
            <w:vAlign w:val="center"/>
          </w:tcPr>
          <w:p w:rsidR="005F4E77" w:rsidRPr="005F4E77" w:rsidRDefault="005F4E77" w:rsidP="004D366C">
            <w:pPr>
              <w:jc w:val="center"/>
            </w:pPr>
            <w:r w:rsidRPr="005F4E77">
              <w:t>1,91</w:t>
            </w:r>
          </w:p>
        </w:tc>
        <w:tc>
          <w:tcPr>
            <w:tcW w:w="930" w:type="pct"/>
            <w:vAlign w:val="center"/>
          </w:tcPr>
          <w:p w:rsidR="005F4E77" w:rsidRPr="005F4E77" w:rsidRDefault="005F4E77" w:rsidP="004D366C">
            <w:pPr>
              <w:jc w:val="center"/>
            </w:pPr>
            <w:r w:rsidRPr="005F4E77">
              <w:t>0,061</w:t>
            </w:r>
          </w:p>
        </w:tc>
      </w:tr>
      <w:tr w:rsidR="005F4E77" w:rsidRPr="005F4E77" w:rsidTr="004D366C">
        <w:trPr>
          <w:trHeight w:hRule="exact" w:val="284"/>
        </w:trPr>
        <w:tc>
          <w:tcPr>
            <w:tcW w:w="1279" w:type="pct"/>
            <w:vAlign w:val="center"/>
          </w:tcPr>
          <w:p w:rsidR="005F4E77" w:rsidRPr="005F4E77" w:rsidRDefault="005F4E77" w:rsidP="004D366C">
            <w:r w:rsidRPr="005F4E77">
              <w:t>Patrimônio Líquido</w:t>
            </w:r>
          </w:p>
        </w:tc>
        <w:tc>
          <w:tcPr>
            <w:tcW w:w="992" w:type="pct"/>
            <w:vAlign w:val="center"/>
          </w:tcPr>
          <w:p w:rsidR="005F4E77" w:rsidRPr="005F4E77" w:rsidRDefault="005F4E77" w:rsidP="004D366C">
            <w:pPr>
              <w:jc w:val="right"/>
            </w:pPr>
            <w:r w:rsidRPr="005F4E77">
              <w:t>-0,000045</w:t>
            </w:r>
          </w:p>
        </w:tc>
        <w:tc>
          <w:tcPr>
            <w:tcW w:w="916" w:type="pct"/>
            <w:gridSpan w:val="2"/>
            <w:vAlign w:val="center"/>
          </w:tcPr>
          <w:p w:rsidR="005F4E77" w:rsidRPr="005F4E77" w:rsidRDefault="005F4E77" w:rsidP="004D366C">
            <w:pPr>
              <w:jc w:val="right"/>
            </w:pPr>
            <w:r w:rsidRPr="005F4E77">
              <w:t>0,0000199</w:t>
            </w:r>
          </w:p>
        </w:tc>
        <w:tc>
          <w:tcPr>
            <w:tcW w:w="883" w:type="pct"/>
            <w:vAlign w:val="center"/>
          </w:tcPr>
          <w:p w:rsidR="005F4E77" w:rsidRPr="005F4E77" w:rsidRDefault="005F4E77" w:rsidP="004D366C">
            <w:pPr>
              <w:jc w:val="center"/>
            </w:pPr>
            <w:r w:rsidRPr="005F4E77">
              <w:t>-2,27</w:t>
            </w:r>
          </w:p>
        </w:tc>
        <w:tc>
          <w:tcPr>
            <w:tcW w:w="930" w:type="pct"/>
            <w:vAlign w:val="center"/>
          </w:tcPr>
          <w:p w:rsidR="005F4E77" w:rsidRPr="005F4E77" w:rsidRDefault="005F4E77" w:rsidP="004D366C">
            <w:pPr>
              <w:jc w:val="center"/>
            </w:pPr>
            <w:r w:rsidRPr="005F4E77">
              <w:t>0,027</w:t>
            </w:r>
          </w:p>
        </w:tc>
      </w:tr>
      <w:tr w:rsidR="005F4E77" w:rsidRPr="005F4E77" w:rsidTr="004D366C">
        <w:trPr>
          <w:trHeight w:hRule="exact" w:val="284"/>
        </w:trPr>
        <w:tc>
          <w:tcPr>
            <w:tcW w:w="1279" w:type="pct"/>
            <w:vAlign w:val="center"/>
          </w:tcPr>
          <w:p w:rsidR="005F4E77" w:rsidRPr="005F4E77" w:rsidRDefault="005F4E77" w:rsidP="004D366C">
            <w:r w:rsidRPr="005F4E77">
              <w:t>Ativo Intangível</w:t>
            </w:r>
          </w:p>
        </w:tc>
        <w:tc>
          <w:tcPr>
            <w:tcW w:w="992" w:type="pct"/>
            <w:vAlign w:val="center"/>
          </w:tcPr>
          <w:p w:rsidR="005F4E77" w:rsidRPr="005F4E77" w:rsidRDefault="005F4E77" w:rsidP="004D366C">
            <w:pPr>
              <w:jc w:val="right"/>
            </w:pPr>
            <w:r w:rsidRPr="005F4E77">
              <w:t>0,000276</w:t>
            </w:r>
          </w:p>
        </w:tc>
        <w:tc>
          <w:tcPr>
            <w:tcW w:w="916" w:type="pct"/>
            <w:gridSpan w:val="2"/>
            <w:vAlign w:val="center"/>
          </w:tcPr>
          <w:p w:rsidR="005F4E77" w:rsidRPr="005F4E77" w:rsidRDefault="005F4E77" w:rsidP="004D366C">
            <w:pPr>
              <w:jc w:val="right"/>
            </w:pPr>
            <w:r w:rsidRPr="005F4E77">
              <w:t>0,0000955</w:t>
            </w:r>
          </w:p>
        </w:tc>
        <w:tc>
          <w:tcPr>
            <w:tcW w:w="883" w:type="pct"/>
            <w:vAlign w:val="center"/>
          </w:tcPr>
          <w:p w:rsidR="005F4E77" w:rsidRPr="005F4E77" w:rsidRDefault="005F4E77" w:rsidP="004D366C">
            <w:pPr>
              <w:jc w:val="center"/>
            </w:pPr>
            <w:r w:rsidRPr="005F4E77">
              <w:t>2,90</w:t>
            </w:r>
          </w:p>
        </w:tc>
        <w:tc>
          <w:tcPr>
            <w:tcW w:w="930" w:type="pct"/>
            <w:vAlign w:val="center"/>
          </w:tcPr>
          <w:p w:rsidR="005F4E77" w:rsidRPr="005F4E77" w:rsidRDefault="005F4E77" w:rsidP="004D366C">
            <w:pPr>
              <w:jc w:val="center"/>
            </w:pPr>
            <w:r w:rsidRPr="005F4E77">
              <w:t>0,005</w:t>
            </w:r>
          </w:p>
        </w:tc>
      </w:tr>
      <w:tr w:rsidR="005F4E77" w:rsidRPr="005F4E77" w:rsidTr="004D366C">
        <w:trPr>
          <w:trHeight w:hRule="exact" w:val="284"/>
        </w:trPr>
        <w:tc>
          <w:tcPr>
            <w:tcW w:w="1279" w:type="pct"/>
            <w:vAlign w:val="center"/>
          </w:tcPr>
          <w:p w:rsidR="005F4E77" w:rsidRPr="005F4E77" w:rsidRDefault="005F4E77" w:rsidP="004D366C">
            <w:r w:rsidRPr="005F4E77">
              <w:t>Ativo Total</w:t>
            </w:r>
          </w:p>
        </w:tc>
        <w:tc>
          <w:tcPr>
            <w:tcW w:w="992" w:type="pct"/>
            <w:vAlign w:val="center"/>
          </w:tcPr>
          <w:p w:rsidR="005F4E77" w:rsidRPr="005F4E77" w:rsidRDefault="005F4E77" w:rsidP="004D366C">
            <w:pPr>
              <w:jc w:val="right"/>
            </w:pPr>
            <w:r w:rsidRPr="005F4E77">
              <w:t>-0,0000005</w:t>
            </w:r>
          </w:p>
        </w:tc>
        <w:tc>
          <w:tcPr>
            <w:tcW w:w="916" w:type="pct"/>
            <w:gridSpan w:val="2"/>
            <w:vAlign w:val="center"/>
          </w:tcPr>
          <w:p w:rsidR="005F4E77" w:rsidRPr="005F4E77" w:rsidRDefault="005F4E77" w:rsidP="004D366C">
            <w:pPr>
              <w:jc w:val="right"/>
            </w:pPr>
            <w:r w:rsidRPr="005F4E77">
              <w:t>0,0000122</w:t>
            </w:r>
          </w:p>
        </w:tc>
        <w:tc>
          <w:tcPr>
            <w:tcW w:w="883" w:type="pct"/>
            <w:vAlign w:val="center"/>
          </w:tcPr>
          <w:p w:rsidR="005F4E77" w:rsidRPr="005F4E77" w:rsidRDefault="005F4E77" w:rsidP="004D366C">
            <w:pPr>
              <w:jc w:val="center"/>
            </w:pPr>
            <w:r w:rsidRPr="005F4E77">
              <w:t>-0,44</w:t>
            </w:r>
          </w:p>
        </w:tc>
        <w:tc>
          <w:tcPr>
            <w:tcW w:w="930" w:type="pct"/>
            <w:vAlign w:val="center"/>
          </w:tcPr>
          <w:p w:rsidR="005F4E77" w:rsidRPr="005F4E77" w:rsidRDefault="005F4E77" w:rsidP="004D366C">
            <w:pPr>
              <w:jc w:val="center"/>
            </w:pPr>
            <w:r w:rsidRPr="005F4E77">
              <w:t>0,662</w:t>
            </w:r>
          </w:p>
        </w:tc>
      </w:tr>
      <w:tr w:rsidR="005F4E77" w:rsidRPr="005F4E77" w:rsidTr="004D366C">
        <w:trPr>
          <w:trHeight w:hRule="exact" w:val="284"/>
        </w:trPr>
        <w:tc>
          <w:tcPr>
            <w:tcW w:w="1279" w:type="pct"/>
            <w:vAlign w:val="center"/>
          </w:tcPr>
          <w:p w:rsidR="005F4E77" w:rsidRPr="005F4E77" w:rsidRDefault="005F4E77" w:rsidP="004D366C">
            <w:r w:rsidRPr="005F4E77">
              <w:t>Intangibilidade</w:t>
            </w:r>
          </w:p>
        </w:tc>
        <w:tc>
          <w:tcPr>
            <w:tcW w:w="992" w:type="pct"/>
            <w:vAlign w:val="center"/>
          </w:tcPr>
          <w:p w:rsidR="005F4E77" w:rsidRPr="005F4E77" w:rsidRDefault="005F4E77" w:rsidP="004D366C">
            <w:pPr>
              <w:jc w:val="right"/>
            </w:pPr>
            <w:r w:rsidRPr="005F4E77">
              <w:t>-0,773915</w:t>
            </w:r>
          </w:p>
        </w:tc>
        <w:tc>
          <w:tcPr>
            <w:tcW w:w="916" w:type="pct"/>
            <w:gridSpan w:val="2"/>
            <w:vAlign w:val="center"/>
          </w:tcPr>
          <w:p w:rsidR="005F4E77" w:rsidRPr="005F4E77" w:rsidRDefault="005F4E77" w:rsidP="004D366C">
            <w:pPr>
              <w:jc w:val="right"/>
            </w:pPr>
            <w:r w:rsidRPr="005F4E77">
              <w:t>0,2682335</w:t>
            </w:r>
          </w:p>
        </w:tc>
        <w:tc>
          <w:tcPr>
            <w:tcW w:w="883" w:type="pct"/>
            <w:vAlign w:val="center"/>
          </w:tcPr>
          <w:p w:rsidR="005F4E77" w:rsidRPr="005F4E77" w:rsidRDefault="005F4E77" w:rsidP="004D366C">
            <w:pPr>
              <w:jc w:val="center"/>
            </w:pPr>
            <w:r w:rsidRPr="005F4E77">
              <w:t>-2,89</w:t>
            </w:r>
          </w:p>
        </w:tc>
        <w:tc>
          <w:tcPr>
            <w:tcW w:w="930" w:type="pct"/>
            <w:vAlign w:val="center"/>
          </w:tcPr>
          <w:p w:rsidR="005F4E77" w:rsidRPr="005F4E77" w:rsidRDefault="005F4E77" w:rsidP="004D366C">
            <w:pPr>
              <w:jc w:val="center"/>
            </w:pPr>
            <w:r w:rsidRPr="005F4E77">
              <w:t>0,006</w:t>
            </w:r>
          </w:p>
        </w:tc>
      </w:tr>
      <w:tr w:rsidR="005F4E77" w:rsidRPr="005F4E77" w:rsidTr="004D366C">
        <w:trPr>
          <w:trHeight w:hRule="exact" w:val="284"/>
        </w:trPr>
        <w:tc>
          <w:tcPr>
            <w:tcW w:w="1279" w:type="pct"/>
            <w:tcBorders>
              <w:bottom w:val="single" w:sz="12" w:space="0" w:color="auto"/>
            </w:tcBorders>
            <w:vAlign w:val="center"/>
          </w:tcPr>
          <w:p w:rsidR="005F4E77" w:rsidRPr="005F4E77" w:rsidRDefault="005F4E77" w:rsidP="004D366C">
            <w:r w:rsidRPr="005F4E77">
              <w:t>Auditoria</w:t>
            </w:r>
          </w:p>
        </w:tc>
        <w:tc>
          <w:tcPr>
            <w:tcW w:w="992" w:type="pct"/>
            <w:tcBorders>
              <w:bottom w:val="single" w:sz="12" w:space="0" w:color="auto"/>
            </w:tcBorders>
            <w:vAlign w:val="center"/>
          </w:tcPr>
          <w:p w:rsidR="005F4E77" w:rsidRPr="005F4E77" w:rsidRDefault="005F4E77" w:rsidP="004D366C">
            <w:pPr>
              <w:jc w:val="right"/>
            </w:pPr>
            <w:r w:rsidRPr="005F4E77">
              <w:t>-2,666001</w:t>
            </w:r>
          </w:p>
        </w:tc>
        <w:tc>
          <w:tcPr>
            <w:tcW w:w="916" w:type="pct"/>
            <w:gridSpan w:val="2"/>
            <w:tcBorders>
              <w:bottom w:val="single" w:sz="12" w:space="0" w:color="auto"/>
            </w:tcBorders>
            <w:vAlign w:val="center"/>
          </w:tcPr>
          <w:p w:rsidR="005F4E77" w:rsidRPr="005F4E77" w:rsidRDefault="005F4E77" w:rsidP="004D366C">
            <w:pPr>
              <w:jc w:val="right"/>
            </w:pPr>
            <w:r w:rsidRPr="005F4E77">
              <w:t>4,626522</w:t>
            </w:r>
          </w:p>
        </w:tc>
        <w:tc>
          <w:tcPr>
            <w:tcW w:w="883" w:type="pct"/>
            <w:tcBorders>
              <w:bottom w:val="single" w:sz="12" w:space="0" w:color="auto"/>
            </w:tcBorders>
            <w:vAlign w:val="center"/>
          </w:tcPr>
          <w:p w:rsidR="005F4E77" w:rsidRPr="005F4E77" w:rsidRDefault="005F4E77" w:rsidP="004D366C">
            <w:pPr>
              <w:jc w:val="center"/>
            </w:pPr>
            <w:r w:rsidRPr="005F4E77">
              <w:t>-0,58</w:t>
            </w:r>
          </w:p>
        </w:tc>
        <w:tc>
          <w:tcPr>
            <w:tcW w:w="930" w:type="pct"/>
            <w:tcBorders>
              <w:bottom w:val="single" w:sz="12" w:space="0" w:color="auto"/>
            </w:tcBorders>
            <w:vAlign w:val="center"/>
          </w:tcPr>
          <w:p w:rsidR="005F4E77" w:rsidRPr="005F4E77" w:rsidRDefault="005F4E77" w:rsidP="004D366C">
            <w:pPr>
              <w:jc w:val="center"/>
            </w:pPr>
            <w:r w:rsidRPr="005F4E77">
              <w:t>0,567</w:t>
            </w:r>
          </w:p>
        </w:tc>
      </w:tr>
      <w:tr w:rsidR="005F4E77" w:rsidRPr="005F4E77" w:rsidTr="004D366C">
        <w:trPr>
          <w:trHeight w:hRule="exact" w:val="284"/>
        </w:trPr>
        <w:tc>
          <w:tcPr>
            <w:tcW w:w="5000" w:type="pct"/>
            <w:gridSpan w:val="6"/>
            <w:tcBorders>
              <w:top w:val="single" w:sz="12" w:space="0" w:color="auto"/>
              <w:bottom w:val="single" w:sz="12" w:space="0" w:color="auto"/>
            </w:tcBorders>
            <w:vAlign w:val="center"/>
          </w:tcPr>
          <w:p w:rsidR="005F4E77" w:rsidRPr="005F4E77" w:rsidRDefault="005F4E77" w:rsidP="004D366C">
            <w:pPr>
              <w:jc w:val="center"/>
              <w:rPr>
                <w:b/>
              </w:rPr>
            </w:pPr>
            <w:r w:rsidRPr="005F4E77">
              <w:rPr>
                <w:b/>
              </w:rPr>
              <w:t>Painel B</w:t>
            </w:r>
          </w:p>
        </w:tc>
      </w:tr>
      <w:tr w:rsidR="005F4E77" w:rsidRPr="005F4E77" w:rsidTr="004D366C">
        <w:trPr>
          <w:trHeight w:hRule="exact" w:val="284"/>
        </w:trPr>
        <w:tc>
          <w:tcPr>
            <w:tcW w:w="1279" w:type="pct"/>
            <w:tcBorders>
              <w:top w:val="single" w:sz="12" w:space="0" w:color="auto"/>
            </w:tcBorders>
            <w:vAlign w:val="center"/>
          </w:tcPr>
          <w:p w:rsidR="005F4E77" w:rsidRPr="005F4E77" w:rsidRDefault="005F4E77" w:rsidP="004D366C">
            <w:pPr>
              <w:jc w:val="center"/>
            </w:pPr>
            <w:r w:rsidRPr="005F4E77">
              <w:t xml:space="preserve">R² </w:t>
            </w:r>
            <w:r w:rsidRPr="005F4E77">
              <w:rPr>
                <w:lang w:val="en-US"/>
              </w:rPr>
              <w:t>within</w:t>
            </w:r>
          </w:p>
        </w:tc>
        <w:tc>
          <w:tcPr>
            <w:tcW w:w="1298" w:type="pct"/>
            <w:gridSpan w:val="2"/>
            <w:tcBorders>
              <w:top w:val="single" w:sz="12" w:space="0" w:color="auto"/>
            </w:tcBorders>
            <w:vAlign w:val="center"/>
          </w:tcPr>
          <w:p w:rsidR="005F4E77" w:rsidRPr="005F4E77" w:rsidRDefault="005F4E77" w:rsidP="004D366C">
            <w:pPr>
              <w:jc w:val="center"/>
            </w:pPr>
            <w:r w:rsidRPr="005F4E77">
              <w:t>0,3607</w:t>
            </w:r>
          </w:p>
        </w:tc>
        <w:tc>
          <w:tcPr>
            <w:tcW w:w="1493" w:type="pct"/>
            <w:gridSpan w:val="2"/>
            <w:tcBorders>
              <w:top w:val="single" w:sz="12" w:space="0" w:color="auto"/>
            </w:tcBorders>
            <w:vAlign w:val="center"/>
          </w:tcPr>
          <w:p w:rsidR="005F4E77" w:rsidRPr="005F4E77" w:rsidRDefault="005F4E77" w:rsidP="004D366C">
            <w:pPr>
              <w:jc w:val="center"/>
            </w:pPr>
            <w:r w:rsidRPr="005F4E77">
              <w:t>Número de observações</w:t>
            </w:r>
          </w:p>
        </w:tc>
        <w:tc>
          <w:tcPr>
            <w:tcW w:w="930" w:type="pct"/>
            <w:tcBorders>
              <w:top w:val="single" w:sz="12" w:space="0" w:color="auto"/>
            </w:tcBorders>
            <w:vAlign w:val="center"/>
          </w:tcPr>
          <w:p w:rsidR="005F4E77" w:rsidRPr="005F4E77" w:rsidRDefault="005F4E77" w:rsidP="004D366C">
            <w:pPr>
              <w:jc w:val="center"/>
            </w:pPr>
            <w:r w:rsidRPr="005F4E77">
              <w:t>93</w:t>
            </w:r>
          </w:p>
        </w:tc>
      </w:tr>
      <w:tr w:rsidR="005F4E77" w:rsidRPr="005F4E77" w:rsidTr="004D366C">
        <w:trPr>
          <w:trHeight w:hRule="exact" w:val="284"/>
        </w:trPr>
        <w:tc>
          <w:tcPr>
            <w:tcW w:w="1279" w:type="pct"/>
            <w:vAlign w:val="center"/>
          </w:tcPr>
          <w:p w:rsidR="005F4E77" w:rsidRPr="005F4E77" w:rsidRDefault="005F4E77" w:rsidP="004D366C">
            <w:pPr>
              <w:jc w:val="center"/>
            </w:pPr>
            <w:r w:rsidRPr="005F4E77">
              <w:t xml:space="preserve">R² </w:t>
            </w:r>
            <w:r w:rsidRPr="005F4E77">
              <w:rPr>
                <w:lang w:val="en-US"/>
              </w:rPr>
              <w:t>between</w:t>
            </w:r>
          </w:p>
        </w:tc>
        <w:tc>
          <w:tcPr>
            <w:tcW w:w="1298" w:type="pct"/>
            <w:gridSpan w:val="2"/>
            <w:vAlign w:val="center"/>
          </w:tcPr>
          <w:p w:rsidR="005F4E77" w:rsidRPr="005F4E77" w:rsidRDefault="005F4E77" w:rsidP="004D366C">
            <w:pPr>
              <w:jc w:val="center"/>
            </w:pPr>
            <w:r w:rsidRPr="005F4E77">
              <w:t>0,1187</w:t>
            </w:r>
          </w:p>
        </w:tc>
        <w:tc>
          <w:tcPr>
            <w:tcW w:w="1493" w:type="pct"/>
            <w:gridSpan w:val="2"/>
            <w:vAlign w:val="center"/>
          </w:tcPr>
          <w:p w:rsidR="005F4E77" w:rsidRPr="005F4E77" w:rsidRDefault="005F4E77" w:rsidP="004D366C">
            <w:pPr>
              <w:jc w:val="center"/>
            </w:pPr>
            <w:r w:rsidRPr="005F4E77">
              <w:t>Teste F</w:t>
            </w:r>
          </w:p>
        </w:tc>
        <w:tc>
          <w:tcPr>
            <w:tcW w:w="930" w:type="pct"/>
            <w:vAlign w:val="center"/>
          </w:tcPr>
          <w:p w:rsidR="005F4E77" w:rsidRPr="005F4E77" w:rsidRDefault="005F4E77" w:rsidP="004D366C">
            <w:pPr>
              <w:jc w:val="center"/>
            </w:pPr>
            <w:r w:rsidRPr="005F4E77">
              <w:t>4,59</w:t>
            </w:r>
          </w:p>
        </w:tc>
      </w:tr>
      <w:tr w:rsidR="005F4E77" w:rsidRPr="005F4E77" w:rsidTr="004D366C">
        <w:trPr>
          <w:trHeight w:hRule="exact" w:val="284"/>
        </w:trPr>
        <w:tc>
          <w:tcPr>
            <w:tcW w:w="1279" w:type="pct"/>
            <w:tcBorders>
              <w:bottom w:val="single" w:sz="12" w:space="0" w:color="auto"/>
            </w:tcBorders>
            <w:vAlign w:val="center"/>
          </w:tcPr>
          <w:p w:rsidR="005F4E77" w:rsidRPr="005F4E77" w:rsidRDefault="005F4E77" w:rsidP="004D366C">
            <w:pPr>
              <w:jc w:val="center"/>
            </w:pPr>
            <w:r w:rsidRPr="005F4E77">
              <w:t>R² overall</w:t>
            </w:r>
          </w:p>
        </w:tc>
        <w:tc>
          <w:tcPr>
            <w:tcW w:w="1298" w:type="pct"/>
            <w:gridSpan w:val="2"/>
            <w:tcBorders>
              <w:bottom w:val="single" w:sz="12" w:space="0" w:color="auto"/>
            </w:tcBorders>
            <w:vAlign w:val="center"/>
          </w:tcPr>
          <w:p w:rsidR="005F4E77" w:rsidRPr="005F4E77" w:rsidRDefault="005F4E77" w:rsidP="004D366C">
            <w:pPr>
              <w:jc w:val="center"/>
            </w:pPr>
            <w:r w:rsidRPr="005F4E77">
              <w:t>0,1169</w:t>
            </w:r>
          </w:p>
        </w:tc>
        <w:tc>
          <w:tcPr>
            <w:tcW w:w="1493" w:type="pct"/>
            <w:gridSpan w:val="2"/>
            <w:tcBorders>
              <w:bottom w:val="single" w:sz="12" w:space="0" w:color="auto"/>
            </w:tcBorders>
            <w:vAlign w:val="center"/>
          </w:tcPr>
          <w:p w:rsidR="005F4E77" w:rsidRPr="005F4E77" w:rsidRDefault="005F4E77" w:rsidP="004D366C">
            <w:pPr>
              <w:jc w:val="center"/>
            </w:pPr>
            <w:proofErr w:type="gramStart"/>
            <w:r w:rsidRPr="005F4E77">
              <w:t>p</w:t>
            </w:r>
            <w:proofErr w:type="gramEnd"/>
            <w:r w:rsidRPr="005F4E77">
              <w:t>-</w:t>
            </w:r>
            <w:r w:rsidRPr="005F4E77">
              <w:rPr>
                <w:i/>
              </w:rPr>
              <w:t>value</w:t>
            </w:r>
            <w:r w:rsidRPr="005F4E77">
              <w:t xml:space="preserve"> F</w:t>
            </w:r>
          </w:p>
        </w:tc>
        <w:tc>
          <w:tcPr>
            <w:tcW w:w="930" w:type="pct"/>
            <w:tcBorders>
              <w:bottom w:val="single" w:sz="12" w:space="0" w:color="auto"/>
            </w:tcBorders>
            <w:vAlign w:val="center"/>
          </w:tcPr>
          <w:p w:rsidR="005F4E77" w:rsidRPr="005F4E77" w:rsidRDefault="005F4E77" w:rsidP="004D366C">
            <w:pPr>
              <w:jc w:val="center"/>
            </w:pPr>
            <w:r w:rsidRPr="005F4E77">
              <w:t>0,0004</w:t>
            </w:r>
          </w:p>
        </w:tc>
      </w:tr>
    </w:tbl>
    <w:p w:rsidR="005F4E77" w:rsidRPr="005F4E77" w:rsidRDefault="005F4E77" w:rsidP="005F4E77">
      <w:pPr>
        <w:jc w:val="both"/>
      </w:pPr>
      <w:r w:rsidRPr="005F4E77">
        <w:t>Fonte: dados da pesquisa (2018).</w:t>
      </w:r>
    </w:p>
    <w:p w:rsidR="005F4E77" w:rsidRPr="005F4E77" w:rsidRDefault="005F4E77" w:rsidP="005F4E77">
      <w:pPr>
        <w:ind w:firstLine="709"/>
        <w:jc w:val="both"/>
        <w:rPr>
          <w:sz w:val="24"/>
          <w:szCs w:val="24"/>
        </w:rPr>
      </w:pPr>
      <w:r w:rsidRPr="005F4E77">
        <w:rPr>
          <w:sz w:val="24"/>
          <w:szCs w:val="24"/>
        </w:rPr>
        <w:t>O modelo foi estatisticamente significativo, em virtude do p-</w:t>
      </w:r>
      <w:r w:rsidRPr="005F4E77">
        <w:rPr>
          <w:i/>
          <w:sz w:val="24"/>
          <w:szCs w:val="24"/>
        </w:rPr>
        <w:t>value</w:t>
      </w:r>
      <w:r w:rsidRPr="005F4E77">
        <w:rPr>
          <w:sz w:val="24"/>
          <w:szCs w:val="24"/>
        </w:rPr>
        <w:t xml:space="preserve"> do teste F ser inferior a 5%. Em relação ao poder explicativo, 11,69%, foi baixo. O estudo de Mota, Brandão e Ponte (2016) </w:t>
      </w:r>
      <w:proofErr w:type="gramStart"/>
      <w:r w:rsidRPr="005F4E77">
        <w:rPr>
          <w:sz w:val="24"/>
          <w:szCs w:val="24"/>
        </w:rPr>
        <w:t>resultou</w:t>
      </w:r>
      <w:proofErr w:type="gramEnd"/>
      <w:r w:rsidRPr="005F4E77">
        <w:rPr>
          <w:sz w:val="24"/>
          <w:szCs w:val="24"/>
        </w:rPr>
        <w:t xml:space="preserve"> num poder explicativo de 37,11%, porém a variável dependente foi a materialidade do intangível, aqui utilizada como uma das variáveis explicativas (percentual de intangibilidade).</w:t>
      </w:r>
    </w:p>
    <w:p w:rsidR="008926AB" w:rsidRDefault="005F4E77" w:rsidP="005F4E77">
      <w:pPr>
        <w:ind w:firstLine="709"/>
        <w:jc w:val="both"/>
        <w:rPr>
          <w:sz w:val="24"/>
          <w:szCs w:val="24"/>
        </w:rPr>
      </w:pPr>
      <w:proofErr w:type="gramStart"/>
      <w:r w:rsidRPr="005F4E77">
        <w:rPr>
          <w:sz w:val="24"/>
          <w:szCs w:val="24"/>
        </w:rPr>
        <w:t>As variáveis receita</w:t>
      </w:r>
      <w:proofErr w:type="gramEnd"/>
      <w:r w:rsidRPr="005F4E77">
        <w:rPr>
          <w:sz w:val="24"/>
          <w:szCs w:val="24"/>
        </w:rPr>
        <w:t xml:space="preserve"> líquida, ativo total e auditoria não foram significativas estatisticamente, de forma que não podem ser associadas ao nível de evidenciação no intangível. Com relação à variável </w:t>
      </w:r>
      <w:proofErr w:type="spellStart"/>
      <w:r w:rsidRPr="005F4E77">
        <w:rPr>
          <w:i/>
          <w:sz w:val="24"/>
          <w:szCs w:val="24"/>
        </w:rPr>
        <w:t>dummy</w:t>
      </w:r>
      <w:proofErr w:type="spellEnd"/>
      <w:r w:rsidRPr="005F4E77">
        <w:rPr>
          <w:i/>
          <w:sz w:val="24"/>
          <w:szCs w:val="24"/>
        </w:rPr>
        <w:t xml:space="preserve"> </w:t>
      </w:r>
      <w:r w:rsidRPr="005F4E77">
        <w:rPr>
          <w:sz w:val="24"/>
          <w:szCs w:val="24"/>
        </w:rPr>
        <w:t>de auditoria</w:t>
      </w:r>
      <w:r w:rsidR="008926AB">
        <w:rPr>
          <w:sz w:val="24"/>
          <w:szCs w:val="24"/>
        </w:rPr>
        <w:t>,</w:t>
      </w:r>
      <w:r w:rsidRPr="005F4E77">
        <w:rPr>
          <w:sz w:val="24"/>
          <w:szCs w:val="24"/>
        </w:rPr>
        <w:t xml:space="preserve"> praticamente todos os clubes apresentaram, sendo posto “um” em 86 de 93 clubes, o que demonstra que </w:t>
      </w:r>
      <w:proofErr w:type="gramStart"/>
      <w:r w:rsidRPr="005F4E77">
        <w:rPr>
          <w:sz w:val="24"/>
          <w:szCs w:val="24"/>
        </w:rPr>
        <w:t xml:space="preserve">a maior parte dos </w:t>
      </w:r>
      <w:r w:rsidRPr="005F4E77">
        <w:rPr>
          <w:sz w:val="24"/>
          <w:szCs w:val="24"/>
        </w:rPr>
        <w:lastRenderedPageBreak/>
        <w:t>clubes tendem</w:t>
      </w:r>
      <w:proofErr w:type="gramEnd"/>
      <w:r w:rsidRPr="005F4E77">
        <w:rPr>
          <w:sz w:val="24"/>
          <w:szCs w:val="24"/>
        </w:rPr>
        <w:t xml:space="preserve"> a apresentar o parecer de auditoria. </w:t>
      </w:r>
      <w:r w:rsidR="008926AB">
        <w:rPr>
          <w:sz w:val="24"/>
          <w:szCs w:val="24"/>
        </w:rPr>
        <w:t xml:space="preserve">Os clubes que não evidenciaram foram: </w:t>
      </w:r>
      <w:r w:rsidRPr="005F4E77">
        <w:rPr>
          <w:sz w:val="24"/>
          <w:szCs w:val="24"/>
        </w:rPr>
        <w:t>Náutico e Vasco da Gama</w:t>
      </w:r>
      <w:r w:rsidR="008926AB">
        <w:rPr>
          <w:sz w:val="24"/>
          <w:szCs w:val="24"/>
        </w:rPr>
        <w:t xml:space="preserve">, em 2013; Flamengo, Santa Cruz e Santos, em 2014; e </w:t>
      </w:r>
      <w:r w:rsidRPr="005F4E77">
        <w:rPr>
          <w:sz w:val="24"/>
          <w:szCs w:val="24"/>
        </w:rPr>
        <w:t xml:space="preserve">América – MG e Paysandu </w:t>
      </w:r>
      <w:r w:rsidR="008926AB">
        <w:rPr>
          <w:sz w:val="24"/>
          <w:szCs w:val="24"/>
        </w:rPr>
        <w:t>em 2016.</w:t>
      </w:r>
    </w:p>
    <w:p w:rsidR="005F4E77" w:rsidRPr="005F4E77" w:rsidRDefault="005F4E77" w:rsidP="005F4E77">
      <w:pPr>
        <w:ind w:firstLine="709"/>
        <w:jc w:val="both"/>
        <w:rPr>
          <w:sz w:val="24"/>
          <w:szCs w:val="24"/>
        </w:rPr>
      </w:pPr>
      <w:r w:rsidRPr="005F4E77">
        <w:rPr>
          <w:sz w:val="24"/>
          <w:szCs w:val="24"/>
        </w:rPr>
        <w:t xml:space="preserve">O fato da receita não ser </w:t>
      </w:r>
      <w:r w:rsidR="008926AB">
        <w:rPr>
          <w:sz w:val="24"/>
          <w:szCs w:val="24"/>
        </w:rPr>
        <w:t xml:space="preserve">estatisticamente </w:t>
      </w:r>
      <w:r w:rsidRPr="005F4E77">
        <w:rPr>
          <w:sz w:val="24"/>
          <w:szCs w:val="24"/>
        </w:rPr>
        <w:t>significa</w:t>
      </w:r>
      <w:r w:rsidR="008926AB">
        <w:rPr>
          <w:sz w:val="24"/>
          <w:szCs w:val="24"/>
        </w:rPr>
        <w:t>n</w:t>
      </w:r>
      <w:r w:rsidRPr="005F4E77">
        <w:rPr>
          <w:sz w:val="24"/>
          <w:szCs w:val="24"/>
        </w:rPr>
        <w:t xml:space="preserve">te divergem dos resultados de Holanda </w:t>
      </w:r>
      <w:proofErr w:type="gramStart"/>
      <w:r w:rsidRPr="005F4E77">
        <w:rPr>
          <w:iCs/>
          <w:sz w:val="24"/>
          <w:szCs w:val="24"/>
        </w:rPr>
        <w:t>et</w:t>
      </w:r>
      <w:proofErr w:type="gramEnd"/>
      <w:r w:rsidRPr="005F4E77">
        <w:rPr>
          <w:iCs/>
          <w:sz w:val="24"/>
          <w:szCs w:val="24"/>
        </w:rPr>
        <w:t xml:space="preserve"> al</w:t>
      </w:r>
      <w:r w:rsidRPr="005F4E77">
        <w:rPr>
          <w:sz w:val="24"/>
          <w:szCs w:val="24"/>
        </w:rPr>
        <w:t xml:space="preserve">. (2012) que estudaram os anos de 2006 a 2009 e de Cordeiro (2014) que analisou o ano de 2012, </w:t>
      </w:r>
      <w:r w:rsidR="00006992">
        <w:rPr>
          <w:sz w:val="24"/>
          <w:szCs w:val="24"/>
        </w:rPr>
        <w:t>que</w:t>
      </w:r>
      <w:r w:rsidRPr="005F4E77">
        <w:rPr>
          <w:sz w:val="24"/>
          <w:szCs w:val="24"/>
        </w:rPr>
        <w:t xml:space="preserve"> encontraram o resultado de que quanto maior a receita, maior foi o nível de evidenciação realizado pelos clubes analisados pelos referidos autores.</w:t>
      </w:r>
    </w:p>
    <w:p w:rsidR="005F4E77" w:rsidRPr="005F4E77" w:rsidRDefault="005F4E77" w:rsidP="005F4E77">
      <w:pPr>
        <w:ind w:firstLine="709"/>
        <w:jc w:val="both"/>
        <w:rPr>
          <w:color w:val="000000"/>
          <w:sz w:val="24"/>
          <w:szCs w:val="24"/>
        </w:rPr>
      </w:pPr>
      <w:r w:rsidRPr="005F4E77">
        <w:rPr>
          <w:color w:val="000000"/>
          <w:sz w:val="24"/>
          <w:szCs w:val="24"/>
        </w:rPr>
        <w:t>Em relação ao modelo, observada pelo p-</w:t>
      </w:r>
      <w:r w:rsidRPr="005F4E77">
        <w:rPr>
          <w:i/>
          <w:color w:val="000000"/>
          <w:sz w:val="24"/>
          <w:szCs w:val="24"/>
        </w:rPr>
        <w:t>value</w:t>
      </w:r>
      <w:r w:rsidRPr="005F4E77">
        <w:rPr>
          <w:color w:val="000000"/>
          <w:sz w:val="24"/>
          <w:szCs w:val="24"/>
        </w:rPr>
        <w:t xml:space="preserve"> do teste T, </w:t>
      </w:r>
      <w:proofErr w:type="gramStart"/>
      <w:r w:rsidRPr="005F4E77">
        <w:rPr>
          <w:color w:val="000000"/>
          <w:sz w:val="24"/>
          <w:szCs w:val="24"/>
        </w:rPr>
        <w:t>as variáveis resultado</w:t>
      </w:r>
      <w:proofErr w:type="gramEnd"/>
      <w:r w:rsidRPr="005F4E77">
        <w:rPr>
          <w:color w:val="000000"/>
          <w:sz w:val="24"/>
          <w:szCs w:val="24"/>
        </w:rPr>
        <w:t xml:space="preserve"> líquido e patrimônio líquido foram estatisticamente significativa a 10% e 5%, respectivamente. Já </w:t>
      </w:r>
      <w:proofErr w:type="gramStart"/>
      <w:r w:rsidRPr="005F4E77">
        <w:rPr>
          <w:color w:val="000000"/>
          <w:sz w:val="24"/>
          <w:szCs w:val="24"/>
        </w:rPr>
        <w:t>as variáveis ativo</w:t>
      </w:r>
      <w:proofErr w:type="gramEnd"/>
      <w:r w:rsidRPr="005F4E77">
        <w:rPr>
          <w:color w:val="000000"/>
          <w:sz w:val="24"/>
          <w:szCs w:val="24"/>
        </w:rPr>
        <w:t xml:space="preserve"> intangível e percentual de intangibilidade tiveram significância estatística de 1</w:t>
      </w:r>
      <w:r w:rsidRPr="005F4E77">
        <w:rPr>
          <w:sz w:val="24"/>
          <w:szCs w:val="24"/>
        </w:rPr>
        <w:t>%. Contudo, apesar</w:t>
      </w:r>
      <w:r w:rsidRPr="005F4E77">
        <w:rPr>
          <w:color w:val="000000"/>
          <w:sz w:val="24"/>
          <w:szCs w:val="24"/>
        </w:rPr>
        <w:t xml:space="preserve"> de serem válidas no modelo, as variáveis que possuem associação positiva com o nível de evidenciação são apenas o resultado líquido e o ativo intangível, visto que os sinais dos seus coeficientes são ambos positivos, ao contrário do patrimônio líquido e intangibilidade que tiveram o sinal oposto.</w:t>
      </w:r>
    </w:p>
    <w:p w:rsidR="005F4E77" w:rsidRPr="005F4E77" w:rsidRDefault="005F4E77" w:rsidP="005F4E77">
      <w:pPr>
        <w:ind w:firstLine="709"/>
        <w:jc w:val="both"/>
        <w:rPr>
          <w:sz w:val="24"/>
          <w:szCs w:val="24"/>
        </w:rPr>
      </w:pPr>
      <w:r w:rsidRPr="005F4E77">
        <w:rPr>
          <w:sz w:val="24"/>
          <w:szCs w:val="24"/>
        </w:rPr>
        <w:t xml:space="preserve">Conclui-se, portanto, que quanto maior o resultado líquido do clube, mais informações ele divulga, visto que pelos coeficientes a cada um mil reais em resultado, o nível de evidenciação tende a aumentar 0,60%. </w:t>
      </w:r>
    </w:p>
    <w:p w:rsidR="005F4E77" w:rsidRPr="005F4E77" w:rsidRDefault="005F4E77" w:rsidP="005F4E77">
      <w:pPr>
        <w:jc w:val="both"/>
        <w:rPr>
          <w:b/>
          <w:sz w:val="24"/>
          <w:szCs w:val="24"/>
        </w:rPr>
      </w:pPr>
    </w:p>
    <w:p w:rsidR="005F4E77" w:rsidRPr="005F4E77" w:rsidRDefault="005F4E77" w:rsidP="005F4E77">
      <w:pPr>
        <w:jc w:val="both"/>
        <w:rPr>
          <w:b/>
          <w:sz w:val="24"/>
          <w:szCs w:val="24"/>
        </w:rPr>
      </w:pPr>
      <w:proofErr w:type="gramStart"/>
      <w:r w:rsidRPr="005F4E77">
        <w:rPr>
          <w:b/>
          <w:sz w:val="24"/>
          <w:szCs w:val="24"/>
        </w:rPr>
        <w:t>5</w:t>
      </w:r>
      <w:proofErr w:type="gramEnd"/>
      <w:r w:rsidRPr="005F4E77">
        <w:rPr>
          <w:b/>
          <w:sz w:val="24"/>
          <w:szCs w:val="24"/>
        </w:rPr>
        <w:t xml:space="preserve"> CONCLUSÕES </w:t>
      </w:r>
    </w:p>
    <w:p w:rsidR="005F4E77" w:rsidRPr="005F4E77" w:rsidRDefault="005F4E77" w:rsidP="005F4E77">
      <w:pPr>
        <w:ind w:firstLine="709"/>
        <w:jc w:val="both"/>
        <w:rPr>
          <w:sz w:val="24"/>
          <w:szCs w:val="24"/>
        </w:rPr>
      </w:pPr>
      <w:r w:rsidRPr="005F4E77">
        <w:rPr>
          <w:sz w:val="24"/>
          <w:szCs w:val="24"/>
        </w:rPr>
        <w:t>Com intuito de verificar se os clubes de futebol estão classificando seus atletas adequadamente, e se estão de acordo com a legislação, o objetivo desta pesquisa foi verificar a associação entre o nível de evidenciação dos ativos intan</w:t>
      </w:r>
      <w:r w:rsidR="00006992">
        <w:rPr>
          <w:sz w:val="24"/>
          <w:szCs w:val="24"/>
        </w:rPr>
        <w:t>gíveis e o desempenho econômico-</w:t>
      </w:r>
      <w:r w:rsidRPr="005F4E77">
        <w:rPr>
          <w:sz w:val="24"/>
          <w:szCs w:val="24"/>
        </w:rPr>
        <w:t xml:space="preserve">financeiro dos clubes de futebol brasileiros. </w:t>
      </w:r>
    </w:p>
    <w:p w:rsidR="005F4E77" w:rsidRPr="005F4E77" w:rsidRDefault="005F4E77" w:rsidP="005F4E77">
      <w:pPr>
        <w:ind w:firstLine="709"/>
        <w:jc w:val="both"/>
        <w:rPr>
          <w:sz w:val="24"/>
          <w:szCs w:val="24"/>
        </w:rPr>
      </w:pPr>
      <w:r w:rsidRPr="005F4E77">
        <w:rPr>
          <w:sz w:val="24"/>
          <w:szCs w:val="24"/>
        </w:rPr>
        <w:t>Apesar de alguns clubes não terem divulgado seus balanços ou se divulgaram</w:t>
      </w:r>
      <w:r w:rsidR="00006992">
        <w:rPr>
          <w:sz w:val="24"/>
          <w:szCs w:val="24"/>
        </w:rPr>
        <w:t>,</w:t>
      </w:r>
      <w:r w:rsidRPr="005F4E77">
        <w:rPr>
          <w:sz w:val="24"/>
          <w:szCs w:val="24"/>
        </w:rPr>
        <w:t xml:space="preserve"> apresentaram parcialmente o conjunto das demonstrações obrigatórias, dentre os clubes analisados, percebeu-se que os mesmos estão classificando adequadamente seus atletas, visto que em 2013 quatro clubes não estavam de acordo com a ITG 2003 R1 (2013), e em 2016 o número caiu para um. Além disso, a média de evidenciação foi de 59,64% e a mediana de 61%, o que leva a apresentação de um índice de evidenciação igual ou superior a 50% de mais da metade dos clubes ao longo dos quatro anos.</w:t>
      </w:r>
    </w:p>
    <w:p w:rsidR="005F4E77" w:rsidRPr="005F4E77" w:rsidRDefault="005F4E77" w:rsidP="005F4E77">
      <w:pPr>
        <w:ind w:firstLine="709"/>
        <w:jc w:val="both"/>
        <w:rPr>
          <w:sz w:val="24"/>
          <w:szCs w:val="24"/>
        </w:rPr>
      </w:pPr>
      <w:r w:rsidRPr="005F4E77">
        <w:rPr>
          <w:sz w:val="24"/>
          <w:szCs w:val="24"/>
        </w:rPr>
        <w:t>Apesar disso, alguns itens, como o teste de recuperabilidade e o prazo contratual dos atletas são itens que devem ser mais explorados, visto que foram pouco evidenciados pelos clubes. Alguns clubes divulgaram itens que não pertenciam à métrica, como o Balanço Social e os gastos mensais com a formação de atletas não profissionais, o que leva a conclusão que alguns clubes poderiam evidenciar mais seus intangíveis de acordo com a norma.</w:t>
      </w:r>
    </w:p>
    <w:p w:rsidR="005F4E77" w:rsidRPr="005F4E77" w:rsidRDefault="005F4E77" w:rsidP="005F4E77">
      <w:pPr>
        <w:ind w:firstLine="709"/>
        <w:jc w:val="both"/>
        <w:rPr>
          <w:sz w:val="24"/>
          <w:szCs w:val="24"/>
        </w:rPr>
      </w:pPr>
      <w:r w:rsidRPr="005F4E77">
        <w:rPr>
          <w:sz w:val="24"/>
          <w:szCs w:val="24"/>
        </w:rPr>
        <w:t>Ao fazer uma comparação entre o nível de evidenciação, patrimônio líquido, resultado líquido, receita líquida, ativo intangível, ativo total, percentual de intangibilidade e auditoria, percebeu-se uma associação positiva apenas entre as variáveis ativo intangível e resultado líquido. De forma que quanto maior o intangível do clube, maior tende a ser sua evidenciação, da mesma forma para o resultado líquido.</w:t>
      </w:r>
    </w:p>
    <w:p w:rsidR="005F4E77" w:rsidRPr="005F4E77" w:rsidRDefault="005F4E77" w:rsidP="005F4E77">
      <w:pPr>
        <w:ind w:firstLine="709"/>
        <w:jc w:val="both"/>
        <w:rPr>
          <w:sz w:val="24"/>
          <w:szCs w:val="24"/>
        </w:rPr>
      </w:pPr>
      <w:r w:rsidRPr="005F4E77">
        <w:rPr>
          <w:sz w:val="24"/>
          <w:szCs w:val="24"/>
        </w:rPr>
        <w:t xml:space="preserve">Resultado este encontrado dentre os clubes estudados, visto que comparando o maior nível de evidenciação com o maior resultado, percebe-se essa relação apenas em 2013, quando </w:t>
      </w:r>
      <w:proofErr w:type="gramStart"/>
      <w:r w:rsidRPr="005F4E77">
        <w:rPr>
          <w:sz w:val="24"/>
          <w:szCs w:val="24"/>
        </w:rPr>
        <w:t>o Santos apresentou</w:t>
      </w:r>
      <w:proofErr w:type="gramEnd"/>
      <w:r w:rsidRPr="005F4E77">
        <w:rPr>
          <w:sz w:val="24"/>
          <w:szCs w:val="24"/>
        </w:rPr>
        <w:t xml:space="preserve"> tanto o maior resultado quanto o maior nível de evidenciação. No que compete à relação entre nível de evidenciação e ativo intangível, essa associação é mais evidente, visto que o clube que obteve o maior nível de evidenciação em 2014, 2015 e 2016 </w:t>
      </w:r>
      <w:r w:rsidRPr="005F4E77">
        <w:rPr>
          <w:sz w:val="24"/>
          <w:szCs w:val="24"/>
        </w:rPr>
        <w:lastRenderedPageBreak/>
        <w:t>também possui o maior ativo intangível dentre os clubes estudados, que no caso foi o São Paulo.</w:t>
      </w:r>
    </w:p>
    <w:p w:rsidR="005F4E77" w:rsidRPr="005F4E77" w:rsidRDefault="005F4E77" w:rsidP="005F4E77">
      <w:pPr>
        <w:ind w:firstLine="709"/>
        <w:jc w:val="both"/>
        <w:rPr>
          <w:sz w:val="24"/>
          <w:szCs w:val="24"/>
        </w:rPr>
      </w:pPr>
      <w:r w:rsidRPr="005F4E77">
        <w:rPr>
          <w:sz w:val="24"/>
          <w:szCs w:val="24"/>
        </w:rPr>
        <w:t>É importante ressaltar como limitação, que os resultados e conclusões deste estudo estão limitados aos clubes e períodos analisados neste trabalho não podendo ser transpostos para outros clubes nacionais ou internacionais ou períodos anteriores ou posteriores. Além disso, está limitada a métrica, que por sua vez contemplou 14 itens da ITG 2003 R1 (2013) com foco no intangível.</w:t>
      </w:r>
    </w:p>
    <w:p w:rsidR="005F4E77" w:rsidRPr="005F4E77" w:rsidRDefault="005F4E77" w:rsidP="005F4E77">
      <w:pPr>
        <w:ind w:firstLine="709"/>
        <w:jc w:val="both"/>
        <w:rPr>
          <w:sz w:val="24"/>
          <w:szCs w:val="24"/>
        </w:rPr>
      </w:pPr>
      <w:r w:rsidRPr="005F4E77">
        <w:rPr>
          <w:sz w:val="24"/>
          <w:szCs w:val="24"/>
        </w:rPr>
        <w:t>Para trabalhos futuros, sugere-se ampliar a amostra de pesquisa com a inclusão de todos os estados brasileiros na análise, visando verificar se os mesmos estão adequados à nova legislação, bem como outros esportes. Além disso, realizar comparações entre clubes brasileiros e de outras nacionalidades.</w:t>
      </w:r>
    </w:p>
    <w:p w:rsidR="005F4E77" w:rsidRPr="005F4E77" w:rsidRDefault="005F4E77" w:rsidP="005F4E77">
      <w:pPr>
        <w:widowControl w:val="0"/>
        <w:rPr>
          <w:sz w:val="24"/>
          <w:szCs w:val="24"/>
        </w:rPr>
      </w:pPr>
    </w:p>
    <w:p w:rsidR="005F4E77" w:rsidRPr="005F4E77" w:rsidRDefault="005F4E77" w:rsidP="005F4E77">
      <w:pPr>
        <w:jc w:val="both"/>
        <w:rPr>
          <w:b/>
          <w:sz w:val="24"/>
          <w:szCs w:val="24"/>
        </w:rPr>
      </w:pPr>
      <w:r w:rsidRPr="005F4E77">
        <w:rPr>
          <w:b/>
          <w:sz w:val="24"/>
          <w:szCs w:val="24"/>
        </w:rPr>
        <w:t>REFERÊNCIAS</w:t>
      </w:r>
    </w:p>
    <w:p w:rsidR="005F4E77" w:rsidRPr="005F4E77" w:rsidRDefault="005F4E77" w:rsidP="002049C8">
      <w:pPr>
        <w:rPr>
          <w:sz w:val="24"/>
          <w:szCs w:val="24"/>
          <w:shd w:val="clear" w:color="auto" w:fill="FFFFFF"/>
        </w:rPr>
      </w:pPr>
      <w:r w:rsidRPr="005F4E77">
        <w:rPr>
          <w:sz w:val="24"/>
          <w:szCs w:val="24"/>
          <w:shd w:val="clear" w:color="auto" w:fill="FFFFFF"/>
        </w:rPr>
        <w:t xml:space="preserve">Bastos, P. S. S., Pereira, R. M., &amp; Tostes, F. P. (2007). Uma contribuição para a evidenciação do ativo </w:t>
      </w:r>
      <w:proofErr w:type="spellStart"/>
      <w:r w:rsidRPr="005F4E77">
        <w:rPr>
          <w:sz w:val="24"/>
          <w:szCs w:val="24"/>
          <w:shd w:val="clear" w:color="auto" w:fill="FFFFFF"/>
        </w:rPr>
        <w:t>intangível-atletas-dos</w:t>
      </w:r>
      <w:proofErr w:type="spellEnd"/>
      <w:r w:rsidRPr="005F4E77">
        <w:rPr>
          <w:sz w:val="24"/>
          <w:szCs w:val="24"/>
          <w:shd w:val="clear" w:color="auto" w:fill="FFFFFF"/>
        </w:rPr>
        <w:t xml:space="preserve"> clubes de futebol. </w:t>
      </w:r>
      <w:r w:rsidRPr="005F4E77">
        <w:rPr>
          <w:iCs/>
          <w:sz w:val="24"/>
          <w:szCs w:val="24"/>
          <w:shd w:val="clear" w:color="auto" w:fill="FFFFFF"/>
        </w:rPr>
        <w:t>Pensar Contábil</w:t>
      </w:r>
      <w:r w:rsidRPr="005F4E77">
        <w:rPr>
          <w:sz w:val="24"/>
          <w:szCs w:val="24"/>
          <w:shd w:val="clear" w:color="auto" w:fill="FFFFFF"/>
        </w:rPr>
        <w:t xml:space="preserve">, </w:t>
      </w:r>
      <w:r w:rsidRPr="005F4E77">
        <w:rPr>
          <w:iCs/>
          <w:sz w:val="24"/>
          <w:szCs w:val="24"/>
          <w:shd w:val="clear" w:color="auto" w:fill="FFFFFF"/>
        </w:rPr>
        <w:t>9</w:t>
      </w:r>
      <w:r w:rsidRPr="005F4E77">
        <w:rPr>
          <w:sz w:val="24"/>
          <w:szCs w:val="24"/>
          <w:shd w:val="clear" w:color="auto" w:fill="FFFFFF"/>
        </w:rPr>
        <w:t>(36).</w:t>
      </w:r>
    </w:p>
    <w:p w:rsidR="005F4E77" w:rsidRPr="005F4E77" w:rsidRDefault="005F4E77" w:rsidP="002049C8">
      <w:pPr>
        <w:rPr>
          <w:sz w:val="24"/>
          <w:szCs w:val="24"/>
        </w:rPr>
      </w:pPr>
      <w:r w:rsidRPr="005F4E77">
        <w:rPr>
          <w:sz w:val="24"/>
          <w:szCs w:val="24"/>
        </w:rPr>
        <w:t>Brasil, 1993. Lei n. 8.671 de 06 de junho de. Institui normas gerais sobre desportos e dá outras providências.</w:t>
      </w:r>
    </w:p>
    <w:p w:rsidR="005F4E77" w:rsidRPr="005F4E77" w:rsidRDefault="005F4E77" w:rsidP="002049C8">
      <w:pPr>
        <w:rPr>
          <w:sz w:val="24"/>
          <w:szCs w:val="24"/>
        </w:rPr>
      </w:pPr>
      <w:r w:rsidRPr="005F4E77">
        <w:rPr>
          <w:sz w:val="24"/>
          <w:szCs w:val="24"/>
        </w:rPr>
        <w:t>Brasil, 1998. Lei n. 9.615 de 24 de março de. Institui normas gerais sobre desportos e dá outras providências.</w:t>
      </w:r>
    </w:p>
    <w:p w:rsidR="005F4E77" w:rsidRPr="005F4E77" w:rsidRDefault="005F4E77" w:rsidP="002049C8">
      <w:pPr>
        <w:pStyle w:val="NormalWeb"/>
        <w:spacing w:before="0" w:beforeAutospacing="0" w:after="0" w:afterAutospacing="0"/>
        <w:rPr>
          <w:sz w:val="24"/>
          <w:szCs w:val="24"/>
        </w:rPr>
      </w:pPr>
      <w:r w:rsidRPr="005F4E77">
        <w:rPr>
          <w:sz w:val="24"/>
          <w:szCs w:val="24"/>
        </w:rPr>
        <w:t>Brasil, 2003. Lei n. 10.672 de 15 de maio de. Altera dispositivos da Lei n</w:t>
      </w:r>
      <w:r w:rsidRPr="005F4E77">
        <w:rPr>
          <w:sz w:val="24"/>
          <w:szCs w:val="24"/>
          <w:u w:val="single"/>
          <w:vertAlign w:val="superscript"/>
        </w:rPr>
        <w:t>o</w:t>
      </w:r>
      <w:r w:rsidRPr="005F4E77">
        <w:rPr>
          <w:sz w:val="24"/>
          <w:szCs w:val="24"/>
        </w:rPr>
        <w:t> 9.615, de 24 de março de 1998, e dá outras providências.</w:t>
      </w:r>
    </w:p>
    <w:p w:rsidR="005F4E77" w:rsidRPr="005F4E77" w:rsidRDefault="005F4E77" w:rsidP="002049C8">
      <w:pPr>
        <w:pStyle w:val="NormalWeb"/>
        <w:spacing w:before="0" w:beforeAutospacing="0" w:after="0" w:afterAutospacing="0"/>
        <w:rPr>
          <w:sz w:val="24"/>
          <w:szCs w:val="24"/>
          <w:highlight w:val="yellow"/>
          <w:shd w:val="clear" w:color="auto" w:fill="FFFFFF"/>
        </w:rPr>
      </w:pPr>
      <w:r w:rsidRPr="005F4E77">
        <w:rPr>
          <w:sz w:val="24"/>
          <w:szCs w:val="24"/>
        </w:rPr>
        <w:t>Brasil, 2011. Lei n. 12.395 de 16 de março de. Altera as Leis n</w:t>
      </w:r>
      <w:r w:rsidRPr="005F4E77">
        <w:rPr>
          <w:sz w:val="24"/>
          <w:szCs w:val="24"/>
          <w:u w:val="single"/>
          <w:vertAlign w:val="superscript"/>
        </w:rPr>
        <w:t>os</w:t>
      </w:r>
      <w:r w:rsidRPr="005F4E77">
        <w:rPr>
          <w:sz w:val="24"/>
          <w:szCs w:val="24"/>
        </w:rPr>
        <w:t xml:space="preserve"> 9.615, de 24 de março de 1998, que institui normas gerais sobre desporto, e 10.891, de </w:t>
      </w:r>
      <w:proofErr w:type="gramStart"/>
      <w:r w:rsidRPr="005F4E77">
        <w:rPr>
          <w:sz w:val="24"/>
          <w:szCs w:val="24"/>
        </w:rPr>
        <w:t>9</w:t>
      </w:r>
      <w:proofErr w:type="gramEnd"/>
      <w:r w:rsidRPr="005F4E77">
        <w:rPr>
          <w:sz w:val="24"/>
          <w:szCs w:val="24"/>
        </w:rPr>
        <w:t xml:space="preserve"> de julho de 2004, que institui a Bolsa-Atleta; cria os Programas Atleta Pódio e Cidade Esportiva; revoga a Lei n</w:t>
      </w:r>
      <w:r w:rsidRPr="005F4E77">
        <w:rPr>
          <w:sz w:val="24"/>
          <w:szCs w:val="24"/>
          <w:u w:val="single"/>
          <w:vertAlign w:val="superscript"/>
        </w:rPr>
        <w:t>o</w:t>
      </w:r>
      <w:r w:rsidRPr="005F4E77">
        <w:rPr>
          <w:sz w:val="24"/>
          <w:szCs w:val="24"/>
        </w:rPr>
        <w:t> 6.354, de 2 de setembro de 1976; e dá outras providências.</w:t>
      </w:r>
    </w:p>
    <w:p w:rsidR="005F4E77" w:rsidRPr="005F4E77" w:rsidRDefault="005F4E77" w:rsidP="002049C8">
      <w:pPr>
        <w:rPr>
          <w:sz w:val="24"/>
          <w:szCs w:val="24"/>
          <w:shd w:val="clear" w:color="auto" w:fill="FFFFFF"/>
        </w:rPr>
      </w:pPr>
      <w:r w:rsidRPr="005F4E77">
        <w:rPr>
          <w:sz w:val="24"/>
          <w:szCs w:val="24"/>
        </w:rPr>
        <w:t xml:space="preserve">Comitê de Pronunciamentos Contábeis (2011). Pronunciamento Técnico CPC 00 R1, de 02 de dezembro de 2011. Estrutura Conceitual para Elaboração e Divulgação de Relatório Contábil – Financeiro </w:t>
      </w:r>
    </w:p>
    <w:p w:rsidR="005F4E77" w:rsidRPr="005F4E77" w:rsidRDefault="005F4E77" w:rsidP="002049C8">
      <w:pPr>
        <w:shd w:val="clear" w:color="auto" w:fill="FFFFFF"/>
        <w:suppressAutoHyphens w:val="0"/>
        <w:rPr>
          <w:sz w:val="24"/>
          <w:szCs w:val="24"/>
        </w:rPr>
      </w:pPr>
      <w:r w:rsidRPr="005F4E77">
        <w:rPr>
          <w:sz w:val="24"/>
          <w:szCs w:val="24"/>
        </w:rPr>
        <w:t>Comitê de Pronunciamentos Contábeis (2010). Pronunciamento Técnico CPC 04 R1, de 05 de novembro de 2010. Ativo intangível.</w:t>
      </w:r>
    </w:p>
    <w:p w:rsidR="005F4E77" w:rsidRPr="005F4E77" w:rsidRDefault="005F4E77" w:rsidP="002049C8">
      <w:pPr>
        <w:rPr>
          <w:sz w:val="24"/>
          <w:szCs w:val="24"/>
          <w:shd w:val="clear" w:color="auto" w:fill="FFFFFF"/>
        </w:rPr>
      </w:pPr>
      <w:r w:rsidRPr="005F4E77">
        <w:rPr>
          <w:sz w:val="24"/>
          <w:szCs w:val="24"/>
          <w:shd w:val="clear" w:color="auto" w:fill="FFFFFF"/>
        </w:rPr>
        <w:t xml:space="preserve">Confederação Brasileira de Futebol. (2017a) </w:t>
      </w:r>
      <w:r w:rsidRPr="005F4E77">
        <w:rPr>
          <w:bCs/>
          <w:sz w:val="24"/>
          <w:szCs w:val="24"/>
        </w:rPr>
        <w:t>Regulamento Específico da Competição:</w:t>
      </w:r>
      <w:r w:rsidRPr="005F4E77">
        <w:rPr>
          <w:b/>
          <w:bCs/>
          <w:sz w:val="24"/>
          <w:szCs w:val="24"/>
        </w:rPr>
        <w:t> </w:t>
      </w:r>
      <w:r w:rsidRPr="005F4E77">
        <w:rPr>
          <w:sz w:val="24"/>
          <w:szCs w:val="24"/>
          <w:shd w:val="clear" w:color="auto" w:fill="FFFFFF"/>
        </w:rPr>
        <w:t xml:space="preserve">Campeonato Brasileiro da Série A 2017. Recuperado em </w:t>
      </w:r>
      <w:proofErr w:type="gramStart"/>
      <w:r w:rsidRPr="005F4E77">
        <w:rPr>
          <w:sz w:val="24"/>
          <w:szCs w:val="24"/>
          <w:shd w:val="clear" w:color="auto" w:fill="FFFFFF"/>
        </w:rPr>
        <w:t>05 janeiro</w:t>
      </w:r>
      <w:proofErr w:type="gramEnd"/>
      <w:r w:rsidRPr="005F4E77">
        <w:rPr>
          <w:sz w:val="24"/>
          <w:szCs w:val="24"/>
          <w:shd w:val="clear" w:color="auto" w:fill="FFFFFF"/>
        </w:rPr>
        <w:t>, 2018: https://cdn.cbf.com.br/content/201703/20170313175547_0.pdf</w:t>
      </w:r>
    </w:p>
    <w:p w:rsidR="005F4E77" w:rsidRPr="005F4E77" w:rsidRDefault="005F4E77" w:rsidP="002049C8">
      <w:pPr>
        <w:rPr>
          <w:sz w:val="24"/>
          <w:szCs w:val="24"/>
          <w:shd w:val="clear" w:color="auto" w:fill="FFFFFF"/>
        </w:rPr>
      </w:pPr>
      <w:r w:rsidRPr="005F4E77">
        <w:rPr>
          <w:sz w:val="24"/>
          <w:szCs w:val="24"/>
          <w:shd w:val="clear" w:color="auto" w:fill="FFFFFF"/>
        </w:rPr>
        <w:t>Confederação Brasileira de Futebol. (2017b) </w:t>
      </w:r>
      <w:r w:rsidRPr="005F4E77">
        <w:rPr>
          <w:bCs/>
          <w:sz w:val="24"/>
          <w:szCs w:val="24"/>
        </w:rPr>
        <w:t>Regulamento Específico da Competição:</w:t>
      </w:r>
      <w:r w:rsidRPr="005F4E77">
        <w:rPr>
          <w:b/>
          <w:bCs/>
          <w:sz w:val="24"/>
          <w:szCs w:val="24"/>
        </w:rPr>
        <w:t xml:space="preserve"> </w:t>
      </w:r>
      <w:r w:rsidRPr="005F4E77">
        <w:rPr>
          <w:sz w:val="24"/>
          <w:szCs w:val="24"/>
          <w:shd w:val="clear" w:color="auto" w:fill="FFFFFF"/>
        </w:rPr>
        <w:t xml:space="preserve">Campeonato Brasileiro da Série B 2017. Recuperado em </w:t>
      </w:r>
      <w:proofErr w:type="gramStart"/>
      <w:r w:rsidRPr="005F4E77">
        <w:rPr>
          <w:sz w:val="24"/>
          <w:szCs w:val="24"/>
          <w:shd w:val="clear" w:color="auto" w:fill="FFFFFF"/>
        </w:rPr>
        <w:t>05 janeiro</w:t>
      </w:r>
      <w:proofErr w:type="gramEnd"/>
      <w:r w:rsidRPr="005F4E77">
        <w:rPr>
          <w:sz w:val="24"/>
          <w:szCs w:val="24"/>
          <w:shd w:val="clear" w:color="auto" w:fill="FFFFFF"/>
        </w:rPr>
        <w:t>, 2018:</w:t>
      </w:r>
      <w:r w:rsidRPr="005F4E77">
        <w:rPr>
          <w:sz w:val="24"/>
          <w:szCs w:val="24"/>
        </w:rPr>
        <w:t xml:space="preserve"> </w:t>
      </w:r>
      <w:r w:rsidRPr="005F4E77">
        <w:rPr>
          <w:sz w:val="24"/>
          <w:szCs w:val="24"/>
          <w:shd w:val="clear" w:color="auto" w:fill="FFFFFF"/>
        </w:rPr>
        <w:t>https://cdn.cbf.com.br/content/201703/20170313185738_0.pdf</w:t>
      </w:r>
    </w:p>
    <w:p w:rsidR="005F4E77" w:rsidRPr="005F4E77" w:rsidRDefault="005F4E77" w:rsidP="002049C8">
      <w:pPr>
        <w:pStyle w:val="Recuodecorpodetexto"/>
        <w:tabs>
          <w:tab w:val="left" w:pos="0"/>
        </w:tabs>
        <w:spacing w:after="0"/>
        <w:ind w:left="0"/>
        <w:rPr>
          <w:rFonts w:ascii="Times New Roman" w:hAnsi="Times New Roman"/>
        </w:rPr>
      </w:pPr>
      <w:r w:rsidRPr="005F4E77">
        <w:rPr>
          <w:rFonts w:ascii="Times New Roman" w:hAnsi="Times New Roman"/>
        </w:rPr>
        <w:t xml:space="preserve">Conselho Federal de Contabilidade, 2004. Resolução nº 1.005 de 17 de setembro de. </w:t>
      </w:r>
      <w:r w:rsidRPr="005F4E77">
        <w:rPr>
          <w:rFonts w:ascii="Times New Roman" w:hAnsi="Times New Roman"/>
          <w:bCs/>
        </w:rPr>
        <w:t>Aprova a NBC T 10.13 – Dos Aspectos Contábeis Específicos em Entidades Desportivas Profissionais.</w:t>
      </w:r>
    </w:p>
    <w:p w:rsidR="005F4E77" w:rsidRPr="005F4E77" w:rsidRDefault="005F4E77" w:rsidP="002049C8">
      <w:pPr>
        <w:rPr>
          <w:sz w:val="24"/>
          <w:szCs w:val="24"/>
        </w:rPr>
      </w:pPr>
      <w:r w:rsidRPr="005F4E77">
        <w:rPr>
          <w:sz w:val="24"/>
          <w:szCs w:val="24"/>
        </w:rPr>
        <w:t xml:space="preserve">Conselho Federal de Contabilidade, 2013. Resolução nº 1.429 de 25 de janeiro de. </w:t>
      </w:r>
      <w:r w:rsidRPr="005F4E77">
        <w:rPr>
          <w:bCs/>
          <w:iCs/>
          <w:sz w:val="24"/>
          <w:szCs w:val="24"/>
        </w:rPr>
        <w:t>Aprova a ITG 2003 – Entidade Desportiva Profissional.</w:t>
      </w:r>
    </w:p>
    <w:p w:rsidR="005F4E77" w:rsidRPr="005F4E77" w:rsidRDefault="005F4E77" w:rsidP="002049C8">
      <w:pPr>
        <w:rPr>
          <w:sz w:val="24"/>
          <w:szCs w:val="24"/>
          <w:shd w:val="clear" w:color="auto" w:fill="FFFFFF"/>
        </w:rPr>
      </w:pPr>
      <w:r w:rsidRPr="005F4E77">
        <w:rPr>
          <w:sz w:val="24"/>
          <w:szCs w:val="24"/>
          <w:shd w:val="clear" w:color="auto" w:fill="FFFFFF"/>
        </w:rPr>
        <w:t xml:space="preserve">Cordeiro, J. </w:t>
      </w:r>
      <w:proofErr w:type="spellStart"/>
      <w:r w:rsidRPr="005F4E77">
        <w:rPr>
          <w:sz w:val="24"/>
          <w:szCs w:val="24"/>
          <w:shd w:val="clear" w:color="auto" w:fill="FFFFFF"/>
        </w:rPr>
        <w:t>V.L.</w:t>
      </w:r>
      <w:proofErr w:type="spellEnd"/>
      <w:r w:rsidRPr="005F4E77">
        <w:rPr>
          <w:sz w:val="24"/>
          <w:szCs w:val="24"/>
          <w:shd w:val="clear" w:color="auto" w:fill="FFFFFF"/>
        </w:rPr>
        <w:t xml:space="preserve"> (2014). </w:t>
      </w:r>
      <w:r w:rsidRPr="005F4E77">
        <w:rPr>
          <w:bCs/>
          <w:sz w:val="24"/>
          <w:szCs w:val="24"/>
        </w:rPr>
        <w:t xml:space="preserve">Relação do nível de disclosure e as receitas arrecadadas pelos clubes brasileiros de futebol das séries “A” e “B”. Monografia em Ciências Contábeis, </w:t>
      </w:r>
      <w:r w:rsidRPr="005F4E77">
        <w:rPr>
          <w:sz w:val="24"/>
          <w:szCs w:val="24"/>
          <w:shd w:val="clear" w:color="auto" w:fill="FFFFFF"/>
        </w:rPr>
        <w:t>Universidade Federal Rural do Semiárido, Mossoró, RN, Brasil.</w:t>
      </w:r>
    </w:p>
    <w:p w:rsidR="005F4E77" w:rsidRPr="005F4E77" w:rsidRDefault="005F4E77" w:rsidP="002049C8">
      <w:pPr>
        <w:rPr>
          <w:sz w:val="24"/>
          <w:szCs w:val="24"/>
          <w:shd w:val="clear" w:color="auto" w:fill="FFFFFF"/>
        </w:rPr>
      </w:pPr>
      <w:r w:rsidRPr="005F4E77">
        <w:rPr>
          <w:sz w:val="24"/>
          <w:szCs w:val="24"/>
          <w:shd w:val="clear" w:color="auto" w:fill="FFFFFF"/>
        </w:rPr>
        <w:t xml:space="preserve">Costa, C. E. S., &amp; Silva, R. C. (2006). </w:t>
      </w:r>
      <w:proofErr w:type="spellStart"/>
      <w:r w:rsidRPr="005F4E77">
        <w:rPr>
          <w:sz w:val="24"/>
          <w:szCs w:val="24"/>
          <w:shd w:val="clear" w:color="auto" w:fill="FFFFFF"/>
        </w:rPr>
        <w:t>Empresarização</w:t>
      </w:r>
      <w:proofErr w:type="spellEnd"/>
      <w:r w:rsidRPr="005F4E77">
        <w:rPr>
          <w:sz w:val="24"/>
          <w:szCs w:val="24"/>
          <w:shd w:val="clear" w:color="auto" w:fill="FFFFFF"/>
        </w:rPr>
        <w:t xml:space="preserve"> e controle organizacional: um estudo nos clubes de futebol em Santa Catarina. </w:t>
      </w:r>
      <w:r w:rsidRPr="005F4E77">
        <w:rPr>
          <w:iCs/>
          <w:sz w:val="24"/>
          <w:szCs w:val="24"/>
          <w:shd w:val="clear" w:color="auto" w:fill="FFFFFF"/>
        </w:rPr>
        <w:t>Cadernos EBAPE. BR</w:t>
      </w:r>
      <w:r w:rsidRPr="005F4E77">
        <w:rPr>
          <w:sz w:val="24"/>
          <w:szCs w:val="24"/>
          <w:shd w:val="clear" w:color="auto" w:fill="FFFFFF"/>
        </w:rPr>
        <w:t>, </w:t>
      </w:r>
      <w:r w:rsidRPr="005F4E77">
        <w:rPr>
          <w:iCs/>
          <w:sz w:val="24"/>
          <w:szCs w:val="24"/>
          <w:shd w:val="clear" w:color="auto" w:fill="FFFFFF"/>
        </w:rPr>
        <w:t>4</w:t>
      </w:r>
      <w:r w:rsidRPr="005F4E77">
        <w:rPr>
          <w:sz w:val="24"/>
          <w:szCs w:val="24"/>
          <w:shd w:val="clear" w:color="auto" w:fill="FFFFFF"/>
        </w:rPr>
        <w:t>(4), 1-16.</w:t>
      </w:r>
    </w:p>
    <w:p w:rsidR="005F4E77" w:rsidRPr="005F4E77" w:rsidRDefault="005F4E77" w:rsidP="002049C8">
      <w:pPr>
        <w:rPr>
          <w:sz w:val="24"/>
          <w:szCs w:val="24"/>
          <w:shd w:val="clear" w:color="auto" w:fill="FFFFFF"/>
        </w:rPr>
      </w:pPr>
      <w:r w:rsidRPr="005F4E77">
        <w:rPr>
          <w:sz w:val="24"/>
          <w:szCs w:val="24"/>
          <w:shd w:val="clear" w:color="auto" w:fill="FFFFFF"/>
        </w:rPr>
        <w:lastRenderedPageBreak/>
        <w:t xml:space="preserve">COSTA, G. (2009). </w:t>
      </w:r>
      <w:r w:rsidRPr="005F4E77">
        <w:rPr>
          <w:rStyle w:val="Forte"/>
          <w:b w:val="0"/>
          <w:sz w:val="24"/>
          <w:szCs w:val="24"/>
          <w:shd w:val="clear" w:color="auto" w:fill="FFFFFF"/>
        </w:rPr>
        <w:t>O futebol chegou ao Brasil em 1874</w:t>
      </w:r>
      <w:r w:rsidRPr="005F4E77">
        <w:rPr>
          <w:rStyle w:val="Forte"/>
          <w:sz w:val="24"/>
          <w:szCs w:val="24"/>
          <w:shd w:val="clear" w:color="auto" w:fill="FFFFFF"/>
        </w:rPr>
        <w:t>.</w:t>
      </w:r>
      <w:r w:rsidRPr="005F4E77">
        <w:rPr>
          <w:rStyle w:val="apple-converted-space"/>
          <w:sz w:val="24"/>
          <w:szCs w:val="24"/>
          <w:shd w:val="clear" w:color="auto" w:fill="FFFFFF"/>
        </w:rPr>
        <w:t> </w:t>
      </w:r>
      <w:r w:rsidRPr="005F4E77">
        <w:rPr>
          <w:sz w:val="24"/>
          <w:szCs w:val="24"/>
          <w:shd w:val="clear" w:color="auto" w:fill="FFFFFF"/>
        </w:rPr>
        <w:t xml:space="preserve">2009. Recuperado em </w:t>
      </w:r>
      <w:proofErr w:type="gramStart"/>
      <w:r w:rsidRPr="005F4E77">
        <w:rPr>
          <w:sz w:val="24"/>
          <w:szCs w:val="24"/>
          <w:shd w:val="clear" w:color="auto" w:fill="FFFFFF"/>
        </w:rPr>
        <w:t>28 março</w:t>
      </w:r>
      <w:proofErr w:type="gramEnd"/>
      <w:r w:rsidRPr="005F4E77">
        <w:rPr>
          <w:sz w:val="24"/>
          <w:szCs w:val="24"/>
          <w:shd w:val="clear" w:color="auto" w:fill="FFFFFF"/>
        </w:rPr>
        <w:t>, 2017 em: http://www.portal2014.org.br/noticias/81/O+FUTEBOL+CHEGOU+AO+BRASIL+EM+1874.html</w:t>
      </w:r>
    </w:p>
    <w:p w:rsidR="005F4E77" w:rsidRPr="005F4E77" w:rsidRDefault="005F4E77" w:rsidP="002049C8">
      <w:pPr>
        <w:rPr>
          <w:sz w:val="24"/>
          <w:szCs w:val="24"/>
          <w:shd w:val="clear" w:color="auto" w:fill="FFFFFF"/>
        </w:rPr>
      </w:pPr>
      <w:r w:rsidRPr="005F4E77">
        <w:rPr>
          <w:sz w:val="24"/>
          <w:szCs w:val="24"/>
          <w:shd w:val="clear" w:color="auto" w:fill="FFFFFF"/>
        </w:rPr>
        <w:t>Cruz, S. N. S. R. A., Santos, L. L., &amp; Azevedo, G. M. D. C. (2010). Valorização do direito desportivo resultante da formação. </w:t>
      </w:r>
      <w:r w:rsidRPr="005F4E77">
        <w:rPr>
          <w:iCs/>
          <w:sz w:val="24"/>
          <w:szCs w:val="24"/>
          <w:shd w:val="clear" w:color="auto" w:fill="FFFFFF"/>
        </w:rPr>
        <w:t>Revista de educação e pesquisa em contabilidade</w:t>
      </w:r>
      <w:r w:rsidRPr="005F4E77">
        <w:rPr>
          <w:sz w:val="24"/>
          <w:szCs w:val="24"/>
          <w:shd w:val="clear" w:color="auto" w:fill="FFFFFF"/>
        </w:rPr>
        <w:t>, </w:t>
      </w:r>
      <w:r w:rsidRPr="005F4E77">
        <w:rPr>
          <w:iCs/>
          <w:sz w:val="24"/>
          <w:szCs w:val="24"/>
          <w:shd w:val="clear" w:color="auto" w:fill="FFFFFF"/>
        </w:rPr>
        <w:t>4</w:t>
      </w:r>
      <w:r w:rsidRPr="005F4E77">
        <w:rPr>
          <w:sz w:val="24"/>
          <w:szCs w:val="24"/>
          <w:shd w:val="clear" w:color="auto" w:fill="FFFFFF"/>
        </w:rPr>
        <w:t>(1).</w:t>
      </w:r>
    </w:p>
    <w:p w:rsidR="005F4E77" w:rsidRPr="005F4E77" w:rsidRDefault="005F4E77" w:rsidP="002049C8">
      <w:pPr>
        <w:rPr>
          <w:sz w:val="24"/>
          <w:szCs w:val="24"/>
          <w:shd w:val="clear" w:color="auto" w:fill="FFFFFF"/>
        </w:rPr>
      </w:pPr>
      <w:r w:rsidRPr="005F4E77">
        <w:rPr>
          <w:sz w:val="24"/>
          <w:szCs w:val="24"/>
          <w:shd w:val="clear" w:color="auto" w:fill="FFFFFF"/>
        </w:rPr>
        <w:t>FONSECA, A. (2009) O futebol foi inventado na Inglaterra.</w:t>
      </w:r>
      <w:r w:rsidRPr="005F4E77">
        <w:rPr>
          <w:rStyle w:val="apple-converted-space"/>
          <w:sz w:val="24"/>
          <w:szCs w:val="24"/>
          <w:shd w:val="clear" w:color="auto" w:fill="FFFFFF"/>
        </w:rPr>
        <w:t xml:space="preserve"> Revista </w:t>
      </w:r>
      <w:r w:rsidRPr="005F4E77">
        <w:rPr>
          <w:rStyle w:val="Forte"/>
          <w:b w:val="0"/>
          <w:sz w:val="24"/>
          <w:szCs w:val="24"/>
          <w:shd w:val="clear" w:color="auto" w:fill="FFFFFF"/>
        </w:rPr>
        <w:t>Superinteressante,</w:t>
      </w:r>
      <w:r w:rsidRPr="005F4E77">
        <w:rPr>
          <w:rStyle w:val="apple-converted-space"/>
          <w:sz w:val="24"/>
          <w:szCs w:val="24"/>
          <w:shd w:val="clear" w:color="auto" w:fill="FFFFFF"/>
        </w:rPr>
        <w:t> </w:t>
      </w:r>
      <w:r w:rsidRPr="005F4E77">
        <w:rPr>
          <w:sz w:val="24"/>
          <w:szCs w:val="24"/>
          <w:shd w:val="clear" w:color="auto" w:fill="FFFFFF"/>
        </w:rPr>
        <w:t xml:space="preserve">São Paulo: Abril, </w:t>
      </w:r>
      <w:proofErr w:type="gramStart"/>
      <w:r w:rsidRPr="005F4E77">
        <w:rPr>
          <w:sz w:val="24"/>
          <w:szCs w:val="24"/>
          <w:shd w:val="clear" w:color="auto" w:fill="FFFFFF"/>
        </w:rPr>
        <w:t>271a.</w:t>
      </w:r>
      <w:proofErr w:type="gramEnd"/>
    </w:p>
    <w:p w:rsidR="005F4E77" w:rsidRPr="005F4E77" w:rsidRDefault="005F4E77" w:rsidP="002049C8">
      <w:pPr>
        <w:autoSpaceDE w:val="0"/>
        <w:autoSpaceDN w:val="0"/>
        <w:adjustRightInd w:val="0"/>
        <w:rPr>
          <w:sz w:val="24"/>
          <w:szCs w:val="24"/>
          <w:shd w:val="clear" w:color="auto" w:fill="FFFFFF"/>
        </w:rPr>
      </w:pPr>
      <w:r w:rsidRPr="005F4E77">
        <w:rPr>
          <w:sz w:val="24"/>
          <w:szCs w:val="24"/>
          <w:shd w:val="clear" w:color="auto" w:fill="FFFFFF"/>
        </w:rPr>
        <w:t>Frey, I. A., &amp; Zaia, R. (2014). Demonstrações contábeis dos clubes de futebol do campeonato catarinense de 2012: verificação da adequação à legislação vigente. </w:t>
      </w:r>
      <w:proofErr w:type="spellStart"/>
      <w:r w:rsidRPr="005F4E77">
        <w:rPr>
          <w:iCs/>
          <w:sz w:val="24"/>
          <w:szCs w:val="24"/>
          <w:shd w:val="clear" w:color="auto" w:fill="FFFFFF"/>
        </w:rPr>
        <w:t>REAVI-Revista</w:t>
      </w:r>
      <w:proofErr w:type="spellEnd"/>
      <w:r w:rsidRPr="005F4E77">
        <w:rPr>
          <w:iCs/>
          <w:sz w:val="24"/>
          <w:szCs w:val="24"/>
          <w:shd w:val="clear" w:color="auto" w:fill="FFFFFF"/>
        </w:rPr>
        <w:t xml:space="preserve"> Eletrônica do Alto Vale do Itajaí</w:t>
      </w:r>
      <w:r w:rsidRPr="005F4E77">
        <w:rPr>
          <w:sz w:val="24"/>
          <w:szCs w:val="24"/>
          <w:shd w:val="clear" w:color="auto" w:fill="FFFFFF"/>
        </w:rPr>
        <w:t>, </w:t>
      </w:r>
      <w:r w:rsidRPr="005F4E77">
        <w:rPr>
          <w:iCs/>
          <w:sz w:val="24"/>
          <w:szCs w:val="24"/>
          <w:shd w:val="clear" w:color="auto" w:fill="FFFFFF"/>
        </w:rPr>
        <w:t>3</w:t>
      </w:r>
      <w:r w:rsidRPr="005F4E77">
        <w:rPr>
          <w:sz w:val="24"/>
          <w:szCs w:val="24"/>
          <w:shd w:val="clear" w:color="auto" w:fill="FFFFFF"/>
        </w:rPr>
        <w:t>(4), 12-24.</w:t>
      </w:r>
    </w:p>
    <w:p w:rsidR="005F4E77" w:rsidRPr="005F4E77" w:rsidRDefault="005F4E77" w:rsidP="002049C8">
      <w:pPr>
        <w:rPr>
          <w:sz w:val="24"/>
          <w:szCs w:val="24"/>
          <w:shd w:val="clear" w:color="auto" w:fill="FFFFFF"/>
        </w:rPr>
      </w:pPr>
      <w:proofErr w:type="spellStart"/>
      <w:r w:rsidRPr="004F3AE6">
        <w:rPr>
          <w:sz w:val="24"/>
          <w:szCs w:val="24"/>
          <w:shd w:val="clear" w:color="auto" w:fill="FFFFFF"/>
        </w:rPr>
        <w:t>Hendriksen</w:t>
      </w:r>
      <w:proofErr w:type="spellEnd"/>
      <w:r w:rsidRPr="004F3AE6">
        <w:rPr>
          <w:sz w:val="24"/>
          <w:szCs w:val="24"/>
          <w:shd w:val="clear" w:color="auto" w:fill="FFFFFF"/>
        </w:rPr>
        <w:t xml:space="preserve">, E. S., &amp; Van </w:t>
      </w:r>
      <w:proofErr w:type="spellStart"/>
      <w:r w:rsidRPr="004F3AE6">
        <w:rPr>
          <w:sz w:val="24"/>
          <w:szCs w:val="24"/>
          <w:shd w:val="clear" w:color="auto" w:fill="FFFFFF"/>
        </w:rPr>
        <w:t>Breda</w:t>
      </w:r>
      <w:proofErr w:type="spellEnd"/>
      <w:r w:rsidRPr="004F3AE6">
        <w:rPr>
          <w:sz w:val="24"/>
          <w:szCs w:val="24"/>
          <w:shd w:val="clear" w:color="auto" w:fill="FFFFFF"/>
        </w:rPr>
        <w:t xml:space="preserve">, M. F. (2009). </w:t>
      </w:r>
      <w:r w:rsidRPr="005F4E77">
        <w:rPr>
          <w:sz w:val="24"/>
          <w:szCs w:val="24"/>
          <w:shd w:val="clear" w:color="auto" w:fill="FFFFFF"/>
        </w:rPr>
        <w:t xml:space="preserve">Teoria da contabilidade; tradução de Antonio </w:t>
      </w:r>
      <w:proofErr w:type="spellStart"/>
      <w:r w:rsidRPr="005F4E77">
        <w:rPr>
          <w:sz w:val="24"/>
          <w:szCs w:val="24"/>
          <w:shd w:val="clear" w:color="auto" w:fill="FFFFFF"/>
        </w:rPr>
        <w:t>Zoratto</w:t>
      </w:r>
      <w:proofErr w:type="spellEnd"/>
      <w:r w:rsidRPr="005F4E77">
        <w:rPr>
          <w:sz w:val="24"/>
          <w:szCs w:val="24"/>
          <w:shd w:val="clear" w:color="auto" w:fill="FFFFFF"/>
        </w:rPr>
        <w:t xml:space="preserve"> </w:t>
      </w:r>
      <w:proofErr w:type="spellStart"/>
      <w:r w:rsidRPr="005F4E77">
        <w:rPr>
          <w:sz w:val="24"/>
          <w:szCs w:val="24"/>
          <w:shd w:val="clear" w:color="auto" w:fill="FFFFFF"/>
        </w:rPr>
        <w:t>Sanvicente</w:t>
      </w:r>
      <w:proofErr w:type="spellEnd"/>
      <w:r w:rsidRPr="005F4E77">
        <w:rPr>
          <w:sz w:val="24"/>
          <w:szCs w:val="24"/>
          <w:shd w:val="clear" w:color="auto" w:fill="FFFFFF"/>
        </w:rPr>
        <w:t>. </w:t>
      </w:r>
      <w:r w:rsidRPr="005F4E77">
        <w:rPr>
          <w:iCs/>
          <w:sz w:val="24"/>
          <w:szCs w:val="24"/>
          <w:shd w:val="clear" w:color="auto" w:fill="FFFFFF"/>
        </w:rPr>
        <w:t>São Paulo: Atlas</w:t>
      </w:r>
      <w:r w:rsidRPr="005F4E77">
        <w:rPr>
          <w:sz w:val="24"/>
          <w:szCs w:val="24"/>
          <w:shd w:val="clear" w:color="auto" w:fill="FFFFFF"/>
        </w:rPr>
        <w:t>, 277-297.</w:t>
      </w:r>
    </w:p>
    <w:p w:rsidR="005F4E77" w:rsidRPr="005F4E77" w:rsidRDefault="005F4E77" w:rsidP="002049C8">
      <w:pPr>
        <w:rPr>
          <w:sz w:val="24"/>
          <w:szCs w:val="24"/>
          <w:shd w:val="clear" w:color="auto" w:fill="FFFFFF"/>
        </w:rPr>
      </w:pPr>
      <w:r w:rsidRPr="005F4E77">
        <w:rPr>
          <w:sz w:val="24"/>
          <w:szCs w:val="24"/>
          <w:shd w:val="clear" w:color="auto" w:fill="FFFFFF"/>
        </w:rPr>
        <w:t xml:space="preserve">Holanda, A. P., Meneses, A. F. </w:t>
      </w:r>
      <w:proofErr w:type="gramStart"/>
      <w:r w:rsidRPr="005F4E77">
        <w:rPr>
          <w:sz w:val="24"/>
          <w:szCs w:val="24"/>
          <w:shd w:val="clear" w:color="auto" w:fill="FFFFFF"/>
        </w:rPr>
        <w:t>D.</w:t>
      </w:r>
      <w:proofErr w:type="gramEnd"/>
      <w:r w:rsidRPr="005F4E77">
        <w:rPr>
          <w:sz w:val="24"/>
          <w:szCs w:val="24"/>
          <w:shd w:val="clear" w:color="auto" w:fill="FFFFFF"/>
        </w:rPr>
        <w:t xml:space="preserve">, </w:t>
      </w:r>
      <w:proofErr w:type="spellStart"/>
      <w:r w:rsidRPr="005F4E77">
        <w:rPr>
          <w:sz w:val="24"/>
          <w:szCs w:val="24"/>
          <w:shd w:val="clear" w:color="auto" w:fill="FFFFFF"/>
        </w:rPr>
        <w:t>Mapurunga</w:t>
      </w:r>
      <w:proofErr w:type="spellEnd"/>
      <w:r w:rsidRPr="005F4E77">
        <w:rPr>
          <w:sz w:val="24"/>
          <w:szCs w:val="24"/>
          <w:shd w:val="clear" w:color="auto" w:fill="FFFFFF"/>
        </w:rPr>
        <w:t>, P. V. R., De Luca, M. M. M., &amp; Coelho, A. C. D. (2012). Determinantes do nível de disclosure em clubes brasileiros de futebol. </w:t>
      </w:r>
      <w:r w:rsidRPr="005F4E77">
        <w:rPr>
          <w:iCs/>
          <w:sz w:val="24"/>
          <w:szCs w:val="24"/>
          <w:shd w:val="clear" w:color="auto" w:fill="FFFFFF"/>
        </w:rPr>
        <w:t>Revista de Contabilidade do Mestrado em Ciências Contábeis da UERJ</w:t>
      </w:r>
      <w:r w:rsidRPr="005F4E77">
        <w:rPr>
          <w:sz w:val="24"/>
          <w:szCs w:val="24"/>
          <w:shd w:val="clear" w:color="auto" w:fill="FFFFFF"/>
        </w:rPr>
        <w:t>, </w:t>
      </w:r>
      <w:r w:rsidRPr="005F4E77">
        <w:rPr>
          <w:iCs/>
          <w:sz w:val="24"/>
          <w:szCs w:val="24"/>
          <w:shd w:val="clear" w:color="auto" w:fill="FFFFFF"/>
        </w:rPr>
        <w:t>17</w:t>
      </w:r>
      <w:r w:rsidRPr="005F4E77">
        <w:rPr>
          <w:sz w:val="24"/>
          <w:szCs w:val="24"/>
          <w:shd w:val="clear" w:color="auto" w:fill="FFFFFF"/>
        </w:rPr>
        <w:t>(1), 2-17.</w:t>
      </w:r>
    </w:p>
    <w:p w:rsidR="005F4E77" w:rsidRPr="005F4E77" w:rsidRDefault="005F4E77" w:rsidP="002049C8">
      <w:pPr>
        <w:rPr>
          <w:sz w:val="24"/>
          <w:szCs w:val="24"/>
          <w:shd w:val="clear" w:color="auto" w:fill="FFFFFF"/>
        </w:rPr>
      </w:pPr>
      <w:r w:rsidRPr="005F4E77">
        <w:rPr>
          <w:sz w:val="24"/>
          <w:szCs w:val="24"/>
          <w:shd w:val="clear" w:color="auto" w:fill="FFFFFF"/>
        </w:rPr>
        <w:t>Iudícibus, S. (2009). </w:t>
      </w:r>
      <w:r w:rsidRPr="005F4E77">
        <w:rPr>
          <w:iCs/>
          <w:sz w:val="24"/>
          <w:szCs w:val="24"/>
          <w:shd w:val="clear" w:color="auto" w:fill="FFFFFF"/>
        </w:rPr>
        <w:t>Teoria da contabilidade</w:t>
      </w:r>
      <w:r w:rsidRPr="005F4E77">
        <w:rPr>
          <w:sz w:val="24"/>
          <w:szCs w:val="24"/>
          <w:shd w:val="clear" w:color="auto" w:fill="FFFFFF"/>
        </w:rPr>
        <w:t>. Atlas.</w:t>
      </w:r>
    </w:p>
    <w:p w:rsidR="005F4E77" w:rsidRPr="005F4E77" w:rsidRDefault="005F4E77" w:rsidP="002049C8">
      <w:pPr>
        <w:rPr>
          <w:sz w:val="24"/>
          <w:szCs w:val="24"/>
          <w:shd w:val="clear" w:color="auto" w:fill="FFFFFF"/>
        </w:rPr>
      </w:pPr>
      <w:r w:rsidRPr="005F4E77">
        <w:rPr>
          <w:sz w:val="24"/>
          <w:szCs w:val="24"/>
          <w:shd w:val="clear" w:color="auto" w:fill="FFFFFF"/>
        </w:rPr>
        <w:t xml:space="preserve">Machado, N. P.; &amp; Nunes, M. S. (2006). A evidenciação das demonstrações das informações contábeis: sua importância para o usuário externo. </w:t>
      </w:r>
      <w:r w:rsidRPr="005F4E77">
        <w:rPr>
          <w:rStyle w:val="Forte"/>
          <w:b w:val="0"/>
          <w:sz w:val="24"/>
          <w:szCs w:val="24"/>
          <w:shd w:val="clear" w:color="auto" w:fill="FFFFFF"/>
        </w:rPr>
        <w:t>Revista Acadêmica</w:t>
      </w:r>
      <w:r w:rsidRPr="005F4E77">
        <w:rPr>
          <w:rStyle w:val="Forte"/>
          <w:sz w:val="24"/>
          <w:szCs w:val="24"/>
          <w:shd w:val="clear" w:color="auto" w:fill="FFFFFF"/>
        </w:rPr>
        <w:t xml:space="preserve">, </w:t>
      </w:r>
      <w:proofErr w:type="gramStart"/>
      <w:r w:rsidRPr="005F4E77">
        <w:rPr>
          <w:sz w:val="24"/>
          <w:szCs w:val="24"/>
          <w:shd w:val="clear" w:color="auto" w:fill="FFFFFF"/>
        </w:rPr>
        <w:t>1</w:t>
      </w:r>
      <w:proofErr w:type="gramEnd"/>
      <w:r w:rsidRPr="005F4E77">
        <w:rPr>
          <w:sz w:val="24"/>
          <w:szCs w:val="24"/>
          <w:shd w:val="clear" w:color="auto" w:fill="FFFFFF"/>
        </w:rPr>
        <w:t>, (1).</w:t>
      </w:r>
    </w:p>
    <w:p w:rsidR="005F4E77" w:rsidRPr="005F4E77" w:rsidRDefault="005F4E77" w:rsidP="002049C8">
      <w:pPr>
        <w:suppressAutoHyphens w:val="0"/>
        <w:autoSpaceDE w:val="0"/>
        <w:autoSpaceDN w:val="0"/>
        <w:adjustRightInd w:val="0"/>
        <w:rPr>
          <w:sz w:val="24"/>
          <w:szCs w:val="24"/>
          <w:shd w:val="clear" w:color="auto" w:fill="FFFFFF"/>
        </w:rPr>
      </w:pPr>
      <w:r w:rsidRPr="005F4E77">
        <w:rPr>
          <w:sz w:val="24"/>
          <w:szCs w:val="24"/>
          <w:shd w:val="clear" w:color="auto" w:fill="FFFFFF"/>
        </w:rPr>
        <w:t>Maia, A. B. G. R., &amp; de Vasconcelos, A. C. (2016). Disclosure de Ativos Intangíveis dos Clubes de Futebol Brasileiros e Europeus. </w:t>
      </w:r>
      <w:r w:rsidRPr="005F4E77">
        <w:rPr>
          <w:iCs/>
          <w:sz w:val="24"/>
          <w:szCs w:val="24"/>
          <w:shd w:val="clear" w:color="auto" w:fill="FFFFFF"/>
        </w:rPr>
        <w:t>Contabilidade Vista &amp; Revista</w:t>
      </w:r>
      <w:r w:rsidRPr="005F4E77">
        <w:rPr>
          <w:sz w:val="24"/>
          <w:szCs w:val="24"/>
          <w:shd w:val="clear" w:color="auto" w:fill="FFFFFF"/>
        </w:rPr>
        <w:t>, </w:t>
      </w:r>
      <w:r w:rsidRPr="005F4E77">
        <w:rPr>
          <w:i/>
          <w:iCs/>
          <w:sz w:val="24"/>
          <w:szCs w:val="24"/>
          <w:shd w:val="clear" w:color="auto" w:fill="FFFFFF"/>
        </w:rPr>
        <w:t>27</w:t>
      </w:r>
      <w:r w:rsidRPr="005F4E77">
        <w:rPr>
          <w:sz w:val="24"/>
          <w:szCs w:val="24"/>
          <w:shd w:val="clear" w:color="auto" w:fill="FFFFFF"/>
        </w:rPr>
        <w:t>(3), 1-31.</w:t>
      </w:r>
    </w:p>
    <w:p w:rsidR="005F4E77" w:rsidRPr="005F4E77" w:rsidRDefault="005F4E77" w:rsidP="002049C8">
      <w:pPr>
        <w:suppressAutoHyphens w:val="0"/>
        <w:autoSpaceDE w:val="0"/>
        <w:autoSpaceDN w:val="0"/>
        <w:adjustRightInd w:val="0"/>
        <w:rPr>
          <w:sz w:val="24"/>
          <w:szCs w:val="24"/>
          <w:shd w:val="clear" w:color="auto" w:fill="FFFFFF"/>
        </w:rPr>
      </w:pPr>
      <w:r w:rsidRPr="005F4E77">
        <w:rPr>
          <w:sz w:val="24"/>
          <w:szCs w:val="24"/>
          <w:shd w:val="clear" w:color="auto" w:fill="FFFFFF"/>
        </w:rPr>
        <w:t>Mota, A. F., Brandão, I. F., &amp; Ponte, V. M. R. (2016). Disclosure e materialidade: evidências nos ativos intangíveis dos clubes brasileiros de futebol. </w:t>
      </w:r>
      <w:r w:rsidRPr="005F4E77">
        <w:rPr>
          <w:rStyle w:val="nfase"/>
          <w:i w:val="0"/>
          <w:sz w:val="24"/>
          <w:szCs w:val="24"/>
          <w:bdr w:val="none" w:sz="0" w:space="0" w:color="auto" w:frame="1"/>
          <w:shd w:val="clear" w:color="auto" w:fill="FFFFFF"/>
        </w:rPr>
        <w:t>RACE: Revista de Administração, Contabilidade e Economia</w:t>
      </w:r>
      <w:r w:rsidRPr="005F4E77">
        <w:rPr>
          <w:i/>
          <w:sz w:val="24"/>
          <w:szCs w:val="24"/>
          <w:shd w:val="clear" w:color="auto" w:fill="FFFFFF"/>
        </w:rPr>
        <w:t xml:space="preserve">, </w:t>
      </w:r>
      <w:r w:rsidRPr="005F4E77">
        <w:rPr>
          <w:sz w:val="24"/>
          <w:szCs w:val="24"/>
          <w:shd w:val="clear" w:color="auto" w:fill="FFFFFF"/>
        </w:rPr>
        <w:t>15(1), 175-200.</w:t>
      </w:r>
    </w:p>
    <w:p w:rsidR="005F4E77" w:rsidRPr="005F4E77" w:rsidRDefault="005F4E77" w:rsidP="002049C8">
      <w:pPr>
        <w:suppressAutoHyphens w:val="0"/>
        <w:autoSpaceDE w:val="0"/>
        <w:autoSpaceDN w:val="0"/>
        <w:adjustRightInd w:val="0"/>
        <w:rPr>
          <w:sz w:val="24"/>
          <w:szCs w:val="24"/>
        </w:rPr>
      </w:pPr>
      <w:r w:rsidRPr="002049C8">
        <w:rPr>
          <w:sz w:val="24"/>
          <w:szCs w:val="24"/>
          <w:shd w:val="clear" w:color="auto" w:fill="FFFFFF"/>
          <w:lang w:val="es-ES"/>
        </w:rPr>
        <w:t xml:space="preserve">Nadal, M. T. (2008). </w:t>
      </w:r>
      <w:r w:rsidRPr="005F4E77">
        <w:rPr>
          <w:sz w:val="24"/>
          <w:szCs w:val="24"/>
          <w:shd w:val="clear" w:color="auto" w:fill="FFFFFF"/>
          <w:lang w:val="es-ES"/>
        </w:rPr>
        <w:t>Un acercamiento a los derechos federativos y su contenido patrimonial. </w:t>
      </w:r>
      <w:proofErr w:type="spellStart"/>
      <w:r w:rsidRPr="005F4E77">
        <w:rPr>
          <w:iCs/>
          <w:sz w:val="24"/>
          <w:szCs w:val="24"/>
          <w:shd w:val="clear" w:color="auto" w:fill="FFFFFF"/>
        </w:rPr>
        <w:t>Iuris</w:t>
      </w:r>
      <w:proofErr w:type="spellEnd"/>
      <w:r w:rsidRPr="005F4E77">
        <w:rPr>
          <w:iCs/>
          <w:sz w:val="24"/>
          <w:szCs w:val="24"/>
          <w:shd w:val="clear" w:color="auto" w:fill="FFFFFF"/>
        </w:rPr>
        <w:t xml:space="preserve">: </w:t>
      </w:r>
      <w:proofErr w:type="spellStart"/>
      <w:r w:rsidRPr="005F4E77">
        <w:rPr>
          <w:iCs/>
          <w:sz w:val="24"/>
          <w:szCs w:val="24"/>
          <w:shd w:val="clear" w:color="auto" w:fill="FFFFFF"/>
        </w:rPr>
        <w:t>Actualidad</w:t>
      </w:r>
      <w:proofErr w:type="spellEnd"/>
      <w:r w:rsidRPr="005F4E77">
        <w:rPr>
          <w:iCs/>
          <w:sz w:val="24"/>
          <w:szCs w:val="24"/>
          <w:shd w:val="clear" w:color="auto" w:fill="FFFFFF"/>
        </w:rPr>
        <w:t xml:space="preserve"> y </w:t>
      </w:r>
      <w:proofErr w:type="spellStart"/>
      <w:r w:rsidRPr="005F4E77">
        <w:rPr>
          <w:iCs/>
          <w:sz w:val="24"/>
          <w:szCs w:val="24"/>
          <w:shd w:val="clear" w:color="auto" w:fill="FFFFFF"/>
        </w:rPr>
        <w:t>práctica</w:t>
      </w:r>
      <w:proofErr w:type="spellEnd"/>
      <w:r w:rsidRPr="005F4E77">
        <w:rPr>
          <w:iCs/>
          <w:sz w:val="24"/>
          <w:szCs w:val="24"/>
          <w:shd w:val="clear" w:color="auto" w:fill="FFFFFF"/>
        </w:rPr>
        <w:t xml:space="preserve"> </w:t>
      </w:r>
      <w:proofErr w:type="spellStart"/>
      <w:proofErr w:type="gramStart"/>
      <w:r w:rsidRPr="005F4E77">
        <w:rPr>
          <w:iCs/>
          <w:sz w:val="24"/>
          <w:szCs w:val="24"/>
          <w:shd w:val="clear" w:color="auto" w:fill="FFFFFF"/>
        </w:rPr>
        <w:t>del</w:t>
      </w:r>
      <w:proofErr w:type="spellEnd"/>
      <w:proofErr w:type="gramEnd"/>
      <w:r w:rsidRPr="005F4E77">
        <w:rPr>
          <w:iCs/>
          <w:sz w:val="24"/>
          <w:szCs w:val="24"/>
          <w:shd w:val="clear" w:color="auto" w:fill="FFFFFF"/>
        </w:rPr>
        <w:t xml:space="preserve"> </w:t>
      </w:r>
      <w:proofErr w:type="spellStart"/>
      <w:r w:rsidRPr="005F4E77">
        <w:rPr>
          <w:iCs/>
          <w:sz w:val="24"/>
          <w:szCs w:val="24"/>
          <w:shd w:val="clear" w:color="auto" w:fill="FFFFFF"/>
        </w:rPr>
        <w:t>derecho</w:t>
      </w:r>
      <w:proofErr w:type="spellEnd"/>
      <w:r w:rsidRPr="005F4E77">
        <w:rPr>
          <w:sz w:val="24"/>
          <w:szCs w:val="24"/>
          <w:shd w:val="clear" w:color="auto" w:fill="FFFFFF"/>
        </w:rPr>
        <w:t>, (128), 40-43.</w:t>
      </w:r>
    </w:p>
    <w:p w:rsidR="005F4E77" w:rsidRPr="005F4E77" w:rsidRDefault="005F4E77" w:rsidP="002049C8">
      <w:pPr>
        <w:autoSpaceDE w:val="0"/>
        <w:autoSpaceDN w:val="0"/>
        <w:adjustRightInd w:val="0"/>
        <w:rPr>
          <w:sz w:val="24"/>
          <w:szCs w:val="24"/>
        </w:rPr>
      </w:pPr>
      <w:r w:rsidRPr="005F4E77">
        <w:rPr>
          <w:sz w:val="24"/>
          <w:szCs w:val="24"/>
          <w:shd w:val="clear" w:color="auto" w:fill="FFFFFF"/>
        </w:rPr>
        <w:t>Rezende, A. J</w:t>
      </w:r>
      <w:proofErr w:type="gramStart"/>
      <w:r w:rsidRPr="005F4E77">
        <w:rPr>
          <w:sz w:val="24"/>
          <w:szCs w:val="24"/>
          <w:shd w:val="clear" w:color="auto" w:fill="FFFFFF"/>
        </w:rPr>
        <w:t>.,</w:t>
      </w:r>
      <w:proofErr w:type="gramEnd"/>
      <w:r w:rsidRPr="005F4E77">
        <w:rPr>
          <w:sz w:val="24"/>
          <w:szCs w:val="24"/>
          <w:shd w:val="clear" w:color="auto" w:fill="FFFFFF"/>
        </w:rPr>
        <w:t xml:space="preserve"> Salgado, A. L., Ribeiro, E. M. S., &amp; </w:t>
      </w:r>
      <w:proofErr w:type="spellStart"/>
      <w:r w:rsidRPr="005F4E77">
        <w:rPr>
          <w:sz w:val="24"/>
          <w:szCs w:val="24"/>
          <w:shd w:val="clear" w:color="auto" w:fill="FFFFFF"/>
        </w:rPr>
        <w:t>Dalmacio</w:t>
      </w:r>
      <w:proofErr w:type="spellEnd"/>
      <w:r w:rsidRPr="005F4E77">
        <w:rPr>
          <w:sz w:val="24"/>
          <w:szCs w:val="24"/>
          <w:shd w:val="clear" w:color="auto" w:fill="FFFFFF"/>
        </w:rPr>
        <w:t>, F. Z. (2008). Uma análise do tratamento contábil dos ativos intangíveis (jogadores de futebol) nos clubes brasileiros. In </w:t>
      </w:r>
      <w:r w:rsidRPr="005F4E77">
        <w:rPr>
          <w:iCs/>
          <w:sz w:val="24"/>
          <w:szCs w:val="24"/>
          <w:shd w:val="clear" w:color="auto" w:fill="FFFFFF"/>
        </w:rPr>
        <w:t>Anais do Congresso Brasileiro de Custos-ABC</w:t>
      </w:r>
      <w:r w:rsidRPr="005F4E77">
        <w:rPr>
          <w:sz w:val="24"/>
          <w:szCs w:val="24"/>
          <w:shd w:val="clear" w:color="auto" w:fill="FFFFFF"/>
        </w:rPr>
        <w:t>.</w:t>
      </w:r>
    </w:p>
    <w:p w:rsidR="005F4E77" w:rsidRPr="005F4E77" w:rsidRDefault="005F4E77" w:rsidP="002049C8">
      <w:pPr>
        <w:rPr>
          <w:sz w:val="24"/>
          <w:szCs w:val="24"/>
          <w:shd w:val="clear" w:color="auto" w:fill="FFFFFF"/>
        </w:rPr>
      </w:pPr>
      <w:r w:rsidRPr="005F4E77">
        <w:rPr>
          <w:sz w:val="24"/>
          <w:szCs w:val="24"/>
          <w:shd w:val="clear" w:color="auto" w:fill="FFFFFF"/>
        </w:rPr>
        <w:t>Rezende, A. J</w:t>
      </w:r>
      <w:proofErr w:type="gramStart"/>
      <w:r w:rsidRPr="005F4E77">
        <w:rPr>
          <w:sz w:val="24"/>
          <w:szCs w:val="24"/>
          <w:shd w:val="clear" w:color="auto" w:fill="FFFFFF"/>
        </w:rPr>
        <w:t>.;</w:t>
      </w:r>
      <w:proofErr w:type="gramEnd"/>
      <w:r w:rsidRPr="005F4E77">
        <w:rPr>
          <w:sz w:val="24"/>
          <w:szCs w:val="24"/>
          <w:shd w:val="clear" w:color="auto" w:fill="FFFFFF"/>
        </w:rPr>
        <w:t xml:space="preserve"> &amp; Custódio, R. dos S. (2012). Uma analise da evidenciação dos direitos federativos nas demonstrações contábeis dos clubes de futebol brasileiros.</w:t>
      </w:r>
      <w:r w:rsidRPr="005F4E77">
        <w:rPr>
          <w:rStyle w:val="apple-converted-space"/>
          <w:sz w:val="24"/>
          <w:szCs w:val="24"/>
          <w:shd w:val="clear" w:color="auto" w:fill="FFFFFF"/>
        </w:rPr>
        <w:t> </w:t>
      </w:r>
      <w:r w:rsidRPr="005F4E77">
        <w:rPr>
          <w:rStyle w:val="Forte"/>
          <w:b w:val="0"/>
          <w:sz w:val="24"/>
          <w:szCs w:val="24"/>
          <w:shd w:val="clear" w:color="auto" w:fill="FFFFFF"/>
        </w:rPr>
        <w:t>Revista de Contabilidade do Mestrado em Ciências Contábeis da UERJ,</w:t>
      </w:r>
      <w:r w:rsidRPr="005F4E77">
        <w:rPr>
          <w:sz w:val="24"/>
          <w:szCs w:val="24"/>
          <w:shd w:val="clear" w:color="auto" w:fill="FFFFFF"/>
        </w:rPr>
        <w:t xml:space="preserve"> </w:t>
      </w:r>
      <w:proofErr w:type="gramStart"/>
      <w:r w:rsidRPr="005F4E77">
        <w:rPr>
          <w:sz w:val="24"/>
          <w:szCs w:val="24"/>
          <w:shd w:val="clear" w:color="auto" w:fill="FFFFFF"/>
        </w:rPr>
        <w:t>6</w:t>
      </w:r>
      <w:proofErr w:type="gramEnd"/>
      <w:r w:rsidRPr="005F4E77">
        <w:rPr>
          <w:sz w:val="24"/>
          <w:szCs w:val="24"/>
          <w:shd w:val="clear" w:color="auto" w:fill="FFFFFF"/>
        </w:rPr>
        <w:t xml:space="preserve"> (1), 229-245.</w:t>
      </w:r>
    </w:p>
    <w:p w:rsidR="005F4E77" w:rsidRPr="005F4E77" w:rsidRDefault="005F4E77" w:rsidP="002049C8">
      <w:pPr>
        <w:rPr>
          <w:sz w:val="24"/>
          <w:szCs w:val="24"/>
        </w:rPr>
      </w:pPr>
      <w:r w:rsidRPr="005F4E77">
        <w:rPr>
          <w:sz w:val="24"/>
          <w:szCs w:val="24"/>
        </w:rPr>
        <w:t>Romão, E</w:t>
      </w:r>
      <w:proofErr w:type="gramStart"/>
      <w:r w:rsidRPr="005F4E77">
        <w:rPr>
          <w:sz w:val="24"/>
          <w:szCs w:val="24"/>
        </w:rPr>
        <w:t>.;</w:t>
      </w:r>
      <w:proofErr w:type="gramEnd"/>
      <w:r w:rsidRPr="005F4E77">
        <w:rPr>
          <w:sz w:val="24"/>
          <w:szCs w:val="24"/>
        </w:rPr>
        <w:t xml:space="preserve"> &amp; Castellar, M.(2008). Relatório anual de empresa de auditoria mostra que há mais problemas do que soluções na vida financeira das agremiações brasileiras. </w:t>
      </w:r>
      <w:r w:rsidRPr="005F4E77">
        <w:rPr>
          <w:bCs/>
          <w:sz w:val="24"/>
          <w:szCs w:val="24"/>
        </w:rPr>
        <w:t>Lance</w:t>
      </w:r>
      <w:r w:rsidRPr="005F4E77">
        <w:rPr>
          <w:sz w:val="24"/>
          <w:szCs w:val="24"/>
        </w:rPr>
        <w:t>.</w:t>
      </w:r>
    </w:p>
    <w:p w:rsidR="005F4E77" w:rsidRPr="005F4E77" w:rsidRDefault="005F4E77" w:rsidP="002049C8">
      <w:pPr>
        <w:rPr>
          <w:sz w:val="24"/>
          <w:szCs w:val="24"/>
          <w:shd w:val="clear" w:color="auto" w:fill="FFFFFF"/>
        </w:rPr>
      </w:pPr>
      <w:r w:rsidRPr="005F4E77">
        <w:rPr>
          <w:sz w:val="24"/>
          <w:szCs w:val="24"/>
          <w:shd w:val="clear" w:color="auto" w:fill="FFFFFF"/>
        </w:rPr>
        <w:t xml:space="preserve">Rondinelli, P.(2015). </w:t>
      </w:r>
      <w:r w:rsidRPr="005F4E77">
        <w:rPr>
          <w:rStyle w:val="Forte"/>
          <w:b w:val="0"/>
          <w:sz w:val="24"/>
          <w:szCs w:val="24"/>
          <w:shd w:val="clear" w:color="auto" w:fill="FFFFFF"/>
        </w:rPr>
        <w:t>Futebol</w:t>
      </w:r>
      <w:r w:rsidRPr="005F4E77">
        <w:rPr>
          <w:rStyle w:val="Forte"/>
          <w:sz w:val="24"/>
          <w:szCs w:val="24"/>
          <w:shd w:val="clear" w:color="auto" w:fill="FFFFFF"/>
        </w:rPr>
        <w:t>:</w:t>
      </w:r>
      <w:r w:rsidRPr="005F4E77">
        <w:rPr>
          <w:rStyle w:val="apple-converted-space"/>
          <w:sz w:val="24"/>
          <w:szCs w:val="24"/>
          <w:shd w:val="clear" w:color="auto" w:fill="FFFFFF"/>
        </w:rPr>
        <w:t> </w:t>
      </w:r>
      <w:r w:rsidRPr="005F4E77">
        <w:rPr>
          <w:sz w:val="24"/>
          <w:szCs w:val="24"/>
          <w:shd w:val="clear" w:color="auto" w:fill="FFFFFF"/>
        </w:rPr>
        <w:t xml:space="preserve">histórias e curiosidades sobre o futebol. Recuperado em 02 dezembro, 2017 </w:t>
      </w:r>
      <w:proofErr w:type="gramStart"/>
      <w:r w:rsidRPr="005F4E77">
        <w:rPr>
          <w:sz w:val="24"/>
          <w:szCs w:val="24"/>
          <w:shd w:val="clear" w:color="auto" w:fill="FFFFFF"/>
        </w:rPr>
        <w:t>de:</w:t>
      </w:r>
      <w:proofErr w:type="gramEnd"/>
      <w:r w:rsidRPr="005F4E77">
        <w:rPr>
          <w:sz w:val="24"/>
          <w:szCs w:val="24"/>
          <w:shd w:val="clear" w:color="auto" w:fill="FFFFFF"/>
        </w:rPr>
        <w:t>http://www.brasilescola.com/educacao-fisica/futebol.htm&gt;.</w:t>
      </w:r>
    </w:p>
    <w:p w:rsidR="005F4E77" w:rsidRPr="005F4E77" w:rsidRDefault="005F4E77" w:rsidP="002049C8">
      <w:pPr>
        <w:autoSpaceDE w:val="0"/>
        <w:autoSpaceDN w:val="0"/>
        <w:adjustRightInd w:val="0"/>
        <w:rPr>
          <w:sz w:val="24"/>
          <w:szCs w:val="24"/>
          <w:shd w:val="clear" w:color="auto" w:fill="FFFFFF"/>
          <w:lang w:val="en-US"/>
        </w:rPr>
      </w:pPr>
      <w:r w:rsidRPr="005F4E77">
        <w:rPr>
          <w:sz w:val="24"/>
          <w:szCs w:val="24"/>
          <w:shd w:val="clear" w:color="auto" w:fill="FFFFFF"/>
        </w:rPr>
        <w:t xml:space="preserve">Souza, A. G., Sousa, W. </w:t>
      </w:r>
      <w:proofErr w:type="gramStart"/>
      <w:r w:rsidRPr="005F4E77">
        <w:rPr>
          <w:sz w:val="24"/>
          <w:szCs w:val="24"/>
          <w:shd w:val="clear" w:color="auto" w:fill="FFFFFF"/>
        </w:rPr>
        <w:t>D.</w:t>
      </w:r>
      <w:proofErr w:type="gramEnd"/>
      <w:r w:rsidRPr="005F4E77">
        <w:rPr>
          <w:sz w:val="24"/>
          <w:szCs w:val="24"/>
          <w:shd w:val="clear" w:color="auto" w:fill="FFFFFF"/>
        </w:rPr>
        <w:t>, Nascimento, J. C. H. B., &amp; Bernardes, J. R. (2016). Disclosure em Demonstrações Financeiras: Um Estudo sobre o Nível de Evidenciação Contábil de Clubes de Futebol Brasileiros no Ano de 2013. </w:t>
      </w:r>
      <w:r w:rsidRPr="005F4E77">
        <w:rPr>
          <w:rStyle w:val="nfase"/>
          <w:i w:val="0"/>
          <w:sz w:val="24"/>
          <w:szCs w:val="24"/>
          <w:bdr w:val="none" w:sz="0" w:space="0" w:color="auto" w:frame="1"/>
          <w:shd w:val="clear" w:color="auto" w:fill="FFFFFF"/>
          <w:lang w:val="en-US"/>
        </w:rPr>
        <w:t>PODIUM Sport, Leisure and Tourism Review</w:t>
      </w:r>
      <w:r w:rsidRPr="005F4E77">
        <w:rPr>
          <w:i/>
          <w:sz w:val="24"/>
          <w:szCs w:val="24"/>
          <w:shd w:val="clear" w:color="auto" w:fill="FFFFFF"/>
          <w:lang w:val="en-US"/>
        </w:rPr>
        <w:t>,</w:t>
      </w:r>
      <w:r w:rsidRPr="005F4E77">
        <w:rPr>
          <w:sz w:val="24"/>
          <w:szCs w:val="24"/>
          <w:shd w:val="clear" w:color="auto" w:fill="FFFFFF"/>
          <w:lang w:val="en-US"/>
        </w:rPr>
        <w:t xml:space="preserve"> 5(3), 1-19.</w:t>
      </w:r>
    </w:p>
    <w:p w:rsidR="005F4E77" w:rsidRPr="005F4E77" w:rsidRDefault="005F4E77" w:rsidP="002049C8">
      <w:pPr>
        <w:autoSpaceDE w:val="0"/>
        <w:autoSpaceDN w:val="0"/>
        <w:adjustRightInd w:val="0"/>
        <w:rPr>
          <w:sz w:val="24"/>
          <w:szCs w:val="24"/>
          <w:shd w:val="clear" w:color="auto" w:fill="FFFFFF"/>
          <w:lang w:val="en-US"/>
        </w:rPr>
      </w:pPr>
      <w:proofErr w:type="spellStart"/>
      <w:r w:rsidRPr="005F4E77">
        <w:rPr>
          <w:sz w:val="24"/>
          <w:szCs w:val="24"/>
          <w:shd w:val="clear" w:color="auto" w:fill="FFFFFF"/>
          <w:lang w:val="en-US"/>
        </w:rPr>
        <w:t>Verrecchia</w:t>
      </w:r>
      <w:proofErr w:type="spellEnd"/>
      <w:r w:rsidRPr="005F4E77">
        <w:rPr>
          <w:sz w:val="24"/>
          <w:szCs w:val="24"/>
          <w:shd w:val="clear" w:color="auto" w:fill="FFFFFF"/>
          <w:lang w:val="en-US"/>
        </w:rPr>
        <w:t xml:space="preserve">, R. E. (1983). </w:t>
      </w:r>
      <w:proofErr w:type="gramStart"/>
      <w:r w:rsidRPr="005F4E77">
        <w:rPr>
          <w:sz w:val="24"/>
          <w:szCs w:val="24"/>
          <w:shd w:val="clear" w:color="auto" w:fill="FFFFFF"/>
          <w:lang w:val="en-US"/>
        </w:rPr>
        <w:t>Discretionary disclosure.</w:t>
      </w:r>
      <w:proofErr w:type="gramEnd"/>
      <w:r w:rsidRPr="005F4E77">
        <w:rPr>
          <w:sz w:val="24"/>
          <w:szCs w:val="24"/>
          <w:shd w:val="clear" w:color="auto" w:fill="FFFFFF"/>
          <w:lang w:val="en-US"/>
        </w:rPr>
        <w:t> </w:t>
      </w:r>
      <w:proofErr w:type="gramStart"/>
      <w:r w:rsidRPr="005F4E77">
        <w:rPr>
          <w:iCs/>
          <w:sz w:val="24"/>
          <w:szCs w:val="24"/>
          <w:shd w:val="clear" w:color="auto" w:fill="FFFFFF"/>
          <w:lang w:val="en-US"/>
        </w:rPr>
        <w:t>Journal of accounting and economics</w:t>
      </w:r>
      <w:r w:rsidRPr="005F4E77">
        <w:rPr>
          <w:sz w:val="24"/>
          <w:szCs w:val="24"/>
          <w:shd w:val="clear" w:color="auto" w:fill="FFFFFF"/>
          <w:lang w:val="en-US"/>
        </w:rPr>
        <w:t>, </w:t>
      </w:r>
      <w:r w:rsidRPr="005F4E77">
        <w:rPr>
          <w:iCs/>
          <w:sz w:val="24"/>
          <w:szCs w:val="24"/>
          <w:shd w:val="clear" w:color="auto" w:fill="FFFFFF"/>
          <w:lang w:val="en-US"/>
        </w:rPr>
        <w:t>5</w:t>
      </w:r>
      <w:r w:rsidRPr="005F4E77">
        <w:rPr>
          <w:sz w:val="24"/>
          <w:szCs w:val="24"/>
          <w:shd w:val="clear" w:color="auto" w:fill="FFFFFF"/>
          <w:lang w:val="en-US"/>
        </w:rPr>
        <w:t>, 179-194.</w:t>
      </w:r>
      <w:proofErr w:type="gramEnd"/>
    </w:p>
    <w:p w:rsidR="005F4E77" w:rsidRPr="005F4E77" w:rsidRDefault="005F4E77" w:rsidP="002049C8">
      <w:pPr>
        <w:autoSpaceDE w:val="0"/>
        <w:autoSpaceDN w:val="0"/>
        <w:adjustRightInd w:val="0"/>
        <w:rPr>
          <w:sz w:val="24"/>
          <w:szCs w:val="24"/>
          <w:shd w:val="clear" w:color="auto" w:fill="FFFFFF"/>
        </w:rPr>
      </w:pPr>
      <w:r w:rsidRPr="005F4E77">
        <w:rPr>
          <w:sz w:val="24"/>
          <w:szCs w:val="24"/>
          <w:shd w:val="clear" w:color="auto" w:fill="FFFFFF"/>
        </w:rPr>
        <w:t>Zanotelli, E. J</w:t>
      </w:r>
      <w:proofErr w:type="gramStart"/>
      <w:r w:rsidRPr="005F4E77">
        <w:rPr>
          <w:sz w:val="24"/>
          <w:szCs w:val="24"/>
          <w:shd w:val="clear" w:color="auto" w:fill="FFFFFF"/>
        </w:rPr>
        <w:t>.,</w:t>
      </w:r>
      <w:proofErr w:type="gramEnd"/>
      <w:r w:rsidRPr="005F4E77">
        <w:rPr>
          <w:sz w:val="24"/>
          <w:szCs w:val="24"/>
          <w:shd w:val="clear" w:color="auto" w:fill="FFFFFF"/>
        </w:rPr>
        <w:t xml:space="preserve"> Amaral, H. F., &amp; De Souza, A. A. (2013). Os Ativos Intangíveis e a Crise De Representação Contábil. Anais do Congresso USP Controladoria e Finanças, São Paulo, Brasil, 13.</w:t>
      </w:r>
    </w:p>
    <w:sectPr w:rsidR="005F4E77" w:rsidRPr="005F4E77" w:rsidSect="00C04F45">
      <w:headerReference w:type="default" r:id="rId7"/>
      <w:footerReference w:type="default" r:id="rId8"/>
      <w:type w:val="continuous"/>
      <w:pgSz w:w="11900" w:h="16840"/>
      <w:pgMar w:top="1701" w:right="1134" w:bottom="1134" w:left="1701"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717A40DC"/>
  <w15:commentEx w15:done="0" w15:paraId="7711B4ED"/>
  <w15:commentEx w15:done="0" w15:paraId="2FEF3669"/>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F6A" w:rsidRDefault="00F77F6A" w:rsidP="008A5824">
      <w:r>
        <w:separator/>
      </w:r>
    </w:p>
  </w:endnote>
  <w:endnote w:type="continuationSeparator" w:id="0">
    <w:p w:rsidR="00F77F6A" w:rsidRDefault="00F77F6A" w:rsidP="008A5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21343767"/>
      <w:docPartObj>
        <w:docPartGallery w:val="Page Numbers (Bottom of Page)"/>
        <w:docPartUnique/>
      </w:docPartObj>
    </w:sdtPr>
    <w:sdtContent>
      <w:p w:rsidR="004D366C" w:rsidRDefault="004D366C">
        <w:pPr>
          <w:pStyle w:val="Rodap"/>
          <w:jc w:val="right"/>
          <w:rPr>
            <w:rFonts w:ascii="Times New Roman" w:hAnsi="Times New Roman" w:cs="Times New Roman"/>
          </w:rPr>
        </w:pPr>
      </w:p>
      <w:p w:rsidR="004D366C" w:rsidRPr="00C04F45" w:rsidRDefault="004D366C">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2600" cy="728980"/>
                      </a:xfrm>
                      <a:prstGeom prst="rect">
                        <a:avLst/>
                      </a:prstGeom>
                    </pic:spPr>
                  </pic:pic>
                </a:graphicData>
              </a:graphic>
            </wp:anchor>
          </w:drawing>
        </w:r>
        <w:r w:rsidR="00E0650E"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00E0650E" w:rsidRPr="00C04F45">
          <w:rPr>
            <w:rFonts w:ascii="Times New Roman" w:hAnsi="Times New Roman" w:cs="Times New Roman"/>
          </w:rPr>
          <w:fldChar w:fldCharType="separate"/>
        </w:r>
        <w:r w:rsidR="00A11EAB">
          <w:rPr>
            <w:rFonts w:ascii="Times New Roman" w:hAnsi="Times New Roman" w:cs="Times New Roman"/>
            <w:noProof/>
          </w:rPr>
          <w:t>17</w:t>
        </w:r>
        <w:r w:rsidR="00E0650E" w:rsidRPr="00C04F45">
          <w:rPr>
            <w:rFonts w:ascii="Times New Roman" w:hAnsi="Times New Roman" w:cs="Times New Roman"/>
          </w:rPr>
          <w:fldChar w:fldCharType="end"/>
        </w:r>
      </w:p>
    </w:sdtContent>
  </w:sdt>
  <w:p w:rsidR="004D366C" w:rsidRDefault="004D366C">
    <w:pPr>
      <w:pStyle w:val="Rodap"/>
      <w:rPr>
        <w:rFonts w:ascii="Times New Roman" w:hAnsi="Times New Roman" w:cs="Times New Roman"/>
      </w:rPr>
    </w:pPr>
  </w:p>
  <w:p w:rsidR="004D366C" w:rsidRPr="00C04F45" w:rsidRDefault="004D366C" w:rsidP="00C04F45">
    <w:pPr>
      <w:pStyle w:val="Rodap"/>
      <w:widowControl w:val="0"/>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F6A" w:rsidRDefault="00F77F6A" w:rsidP="008A5824">
      <w:r>
        <w:separator/>
      </w:r>
    </w:p>
  </w:footnote>
  <w:footnote w:type="continuationSeparator" w:id="0">
    <w:p w:rsidR="00F77F6A" w:rsidRDefault="00F77F6A"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66C" w:rsidRPr="00E361F4" w:rsidRDefault="004D366C"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CD62E6C"/>
    <w:multiLevelType w:val="hybridMultilevel"/>
    <w:tmpl w:val="5DD29F42"/>
    <w:lvl w:ilvl="0" w:tplc="7F8A6BB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68C19A7"/>
    <w:multiLevelType w:val="multilevel"/>
    <w:tmpl w:val="81CCDFFC"/>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people.xml><?xml version="1.0" encoding="utf-8"?>
<w15:people xmlns:mc="http://schemas.openxmlformats.org/markup-compatibility/2006" xmlns:w15="http://schemas.microsoft.com/office/word/2012/wordml" mc:Ignorable="w15">
  <w15:person w15:author="Marcos Buzanello">
    <w15:presenceInfo w15:providerId=""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1506"/>
  </w:hdrShapeDefaults>
  <w:footnotePr>
    <w:footnote w:id="-1"/>
    <w:footnote w:id="0"/>
  </w:footnotePr>
  <w:endnotePr>
    <w:endnote w:id="-1"/>
    <w:endnote w:id="0"/>
  </w:endnotePr>
  <w:compat/>
  <w:rsids>
    <w:rsidRoot w:val="008A5824"/>
    <w:rsid w:val="00006992"/>
    <w:rsid w:val="00067126"/>
    <w:rsid w:val="000E09B2"/>
    <w:rsid w:val="0016220D"/>
    <w:rsid w:val="00194BA9"/>
    <w:rsid w:val="001A4423"/>
    <w:rsid w:val="001C328B"/>
    <w:rsid w:val="001E6405"/>
    <w:rsid w:val="001F6A6D"/>
    <w:rsid w:val="002049C8"/>
    <w:rsid w:val="002B0015"/>
    <w:rsid w:val="002B2B78"/>
    <w:rsid w:val="0036377D"/>
    <w:rsid w:val="00376A49"/>
    <w:rsid w:val="0038579D"/>
    <w:rsid w:val="004020EB"/>
    <w:rsid w:val="00473887"/>
    <w:rsid w:val="00491708"/>
    <w:rsid w:val="004D366C"/>
    <w:rsid w:val="004F3AE6"/>
    <w:rsid w:val="00526D0C"/>
    <w:rsid w:val="005F1DD2"/>
    <w:rsid w:val="005F4E77"/>
    <w:rsid w:val="006064A3"/>
    <w:rsid w:val="00631DCF"/>
    <w:rsid w:val="00655FC7"/>
    <w:rsid w:val="00660E1F"/>
    <w:rsid w:val="00686527"/>
    <w:rsid w:val="0072578D"/>
    <w:rsid w:val="007F38F8"/>
    <w:rsid w:val="008350E2"/>
    <w:rsid w:val="00860B20"/>
    <w:rsid w:val="008926AB"/>
    <w:rsid w:val="008A32F5"/>
    <w:rsid w:val="008A5824"/>
    <w:rsid w:val="008D4F05"/>
    <w:rsid w:val="00976A7C"/>
    <w:rsid w:val="009833D5"/>
    <w:rsid w:val="009A56A4"/>
    <w:rsid w:val="00A1020A"/>
    <w:rsid w:val="00A11EAB"/>
    <w:rsid w:val="00A86ECF"/>
    <w:rsid w:val="00B32719"/>
    <w:rsid w:val="00B41CAF"/>
    <w:rsid w:val="00B87492"/>
    <w:rsid w:val="00BD0F13"/>
    <w:rsid w:val="00C04F45"/>
    <w:rsid w:val="00C30374"/>
    <w:rsid w:val="00CA2367"/>
    <w:rsid w:val="00CA25AA"/>
    <w:rsid w:val="00CE5296"/>
    <w:rsid w:val="00CF645C"/>
    <w:rsid w:val="00D91EAD"/>
    <w:rsid w:val="00DC5627"/>
    <w:rsid w:val="00E0650E"/>
    <w:rsid w:val="00E361F4"/>
    <w:rsid w:val="00E6136F"/>
    <w:rsid w:val="00ED7A83"/>
    <w:rsid w:val="00F77F6A"/>
    <w:rsid w:val="00FE1CF2"/>
    <w:rsid w:val="00FF07B7"/>
    <w:rsid w:val="0B4C22A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3">
    <w:name w:val="heading 3"/>
    <w:basedOn w:val="Normal"/>
    <w:link w:val="Ttulo3Char"/>
    <w:uiPriority w:val="9"/>
    <w:qFormat/>
    <w:rsid w:val="005F4E77"/>
    <w:pPr>
      <w:suppressAutoHyphens w:val="0"/>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nhideWhenUsed/>
    <w:rsid w:val="00E361F4"/>
    <w:rPr>
      <w:rFonts w:ascii="Tahoma" w:hAnsi="Tahoma" w:cs="Tahoma"/>
      <w:sz w:val="16"/>
      <w:szCs w:val="16"/>
    </w:rPr>
  </w:style>
  <w:style w:type="character" w:customStyle="1" w:styleId="TextodebaloChar">
    <w:name w:val="Texto de balão Char"/>
    <w:basedOn w:val="Fontepargpadro"/>
    <w:link w:val="Textodebalo"/>
    <w:rsid w:val="00E361F4"/>
    <w:rPr>
      <w:rFonts w:ascii="Tahoma" w:eastAsia="Times New Roman" w:hAnsi="Tahoma" w:cs="Tahoma"/>
      <w:sz w:val="16"/>
      <w:szCs w:val="16"/>
      <w:lang w:eastAsia="pt-BR"/>
    </w:rPr>
  </w:style>
  <w:style w:type="character" w:styleId="Hyperlink">
    <w:name w:val="Hyperlink"/>
    <w:basedOn w:val="Fontepargpadro"/>
    <w:unhideWhenUsed/>
    <w:rsid w:val="00C04F45"/>
    <w:rPr>
      <w:color w:val="0000FF"/>
      <w:u w:val="single"/>
    </w:rPr>
  </w:style>
  <w:style w:type="character" w:customStyle="1" w:styleId="apple-converted-space">
    <w:name w:val="apple-converted-space"/>
    <w:basedOn w:val="Fontepargpadro"/>
    <w:rsid w:val="005F4E77"/>
  </w:style>
  <w:style w:type="paragraph" w:customStyle="1" w:styleId="Default">
    <w:name w:val="Default"/>
    <w:rsid w:val="005F4E77"/>
    <w:pPr>
      <w:autoSpaceDE w:val="0"/>
      <w:autoSpaceDN w:val="0"/>
      <w:adjustRightInd w:val="0"/>
    </w:pPr>
    <w:rPr>
      <w:rFonts w:ascii="Times New Roman" w:eastAsia="Calibri" w:hAnsi="Times New Roman" w:cs="Times New Roman"/>
      <w:color w:val="000000"/>
    </w:rPr>
  </w:style>
  <w:style w:type="character" w:customStyle="1" w:styleId="Ttulo3Char">
    <w:name w:val="Título 3 Char"/>
    <w:basedOn w:val="Fontepargpadro"/>
    <w:link w:val="Ttulo3"/>
    <w:uiPriority w:val="9"/>
    <w:rsid w:val="005F4E77"/>
    <w:rPr>
      <w:rFonts w:ascii="Times New Roman" w:eastAsia="Times New Roman" w:hAnsi="Times New Roman" w:cs="Times New Roman"/>
      <w:b/>
      <w:bCs/>
      <w:sz w:val="27"/>
      <w:szCs w:val="27"/>
    </w:rPr>
  </w:style>
  <w:style w:type="character" w:customStyle="1" w:styleId="Fontepargpadro1">
    <w:name w:val="Fonte parág. padrão1"/>
    <w:rsid w:val="005F4E77"/>
  </w:style>
  <w:style w:type="character" w:customStyle="1" w:styleId="Refdecomentrio1">
    <w:name w:val="Ref. de comentário1"/>
    <w:rsid w:val="005F4E77"/>
    <w:rPr>
      <w:sz w:val="16"/>
      <w:szCs w:val="16"/>
    </w:rPr>
  </w:style>
  <w:style w:type="character" w:customStyle="1" w:styleId="TextodecomentrioChar">
    <w:name w:val="Texto de comentário Char"/>
    <w:rsid w:val="005F4E77"/>
    <w:rPr>
      <w:rFonts w:ascii="Arial" w:eastAsia="Times New Roman" w:hAnsi="Arial" w:cs="Arial"/>
    </w:rPr>
  </w:style>
  <w:style w:type="character" w:customStyle="1" w:styleId="AssuntodocomentrioChar">
    <w:name w:val="Assunto do comentário Char"/>
    <w:rsid w:val="005F4E77"/>
    <w:rPr>
      <w:rFonts w:ascii="Arial" w:eastAsia="Times New Roman" w:hAnsi="Arial" w:cs="Arial"/>
      <w:b/>
      <w:bCs/>
    </w:rPr>
  </w:style>
  <w:style w:type="character" w:styleId="Forte">
    <w:name w:val="Strong"/>
    <w:uiPriority w:val="22"/>
    <w:qFormat/>
    <w:rsid w:val="005F4E77"/>
    <w:rPr>
      <w:b/>
      <w:bCs/>
    </w:rPr>
  </w:style>
  <w:style w:type="paragraph" w:customStyle="1" w:styleId="Ttulo1">
    <w:name w:val="Título1"/>
    <w:basedOn w:val="Normal"/>
    <w:next w:val="Corpodetexto"/>
    <w:rsid w:val="005F4E77"/>
    <w:pPr>
      <w:keepNext/>
      <w:spacing w:before="240" w:after="120"/>
    </w:pPr>
    <w:rPr>
      <w:rFonts w:ascii="Arial" w:eastAsia="Microsoft YaHei" w:hAnsi="Arial" w:cs="Mangal"/>
      <w:sz w:val="28"/>
      <w:szCs w:val="28"/>
      <w:lang w:eastAsia="zh-CN"/>
    </w:rPr>
  </w:style>
  <w:style w:type="paragraph" w:styleId="Corpodetexto">
    <w:name w:val="Body Text"/>
    <w:basedOn w:val="Normal"/>
    <w:link w:val="CorpodetextoChar"/>
    <w:rsid w:val="005F4E77"/>
    <w:pPr>
      <w:spacing w:after="120"/>
    </w:pPr>
    <w:rPr>
      <w:rFonts w:ascii="Arial" w:hAnsi="Arial"/>
      <w:sz w:val="24"/>
      <w:szCs w:val="24"/>
      <w:lang w:eastAsia="zh-CN"/>
    </w:rPr>
  </w:style>
  <w:style w:type="character" w:customStyle="1" w:styleId="CorpodetextoChar">
    <w:name w:val="Corpo de texto Char"/>
    <w:basedOn w:val="Fontepargpadro"/>
    <w:link w:val="Corpodetexto"/>
    <w:rsid w:val="005F4E77"/>
    <w:rPr>
      <w:rFonts w:ascii="Arial" w:eastAsia="Times New Roman" w:hAnsi="Arial" w:cs="Times New Roman"/>
      <w:lang w:eastAsia="zh-CN"/>
    </w:rPr>
  </w:style>
  <w:style w:type="paragraph" w:styleId="Lista">
    <w:name w:val="List"/>
    <w:basedOn w:val="Corpodetexto"/>
    <w:rsid w:val="005F4E77"/>
    <w:rPr>
      <w:rFonts w:cs="Mangal"/>
    </w:rPr>
  </w:style>
  <w:style w:type="paragraph" w:styleId="Legenda">
    <w:name w:val="caption"/>
    <w:basedOn w:val="Normal"/>
    <w:qFormat/>
    <w:rsid w:val="005F4E77"/>
    <w:pPr>
      <w:suppressLineNumbers/>
      <w:spacing w:before="120" w:after="120"/>
    </w:pPr>
    <w:rPr>
      <w:rFonts w:ascii="Arial" w:hAnsi="Arial" w:cs="Mangal"/>
      <w:i/>
      <w:iCs/>
      <w:sz w:val="24"/>
      <w:szCs w:val="24"/>
      <w:lang w:eastAsia="zh-CN"/>
    </w:rPr>
  </w:style>
  <w:style w:type="paragraph" w:customStyle="1" w:styleId="ndice">
    <w:name w:val="Índice"/>
    <w:basedOn w:val="Normal"/>
    <w:rsid w:val="005F4E77"/>
    <w:pPr>
      <w:suppressLineNumbers/>
    </w:pPr>
    <w:rPr>
      <w:rFonts w:ascii="Arial" w:hAnsi="Arial" w:cs="Mangal"/>
      <w:sz w:val="24"/>
      <w:szCs w:val="24"/>
      <w:lang w:eastAsia="zh-CN"/>
    </w:rPr>
  </w:style>
  <w:style w:type="paragraph" w:customStyle="1" w:styleId="Normal1">
    <w:name w:val="Normal1"/>
    <w:rsid w:val="005F4E77"/>
    <w:pPr>
      <w:suppressAutoHyphens/>
      <w:autoSpaceDE w:val="0"/>
    </w:pPr>
    <w:rPr>
      <w:rFonts w:ascii="Times New Roman" w:eastAsia="Calibri" w:hAnsi="Times New Roman" w:cs="Times New Roman"/>
      <w:color w:val="000000"/>
      <w:lang w:eastAsia="zh-CN"/>
    </w:rPr>
  </w:style>
  <w:style w:type="paragraph" w:customStyle="1" w:styleId="Textodecomentrio1">
    <w:name w:val="Texto de comentário1"/>
    <w:basedOn w:val="Normal"/>
    <w:rsid w:val="005F4E77"/>
    <w:rPr>
      <w:rFonts w:ascii="Arial" w:hAnsi="Arial" w:cs="Arial"/>
      <w:lang w:eastAsia="zh-CN"/>
    </w:rPr>
  </w:style>
  <w:style w:type="paragraph" w:styleId="Textodecomentrio">
    <w:name w:val="annotation text"/>
    <w:basedOn w:val="Normal"/>
    <w:link w:val="TextodecomentrioChar1"/>
    <w:uiPriority w:val="99"/>
    <w:unhideWhenUsed/>
    <w:rsid w:val="005F4E77"/>
    <w:rPr>
      <w:rFonts w:ascii="Arial" w:hAnsi="Arial"/>
      <w:lang w:eastAsia="zh-CN"/>
    </w:rPr>
  </w:style>
  <w:style w:type="character" w:customStyle="1" w:styleId="TextodecomentrioChar1">
    <w:name w:val="Texto de comentário Char1"/>
    <w:basedOn w:val="Fontepargpadro"/>
    <w:link w:val="Textodecomentrio"/>
    <w:uiPriority w:val="99"/>
    <w:rsid w:val="005F4E77"/>
    <w:rPr>
      <w:rFonts w:ascii="Arial" w:eastAsia="Times New Roman" w:hAnsi="Arial" w:cs="Times New Roman"/>
      <w:sz w:val="20"/>
      <w:szCs w:val="20"/>
      <w:lang w:eastAsia="zh-CN"/>
    </w:rPr>
  </w:style>
  <w:style w:type="paragraph" w:styleId="Assuntodocomentrio">
    <w:name w:val="annotation subject"/>
    <w:basedOn w:val="Textodecomentrio1"/>
    <w:next w:val="Textodecomentrio1"/>
    <w:link w:val="AssuntodocomentrioChar1"/>
    <w:rsid w:val="005F4E77"/>
    <w:rPr>
      <w:rFonts w:cs="Times New Roman"/>
      <w:b/>
      <w:bCs/>
    </w:rPr>
  </w:style>
  <w:style w:type="character" w:customStyle="1" w:styleId="AssuntodocomentrioChar1">
    <w:name w:val="Assunto do comentário Char1"/>
    <w:basedOn w:val="TextodecomentrioChar1"/>
    <w:link w:val="Assuntodocomentrio"/>
    <w:rsid w:val="005F4E77"/>
    <w:rPr>
      <w:b/>
      <w:bCs/>
    </w:rPr>
  </w:style>
  <w:style w:type="character" w:customStyle="1" w:styleId="TextodebaloChar1">
    <w:name w:val="Texto de balão Char1"/>
    <w:rsid w:val="005F4E77"/>
    <w:rPr>
      <w:rFonts w:ascii="Tahoma" w:eastAsia="Times New Roman" w:hAnsi="Tahoma" w:cs="Tahoma"/>
      <w:sz w:val="16"/>
      <w:szCs w:val="16"/>
      <w:lang w:eastAsia="zh-CN"/>
    </w:rPr>
  </w:style>
  <w:style w:type="paragraph" w:styleId="Reviso">
    <w:name w:val="Revision"/>
    <w:rsid w:val="005F4E77"/>
    <w:pPr>
      <w:suppressAutoHyphens/>
    </w:pPr>
    <w:rPr>
      <w:rFonts w:ascii="Arial" w:eastAsia="Times New Roman" w:hAnsi="Arial" w:cs="Arial"/>
      <w:lang w:eastAsia="zh-CN"/>
    </w:rPr>
  </w:style>
  <w:style w:type="character" w:styleId="Refdecomentrio">
    <w:name w:val="annotation reference"/>
    <w:uiPriority w:val="99"/>
    <w:semiHidden/>
    <w:unhideWhenUsed/>
    <w:rsid w:val="005F4E77"/>
    <w:rPr>
      <w:sz w:val="16"/>
      <w:szCs w:val="16"/>
    </w:rPr>
  </w:style>
  <w:style w:type="paragraph" w:customStyle="1" w:styleId="Julaine">
    <w:name w:val="Julaine"/>
    <w:basedOn w:val="Textodecomentrio"/>
    <w:link w:val="JulaineChar"/>
    <w:qFormat/>
    <w:rsid w:val="005F4E77"/>
  </w:style>
  <w:style w:type="character" w:customStyle="1" w:styleId="JulaineChar">
    <w:name w:val="Julaine Char"/>
    <w:link w:val="Julaine"/>
    <w:rsid w:val="005F4E77"/>
    <w:rPr>
      <w:rFonts w:ascii="Arial" w:eastAsia="Times New Roman" w:hAnsi="Arial" w:cs="Times New Roman"/>
      <w:sz w:val="20"/>
      <w:szCs w:val="20"/>
      <w:lang w:eastAsia="zh-CN"/>
    </w:rPr>
  </w:style>
  <w:style w:type="table" w:styleId="Tabelacomgrade">
    <w:name w:val="Table Grid"/>
    <w:basedOn w:val="Tabelanormal"/>
    <w:uiPriority w:val="59"/>
    <w:rsid w:val="005F4E77"/>
    <w:rPr>
      <w:rFonts w:ascii="Calibri" w:eastAsia="Calibri" w:hAnsi="Calibri"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cuodecorpodetexto">
    <w:name w:val="Body Text Indent"/>
    <w:basedOn w:val="Normal"/>
    <w:link w:val="RecuodecorpodetextoChar"/>
    <w:uiPriority w:val="99"/>
    <w:semiHidden/>
    <w:unhideWhenUsed/>
    <w:rsid w:val="005F4E77"/>
    <w:pPr>
      <w:spacing w:after="120"/>
      <w:ind w:left="283"/>
    </w:pPr>
    <w:rPr>
      <w:rFonts w:ascii="Arial" w:hAnsi="Arial"/>
      <w:sz w:val="24"/>
      <w:szCs w:val="24"/>
      <w:lang w:eastAsia="zh-CN"/>
    </w:rPr>
  </w:style>
  <w:style w:type="character" w:customStyle="1" w:styleId="RecuodecorpodetextoChar">
    <w:name w:val="Recuo de corpo de texto Char"/>
    <w:basedOn w:val="Fontepargpadro"/>
    <w:link w:val="Recuodecorpodetexto"/>
    <w:uiPriority w:val="99"/>
    <w:semiHidden/>
    <w:rsid w:val="005F4E77"/>
    <w:rPr>
      <w:rFonts w:ascii="Arial" w:eastAsia="Times New Roman" w:hAnsi="Arial" w:cs="Times New Roman"/>
      <w:lang w:eastAsia="zh-CN"/>
    </w:rPr>
  </w:style>
  <w:style w:type="character" w:styleId="nfase">
    <w:name w:val="Emphasis"/>
    <w:uiPriority w:val="20"/>
    <w:qFormat/>
    <w:rsid w:val="005F4E7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c1a7de3f79184f09"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2989218525c54bb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17</Pages>
  <Words>8372</Words>
  <Characters>45213</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x</cp:lastModifiedBy>
  <cp:revision>14</cp:revision>
  <dcterms:created xsi:type="dcterms:W3CDTF">2018-03-31T20:40:00Z</dcterms:created>
  <dcterms:modified xsi:type="dcterms:W3CDTF">2018-04-27T19:18:00Z</dcterms:modified>
</cp:coreProperties>
</file>