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E0" w:rsidRDefault="004669E0" w:rsidP="006C5B4D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047017" w:rsidRDefault="004669E0" w:rsidP="006C5B4D">
      <w:pPr>
        <w:jc w:val="center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 xml:space="preserve">Auditoria e Gerenciamento de Resultados: Análise em Companhias Abertas </w:t>
      </w:r>
    </w:p>
    <w:p w:rsidR="006C5B4D" w:rsidRPr="004669E0" w:rsidRDefault="004669E0" w:rsidP="006C5B4D">
      <w:pPr>
        <w:jc w:val="center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>Listadas na B3</w:t>
      </w:r>
    </w:p>
    <w:p w:rsidR="0036377D" w:rsidRPr="004669E0" w:rsidRDefault="0036377D" w:rsidP="0036377D">
      <w:pPr>
        <w:jc w:val="center"/>
        <w:rPr>
          <w:color w:val="999999"/>
          <w:sz w:val="24"/>
          <w:szCs w:val="24"/>
        </w:rPr>
      </w:pPr>
    </w:p>
    <w:p w:rsidR="004669E0" w:rsidRPr="004669E0" w:rsidRDefault="004669E0" w:rsidP="0036377D">
      <w:pPr>
        <w:jc w:val="right"/>
        <w:rPr>
          <w:b/>
          <w:sz w:val="24"/>
          <w:szCs w:val="24"/>
        </w:rPr>
      </w:pPr>
    </w:p>
    <w:p w:rsidR="0036377D" w:rsidRPr="004669E0" w:rsidRDefault="006C5B4D" w:rsidP="0036377D">
      <w:pPr>
        <w:jc w:val="right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>Silvete Moterle</w:t>
      </w:r>
    </w:p>
    <w:p w:rsidR="0036377D" w:rsidRPr="004669E0" w:rsidRDefault="006C5B4D" w:rsidP="0036377D">
      <w:pPr>
        <w:jc w:val="right"/>
        <w:rPr>
          <w:b/>
          <w:i/>
          <w:sz w:val="24"/>
          <w:szCs w:val="24"/>
        </w:rPr>
      </w:pPr>
      <w:r w:rsidRPr="004669E0">
        <w:rPr>
          <w:b/>
          <w:sz w:val="24"/>
          <w:szCs w:val="24"/>
        </w:rPr>
        <w:t>Universidade Comunitária da Região de Chapecó</w:t>
      </w:r>
      <w:r w:rsidR="0036377D" w:rsidRPr="004669E0">
        <w:rPr>
          <w:b/>
          <w:sz w:val="24"/>
          <w:szCs w:val="24"/>
        </w:rPr>
        <w:t xml:space="preserve"> (</w:t>
      </w:r>
      <w:r w:rsidRPr="004669E0">
        <w:rPr>
          <w:b/>
          <w:sz w:val="24"/>
          <w:szCs w:val="24"/>
        </w:rPr>
        <w:t>UNOCHAPECÓ</w:t>
      </w:r>
      <w:r w:rsidR="0036377D" w:rsidRPr="004669E0">
        <w:rPr>
          <w:b/>
          <w:sz w:val="24"/>
          <w:szCs w:val="24"/>
        </w:rPr>
        <w:t>)</w:t>
      </w:r>
    </w:p>
    <w:p w:rsidR="0036377D" w:rsidRPr="004669E0" w:rsidRDefault="00C04F45" w:rsidP="0036377D">
      <w:pPr>
        <w:jc w:val="right"/>
        <w:rPr>
          <w:b/>
          <w:sz w:val="24"/>
          <w:szCs w:val="24"/>
        </w:rPr>
      </w:pPr>
      <w:r w:rsidRPr="004669E0">
        <w:rPr>
          <w:b/>
          <w:i/>
          <w:sz w:val="24"/>
          <w:szCs w:val="24"/>
        </w:rPr>
        <w:t>E</w:t>
      </w:r>
      <w:r w:rsidR="0036377D" w:rsidRPr="004669E0">
        <w:rPr>
          <w:b/>
          <w:i/>
          <w:sz w:val="24"/>
          <w:szCs w:val="24"/>
        </w:rPr>
        <w:t>-mail</w:t>
      </w:r>
      <w:r w:rsidR="006C5B4D" w:rsidRPr="004669E0">
        <w:rPr>
          <w:b/>
          <w:i/>
          <w:sz w:val="24"/>
          <w:szCs w:val="24"/>
        </w:rPr>
        <w:t>: silvete@unochapeco.edu.br</w:t>
      </w:r>
    </w:p>
    <w:p w:rsidR="0036377D" w:rsidRPr="004669E0" w:rsidRDefault="0036377D" w:rsidP="0036377D">
      <w:pPr>
        <w:jc w:val="right"/>
        <w:rPr>
          <w:b/>
          <w:sz w:val="24"/>
          <w:szCs w:val="24"/>
        </w:rPr>
      </w:pPr>
    </w:p>
    <w:p w:rsidR="0036377D" w:rsidRPr="004669E0" w:rsidRDefault="006C5B4D" w:rsidP="00067126">
      <w:pPr>
        <w:widowControl w:val="0"/>
        <w:jc w:val="right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>Evelise Auler</w:t>
      </w:r>
    </w:p>
    <w:p w:rsidR="006C5B4D" w:rsidRPr="004669E0" w:rsidRDefault="006C5B4D" w:rsidP="006C5B4D">
      <w:pPr>
        <w:jc w:val="right"/>
        <w:rPr>
          <w:b/>
          <w:i/>
          <w:sz w:val="24"/>
          <w:szCs w:val="24"/>
        </w:rPr>
      </w:pPr>
      <w:r w:rsidRPr="004669E0">
        <w:rPr>
          <w:b/>
          <w:sz w:val="24"/>
          <w:szCs w:val="24"/>
        </w:rPr>
        <w:t>Universidade Comunitária da Região de Chapecó (UNOCHAPECÓ)</w:t>
      </w:r>
    </w:p>
    <w:p w:rsidR="006C5B4D" w:rsidRPr="004669E0" w:rsidRDefault="006C5B4D" w:rsidP="006C5B4D">
      <w:pPr>
        <w:jc w:val="right"/>
        <w:rPr>
          <w:b/>
          <w:i/>
          <w:sz w:val="24"/>
          <w:szCs w:val="24"/>
        </w:rPr>
      </w:pPr>
      <w:r w:rsidRPr="004669E0">
        <w:rPr>
          <w:b/>
          <w:i/>
          <w:sz w:val="24"/>
          <w:szCs w:val="24"/>
        </w:rPr>
        <w:t>E-ma</w:t>
      </w:r>
      <w:r w:rsidR="004669E0" w:rsidRPr="004669E0">
        <w:rPr>
          <w:b/>
          <w:i/>
          <w:sz w:val="24"/>
          <w:szCs w:val="24"/>
        </w:rPr>
        <w:t>il: eveliseauler@unochapeco.edu.br</w:t>
      </w:r>
    </w:p>
    <w:p w:rsidR="004669E0" w:rsidRPr="004669E0" w:rsidRDefault="004669E0" w:rsidP="006C5B4D">
      <w:pPr>
        <w:jc w:val="right"/>
        <w:rPr>
          <w:b/>
          <w:sz w:val="24"/>
          <w:szCs w:val="24"/>
        </w:rPr>
      </w:pPr>
    </w:p>
    <w:p w:rsidR="004669E0" w:rsidRPr="004669E0" w:rsidRDefault="004669E0" w:rsidP="006C5B4D">
      <w:pPr>
        <w:jc w:val="right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>Geovanne Dias de Moura</w:t>
      </w:r>
    </w:p>
    <w:p w:rsidR="004669E0" w:rsidRPr="004669E0" w:rsidRDefault="004669E0" w:rsidP="004669E0">
      <w:pPr>
        <w:jc w:val="right"/>
        <w:rPr>
          <w:b/>
          <w:i/>
          <w:sz w:val="24"/>
          <w:szCs w:val="24"/>
        </w:rPr>
      </w:pPr>
      <w:r w:rsidRPr="004669E0">
        <w:rPr>
          <w:b/>
          <w:sz w:val="24"/>
          <w:szCs w:val="24"/>
        </w:rPr>
        <w:t>Universidade Comunitária da Região de Chapecó (UNOCHAPECÓ)</w:t>
      </w:r>
    </w:p>
    <w:p w:rsidR="004669E0" w:rsidRPr="004669E0" w:rsidRDefault="004669E0" w:rsidP="004669E0">
      <w:pPr>
        <w:jc w:val="right"/>
        <w:rPr>
          <w:b/>
          <w:i/>
          <w:sz w:val="24"/>
          <w:szCs w:val="24"/>
        </w:rPr>
      </w:pPr>
      <w:r w:rsidRPr="004669E0">
        <w:rPr>
          <w:b/>
          <w:i/>
          <w:sz w:val="24"/>
          <w:szCs w:val="24"/>
        </w:rPr>
        <w:t>E-mail: geomoura@unochapeco.edu.br</w:t>
      </w:r>
    </w:p>
    <w:p w:rsidR="0036377D" w:rsidRDefault="0036377D" w:rsidP="00067126">
      <w:pPr>
        <w:widowControl w:val="0"/>
        <w:jc w:val="center"/>
        <w:rPr>
          <w:b/>
          <w:color w:val="999999"/>
          <w:sz w:val="24"/>
          <w:szCs w:val="24"/>
        </w:rPr>
      </w:pPr>
    </w:p>
    <w:p w:rsidR="0020629D" w:rsidRPr="004669E0" w:rsidRDefault="0020629D" w:rsidP="0020629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Sady Mazzioni</w:t>
      </w:r>
    </w:p>
    <w:p w:rsidR="0020629D" w:rsidRPr="004669E0" w:rsidRDefault="0020629D" w:rsidP="0020629D">
      <w:pPr>
        <w:jc w:val="right"/>
        <w:rPr>
          <w:b/>
          <w:i/>
          <w:sz w:val="24"/>
          <w:szCs w:val="24"/>
        </w:rPr>
      </w:pPr>
      <w:r w:rsidRPr="004669E0">
        <w:rPr>
          <w:b/>
          <w:sz w:val="24"/>
          <w:szCs w:val="24"/>
        </w:rPr>
        <w:t>Universidade Comunitária da Região de Chapecó (UNOCHAPECÓ)</w:t>
      </w:r>
    </w:p>
    <w:p w:rsidR="0020629D" w:rsidRPr="004669E0" w:rsidRDefault="0020629D" w:rsidP="0020629D">
      <w:pPr>
        <w:jc w:val="right"/>
        <w:rPr>
          <w:b/>
          <w:i/>
          <w:sz w:val="24"/>
          <w:szCs w:val="24"/>
        </w:rPr>
      </w:pPr>
      <w:r w:rsidRPr="004669E0">
        <w:rPr>
          <w:b/>
          <w:i/>
          <w:sz w:val="24"/>
          <w:szCs w:val="24"/>
        </w:rPr>
        <w:t xml:space="preserve">E-mail: </w:t>
      </w:r>
      <w:r>
        <w:rPr>
          <w:b/>
          <w:i/>
          <w:sz w:val="24"/>
          <w:szCs w:val="24"/>
        </w:rPr>
        <w:t>sady</w:t>
      </w:r>
      <w:r w:rsidRPr="004669E0">
        <w:rPr>
          <w:b/>
          <w:i/>
          <w:sz w:val="24"/>
          <w:szCs w:val="24"/>
        </w:rPr>
        <w:t>@unochapeco.edu.br</w:t>
      </w:r>
    </w:p>
    <w:p w:rsidR="0020629D" w:rsidRPr="004669E0" w:rsidRDefault="0020629D" w:rsidP="00067126">
      <w:pPr>
        <w:widowControl w:val="0"/>
        <w:jc w:val="center"/>
        <w:rPr>
          <w:b/>
          <w:color w:val="999999"/>
          <w:sz w:val="24"/>
          <w:szCs w:val="24"/>
        </w:rPr>
      </w:pPr>
    </w:p>
    <w:p w:rsidR="004669E0" w:rsidRPr="004669E0" w:rsidRDefault="004669E0" w:rsidP="00067126">
      <w:pPr>
        <w:widowControl w:val="0"/>
        <w:jc w:val="both"/>
        <w:rPr>
          <w:b/>
          <w:sz w:val="24"/>
          <w:szCs w:val="24"/>
        </w:rPr>
      </w:pPr>
    </w:p>
    <w:p w:rsidR="00C04F45" w:rsidRPr="004669E0" w:rsidRDefault="0036377D" w:rsidP="00067126">
      <w:pPr>
        <w:widowControl w:val="0"/>
        <w:jc w:val="both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 xml:space="preserve">Resumo </w:t>
      </w:r>
    </w:p>
    <w:p w:rsidR="0036377D" w:rsidRPr="004669E0" w:rsidRDefault="006C5B4D" w:rsidP="00067126">
      <w:pPr>
        <w:widowControl w:val="0"/>
        <w:jc w:val="both"/>
        <w:rPr>
          <w:b/>
          <w:sz w:val="24"/>
          <w:szCs w:val="24"/>
        </w:rPr>
      </w:pPr>
      <w:r w:rsidRPr="004669E0">
        <w:rPr>
          <w:sz w:val="24"/>
          <w:szCs w:val="24"/>
        </w:rPr>
        <w:t xml:space="preserve">O estudo verificou a influência da auditoria no gerenciamento de resultados das companhias abertas listadas na B3. Para tal, realizou-se pesquisa descritiva e abordagem quantitativa em uma amostra de companhias que possuíam dados disponíveis no período de 2012 a 2016. O gerenciamento de resultados foi analisado por meio dos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discricionários baseados no modelo Jones Modificado (</w:t>
      </w:r>
      <w:proofErr w:type="spellStart"/>
      <w:r w:rsidRPr="004669E0">
        <w:rPr>
          <w:sz w:val="24"/>
          <w:szCs w:val="24"/>
        </w:rPr>
        <w:t>Dechow</w:t>
      </w:r>
      <w:proofErr w:type="spellEnd"/>
      <w:r w:rsidRPr="004669E0">
        <w:rPr>
          <w:sz w:val="24"/>
          <w:szCs w:val="24"/>
        </w:rPr>
        <w:t xml:space="preserve">, </w:t>
      </w:r>
      <w:proofErr w:type="spellStart"/>
      <w:r w:rsidRPr="004669E0">
        <w:rPr>
          <w:sz w:val="24"/>
          <w:szCs w:val="24"/>
        </w:rPr>
        <w:t>Sloan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Sweeney</w:t>
      </w:r>
      <w:proofErr w:type="spellEnd"/>
      <w:r w:rsidRPr="004669E0">
        <w:rPr>
          <w:sz w:val="24"/>
          <w:szCs w:val="24"/>
        </w:rPr>
        <w:t xml:space="preserve">, 1995). </w:t>
      </w:r>
      <w:r w:rsidRPr="004669E0">
        <w:rPr>
          <w:rFonts w:eastAsia="FFScala"/>
          <w:iCs/>
          <w:sz w:val="24"/>
          <w:szCs w:val="24"/>
        </w:rPr>
        <w:t xml:space="preserve">Como </w:t>
      </w:r>
      <w:r w:rsidRPr="004669E0">
        <w:rPr>
          <w:rFonts w:eastAsia="FFScala"/>
          <w:i/>
          <w:iCs/>
          <w:sz w:val="24"/>
          <w:szCs w:val="24"/>
        </w:rPr>
        <w:t>proxy</w:t>
      </w:r>
      <w:r w:rsidRPr="004669E0">
        <w:rPr>
          <w:rFonts w:eastAsia="FFScala"/>
          <w:iCs/>
          <w:sz w:val="24"/>
          <w:szCs w:val="24"/>
        </w:rPr>
        <w:t xml:space="preserve"> para auditoria foram utilizadas três variáveis: 1) </w:t>
      </w:r>
      <w:proofErr w:type="spellStart"/>
      <w:r w:rsidRPr="004669E0">
        <w:rPr>
          <w:rFonts w:eastAsia="FFScala"/>
          <w:i/>
          <w:iCs/>
          <w:sz w:val="24"/>
          <w:szCs w:val="24"/>
        </w:rPr>
        <w:t>dummy</w:t>
      </w:r>
      <w:proofErr w:type="spellEnd"/>
      <w:r w:rsidRPr="004669E0">
        <w:rPr>
          <w:rFonts w:eastAsia="FFScala"/>
          <w:iCs/>
          <w:sz w:val="24"/>
          <w:szCs w:val="24"/>
        </w:rPr>
        <w:t xml:space="preserve"> que recebeu valor 1 </w:t>
      </w:r>
      <w:r w:rsidRPr="004669E0">
        <w:rPr>
          <w:sz w:val="24"/>
          <w:szCs w:val="24"/>
        </w:rPr>
        <w:t xml:space="preserve">quando a companhia era auditada por </w:t>
      </w:r>
      <w:r w:rsidRPr="004669E0">
        <w:rPr>
          <w:i/>
          <w:sz w:val="24"/>
          <w:szCs w:val="24"/>
        </w:rPr>
        <w:t>big four</w:t>
      </w:r>
      <w:r w:rsidRPr="004669E0">
        <w:rPr>
          <w:rFonts w:eastAsia="FFScala"/>
          <w:iCs/>
          <w:sz w:val="24"/>
          <w:szCs w:val="24"/>
        </w:rPr>
        <w:t xml:space="preserve">; 2) </w:t>
      </w:r>
      <w:proofErr w:type="spellStart"/>
      <w:r w:rsidRPr="004669E0">
        <w:rPr>
          <w:rFonts w:eastAsia="FFScala"/>
          <w:i/>
          <w:iCs/>
          <w:sz w:val="24"/>
          <w:szCs w:val="24"/>
        </w:rPr>
        <w:t>dummy</w:t>
      </w:r>
      <w:proofErr w:type="spellEnd"/>
      <w:r w:rsidRPr="004669E0">
        <w:rPr>
          <w:rFonts w:eastAsia="FFScala"/>
          <w:iCs/>
          <w:sz w:val="24"/>
          <w:szCs w:val="24"/>
        </w:rPr>
        <w:t xml:space="preserve"> que recebeu valor 1 </w:t>
      </w:r>
      <w:r w:rsidRPr="004669E0">
        <w:rPr>
          <w:sz w:val="24"/>
          <w:szCs w:val="24"/>
        </w:rPr>
        <w:t>quando a companhia possuía comitê de auditoria; e, 3) tam</w:t>
      </w:r>
      <w:r w:rsidRPr="004669E0">
        <w:rPr>
          <w:rFonts w:eastAsia="FFScala"/>
          <w:iCs/>
          <w:sz w:val="24"/>
          <w:szCs w:val="24"/>
        </w:rPr>
        <w:t xml:space="preserve">anho do comitê de auditoria. </w:t>
      </w:r>
      <w:r w:rsidRPr="004669E0">
        <w:rPr>
          <w:sz w:val="24"/>
          <w:szCs w:val="24"/>
        </w:rPr>
        <w:t xml:space="preserve">Em relação ao gerenciamento, os resultados evidenciaram baixos volumes de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discricionários na maioria dos anos. </w:t>
      </w:r>
      <w:r w:rsidRPr="004669E0">
        <w:rPr>
          <w:bCs/>
          <w:sz w:val="24"/>
          <w:szCs w:val="24"/>
        </w:rPr>
        <w:t xml:space="preserve">Quanto </w:t>
      </w:r>
      <w:r w:rsidRPr="004669E0">
        <w:rPr>
          <w:sz w:val="24"/>
          <w:szCs w:val="24"/>
        </w:rPr>
        <w:t xml:space="preserve">à auditoria por </w:t>
      </w:r>
      <w:r w:rsidRPr="004669E0">
        <w:rPr>
          <w:i/>
          <w:sz w:val="24"/>
          <w:szCs w:val="24"/>
        </w:rPr>
        <w:t>big four</w:t>
      </w:r>
      <w:r w:rsidRPr="004669E0">
        <w:rPr>
          <w:sz w:val="24"/>
          <w:szCs w:val="24"/>
        </w:rPr>
        <w:t xml:space="preserve">, constatou-se um elevado percentual de empresas auditadas por este tipo de empresa de auditoria. Percebeu-se que houve aumento gradativo no percentual de companhias que possuíam comitê de auditoria e que o comitê de auditoria das companhias possuía em torno de três membros. Por fim, verificou-se que </w:t>
      </w:r>
      <w:r w:rsidRPr="004669E0">
        <w:rPr>
          <w:bCs/>
          <w:sz w:val="24"/>
          <w:szCs w:val="24"/>
        </w:rPr>
        <w:t>as três variáveis relacionadas a auditoria</w:t>
      </w:r>
      <w:r w:rsidRPr="004669E0">
        <w:rPr>
          <w:sz w:val="24"/>
          <w:szCs w:val="24"/>
        </w:rPr>
        <w:t xml:space="preserve">, ou seja, </w:t>
      </w:r>
      <w:r w:rsidRPr="004669E0">
        <w:rPr>
          <w:i/>
          <w:sz w:val="24"/>
          <w:szCs w:val="24"/>
        </w:rPr>
        <w:t>big four</w:t>
      </w:r>
      <w:r w:rsidRPr="004669E0">
        <w:rPr>
          <w:bCs/>
          <w:sz w:val="24"/>
          <w:szCs w:val="24"/>
        </w:rPr>
        <w:t>, existência e tamanho do comitê de auditoria,</w:t>
      </w:r>
      <w:r w:rsidRPr="004669E0">
        <w:rPr>
          <w:sz w:val="24"/>
          <w:szCs w:val="24"/>
        </w:rPr>
        <w:t xml:space="preserve"> </w:t>
      </w:r>
      <w:r w:rsidRPr="004669E0">
        <w:rPr>
          <w:bCs/>
          <w:sz w:val="24"/>
          <w:szCs w:val="24"/>
        </w:rPr>
        <w:t xml:space="preserve">não se </w:t>
      </w:r>
      <w:r w:rsidRPr="004669E0">
        <w:rPr>
          <w:sz w:val="24"/>
          <w:szCs w:val="24"/>
        </w:rPr>
        <w:t xml:space="preserve">revelaram estatisticamente significantes. Concluiu-se que a auditoria por </w:t>
      </w:r>
      <w:r w:rsidRPr="004669E0">
        <w:rPr>
          <w:i/>
          <w:sz w:val="24"/>
          <w:szCs w:val="24"/>
        </w:rPr>
        <w:t>big four</w:t>
      </w:r>
      <w:r w:rsidRPr="004669E0">
        <w:rPr>
          <w:sz w:val="24"/>
          <w:szCs w:val="24"/>
        </w:rPr>
        <w:t>, a existência de comitê de auditoria e o tamanho do comitê, na amostra pesquisada, não influenciaram no nível de gerenciamento de resultados.</w:t>
      </w:r>
      <w:r w:rsidR="0036377D" w:rsidRPr="004669E0">
        <w:rPr>
          <w:sz w:val="24"/>
          <w:szCs w:val="24"/>
        </w:rPr>
        <w:t xml:space="preserve"> </w:t>
      </w:r>
    </w:p>
    <w:p w:rsidR="0036377D" w:rsidRPr="004669E0" w:rsidRDefault="0036377D" w:rsidP="00067126">
      <w:pPr>
        <w:widowControl w:val="0"/>
        <w:rPr>
          <w:b/>
          <w:sz w:val="24"/>
          <w:szCs w:val="24"/>
        </w:rPr>
      </w:pPr>
    </w:p>
    <w:p w:rsidR="0036377D" w:rsidRPr="004669E0" w:rsidRDefault="0036377D" w:rsidP="00067126">
      <w:pPr>
        <w:widowControl w:val="0"/>
        <w:rPr>
          <w:sz w:val="24"/>
          <w:szCs w:val="24"/>
        </w:rPr>
      </w:pPr>
      <w:r w:rsidRPr="004669E0">
        <w:rPr>
          <w:b/>
          <w:sz w:val="24"/>
          <w:szCs w:val="24"/>
        </w:rPr>
        <w:t xml:space="preserve">Palavras-chave: </w:t>
      </w:r>
      <w:r w:rsidR="004669E0" w:rsidRPr="004669E0">
        <w:rPr>
          <w:sz w:val="24"/>
          <w:szCs w:val="24"/>
        </w:rPr>
        <w:t xml:space="preserve">Auditoria; Gerenciamento de resultados; </w:t>
      </w:r>
      <w:r w:rsidR="004669E0" w:rsidRPr="00047017">
        <w:rPr>
          <w:sz w:val="24"/>
          <w:szCs w:val="24"/>
        </w:rPr>
        <w:t>Companhias abertas listadas na B3.</w:t>
      </w:r>
    </w:p>
    <w:p w:rsidR="0036377D" w:rsidRPr="004669E0" w:rsidRDefault="0036377D" w:rsidP="00067126">
      <w:pPr>
        <w:widowControl w:val="0"/>
        <w:rPr>
          <w:sz w:val="24"/>
          <w:szCs w:val="24"/>
        </w:rPr>
      </w:pPr>
    </w:p>
    <w:p w:rsidR="0036377D" w:rsidRPr="004669E0" w:rsidRDefault="0036377D" w:rsidP="00067126">
      <w:pPr>
        <w:widowControl w:val="0"/>
        <w:rPr>
          <w:sz w:val="24"/>
          <w:szCs w:val="24"/>
        </w:rPr>
      </w:pPr>
      <w:r w:rsidRPr="004669E0">
        <w:rPr>
          <w:b/>
          <w:sz w:val="24"/>
          <w:szCs w:val="24"/>
        </w:rPr>
        <w:t xml:space="preserve">Linha Temática: </w:t>
      </w:r>
      <w:r w:rsidR="006347A2" w:rsidRPr="006347A2">
        <w:rPr>
          <w:sz w:val="24"/>
          <w:szCs w:val="24"/>
        </w:rPr>
        <w:t>Finanças e Mercado de Capitais.</w:t>
      </w:r>
    </w:p>
    <w:p w:rsidR="004669E0" w:rsidRPr="004669E0" w:rsidRDefault="004669E0" w:rsidP="00067126">
      <w:pPr>
        <w:widowControl w:val="0"/>
        <w:rPr>
          <w:sz w:val="24"/>
          <w:szCs w:val="24"/>
        </w:rPr>
      </w:pPr>
    </w:p>
    <w:p w:rsidR="0036377D" w:rsidRPr="004669E0" w:rsidRDefault="0036377D" w:rsidP="00067126">
      <w:pPr>
        <w:widowControl w:val="0"/>
        <w:rPr>
          <w:sz w:val="24"/>
          <w:szCs w:val="24"/>
        </w:rPr>
      </w:pPr>
    </w:p>
    <w:p w:rsidR="00E6136F" w:rsidRPr="004669E0" w:rsidRDefault="001C328B" w:rsidP="00067126">
      <w:pPr>
        <w:widowControl w:val="0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>1 Introdução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De modo geral, países com economias em desenvolvimento, que possuem um ambiente institucional mais frágil, como é o caso do Brasil, apresentam </w:t>
      </w:r>
      <w:r w:rsidRPr="004669E0">
        <w:rPr>
          <w:rFonts w:eastAsia="Arial Unicode MS"/>
          <w:sz w:val="24"/>
          <w:szCs w:val="24"/>
          <w:shd w:val="clear" w:color="auto" w:fill="FFFFFF"/>
        </w:rPr>
        <w:t xml:space="preserve">um mercado acionário menos ativo, com proteção legal aos direitos de propriedade significativamente inferiores </w:t>
      </w:r>
      <w:r w:rsidRPr="004669E0">
        <w:rPr>
          <w:sz w:val="24"/>
          <w:szCs w:val="24"/>
        </w:rPr>
        <w:t xml:space="preserve">e, ainda, </w:t>
      </w:r>
      <w:proofErr w:type="spellStart"/>
      <w:r w:rsidRPr="004669E0">
        <w:rPr>
          <w:i/>
          <w:iCs/>
          <w:sz w:val="24"/>
          <w:szCs w:val="24"/>
        </w:rPr>
        <w:t>enforcement</w:t>
      </w:r>
      <w:proofErr w:type="spellEnd"/>
      <w:r w:rsidRPr="004669E0">
        <w:rPr>
          <w:sz w:val="24"/>
          <w:szCs w:val="24"/>
        </w:rPr>
        <w:t xml:space="preserve"> (cumprimento das leis) fraco das instituições legais. Esse conjunto de fatores contribui para fragilizar o ambiente, causa falhas no mercado e abre brechas para o comportamento oportunista de gestores e, também, para a prática do gerenciamento de resultados (Lopes &amp; Walker, 2008; </w:t>
      </w:r>
      <w:proofErr w:type="spellStart"/>
      <w:r w:rsidRPr="004669E0">
        <w:rPr>
          <w:sz w:val="24"/>
          <w:szCs w:val="24"/>
        </w:rPr>
        <w:t>Zalata</w:t>
      </w:r>
      <w:proofErr w:type="spellEnd"/>
      <w:r w:rsidRPr="004669E0">
        <w:rPr>
          <w:sz w:val="24"/>
          <w:szCs w:val="24"/>
        </w:rPr>
        <w:t xml:space="preserve">, </w:t>
      </w:r>
      <w:proofErr w:type="spellStart"/>
      <w:r w:rsidRPr="004669E0">
        <w:rPr>
          <w:sz w:val="24"/>
          <w:szCs w:val="24"/>
        </w:rPr>
        <w:t>Tauringana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Tingbani</w:t>
      </w:r>
      <w:proofErr w:type="spellEnd"/>
      <w:r w:rsidRPr="004669E0">
        <w:rPr>
          <w:sz w:val="24"/>
          <w:szCs w:val="24"/>
        </w:rPr>
        <w:t>, 2018).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  <w:shd w:val="clear" w:color="auto" w:fill="FFFFFF"/>
        </w:rPr>
        <w:t>O gerenciamento de resultados é um tema de grande interesse e que tem suscitado discussões significativas nos últimos anos (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>, 2017)</w:t>
      </w:r>
      <w:r w:rsidRPr="004669E0">
        <w:rPr>
          <w:rFonts w:eastAsia="Arial Unicode MS"/>
          <w:sz w:val="24"/>
          <w:szCs w:val="24"/>
          <w:shd w:val="clear" w:color="auto" w:fill="FFFFFF"/>
        </w:rPr>
        <w:t xml:space="preserve">. </w:t>
      </w:r>
      <w:r w:rsidRPr="004669E0">
        <w:rPr>
          <w:sz w:val="24"/>
          <w:szCs w:val="24"/>
        </w:rPr>
        <w:t>Está relacionado com as possibilidades que um gestor possui para aumentar ou diminuir o resultado, por meio de procedimentos normalmente denominados de atitudes discricionárias (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, 2017; Lennox, Wang &amp; Wu, 2018). 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  <w:lang w:val="pt-PT"/>
        </w:rPr>
        <w:t>C</w:t>
      </w:r>
      <w:proofErr w:type="spellStart"/>
      <w:r w:rsidRPr="004669E0">
        <w:rPr>
          <w:sz w:val="24"/>
          <w:szCs w:val="24"/>
        </w:rPr>
        <w:t>onforme</w:t>
      </w:r>
      <w:proofErr w:type="spellEnd"/>
      <w:r w:rsidRPr="004669E0">
        <w:rPr>
          <w:sz w:val="24"/>
          <w:szCs w:val="24"/>
        </w:rPr>
        <w:t xml:space="preserve"> tratado na teoria da agência, são necessários mecanismos de monitoramento para alinhar os interesses dos acionistas, gestores e demais </w:t>
      </w:r>
      <w:r w:rsidRPr="004669E0">
        <w:rPr>
          <w:i/>
          <w:sz w:val="24"/>
          <w:szCs w:val="24"/>
        </w:rPr>
        <w:t>stakeholders</w:t>
      </w:r>
      <w:r w:rsidRPr="004669E0">
        <w:rPr>
          <w:sz w:val="24"/>
          <w:szCs w:val="24"/>
        </w:rPr>
        <w:t>, bem como qualquer comportamento oportunista subsequente. Nesse sentido, a auditoria pode ser assumida como um mecanismo de monitoramento, uma vez que os auditores realizam a tarefa de certificação em relação à credibilidade das demonstrações financeiras das empresas (</w:t>
      </w:r>
      <w:proofErr w:type="spellStart"/>
      <w:r w:rsidRPr="004669E0">
        <w:rPr>
          <w:sz w:val="24"/>
          <w:szCs w:val="24"/>
        </w:rPr>
        <w:t>Huguet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Gandía</w:t>
      </w:r>
      <w:proofErr w:type="spellEnd"/>
      <w:r w:rsidRPr="004669E0">
        <w:rPr>
          <w:sz w:val="24"/>
          <w:szCs w:val="24"/>
        </w:rPr>
        <w:t xml:space="preserve">, 2016;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>, 2017).</w:t>
      </w:r>
      <w:r w:rsidR="00C004F1">
        <w:rPr>
          <w:sz w:val="24"/>
          <w:szCs w:val="24"/>
        </w:rPr>
        <w:t xml:space="preserve"> </w:t>
      </w:r>
      <w:r w:rsidR="00C004F1" w:rsidRPr="00C004F1">
        <w:rPr>
          <w:color w:val="000000" w:themeColor="text1"/>
          <w:sz w:val="24"/>
          <w:szCs w:val="24"/>
        </w:rPr>
        <w:t>A</w:t>
      </w:r>
      <w:r w:rsidRPr="004669E0">
        <w:rPr>
          <w:sz w:val="24"/>
          <w:szCs w:val="24"/>
        </w:rPr>
        <w:t xml:space="preserve">o monitorar os processos de elaboração das demonstrações financeiras a auditoria pode contribuir, inclusive, para a redução das práticas de gerenciamento de resultados (Badolato, </w:t>
      </w:r>
      <w:proofErr w:type="spellStart"/>
      <w:r w:rsidRPr="004669E0">
        <w:rPr>
          <w:sz w:val="24"/>
          <w:szCs w:val="24"/>
        </w:rPr>
        <w:t>Donelson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Ege</w:t>
      </w:r>
      <w:proofErr w:type="spellEnd"/>
      <w:r w:rsidRPr="004669E0">
        <w:rPr>
          <w:sz w:val="24"/>
          <w:szCs w:val="24"/>
        </w:rPr>
        <w:t xml:space="preserve">, 2014; 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>, 2017)</w:t>
      </w:r>
      <w:r w:rsidR="00E06CDE">
        <w:rPr>
          <w:sz w:val="24"/>
          <w:szCs w:val="24"/>
        </w:rPr>
        <w:t>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Nessa linha, pesquisadores internacionais como Badolato et al. (2014), </w:t>
      </w:r>
      <w:proofErr w:type="spellStart"/>
      <w:r w:rsidRPr="004669E0">
        <w:rPr>
          <w:sz w:val="24"/>
          <w:szCs w:val="24"/>
        </w:rPr>
        <w:t>Miko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Kamardin</w:t>
      </w:r>
      <w:proofErr w:type="spellEnd"/>
      <w:r w:rsidRPr="004669E0">
        <w:rPr>
          <w:sz w:val="24"/>
          <w:szCs w:val="24"/>
        </w:rPr>
        <w:t xml:space="preserve"> (2015),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 (2017) e </w:t>
      </w:r>
      <w:proofErr w:type="spellStart"/>
      <w:r w:rsidRPr="004669E0">
        <w:rPr>
          <w:sz w:val="24"/>
          <w:szCs w:val="24"/>
        </w:rPr>
        <w:t>Zalata</w:t>
      </w:r>
      <w:proofErr w:type="spellEnd"/>
      <w:r w:rsidRPr="004669E0">
        <w:rPr>
          <w:sz w:val="24"/>
          <w:szCs w:val="24"/>
        </w:rPr>
        <w:t xml:space="preserve"> et al. (2018), por exemplo, verificaram que a auditoria influenciava para redução do gerenciamento de resultados nas amostras investigadas. Porém, de forma contrária, outros pesquisadores, tais como </w:t>
      </w:r>
      <w:proofErr w:type="spellStart"/>
      <w:r w:rsidRPr="004669E0">
        <w:rPr>
          <w:sz w:val="24"/>
          <w:szCs w:val="24"/>
        </w:rPr>
        <w:t>Lin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Hwang</w:t>
      </w:r>
      <w:proofErr w:type="spellEnd"/>
      <w:r w:rsidRPr="004669E0">
        <w:rPr>
          <w:sz w:val="24"/>
          <w:szCs w:val="24"/>
        </w:rPr>
        <w:t xml:space="preserve"> (2010), </w:t>
      </w:r>
      <w:proofErr w:type="spellStart"/>
      <w:r w:rsidRPr="004669E0">
        <w:rPr>
          <w:sz w:val="24"/>
          <w:szCs w:val="24"/>
        </w:rPr>
        <w:t>Huguet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Gandía</w:t>
      </w:r>
      <w:proofErr w:type="spellEnd"/>
      <w:r w:rsidRPr="004669E0">
        <w:rPr>
          <w:sz w:val="24"/>
          <w:szCs w:val="24"/>
        </w:rPr>
        <w:t xml:space="preserve"> (2016) e 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 (2017) não encontraram, em suas amostras, influência da auditoria na redução do gerenciamento de resultados. No Brasil, enquanto Almeida e Almeida (2009), Martinez (2011) e Silva et al. (2014), por exemplo, demonstraram que a auditoria influenciava na redução do gerenciamento, outros pesquisadores, tais como Martinez e Reis (2010), Silva e Bezerra (2010), Azevedo e Costa (2012), Cunha, </w:t>
      </w:r>
      <w:r w:rsidRPr="004669E0">
        <w:rPr>
          <w:sz w:val="24"/>
          <w:szCs w:val="24"/>
          <w:shd w:val="clear" w:color="auto" w:fill="FFFFFF"/>
        </w:rPr>
        <w:t>Teixeira, Santana e Bezerra</w:t>
      </w:r>
      <w:r w:rsidRPr="004669E0">
        <w:rPr>
          <w:sz w:val="24"/>
          <w:szCs w:val="24"/>
        </w:rPr>
        <w:t xml:space="preserve"> (2014) e Santana et al. (2014), constataram que a auditoria não influencia no gerenciamento de resultados. 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Diante da divergência dos resultados, a pesquisa contribui para essa lacuna constatada na revisão da literatura e, neste contexto, a questão de pesquisa que orienta este estudo é: Qual a influência da auditoria no gerenciamento de resultados de companhias abertas listadas na B3? Assim, o objetivo é verificar a influência da auditoria no gerenciamento de resultados das companhias abertas listadas na B3.</w:t>
      </w:r>
    </w:p>
    <w:p w:rsidR="004669E0" w:rsidRPr="004669E0" w:rsidRDefault="004669E0" w:rsidP="004669E0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4669E0">
        <w:rPr>
          <w:rFonts w:eastAsia="Souvenir-Light"/>
          <w:sz w:val="24"/>
          <w:szCs w:val="24"/>
        </w:rPr>
        <w:t>Embora a literatura sobre gerenciamento de resultados seja crescente, existem várias lacunas de pesquisa sobre a influência da auditoria no gerenciamento (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>, 2017)</w:t>
      </w:r>
      <w:r w:rsidRPr="004669E0">
        <w:rPr>
          <w:rFonts w:eastAsia="Souvenir-Light"/>
          <w:sz w:val="24"/>
          <w:szCs w:val="24"/>
        </w:rPr>
        <w:t xml:space="preserve">. Assim, o estudo contribui para essas lacunas de pesquisa constatadas na revisão da literatura, além de destacar a relevância da auditoria. </w:t>
      </w:r>
      <w:r w:rsidRPr="004669E0">
        <w:rPr>
          <w:sz w:val="24"/>
          <w:szCs w:val="24"/>
        </w:rPr>
        <w:t>O estudo justifica-se pela importância do tema frente aos conflitos de agência nas empresas. Também, em razão das divergências constatadas em resultados de pesquisas anteriores de mesma natureza e que geram inquietações.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</w:p>
    <w:p w:rsidR="004669E0" w:rsidRPr="004669E0" w:rsidRDefault="004669E0" w:rsidP="00C703C0">
      <w:pPr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lastRenderedPageBreak/>
        <w:t xml:space="preserve">2 </w:t>
      </w:r>
      <w:r w:rsidR="00C703C0" w:rsidRPr="004669E0">
        <w:rPr>
          <w:b/>
          <w:sz w:val="24"/>
          <w:szCs w:val="24"/>
        </w:rPr>
        <w:t>Referencial Teórico</w:t>
      </w:r>
    </w:p>
    <w:p w:rsidR="004669E0" w:rsidRPr="004669E0" w:rsidRDefault="004669E0" w:rsidP="00C703C0">
      <w:pPr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t>2.1 Gerenciamento de Resultados</w:t>
      </w:r>
    </w:p>
    <w:p w:rsidR="004669E0" w:rsidRPr="004669E0" w:rsidRDefault="004669E0" w:rsidP="00466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4"/>
          <w:szCs w:val="24"/>
        </w:rPr>
      </w:pPr>
      <w:r w:rsidRPr="004669E0">
        <w:rPr>
          <w:rFonts w:eastAsia="Arial Unicode MS"/>
          <w:sz w:val="24"/>
          <w:szCs w:val="24"/>
          <w:shd w:val="clear" w:color="auto" w:fill="FFFFFF"/>
        </w:rPr>
        <w:t>O gerenciamento de resultados</w:t>
      </w:r>
      <w:r w:rsidRPr="004669E0">
        <w:rPr>
          <w:sz w:val="24"/>
          <w:szCs w:val="24"/>
        </w:rPr>
        <w:t xml:space="preserve"> é um dos temas de maior interesse nas pesquisas</w:t>
      </w:r>
      <w:r w:rsidRPr="004669E0">
        <w:rPr>
          <w:rFonts w:eastAsia="Arial Unicode MS"/>
          <w:sz w:val="24"/>
          <w:szCs w:val="24"/>
          <w:shd w:val="clear" w:color="auto" w:fill="FFFFFF"/>
        </w:rPr>
        <w:t xml:space="preserve"> contemporâneas</w:t>
      </w:r>
      <w:r w:rsidRPr="004669E0">
        <w:rPr>
          <w:sz w:val="24"/>
          <w:szCs w:val="24"/>
        </w:rPr>
        <w:t>, além de ser uma das discussões mais significativas nos últimos anos, principalmente na área de Contabilidade (</w:t>
      </w:r>
      <w:proofErr w:type="spellStart"/>
      <w:r w:rsidRPr="004669E0">
        <w:rPr>
          <w:sz w:val="24"/>
          <w:szCs w:val="24"/>
        </w:rPr>
        <w:t>Vladu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Cuzdriorean</w:t>
      </w:r>
      <w:proofErr w:type="spellEnd"/>
      <w:r w:rsidRPr="004669E0">
        <w:rPr>
          <w:sz w:val="24"/>
          <w:szCs w:val="24"/>
        </w:rPr>
        <w:t xml:space="preserve">, 2014;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>, 2017). Em relação ao tema, a teoria da firma, a governança corporativa e, principalmente, a teoria da agência constituem as bases teóricas para a compreensão dos fatores que influenciam na prática do gerenciamento de resultados (Baptista, 2008).</w:t>
      </w:r>
    </w:p>
    <w:p w:rsidR="004669E0" w:rsidRPr="004669E0" w:rsidRDefault="004669E0" w:rsidP="00466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Esta prática também é conhecida como </w:t>
      </w:r>
      <w:proofErr w:type="spellStart"/>
      <w:r w:rsidRPr="004669E0">
        <w:rPr>
          <w:i/>
          <w:sz w:val="24"/>
          <w:szCs w:val="24"/>
        </w:rPr>
        <w:t>accounting</w:t>
      </w:r>
      <w:proofErr w:type="spellEnd"/>
      <w:r w:rsidRPr="004669E0">
        <w:rPr>
          <w:i/>
          <w:sz w:val="24"/>
          <w:szCs w:val="24"/>
        </w:rPr>
        <w:t xml:space="preserve"> </w:t>
      </w:r>
      <w:proofErr w:type="spellStart"/>
      <w:r w:rsidRPr="004669E0">
        <w:rPr>
          <w:i/>
          <w:sz w:val="24"/>
          <w:szCs w:val="24"/>
        </w:rPr>
        <w:t>choices</w:t>
      </w:r>
      <w:proofErr w:type="spellEnd"/>
      <w:r w:rsidRPr="004669E0">
        <w:rPr>
          <w:sz w:val="24"/>
          <w:szCs w:val="24"/>
        </w:rPr>
        <w:t xml:space="preserve"> (escolhas contábeis) e pode resultar em prejuízos ao mercado de capitais, uma vez que os demonstrativos contábeis oriundos podem não demonstrar de forma crédula os resultados obtidos no período (</w:t>
      </w:r>
      <w:proofErr w:type="spellStart"/>
      <w:r w:rsidRPr="004669E0">
        <w:rPr>
          <w:sz w:val="24"/>
          <w:szCs w:val="24"/>
        </w:rPr>
        <w:t>Eckel</w:t>
      </w:r>
      <w:proofErr w:type="spellEnd"/>
      <w:r w:rsidRPr="004669E0">
        <w:rPr>
          <w:sz w:val="24"/>
          <w:szCs w:val="24"/>
        </w:rPr>
        <w:t>, 1981). De forma geral, trata-se, normalmente, de escolhas realizadas pelos gestores, por determinados critérios, para elaboração e evidenciação das demonstrações financeiras, dentre uma gama de possibilidades existentes ou inovadores, que julgarem conveniente para o momento, no intuito de alterar os resultados (</w:t>
      </w:r>
      <w:proofErr w:type="spellStart"/>
      <w:r w:rsidRPr="004669E0">
        <w:rPr>
          <w:sz w:val="24"/>
          <w:szCs w:val="24"/>
        </w:rPr>
        <w:t>Healy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Wahlen</w:t>
      </w:r>
      <w:proofErr w:type="spellEnd"/>
      <w:r w:rsidRPr="004669E0">
        <w:rPr>
          <w:sz w:val="24"/>
          <w:szCs w:val="24"/>
        </w:rPr>
        <w:t xml:space="preserve">, 1999; </w:t>
      </w:r>
      <w:proofErr w:type="spellStart"/>
      <w:r w:rsidRPr="004669E0">
        <w:rPr>
          <w:sz w:val="24"/>
          <w:szCs w:val="24"/>
        </w:rPr>
        <w:t>Schipper</w:t>
      </w:r>
      <w:proofErr w:type="spellEnd"/>
      <w:r w:rsidRPr="004669E0">
        <w:rPr>
          <w:sz w:val="24"/>
          <w:szCs w:val="24"/>
        </w:rPr>
        <w:t xml:space="preserve">, 2003; Paulo, Cavalcante &amp; Paulo, 2013). </w:t>
      </w:r>
    </w:p>
    <w:p w:rsidR="004669E0" w:rsidRPr="004669E0" w:rsidRDefault="004669E0" w:rsidP="00466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O gerenciamento, muitas vezes, ocorre quando os gestores utilizam as demonstrações financeiras e a estruturação de transações para alterar as informações divulgadas, com a finalidade de ludibriar os </w:t>
      </w:r>
      <w:proofErr w:type="spellStart"/>
      <w:r w:rsidRPr="004669E0">
        <w:rPr>
          <w:i/>
          <w:sz w:val="24"/>
          <w:szCs w:val="24"/>
        </w:rPr>
        <w:t>stakehorders</w:t>
      </w:r>
      <w:proofErr w:type="spellEnd"/>
      <w:r w:rsidRPr="004669E0">
        <w:rPr>
          <w:sz w:val="24"/>
          <w:szCs w:val="24"/>
        </w:rPr>
        <w:t xml:space="preserve"> sobre o real desempenho econômico da empresa (</w:t>
      </w:r>
      <w:proofErr w:type="spellStart"/>
      <w:r w:rsidRPr="004669E0">
        <w:rPr>
          <w:sz w:val="24"/>
          <w:szCs w:val="24"/>
        </w:rPr>
        <w:t>Healy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Whalen</w:t>
      </w:r>
      <w:proofErr w:type="spellEnd"/>
      <w:r w:rsidRPr="004669E0">
        <w:rPr>
          <w:sz w:val="24"/>
          <w:szCs w:val="24"/>
        </w:rPr>
        <w:t xml:space="preserve">, 1999). Sendo assim, está relacionado com as várias maneiras que uma empresa possui para aumentar ou diminuir seu resultado, utilizando-se de procedimentos “legais” e previstos nas normas (Lopes &amp; Martins, 2005;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, 2017; Lennox, Wang &amp; Wu, 2018). </w:t>
      </w:r>
    </w:p>
    <w:p w:rsidR="004669E0" w:rsidRPr="004669E0" w:rsidRDefault="004669E0" w:rsidP="00466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Nesse sentido, as empresas utilizam duas estratégias principais para a prática do gerenciamento: por meio dos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e pelo gerenciamento operacional, também denominado de gerenciamento real (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, 2017). Enquanto o gerenciamento de resultados baseado em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visa obscurecer o verdadeiro desempenho, alterando métodos contábeis ou estimativas dentro dos princípios contábeis geralmente aceitos, o gerenciamento real altera a execução de transações comerciais reais (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, 2017). Como exemplo de práticas de gerenciamento real,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 (2017) cita mudanças de natureza e/ou nível de atividades econômicas, como publicidade, pesquisa e desenvolvimento e treinamentos de funcionários que podem influenciar no resultado.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Como principais diferenças, admite-se que o gerenciamento por atividades operacionais é mais difícil de ser detectado por auditores e reguladores, todavia, são consideradas relativamente mais onerosas em relação ao gerenciamento baseado em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="00E06CDE" w:rsidRPr="00E06CDE">
        <w:rPr>
          <w:sz w:val="24"/>
          <w:szCs w:val="24"/>
        </w:rPr>
        <w:t>.</w:t>
      </w:r>
      <w:r w:rsidRPr="004669E0">
        <w:rPr>
          <w:sz w:val="24"/>
          <w:szCs w:val="24"/>
        </w:rPr>
        <w:t xml:space="preserve"> </w:t>
      </w:r>
      <w:r w:rsidR="00E06CDE">
        <w:rPr>
          <w:sz w:val="24"/>
          <w:szCs w:val="24"/>
        </w:rPr>
        <w:t>P</w:t>
      </w:r>
      <w:r w:rsidRPr="004669E0">
        <w:rPr>
          <w:sz w:val="24"/>
          <w:szCs w:val="24"/>
        </w:rPr>
        <w:t>or isso as empresas tendem a se envolver menos nesse tipo de estratégia. Outra diferença</w:t>
      </w:r>
      <w:r w:rsidR="00E06CDE">
        <w:rPr>
          <w:sz w:val="24"/>
          <w:szCs w:val="24"/>
        </w:rPr>
        <w:t>,</w:t>
      </w:r>
      <w:r w:rsidRPr="004669E0">
        <w:rPr>
          <w:sz w:val="24"/>
          <w:szCs w:val="24"/>
        </w:rPr>
        <w:t xml:space="preserve"> é que o gerenciamento </w:t>
      </w:r>
      <w:r w:rsidR="00E06CDE">
        <w:rPr>
          <w:sz w:val="24"/>
          <w:szCs w:val="24"/>
        </w:rPr>
        <w:t>real</w:t>
      </w:r>
      <w:r w:rsidRPr="004669E0">
        <w:rPr>
          <w:sz w:val="24"/>
          <w:szCs w:val="24"/>
        </w:rPr>
        <w:t xml:space="preserve"> tende a ser realizado ao longo de todo do ano, enquanto o gerenciamento </w:t>
      </w:r>
      <w:r w:rsidR="00E06CDE">
        <w:rPr>
          <w:sz w:val="24"/>
          <w:szCs w:val="24"/>
        </w:rPr>
        <w:t>por</w:t>
      </w:r>
      <w:r w:rsidRPr="004669E0">
        <w:rPr>
          <w:sz w:val="24"/>
          <w:szCs w:val="24"/>
        </w:rPr>
        <w:t xml:space="preserve">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ocorre apenas no final de um trimestre ou ano fiscal (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>, 2017).</w:t>
      </w:r>
    </w:p>
    <w:p w:rsidR="004669E0" w:rsidRPr="004669E0" w:rsidRDefault="004669E0" w:rsidP="0093358D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Ressalta-se que, segundo alguns pesquisadores, tais como </w:t>
      </w:r>
      <w:proofErr w:type="spellStart"/>
      <w:r w:rsidRPr="004669E0">
        <w:rPr>
          <w:color w:val="000000"/>
          <w:sz w:val="24"/>
          <w:szCs w:val="24"/>
        </w:rPr>
        <w:t>Rajpal</w:t>
      </w:r>
      <w:proofErr w:type="spellEnd"/>
      <w:r w:rsidRPr="004669E0">
        <w:rPr>
          <w:color w:val="000000"/>
          <w:sz w:val="24"/>
          <w:szCs w:val="24"/>
        </w:rPr>
        <w:t xml:space="preserve"> (2012), Alves (2014) e Du, </w:t>
      </w:r>
      <w:proofErr w:type="spellStart"/>
      <w:r w:rsidRPr="004669E0">
        <w:rPr>
          <w:color w:val="000000"/>
          <w:sz w:val="24"/>
          <w:szCs w:val="24"/>
        </w:rPr>
        <w:t>Jian</w:t>
      </w:r>
      <w:proofErr w:type="spellEnd"/>
      <w:r w:rsidRPr="004669E0">
        <w:rPr>
          <w:color w:val="000000"/>
          <w:sz w:val="24"/>
          <w:szCs w:val="24"/>
        </w:rPr>
        <w:t xml:space="preserve"> &amp; </w:t>
      </w:r>
      <w:proofErr w:type="spellStart"/>
      <w:r w:rsidRPr="004669E0">
        <w:rPr>
          <w:color w:val="000000"/>
          <w:sz w:val="24"/>
          <w:szCs w:val="24"/>
        </w:rPr>
        <w:t>Lai</w:t>
      </w:r>
      <w:proofErr w:type="spellEnd"/>
      <w:r w:rsidRPr="004669E0">
        <w:rPr>
          <w:iCs/>
          <w:color w:val="000000"/>
          <w:sz w:val="24"/>
          <w:szCs w:val="24"/>
        </w:rPr>
        <w:t xml:space="preserve"> </w:t>
      </w:r>
      <w:r w:rsidRPr="004669E0">
        <w:rPr>
          <w:color w:val="000000"/>
          <w:sz w:val="24"/>
          <w:szCs w:val="24"/>
        </w:rPr>
        <w:t xml:space="preserve">(2017), o gerenciamento tende a ser mais amplamente praticado em empresas de países emergentes, em razão de estarem em ambientes institucionais mais frágeis, caracterizados por mercados de capitais menos desenvolvidos, elevada concentração acionária nas empresas e fraca proteção aos investidores. </w:t>
      </w:r>
      <w:r w:rsidR="00C004F1">
        <w:rPr>
          <w:sz w:val="24"/>
          <w:szCs w:val="24"/>
        </w:rPr>
        <w:t>Destarte</w:t>
      </w:r>
      <w:r w:rsidR="004731ED">
        <w:rPr>
          <w:sz w:val="24"/>
          <w:szCs w:val="24"/>
        </w:rPr>
        <w:t xml:space="preserve">, </w:t>
      </w:r>
      <w:r w:rsidRPr="004669E0">
        <w:rPr>
          <w:color w:val="000000"/>
          <w:sz w:val="24"/>
          <w:szCs w:val="24"/>
        </w:rPr>
        <w:t xml:space="preserve">em ambientes institucionais frágeis, como é ocaso do Brasil, um fator que pode influenciar para um menor gerenciamento de resultados é a auditoria, conforme destacam </w:t>
      </w:r>
      <w:r w:rsidRPr="004669E0">
        <w:rPr>
          <w:sz w:val="24"/>
          <w:szCs w:val="24"/>
        </w:rPr>
        <w:t xml:space="preserve">Badolato et al. (2014) 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 (2017),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 (2017)</w:t>
      </w:r>
      <w:r w:rsidRPr="004669E0">
        <w:rPr>
          <w:color w:val="000000"/>
          <w:sz w:val="24"/>
          <w:szCs w:val="24"/>
        </w:rPr>
        <w:t>, entre outros.</w:t>
      </w:r>
    </w:p>
    <w:p w:rsidR="004669E0" w:rsidRPr="004669E0" w:rsidRDefault="004669E0" w:rsidP="00FC2F82">
      <w:pPr>
        <w:jc w:val="both"/>
        <w:rPr>
          <w:b/>
          <w:sz w:val="24"/>
          <w:szCs w:val="24"/>
        </w:rPr>
      </w:pPr>
      <w:r w:rsidRPr="004669E0">
        <w:rPr>
          <w:b/>
          <w:sz w:val="24"/>
          <w:szCs w:val="24"/>
        </w:rPr>
        <w:lastRenderedPageBreak/>
        <w:t>2.2 Auditoria e Gerenciamento de Resultados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Dentre os principais objetivos da auditoria estão os de garantir a integridade dos relatórios financeiros e assegurar que as informações sejam verdadeiras e justas. Sendo assim, ao realizar uma tarefa de certificação em relação à credibilidade dos relatórios, a auditoria é assumida como um mecanismo de monitoramento que pode desempenhar papel importante também para a redução do gerenciamento de resultados (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, 2017;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>, 2017). A auditoria externa verifica evidências de que os critérios adotados para a elaboração das demonstrações contábeis estão de acordo com as normas estabelecidas, desempenhando um importante papel nos negócios, no governo, na economia e na sociedade como um todo (</w:t>
      </w:r>
      <w:proofErr w:type="spellStart"/>
      <w:r w:rsidRPr="004669E0">
        <w:rPr>
          <w:sz w:val="24"/>
          <w:szCs w:val="24"/>
        </w:rPr>
        <w:t>Formigoni</w:t>
      </w:r>
      <w:proofErr w:type="spellEnd"/>
      <w:r w:rsidRPr="004669E0">
        <w:rPr>
          <w:sz w:val="24"/>
          <w:szCs w:val="24"/>
        </w:rPr>
        <w:t xml:space="preserve">, </w:t>
      </w:r>
      <w:r w:rsidRPr="004669E0">
        <w:rPr>
          <w:sz w:val="24"/>
          <w:szCs w:val="24"/>
          <w:shd w:val="clear" w:color="auto" w:fill="FFFFFF"/>
        </w:rPr>
        <w:t>Antunes, Leite &amp; Paulo</w:t>
      </w:r>
      <w:r w:rsidRPr="004669E0">
        <w:rPr>
          <w:sz w:val="24"/>
          <w:szCs w:val="24"/>
        </w:rPr>
        <w:t xml:space="preserve">, 2008). </w:t>
      </w:r>
    </w:p>
    <w:p w:rsidR="004669E0" w:rsidRPr="0074712C" w:rsidRDefault="004669E0" w:rsidP="004669E0">
      <w:pPr>
        <w:ind w:firstLine="709"/>
        <w:jc w:val="both"/>
        <w:rPr>
          <w:i/>
          <w:sz w:val="24"/>
          <w:szCs w:val="24"/>
        </w:rPr>
      </w:pPr>
      <w:r w:rsidRPr="004669E0">
        <w:rPr>
          <w:sz w:val="24"/>
          <w:szCs w:val="24"/>
        </w:rPr>
        <w:t xml:space="preserve">O desenvolvimento das atividades executadas pela auditoria é crucial para garantir a qualidade das informações contábeis que são fornecidas aos diversos agentes interessados, haja vista que a opinião da auditoria expressa confiança sobre a realidade econômica e financeira da empresa auditada (Firmino, </w:t>
      </w:r>
      <w:r w:rsidRPr="004669E0">
        <w:rPr>
          <w:sz w:val="24"/>
          <w:szCs w:val="24"/>
          <w:shd w:val="clear" w:color="auto" w:fill="FFFFFF"/>
        </w:rPr>
        <w:t>Damascena, &amp; Paulo</w:t>
      </w:r>
      <w:r w:rsidRPr="004669E0">
        <w:rPr>
          <w:sz w:val="24"/>
          <w:szCs w:val="24"/>
        </w:rPr>
        <w:t xml:space="preserve">, 2010). Nesse sentido, para garantir a credibilidade e a confiabilidade da informação financeira, de acordo com </w:t>
      </w:r>
      <w:proofErr w:type="spellStart"/>
      <w:r w:rsidRPr="004669E0">
        <w:rPr>
          <w:sz w:val="24"/>
          <w:szCs w:val="24"/>
        </w:rPr>
        <w:t>Huguet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Gandía</w:t>
      </w:r>
      <w:proofErr w:type="spellEnd"/>
      <w:r w:rsidRPr="004669E0">
        <w:rPr>
          <w:sz w:val="24"/>
          <w:szCs w:val="24"/>
        </w:rPr>
        <w:t xml:space="preserve"> (2016), a auditoria possui três </w:t>
      </w:r>
      <w:proofErr w:type="spellStart"/>
      <w:r w:rsidRPr="004669E0">
        <w:rPr>
          <w:sz w:val="24"/>
          <w:szCs w:val="24"/>
        </w:rPr>
        <w:t>subfunções</w:t>
      </w:r>
      <w:proofErr w:type="spellEnd"/>
      <w:r w:rsidRPr="004669E0">
        <w:rPr>
          <w:sz w:val="24"/>
          <w:szCs w:val="24"/>
        </w:rPr>
        <w:t xml:space="preserve">: a) </w:t>
      </w:r>
      <w:r w:rsidRPr="0074712C">
        <w:rPr>
          <w:i/>
          <w:sz w:val="24"/>
          <w:szCs w:val="24"/>
        </w:rPr>
        <w:t>a </w:t>
      </w:r>
      <w:r w:rsidRPr="0074712C">
        <w:rPr>
          <w:rStyle w:val="nfase"/>
          <w:i w:val="0"/>
          <w:sz w:val="24"/>
          <w:szCs w:val="24"/>
        </w:rPr>
        <w:t>função de informação</w:t>
      </w:r>
      <w:r w:rsidRPr="0074712C">
        <w:rPr>
          <w:sz w:val="24"/>
          <w:szCs w:val="24"/>
        </w:rPr>
        <w:t>; b)</w:t>
      </w:r>
      <w:r w:rsidRPr="0074712C">
        <w:rPr>
          <w:i/>
          <w:sz w:val="24"/>
          <w:szCs w:val="24"/>
        </w:rPr>
        <w:t xml:space="preserve"> </w:t>
      </w:r>
      <w:r w:rsidRPr="0074712C">
        <w:rPr>
          <w:sz w:val="24"/>
          <w:szCs w:val="24"/>
        </w:rPr>
        <w:t>o</w:t>
      </w:r>
      <w:r w:rsidRPr="0074712C">
        <w:rPr>
          <w:i/>
          <w:sz w:val="24"/>
          <w:szCs w:val="24"/>
        </w:rPr>
        <w:t> </w:t>
      </w:r>
      <w:r w:rsidRPr="0074712C">
        <w:rPr>
          <w:rStyle w:val="nfase"/>
          <w:i w:val="0"/>
          <w:sz w:val="24"/>
          <w:szCs w:val="24"/>
        </w:rPr>
        <w:t>papel de monitoramento</w:t>
      </w:r>
      <w:r w:rsidRPr="0074712C">
        <w:rPr>
          <w:sz w:val="24"/>
          <w:szCs w:val="24"/>
        </w:rPr>
        <w:t>; c)</w:t>
      </w:r>
      <w:r w:rsidRPr="0074712C">
        <w:rPr>
          <w:i/>
          <w:sz w:val="24"/>
          <w:szCs w:val="24"/>
        </w:rPr>
        <w:t xml:space="preserve"> o </w:t>
      </w:r>
      <w:r w:rsidRPr="0074712C">
        <w:rPr>
          <w:rStyle w:val="nfase"/>
          <w:i w:val="0"/>
          <w:sz w:val="24"/>
          <w:szCs w:val="24"/>
        </w:rPr>
        <w:t>papel do seguro</w:t>
      </w:r>
      <w:r w:rsidRPr="0074712C">
        <w:rPr>
          <w:i/>
          <w:sz w:val="24"/>
          <w:szCs w:val="24"/>
        </w:rPr>
        <w:t>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A </w:t>
      </w:r>
      <w:r w:rsidRPr="0074712C">
        <w:rPr>
          <w:rStyle w:val="nfase"/>
          <w:i w:val="0"/>
          <w:sz w:val="24"/>
          <w:szCs w:val="24"/>
        </w:rPr>
        <w:t>função de informação</w:t>
      </w:r>
      <w:r w:rsidRPr="004669E0">
        <w:rPr>
          <w:sz w:val="24"/>
          <w:szCs w:val="24"/>
        </w:rPr>
        <w:t xml:space="preserve"> visa melhorar a credibilidade da informação contábil e ajuda a reduzir os custos de financiamento. O </w:t>
      </w:r>
      <w:r w:rsidRPr="0074712C">
        <w:rPr>
          <w:rStyle w:val="nfase"/>
          <w:i w:val="0"/>
          <w:sz w:val="24"/>
          <w:szCs w:val="24"/>
        </w:rPr>
        <w:t>papel de monitoramento</w:t>
      </w:r>
      <w:r w:rsidRPr="004669E0">
        <w:rPr>
          <w:sz w:val="24"/>
          <w:szCs w:val="24"/>
        </w:rPr>
        <w:t xml:space="preserve"> ajuda a melhorar a qualidade da informação contábil, reduzindo o comportamento oportunista dos gerentes. </w:t>
      </w:r>
      <w:r w:rsidRPr="0074712C">
        <w:rPr>
          <w:i/>
          <w:sz w:val="24"/>
          <w:szCs w:val="24"/>
        </w:rPr>
        <w:t>O </w:t>
      </w:r>
      <w:r w:rsidRPr="0074712C">
        <w:rPr>
          <w:rStyle w:val="nfase"/>
          <w:i w:val="0"/>
          <w:sz w:val="24"/>
          <w:szCs w:val="24"/>
        </w:rPr>
        <w:t>papel do seguro</w:t>
      </w:r>
      <w:r w:rsidRPr="004669E0">
        <w:rPr>
          <w:sz w:val="24"/>
          <w:szCs w:val="24"/>
        </w:rPr>
        <w:t>, garantes aos usuários confiança nas informações financeiras auditadas devido à responsabilidade que os auditores assumem em caso de falhas de auditoria (</w:t>
      </w:r>
      <w:proofErr w:type="spellStart"/>
      <w:r w:rsidRPr="004669E0">
        <w:rPr>
          <w:sz w:val="24"/>
          <w:szCs w:val="24"/>
        </w:rPr>
        <w:t>Huguet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Gandía</w:t>
      </w:r>
      <w:proofErr w:type="spellEnd"/>
      <w:r w:rsidRPr="004669E0">
        <w:rPr>
          <w:sz w:val="24"/>
          <w:szCs w:val="24"/>
        </w:rPr>
        <w:t>, 2016).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Especificamente na relação entre a auditoria e o gerenciamento de resultados, os estudos nacionais e internacionais focam principalmente na análise da influência da auditoria externa nos níveis de gerenciamento, investigando o tipo de auditoria contratada e os efeitos da auditoria interna no gerenciamento, investigando a existência ou estrutura do comitê de auditoria (Martinez, 2011; Santana et al., 2014; </w:t>
      </w:r>
      <w:proofErr w:type="spellStart"/>
      <w:r w:rsidRPr="004669E0">
        <w:rPr>
          <w:sz w:val="24"/>
          <w:szCs w:val="24"/>
        </w:rPr>
        <w:t>Miko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Kamardin</w:t>
      </w:r>
      <w:proofErr w:type="spellEnd"/>
      <w:r w:rsidRPr="004669E0">
        <w:rPr>
          <w:sz w:val="24"/>
          <w:szCs w:val="24"/>
        </w:rPr>
        <w:t xml:space="preserve">, 2015; 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, 2017; </w:t>
      </w:r>
      <w:proofErr w:type="spellStart"/>
      <w:r w:rsidRPr="004669E0">
        <w:rPr>
          <w:sz w:val="24"/>
          <w:szCs w:val="24"/>
        </w:rPr>
        <w:t>Zalata</w:t>
      </w:r>
      <w:proofErr w:type="spellEnd"/>
      <w:r w:rsidRPr="004669E0">
        <w:rPr>
          <w:sz w:val="24"/>
          <w:szCs w:val="24"/>
        </w:rPr>
        <w:t xml:space="preserve"> et al., 2018).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No tocante a auditoria externa, </w:t>
      </w:r>
      <w:proofErr w:type="spellStart"/>
      <w:r w:rsidRPr="004669E0">
        <w:rPr>
          <w:sz w:val="24"/>
          <w:szCs w:val="24"/>
        </w:rPr>
        <w:t>Miko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Kamardin</w:t>
      </w:r>
      <w:proofErr w:type="spellEnd"/>
      <w:r w:rsidRPr="004669E0">
        <w:rPr>
          <w:sz w:val="24"/>
          <w:szCs w:val="24"/>
        </w:rPr>
        <w:t xml:space="preserve"> (2015), </w:t>
      </w:r>
      <w:proofErr w:type="spellStart"/>
      <w:r w:rsidRPr="004669E0">
        <w:rPr>
          <w:sz w:val="24"/>
          <w:szCs w:val="24"/>
        </w:rPr>
        <w:t>Huguet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Gandía</w:t>
      </w:r>
      <w:proofErr w:type="spellEnd"/>
      <w:r w:rsidRPr="004669E0">
        <w:rPr>
          <w:sz w:val="24"/>
          <w:szCs w:val="24"/>
        </w:rPr>
        <w:t xml:space="preserve"> (2016),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 (2017) e </w:t>
      </w:r>
      <w:proofErr w:type="spellStart"/>
      <w:r w:rsidRPr="004669E0">
        <w:rPr>
          <w:sz w:val="24"/>
          <w:szCs w:val="24"/>
        </w:rPr>
        <w:t>Zalata</w:t>
      </w:r>
      <w:proofErr w:type="spellEnd"/>
      <w:r w:rsidRPr="004669E0">
        <w:rPr>
          <w:sz w:val="24"/>
          <w:szCs w:val="24"/>
        </w:rPr>
        <w:t xml:space="preserve"> et al. (2018), dentre outros pesquisadores, destacam que os auditores vinculados as </w:t>
      </w:r>
      <w:r w:rsidRPr="004669E0">
        <w:rPr>
          <w:i/>
          <w:iCs/>
          <w:sz w:val="24"/>
          <w:szCs w:val="24"/>
        </w:rPr>
        <w:t xml:space="preserve">big four </w:t>
      </w:r>
      <w:r w:rsidRPr="004669E0">
        <w:rPr>
          <w:sz w:val="24"/>
          <w:szCs w:val="24"/>
        </w:rPr>
        <w:t xml:space="preserve">têm maior capacidade de identificar e detectar erros de registro dos gestores porque além de possuírem mais conhecimentos e recursos adicionais para identificar possíveis gerenciamentos de resultados, as grandes empresas de auditoria estão mais inclinadas a defender sua reputação devido à grande base de clientes que possuem. Nesse sentido,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 (2017) ressalta que as grandes empresas de auditoria têm maior experiência, recursos humanos, tecnologia e capital que lhes permitem produzir auditorias de qualidade superior e, por possuírem marcas mundialmente conhecidas, têm mais motivação para manter uma maior qualidade de auditoria.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Em relação a auditoria interna, o comitê de auditoria também desempenha um papel fundamental na supervisão, monitoramento e assessoria à gestão de uma organização na implementação de sistemas internos de controle contábil e na elaboração de demonstrações. No papel de superintendentes internos do processo de elaboração dos relatórios financeiros das empresas e visando melhorar a eficácia do comitê, os membros do comitê também devem se reunir regularmente entre si e com os gerentes e auditores externos (</w:t>
      </w:r>
      <w:proofErr w:type="spellStart"/>
      <w:r w:rsidRPr="004669E0">
        <w:rPr>
          <w:sz w:val="24"/>
          <w:szCs w:val="24"/>
        </w:rPr>
        <w:t>Zalata</w:t>
      </w:r>
      <w:proofErr w:type="spellEnd"/>
      <w:r w:rsidRPr="004669E0">
        <w:rPr>
          <w:sz w:val="24"/>
          <w:szCs w:val="24"/>
        </w:rPr>
        <w:t xml:space="preserve"> et al., 2018).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lastRenderedPageBreak/>
        <w:t xml:space="preserve">A composição do comitê de auditoria também é considerada um importante fator para a efetiva operação de tal comitê. De acordo com </w:t>
      </w:r>
      <w:proofErr w:type="spellStart"/>
      <w:r w:rsidRPr="004669E0">
        <w:rPr>
          <w:rStyle w:val="Textodocorpo1"/>
          <w:sz w:val="24"/>
          <w:szCs w:val="24"/>
        </w:rPr>
        <w:t>Bilal</w:t>
      </w:r>
      <w:proofErr w:type="spellEnd"/>
      <w:r w:rsidRPr="004669E0">
        <w:rPr>
          <w:rStyle w:val="Textodocorpo1"/>
          <w:sz w:val="24"/>
          <w:szCs w:val="24"/>
        </w:rPr>
        <w:t xml:space="preserve">, Chen e </w:t>
      </w:r>
      <w:proofErr w:type="spellStart"/>
      <w:r w:rsidRPr="004669E0">
        <w:rPr>
          <w:rStyle w:val="Textodocorpo1"/>
          <w:sz w:val="24"/>
          <w:szCs w:val="24"/>
        </w:rPr>
        <w:t>Komal</w:t>
      </w:r>
      <w:proofErr w:type="spellEnd"/>
      <w:r w:rsidRPr="004669E0">
        <w:rPr>
          <w:rStyle w:val="Textodocorpo1"/>
          <w:sz w:val="24"/>
          <w:szCs w:val="24"/>
        </w:rPr>
        <w:t xml:space="preserve"> (2018), c</w:t>
      </w:r>
      <w:r w:rsidRPr="004669E0">
        <w:rPr>
          <w:sz w:val="24"/>
          <w:szCs w:val="24"/>
        </w:rPr>
        <w:t>onselhos constituídos por um número maior de integrantes podem reunir conhecimentos contábeis e financeiros variados e mais avançados, no comparativo com um comitê formador por um único indivíduo, por exemplo. Além disso, um grupo maior pode ser capaz de obter uma melhor compreensão e supervisão de todo o processo de elaboração dos relatórios financeiros e, por isso, tornarem-se mais eficazes no monitoramento e na restrição do gerenciamento de resultados.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Para uma atuação efetiva, Badolato et al. (2014) alertam que os comitês de auditoria também precisam de autoridade para ganhar o respeito dos gestores e influenciar nos resultados dos relatórios financeiros. Sendo assim, comitês de auditoria com maior status relativo, ou seja, com um número maior de membros, constituído por profissionais experientes e competentes provavelmente serão monitores mais ativos, conseguirão informações mais abrangentes dos processos e estarão mais dispostos a investigar problemas potenciais do que comitês com menor status relativo. 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</w:p>
    <w:p w:rsidR="004669E0" w:rsidRPr="004669E0" w:rsidRDefault="004669E0" w:rsidP="00FC2F82">
      <w:pPr>
        <w:jc w:val="both"/>
        <w:rPr>
          <w:b/>
          <w:bCs/>
          <w:sz w:val="24"/>
          <w:szCs w:val="24"/>
        </w:rPr>
      </w:pPr>
      <w:r w:rsidRPr="004669E0">
        <w:rPr>
          <w:b/>
          <w:sz w:val="24"/>
          <w:szCs w:val="24"/>
        </w:rPr>
        <w:t xml:space="preserve">2.3 </w:t>
      </w:r>
      <w:r w:rsidRPr="004669E0">
        <w:rPr>
          <w:b/>
          <w:bCs/>
          <w:sz w:val="24"/>
          <w:szCs w:val="24"/>
        </w:rPr>
        <w:t>Estudos Anteriores que Investigaram a Influência da Auditoria no Gerenciamento de Resultados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A seguir, são descritos alguns estudos similares, nacionais e internacionais que analisaram questões relacionadas a auditoria e ao gerenciamento de resultados. Inicia-se pela pesquisa de Almeida e Almeida (2009) que analisaram se as companhias abertas auditadas </w:t>
      </w:r>
      <w:r w:rsidR="00E06CDE">
        <w:rPr>
          <w:sz w:val="24"/>
          <w:szCs w:val="24"/>
        </w:rPr>
        <w:t>por</w:t>
      </w:r>
      <w:r w:rsidRPr="004669E0">
        <w:rPr>
          <w:sz w:val="24"/>
          <w:szCs w:val="24"/>
        </w:rPr>
        <w:t xml:space="preserve"> </w:t>
      </w:r>
      <w:r w:rsidRPr="004669E0">
        <w:rPr>
          <w:i/>
          <w:iCs/>
          <w:sz w:val="24"/>
          <w:szCs w:val="24"/>
        </w:rPr>
        <w:t xml:space="preserve">big four </w:t>
      </w:r>
      <w:r w:rsidRPr="004669E0">
        <w:rPr>
          <w:sz w:val="24"/>
          <w:szCs w:val="24"/>
        </w:rPr>
        <w:t xml:space="preserve">e demais firmas de auditoria possuíam diferenças, nos </w:t>
      </w:r>
      <w:proofErr w:type="spellStart"/>
      <w:r w:rsidRPr="004669E0">
        <w:rPr>
          <w:i/>
          <w:iCs/>
          <w:sz w:val="24"/>
          <w:szCs w:val="24"/>
        </w:rPr>
        <w:t>accruals</w:t>
      </w:r>
      <w:proofErr w:type="spell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 xml:space="preserve">discricionários. A amostra consistiu em 1.414 observações para o período de 1999 até 2005. Utilizaram o modelo KS para estimar os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discricionários. Os resultados indicaram que as empresas auditadas </w:t>
      </w:r>
      <w:proofErr w:type="gramStart"/>
      <w:r w:rsidRPr="004669E0">
        <w:rPr>
          <w:sz w:val="24"/>
          <w:szCs w:val="24"/>
        </w:rPr>
        <w:t xml:space="preserve">pelas </w:t>
      </w:r>
      <w:r w:rsidRPr="004669E0">
        <w:rPr>
          <w:i/>
          <w:iCs/>
          <w:sz w:val="24"/>
          <w:szCs w:val="24"/>
        </w:rPr>
        <w:t>big four</w:t>
      </w:r>
      <w:proofErr w:type="gram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 xml:space="preserve">possuíam menor grau de </w:t>
      </w:r>
      <w:proofErr w:type="spellStart"/>
      <w:r w:rsidRPr="004669E0">
        <w:rPr>
          <w:i/>
          <w:iCs/>
          <w:sz w:val="24"/>
          <w:szCs w:val="24"/>
        </w:rPr>
        <w:t>accruals</w:t>
      </w:r>
      <w:proofErr w:type="spell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 xml:space="preserve">discricionários, </w:t>
      </w:r>
      <w:r w:rsidR="00EE20C6">
        <w:rPr>
          <w:sz w:val="24"/>
          <w:szCs w:val="24"/>
        </w:rPr>
        <w:t>indicando</w:t>
      </w:r>
      <w:r w:rsidRPr="004669E0">
        <w:rPr>
          <w:sz w:val="24"/>
          <w:szCs w:val="24"/>
        </w:rPr>
        <w:t xml:space="preserve"> </w:t>
      </w:r>
      <w:r w:rsidR="00EE20C6">
        <w:rPr>
          <w:sz w:val="24"/>
          <w:szCs w:val="24"/>
        </w:rPr>
        <w:t>maior</w:t>
      </w:r>
      <w:r w:rsidRPr="004669E0">
        <w:rPr>
          <w:sz w:val="24"/>
          <w:szCs w:val="24"/>
        </w:rPr>
        <w:t xml:space="preserve"> capacidade das </w:t>
      </w:r>
      <w:r w:rsidRPr="004669E0">
        <w:rPr>
          <w:i/>
          <w:sz w:val="24"/>
          <w:szCs w:val="24"/>
        </w:rPr>
        <w:t>big four</w:t>
      </w:r>
      <w:r w:rsidRPr="004669E0">
        <w:rPr>
          <w:sz w:val="24"/>
          <w:szCs w:val="24"/>
        </w:rPr>
        <w:t xml:space="preserve"> para mitigar </w:t>
      </w:r>
      <w:r w:rsidR="00EE20C6">
        <w:rPr>
          <w:sz w:val="24"/>
          <w:szCs w:val="24"/>
        </w:rPr>
        <w:t>gerenciamento de resultados</w:t>
      </w:r>
      <w:r w:rsidRPr="004669E0">
        <w:rPr>
          <w:sz w:val="24"/>
          <w:szCs w:val="24"/>
        </w:rPr>
        <w:t xml:space="preserve">. 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Martinez e Reis (2010) investigaram os efeitos no gerenciamento de resultados decorrentes da troca da empresa de auditoria, enfocando, principalmente, o motivo da troca, classificação da empresa de auditoria em </w:t>
      </w:r>
      <w:r w:rsidRPr="004669E0">
        <w:rPr>
          <w:i/>
          <w:sz w:val="24"/>
          <w:szCs w:val="24"/>
        </w:rPr>
        <w:t>big four</w:t>
      </w:r>
      <w:r w:rsidRPr="004669E0">
        <w:rPr>
          <w:sz w:val="24"/>
          <w:szCs w:val="24"/>
        </w:rPr>
        <w:t xml:space="preserve"> (</w:t>
      </w:r>
      <w:proofErr w:type="spellStart"/>
      <w:r w:rsidRPr="004669E0">
        <w:rPr>
          <w:sz w:val="24"/>
          <w:szCs w:val="24"/>
        </w:rPr>
        <w:t>PwC</w:t>
      </w:r>
      <w:proofErr w:type="spellEnd"/>
      <w:r w:rsidRPr="004669E0">
        <w:rPr>
          <w:sz w:val="24"/>
          <w:szCs w:val="24"/>
        </w:rPr>
        <w:t xml:space="preserve">, DTT, E&amp;Y e KPMG) e o tempo de relacionamento da empresa de auditoria com a empresa auditada. A amostra foi composta por companhias abertas listadas entre 1997 </w:t>
      </w:r>
      <w:r w:rsidR="00627F12">
        <w:rPr>
          <w:sz w:val="24"/>
          <w:szCs w:val="24"/>
        </w:rPr>
        <w:t>e</w:t>
      </w:r>
      <w:r w:rsidRPr="004669E0">
        <w:rPr>
          <w:sz w:val="24"/>
          <w:szCs w:val="24"/>
        </w:rPr>
        <w:t xml:space="preserve"> 2007 e o gerenciamento foi investigado com base na metodologia </w:t>
      </w:r>
      <w:r w:rsidRPr="004669E0">
        <w:rPr>
          <w:i/>
          <w:sz w:val="24"/>
          <w:szCs w:val="24"/>
        </w:rPr>
        <w:t xml:space="preserve">Abnormal </w:t>
      </w:r>
      <w:proofErr w:type="spellStart"/>
      <w:r w:rsidRPr="004669E0">
        <w:rPr>
          <w:i/>
          <w:sz w:val="24"/>
          <w:szCs w:val="24"/>
        </w:rPr>
        <w:t>Working</w:t>
      </w:r>
      <w:proofErr w:type="spellEnd"/>
      <w:r w:rsidRPr="004669E0">
        <w:rPr>
          <w:i/>
          <w:sz w:val="24"/>
          <w:szCs w:val="24"/>
        </w:rPr>
        <w:t xml:space="preserve"> Capital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(AWCA). Os resultados confirmaram que, com ou sem rodízio de auditores independentes, os efeitos decorrentes do gerenciamento de resultado não apresenta</w:t>
      </w:r>
      <w:r w:rsidR="00627F12">
        <w:rPr>
          <w:sz w:val="24"/>
          <w:szCs w:val="24"/>
        </w:rPr>
        <w:t>va</w:t>
      </w:r>
      <w:r w:rsidRPr="004669E0">
        <w:rPr>
          <w:sz w:val="24"/>
          <w:szCs w:val="24"/>
        </w:rPr>
        <w:t xml:space="preserve">m diferença significativa. 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Silva e Bezerra (2010) verificaram se o rodízio de auditoria influenciava no gerenciamento de resultados </w:t>
      </w:r>
      <w:r w:rsidR="00627F12">
        <w:rPr>
          <w:sz w:val="24"/>
          <w:szCs w:val="24"/>
        </w:rPr>
        <w:t>em uma amostra de</w:t>
      </w:r>
      <w:r w:rsidRPr="004669E0">
        <w:rPr>
          <w:sz w:val="24"/>
          <w:szCs w:val="24"/>
        </w:rPr>
        <w:t xml:space="preserve"> empresas de capital aberto </w:t>
      </w:r>
      <w:r w:rsidR="00627F12" w:rsidRPr="004669E0">
        <w:rPr>
          <w:sz w:val="24"/>
          <w:szCs w:val="24"/>
        </w:rPr>
        <w:t>que possuíam papéis negociados na Bovespa no exercício de 2008, excluindo o setor financeiro</w:t>
      </w:r>
      <w:r w:rsidRPr="004669E0">
        <w:rPr>
          <w:sz w:val="24"/>
          <w:szCs w:val="24"/>
        </w:rPr>
        <w:t xml:space="preserve">. Os resultados evidenciaram que a troca de firma de auditoria não estava diretamente relacionada à diminuição do gerenciamento de resultados. 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Martinez (2011) </w:t>
      </w:r>
      <w:r w:rsidRPr="004669E0">
        <w:rPr>
          <w:iCs/>
          <w:sz w:val="24"/>
          <w:szCs w:val="24"/>
        </w:rPr>
        <w:t xml:space="preserve">examinou como a listagem em segmentos especiais de governança corporativa, o tipo de auditoria e o parecer dos auditores estavam associados com a propensão ao gerenciamento de resultados por escolhas contábeis e por decisões operacionais. A amostra foi composta por 315 companhias abertas listadas na </w:t>
      </w:r>
      <w:proofErr w:type="spellStart"/>
      <w:r w:rsidRPr="004669E0">
        <w:rPr>
          <w:iCs/>
          <w:sz w:val="24"/>
          <w:szCs w:val="24"/>
        </w:rPr>
        <w:t>BM&amp;Fbovespa</w:t>
      </w:r>
      <w:proofErr w:type="spellEnd"/>
      <w:r w:rsidRPr="004669E0">
        <w:rPr>
          <w:iCs/>
          <w:sz w:val="24"/>
          <w:szCs w:val="24"/>
        </w:rPr>
        <w:t xml:space="preserve"> e o período de análise foi de 1998 a 2004. Para análise do gerenciamento por decisões operacionais, utilizou um modelo desenvolvido por Anderson, </w:t>
      </w:r>
      <w:proofErr w:type="spellStart"/>
      <w:r w:rsidRPr="004669E0">
        <w:rPr>
          <w:iCs/>
          <w:sz w:val="24"/>
          <w:szCs w:val="24"/>
        </w:rPr>
        <w:t>Banker</w:t>
      </w:r>
      <w:proofErr w:type="spellEnd"/>
      <w:r w:rsidRPr="004669E0">
        <w:rPr>
          <w:iCs/>
          <w:sz w:val="24"/>
          <w:szCs w:val="24"/>
        </w:rPr>
        <w:t xml:space="preserve"> e </w:t>
      </w:r>
      <w:proofErr w:type="spellStart"/>
      <w:r w:rsidRPr="004669E0">
        <w:rPr>
          <w:iCs/>
          <w:sz w:val="24"/>
          <w:szCs w:val="24"/>
        </w:rPr>
        <w:t>Janakiraman</w:t>
      </w:r>
      <w:proofErr w:type="spellEnd"/>
      <w:r w:rsidRPr="004669E0">
        <w:rPr>
          <w:iCs/>
          <w:sz w:val="24"/>
          <w:szCs w:val="24"/>
        </w:rPr>
        <w:t xml:space="preserve"> e outro por </w:t>
      </w:r>
      <w:proofErr w:type="spellStart"/>
      <w:r w:rsidRPr="004669E0">
        <w:rPr>
          <w:sz w:val="24"/>
          <w:szCs w:val="24"/>
        </w:rPr>
        <w:t>Roychowdhury</w:t>
      </w:r>
      <w:proofErr w:type="spellEnd"/>
      <w:r w:rsidRPr="004669E0">
        <w:rPr>
          <w:sz w:val="24"/>
          <w:szCs w:val="24"/>
        </w:rPr>
        <w:t>,</w:t>
      </w:r>
      <w:r w:rsidRPr="004669E0">
        <w:rPr>
          <w:iCs/>
          <w:sz w:val="24"/>
          <w:szCs w:val="24"/>
        </w:rPr>
        <w:t xml:space="preserve"> ambos </w:t>
      </w:r>
      <w:r w:rsidRPr="004669E0">
        <w:rPr>
          <w:iCs/>
          <w:sz w:val="24"/>
          <w:szCs w:val="24"/>
        </w:rPr>
        <w:lastRenderedPageBreak/>
        <w:t xml:space="preserve">apresentados em </w:t>
      </w:r>
      <w:proofErr w:type="spellStart"/>
      <w:r w:rsidRPr="004669E0">
        <w:rPr>
          <w:iCs/>
          <w:sz w:val="24"/>
          <w:szCs w:val="24"/>
        </w:rPr>
        <w:t>Zang</w:t>
      </w:r>
      <w:proofErr w:type="spellEnd"/>
      <w:r w:rsidRPr="004669E0">
        <w:rPr>
          <w:iCs/>
          <w:sz w:val="24"/>
          <w:szCs w:val="24"/>
        </w:rPr>
        <w:t xml:space="preserve"> (2005). Para análise do gerenciamento por escolhas contábeis utilizou o </w:t>
      </w:r>
      <w:r w:rsidRPr="004669E0">
        <w:rPr>
          <w:sz w:val="24"/>
          <w:szCs w:val="24"/>
        </w:rPr>
        <w:t xml:space="preserve">modelo de </w:t>
      </w:r>
      <w:proofErr w:type="spellStart"/>
      <w:r w:rsidRPr="004669E0">
        <w:rPr>
          <w:sz w:val="24"/>
          <w:szCs w:val="24"/>
        </w:rPr>
        <w:t>Kang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Sivaramakrishnan</w:t>
      </w:r>
      <w:proofErr w:type="spellEnd"/>
      <w:r w:rsidRPr="004669E0">
        <w:rPr>
          <w:sz w:val="24"/>
          <w:szCs w:val="24"/>
        </w:rPr>
        <w:t xml:space="preserve"> (1995). </w:t>
      </w:r>
      <w:r w:rsidRPr="004669E0">
        <w:rPr>
          <w:iCs/>
          <w:sz w:val="24"/>
          <w:szCs w:val="24"/>
        </w:rPr>
        <w:t>Os resultados demonstraram que a listagem em segmentos especiais e a auditoria por big4 reduziam o gerenciamento de resultados por escolhas contábeis, entretanto, não minimizavam o gerenciamento por decisões operacionais.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Azevedo e Costa (2012) avaliaram os efeitos da mudança da firma de auditoria no gerenciamento </w:t>
      </w:r>
      <w:r w:rsidR="00627F12">
        <w:rPr>
          <w:sz w:val="24"/>
          <w:szCs w:val="24"/>
        </w:rPr>
        <w:t>de</w:t>
      </w:r>
      <w:r w:rsidRPr="004669E0">
        <w:rPr>
          <w:sz w:val="24"/>
          <w:szCs w:val="24"/>
        </w:rPr>
        <w:t xml:space="preserve"> companhias abertas brasileiras. O gerenciamento de resultados foi medido por meio das métricas de </w:t>
      </w:r>
      <w:proofErr w:type="spellStart"/>
      <w:r w:rsidRPr="004669E0">
        <w:rPr>
          <w:sz w:val="24"/>
          <w:szCs w:val="24"/>
        </w:rPr>
        <w:t>Leuz</w:t>
      </w:r>
      <w:proofErr w:type="spellEnd"/>
      <w:r w:rsidRPr="004669E0">
        <w:rPr>
          <w:sz w:val="24"/>
          <w:szCs w:val="24"/>
        </w:rPr>
        <w:t xml:space="preserve">, Nanda e </w:t>
      </w:r>
      <w:proofErr w:type="spellStart"/>
      <w:r w:rsidRPr="004669E0">
        <w:rPr>
          <w:sz w:val="24"/>
          <w:szCs w:val="24"/>
        </w:rPr>
        <w:t>Wysocki</w:t>
      </w:r>
      <w:proofErr w:type="spellEnd"/>
      <w:r w:rsidRPr="004669E0">
        <w:rPr>
          <w:sz w:val="24"/>
          <w:szCs w:val="24"/>
        </w:rPr>
        <w:t xml:space="preserve"> (2003), </w:t>
      </w:r>
      <w:proofErr w:type="spellStart"/>
      <w:r w:rsidRPr="004669E0">
        <w:rPr>
          <w:sz w:val="24"/>
          <w:szCs w:val="24"/>
        </w:rPr>
        <w:t>Pincus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Rajgopal</w:t>
      </w:r>
      <w:proofErr w:type="spellEnd"/>
      <w:r w:rsidRPr="004669E0">
        <w:rPr>
          <w:sz w:val="24"/>
          <w:szCs w:val="24"/>
        </w:rPr>
        <w:t xml:space="preserve"> (2002), também pelo modelo de Jones modificado (</w:t>
      </w:r>
      <w:proofErr w:type="spellStart"/>
      <w:r w:rsidRPr="004669E0">
        <w:rPr>
          <w:sz w:val="24"/>
          <w:szCs w:val="24"/>
        </w:rPr>
        <w:t>Dechow</w:t>
      </w:r>
      <w:proofErr w:type="spellEnd"/>
      <w:r w:rsidRPr="004669E0">
        <w:rPr>
          <w:sz w:val="24"/>
          <w:szCs w:val="24"/>
        </w:rPr>
        <w:t xml:space="preserve"> et al., 1995) e pelo modelo de </w:t>
      </w:r>
      <w:proofErr w:type="spellStart"/>
      <w:r w:rsidRPr="004669E0">
        <w:rPr>
          <w:sz w:val="24"/>
          <w:szCs w:val="24"/>
        </w:rPr>
        <w:t>Kang</w:t>
      </w:r>
      <w:proofErr w:type="spellEnd"/>
      <w:r w:rsidRPr="004669E0">
        <w:rPr>
          <w:sz w:val="24"/>
          <w:szCs w:val="24"/>
        </w:rPr>
        <w:t xml:space="preserve"> &amp; </w:t>
      </w:r>
      <w:proofErr w:type="spellStart"/>
      <w:r w:rsidRPr="004669E0">
        <w:rPr>
          <w:sz w:val="24"/>
          <w:szCs w:val="24"/>
        </w:rPr>
        <w:t>Sivaramakrishnan</w:t>
      </w:r>
      <w:proofErr w:type="spellEnd"/>
      <w:r w:rsidRPr="004669E0">
        <w:rPr>
          <w:sz w:val="24"/>
          <w:szCs w:val="24"/>
        </w:rPr>
        <w:t xml:space="preserve"> (1995). A análise ocorreu em 98 companhias e o período investigado foi de 1998 a 2005. </w:t>
      </w:r>
      <w:r w:rsidR="00627F12">
        <w:rPr>
          <w:sz w:val="24"/>
          <w:szCs w:val="24"/>
        </w:rPr>
        <w:t>Os resultados não confirmaram</w:t>
      </w:r>
      <w:r w:rsidRPr="004669E0">
        <w:rPr>
          <w:sz w:val="24"/>
          <w:szCs w:val="24"/>
        </w:rPr>
        <w:t xml:space="preserve"> que a troca da firma de auditoria redu</w:t>
      </w:r>
      <w:r w:rsidR="00627F12">
        <w:rPr>
          <w:sz w:val="24"/>
          <w:szCs w:val="24"/>
        </w:rPr>
        <w:t xml:space="preserve">zia </w:t>
      </w:r>
      <w:r w:rsidRPr="004669E0">
        <w:rPr>
          <w:sz w:val="24"/>
          <w:szCs w:val="24"/>
        </w:rPr>
        <w:t xml:space="preserve">o nível de gerenciamento de resultados nas empresas brasileiras. 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Badolato et al. (2014) investigaram a influência dos comitês de auditoria com expertise financeira e alto status relativo nos níveis de gerenciamento de resultados. A análise ocorreu no período de 2001 a 2008 em uma amostra de companhias americanas. O gerenciamento foi analisado por meio dos </w:t>
      </w:r>
      <w:proofErr w:type="spellStart"/>
      <w:r w:rsidRPr="004669E0">
        <w:rPr>
          <w:i/>
          <w:iCs/>
          <w:sz w:val="24"/>
          <w:szCs w:val="24"/>
        </w:rPr>
        <w:t>accruals</w:t>
      </w:r>
      <w:proofErr w:type="spell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>discricionários baseados no modelo Jones modificado e os resultados revelaram que os comitês de auditoria com expertise financeira e alto status relativo estavam associados a níveis mais baixos de gerenciamento de resultados.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Cunha et al. (2014) verificaram se características do Comitê de Auditoria refletiam no gerenciamento de resultados das empresas. </w:t>
      </w:r>
      <w:r w:rsidR="00D620CC">
        <w:rPr>
          <w:sz w:val="24"/>
          <w:szCs w:val="24"/>
        </w:rPr>
        <w:t>Analisaram</w:t>
      </w:r>
      <w:r w:rsidRPr="004669E0">
        <w:rPr>
          <w:sz w:val="24"/>
          <w:szCs w:val="24"/>
        </w:rPr>
        <w:t xml:space="preserve"> 31 empresas em 2010 e 33 empresas </w:t>
      </w:r>
      <w:r w:rsidR="00D620CC">
        <w:rPr>
          <w:sz w:val="24"/>
          <w:szCs w:val="24"/>
        </w:rPr>
        <w:t>em</w:t>
      </w:r>
      <w:r w:rsidRPr="004669E0">
        <w:rPr>
          <w:sz w:val="24"/>
          <w:szCs w:val="24"/>
        </w:rPr>
        <w:t xml:space="preserve"> 2011. O gerenciamento foi analisado pelo modelo Jones modificado. Os resultados apontaram que a maior parte dos comitês de auditoria eram compostos por até três membros e com até dois membros considerados independentes. No que tange a expertise constatou-se igual distribuição de frequência para empresas com um e dois membros formados na área contábil ou em áreas afins da área financeira, o que totalizou aproximadamente 50% das empresas. Na relação do gerenciamento e as características do comitê de auditoria, constaram que nenhuma das características do comitê apresentaram influência sobre o gerenciamento.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Santana et al. (2014) investigaram se os níveis de gerenciamento de resultado</w:t>
      </w:r>
      <w:r w:rsidR="00D620CC">
        <w:rPr>
          <w:sz w:val="24"/>
          <w:szCs w:val="24"/>
        </w:rPr>
        <w:t>s</w:t>
      </w:r>
      <w:r w:rsidRPr="004669E0">
        <w:rPr>
          <w:sz w:val="24"/>
          <w:szCs w:val="24"/>
        </w:rPr>
        <w:t xml:space="preserve"> se apresentavam diferentes para empresas brasileiras auditadas por firmas de auditoria </w:t>
      </w:r>
      <w:r w:rsidRPr="004669E0">
        <w:rPr>
          <w:i/>
          <w:iCs/>
          <w:sz w:val="24"/>
          <w:szCs w:val="24"/>
        </w:rPr>
        <w:t xml:space="preserve">big four </w:t>
      </w:r>
      <w:r w:rsidRPr="004669E0">
        <w:rPr>
          <w:sz w:val="24"/>
          <w:szCs w:val="24"/>
        </w:rPr>
        <w:t xml:space="preserve">e não </w:t>
      </w:r>
      <w:r w:rsidRPr="004669E0">
        <w:rPr>
          <w:i/>
          <w:iCs/>
          <w:sz w:val="24"/>
          <w:szCs w:val="24"/>
        </w:rPr>
        <w:t>big four</w:t>
      </w:r>
      <w:r w:rsidRPr="004669E0">
        <w:rPr>
          <w:sz w:val="24"/>
          <w:szCs w:val="24"/>
        </w:rPr>
        <w:t xml:space="preserve">. A amostra foi composta por 329 empresas de capital aberto listadas na </w:t>
      </w:r>
      <w:proofErr w:type="spellStart"/>
      <w:r w:rsidRPr="004669E0">
        <w:rPr>
          <w:sz w:val="24"/>
          <w:szCs w:val="24"/>
        </w:rPr>
        <w:t>BM&amp;FBovespa</w:t>
      </w:r>
      <w:proofErr w:type="spellEnd"/>
      <w:r w:rsidRPr="004669E0">
        <w:rPr>
          <w:sz w:val="24"/>
          <w:szCs w:val="24"/>
        </w:rPr>
        <w:t xml:space="preserve"> segregadas em dois grupos: 246 empresas auditadas pelas </w:t>
      </w:r>
      <w:r w:rsidRPr="004669E0">
        <w:rPr>
          <w:i/>
          <w:iCs/>
          <w:sz w:val="24"/>
          <w:szCs w:val="24"/>
        </w:rPr>
        <w:t xml:space="preserve">big four </w:t>
      </w:r>
      <w:r w:rsidRPr="004669E0">
        <w:rPr>
          <w:sz w:val="24"/>
          <w:szCs w:val="24"/>
        </w:rPr>
        <w:t xml:space="preserve">e 83 empresas não auditadas </w:t>
      </w:r>
      <w:proofErr w:type="gramStart"/>
      <w:r w:rsidRPr="004669E0">
        <w:rPr>
          <w:sz w:val="24"/>
          <w:szCs w:val="24"/>
        </w:rPr>
        <w:t xml:space="preserve">pelas </w:t>
      </w:r>
      <w:r w:rsidRPr="004669E0">
        <w:rPr>
          <w:i/>
          <w:iCs/>
          <w:sz w:val="24"/>
          <w:szCs w:val="24"/>
        </w:rPr>
        <w:t>big four</w:t>
      </w:r>
      <w:proofErr w:type="gramEnd"/>
      <w:r w:rsidRPr="004669E0">
        <w:rPr>
          <w:sz w:val="24"/>
          <w:szCs w:val="24"/>
        </w:rPr>
        <w:t xml:space="preserve">. Os resultados evidenciaram que as empresas auditadas </w:t>
      </w:r>
      <w:proofErr w:type="gramStart"/>
      <w:r w:rsidRPr="004669E0">
        <w:rPr>
          <w:sz w:val="24"/>
          <w:szCs w:val="24"/>
        </w:rPr>
        <w:t xml:space="preserve">pelas </w:t>
      </w:r>
      <w:r w:rsidRPr="004669E0">
        <w:rPr>
          <w:i/>
          <w:iCs/>
          <w:sz w:val="24"/>
          <w:szCs w:val="24"/>
        </w:rPr>
        <w:t>big four</w:t>
      </w:r>
      <w:proofErr w:type="gram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>não apresentaram níveis de gerenciamento significativamente diferentes das empresas auditadas pelas demais firmas de auditorias.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Silva et al. (2014) analisaram a influência da auditoria sobre o gerenciamento de resultados. A amostra compreendeu 106 empresas listadas no novo mercado da </w:t>
      </w:r>
      <w:proofErr w:type="spellStart"/>
      <w:r w:rsidRPr="004669E0">
        <w:rPr>
          <w:sz w:val="24"/>
          <w:szCs w:val="24"/>
        </w:rPr>
        <w:t>BM&amp;FBovespa</w:t>
      </w:r>
      <w:proofErr w:type="spellEnd"/>
      <w:r w:rsidRPr="004669E0">
        <w:rPr>
          <w:sz w:val="24"/>
          <w:szCs w:val="24"/>
        </w:rPr>
        <w:t xml:space="preserve">, no período de 2010 a 2012. Como </w:t>
      </w:r>
      <w:r w:rsidRPr="004669E0">
        <w:rPr>
          <w:i/>
          <w:sz w:val="24"/>
          <w:szCs w:val="24"/>
        </w:rPr>
        <w:t>proxy</w:t>
      </w:r>
      <w:r w:rsidRPr="004669E0">
        <w:rPr>
          <w:sz w:val="24"/>
          <w:szCs w:val="24"/>
        </w:rPr>
        <w:t xml:space="preserve"> para gerenciamento calcularam os </w:t>
      </w:r>
      <w:proofErr w:type="spellStart"/>
      <w:r w:rsidRPr="004669E0">
        <w:rPr>
          <w:i/>
          <w:iCs/>
          <w:sz w:val="24"/>
          <w:szCs w:val="24"/>
        </w:rPr>
        <w:t>accruals</w:t>
      </w:r>
      <w:proofErr w:type="spell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 xml:space="preserve">discricionários por meio do modelo KS. Os resultados demonstraram que a auditoria independente realizada por </w:t>
      </w:r>
      <w:r w:rsidRPr="004669E0">
        <w:rPr>
          <w:i/>
          <w:iCs/>
          <w:sz w:val="24"/>
          <w:szCs w:val="24"/>
        </w:rPr>
        <w:t xml:space="preserve">Big Four </w:t>
      </w:r>
      <w:r w:rsidRPr="004669E0">
        <w:rPr>
          <w:sz w:val="24"/>
          <w:szCs w:val="24"/>
        </w:rPr>
        <w:t>inibi</w:t>
      </w:r>
      <w:r w:rsidR="00D620CC">
        <w:rPr>
          <w:sz w:val="24"/>
          <w:szCs w:val="24"/>
        </w:rPr>
        <w:t>a</w:t>
      </w:r>
      <w:r w:rsidRPr="004669E0">
        <w:rPr>
          <w:sz w:val="24"/>
          <w:szCs w:val="24"/>
        </w:rPr>
        <w:t xml:space="preserve"> o nível de gerenciamento de resultados, desde que tal prática fosse para o aumento do resultado. A auditoria independente apresentou atuação mais forte para a diminuição do gerenciamento, ao se comparar com o comitê de auditoria interna.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proofErr w:type="spellStart"/>
      <w:r w:rsidRPr="004669E0">
        <w:rPr>
          <w:sz w:val="24"/>
          <w:szCs w:val="24"/>
        </w:rPr>
        <w:t>Miko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Kamardin</w:t>
      </w:r>
      <w:proofErr w:type="spellEnd"/>
      <w:r w:rsidRPr="004669E0">
        <w:rPr>
          <w:sz w:val="24"/>
          <w:szCs w:val="24"/>
        </w:rPr>
        <w:t xml:space="preserve"> (2015) investigaram a influência do comitê de auditoria e da qualidade da auditoria na prevenção do gerenciamento de resultados no período </w:t>
      </w:r>
      <w:proofErr w:type="spellStart"/>
      <w:r w:rsidRPr="004669E0">
        <w:rPr>
          <w:sz w:val="24"/>
          <w:szCs w:val="24"/>
        </w:rPr>
        <w:t>pré</w:t>
      </w:r>
      <w:proofErr w:type="spellEnd"/>
      <w:r w:rsidRPr="004669E0">
        <w:rPr>
          <w:sz w:val="24"/>
          <w:szCs w:val="24"/>
        </w:rPr>
        <w:t xml:space="preserve"> e pós-código de governança corporativa de 2011 da Nigéria. Analisaram o gerenciamento por meio dos </w:t>
      </w:r>
      <w:proofErr w:type="spellStart"/>
      <w:r w:rsidRPr="004669E0">
        <w:rPr>
          <w:i/>
          <w:sz w:val="24"/>
          <w:szCs w:val="24"/>
        </w:rPr>
        <w:t>accru</w:t>
      </w:r>
      <w:r w:rsidR="00D620CC">
        <w:rPr>
          <w:i/>
          <w:sz w:val="24"/>
          <w:szCs w:val="24"/>
        </w:rPr>
        <w:t>a</w:t>
      </w:r>
      <w:r w:rsidRPr="004669E0">
        <w:rPr>
          <w:i/>
          <w:sz w:val="24"/>
          <w:szCs w:val="24"/>
        </w:rPr>
        <w:t>ls</w:t>
      </w:r>
      <w:proofErr w:type="spellEnd"/>
      <w:r w:rsidRPr="004669E0">
        <w:rPr>
          <w:sz w:val="24"/>
          <w:szCs w:val="24"/>
        </w:rPr>
        <w:t xml:space="preserve"> discricionários baseados no modelo Jones modificado. Em relação a auditoria, analisaram a expertise financeira, a independência e o tamanho do comitê de auditoria, a auditoria por </w:t>
      </w:r>
      <w:r w:rsidRPr="004669E0">
        <w:rPr>
          <w:i/>
          <w:sz w:val="24"/>
          <w:szCs w:val="24"/>
        </w:rPr>
        <w:t xml:space="preserve">big </w:t>
      </w:r>
      <w:r w:rsidRPr="004669E0">
        <w:rPr>
          <w:i/>
          <w:sz w:val="24"/>
          <w:szCs w:val="24"/>
        </w:rPr>
        <w:lastRenderedPageBreak/>
        <w:t>four</w:t>
      </w:r>
      <w:r w:rsidRPr="004669E0">
        <w:rPr>
          <w:sz w:val="24"/>
          <w:szCs w:val="24"/>
        </w:rPr>
        <w:t xml:space="preserve">, tempo de mandato dos auditores e a taxa de auditoria. Destacaram que o comitê de auditoria e a qualidade da auditoria reduzia o gerenciamento no </w:t>
      </w:r>
      <w:proofErr w:type="spellStart"/>
      <w:r w:rsidRPr="004669E0">
        <w:rPr>
          <w:sz w:val="24"/>
          <w:szCs w:val="24"/>
        </w:rPr>
        <w:t>pré</w:t>
      </w:r>
      <w:proofErr w:type="spellEnd"/>
      <w:r w:rsidRPr="004669E0">
        <w:rPr>
          <w:sz w:val="24"/>
          <w:szCs w:val="24"/>
        </w:rPr>
        <w:t xml:space="preserve"> e pós-código de governança.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proofErr w:type="spellStart"/>
      <w:r w:rsidRPr="004669E0">
        <w:rPr>
          <w:sz w:val="24"/>
          <w:szCs w:val="24"/>
        </w:rPr>
        <w:t>Huguet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Gandía</w:t>
      </w:r>
      <w:proofErr w:type="spellEnd"/>
      <w:r w:rsidRPr="004669E0">
        <w:rPr>
          <w:sz w:val="24"/>
          <w:szCs w:val="24"/>
        </w:rPr>
        <w:t xml:space="preserve"> (2016) em uma amostra de micro e pequenas empresas espanholas, </w:t>
      </w:r>
      <w:r w:rsidR="00D620CC">
        <w:rPr>
          <w:sz w:val="24"/>
          <w:szCs w:val="24"/>
        </w:rPr>
        <w:t>em que</w:t>
      </w:r>
      <w:r w:rsidRPr="004669E0">
        <w:rPr>
          <w:sz w:val="24"/>
          <w:szCs w:val="24"/>
        </w:rPr>
        <w:t xml:space="preserve"> algumas empresas eram obrigatoriamente auditadas e </w:t>
      </w:r>
      <w:r w:rsidR="00D620CC">
        <w:rPr>
          <w:sz w:val="24"/>
          <w:szCs w:val="24"/>
        </w:rPr>
        <w:t>outras</w:t>
      </w:r>
      <w:r w:rsidRPr="004669E0">
        <w:rPr>
          <w:sz w:val="24"/>
          <w:szCs w:val="24"/>
        </w:rPr>
        <w:t xml:space="preserve"> estavam isentas de auditoria, examinaram se as auditorias obrigatórias ou voluntárias, ajudavam a restringir o gerenciamento de resultados. A investigação ocorreu no período de 2008 a 2013 e o gerenciamento foi analisado por meio dos </w:t>
      </w:r>
      <w:proofErr w:type="spellStart"/>
      <w:r w:rsidRPr="004669E0">
        <w:rPr>
          <w:i/>
          <w:iCs/>
          <w:sz w:val="24"/>
          <w:szCs w:val="24"/>
        </w:rPr>
        <w:t>accruals</w:t>
      </w:r>
      <w:proofErr w:type="spell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 xml:space="preserve">discricionários baseados no modelo Jones.  Constaram que as empresas auditadas possuíam </w:t>
      </w:r>
      <w:proofErr w:type="spellStart"/>
      <w:r w:rsidRPr="004669E0">
        <w:rPr>
          <w:i/>
          <w:sz w:val="24"/>
          <w:szCs w:val="24"/>
        </w:rPr>
        <w:t>accru</w:t>
      </w:r>
      <w:r w:rsidR="00D620CC">
        <w:rPr>
          <w:i/>
          <w:sz w:val="24"/>
          <w:szCs w:val="24"/>
        </w:rPr>
        <w:t>a</w:t>
      </w:r>
      <w:r w:rsidRPr="004669E0">
        <w:rPr>
          <w:i/>
          <w:sz w:val="24"/>
          <w:szCs w:val="24"/>
        </w:rPr>
        <w:t>ls</w:t>
      </w:r>
      <w:proofErr w:type="spellEnd"/>
      <w:r w:rsidRPr="004669E0">
        <w:rPr>
          <w:sz w:val="24"/>
          <w:szCs w:val="24"/>
        </w:rPr>
        <w:t xml:space="preserve"> discricionários absolutos mais baixos, no comparativo com as não auditadas. Também perceberam que as auditorias voluntárias restringiam o gerenciamento de resultados, mas em menor grau do que as auditorias obrigatórias.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  <w:shd w:val="clear" w:color="auto" w:fill="FFFFFF"/>
        </w:rPr>
      </w:pP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 (2017) </w:t>
      </w:r>
      <w:r w:rsidRPr="004669E0">
        <w:rPr>
          <w:sz w:val="24"/>
          <w:szCs w:val="24"/>
          <w:shd w:val="clear" w:color="auto" w:fill="FFFFFF"/>
        </w:rPr>
        <w:t xml:space="preserve">examinaram a relação entre qualidade da auditoria e gerenciamento de resultados em uma amostra de 498 empresas que </w:t>
      </w:r>
      <w:r w:rsidRPr="004669E0">
        <w:rPr>
          <w:sz w:val="24"/>
          <w:szCs w:val="24"/>
        </w:rPr>
        <w:t>abriram capital na Bolsa de Valores de Londres,</w:t>
      </w:r>
      <w:r w:rsidRPr="004669E0">
        <w:rPr>
          <w:sz w:val="24"/>
          <w:szCs w:val="24"/>
          <w:shd w:val="clear" w:color="auto" w:fill="FFFFFF"/>
        </w:rPr>
        <w:t xml:space="preserve"> no Reino Unido, entre 1998 a 2008. </w:t>
      </w:r>
      <w:r w:rsidRPr="004669E0">
        <w:rPr>
          <w:sz w:val="24"/>
          <w:szCs w:val="24"/>
        </w:rPr>
        <w:t xml:space="preserve">Estimaram os </w:t>
      </w:r>
      <w:proofErr w:type="spellStart"/>
      <w:r w:rsidRPr="004669E0">
        <w:rPr>
          <w:i/>
          <w:sz w:val="24"/>
          <w:szCs w:val="24"/>
        </w:rPr>
        <w:t>accru</w:t>
      </w:r>
      <w:r w:rsidR="00D620CC">
        <w:rPr>
          <w:i/>
          <w:sz w:val="24"/>
          <w:szCs w:val="24"/>
        </w:rPr>
        <w:t>a</w:t>
      </w:r>
      <w:r w:rsidRPr="004669E0">
        <w:rPr>
          <w:i/>
          <w:sz w:val="24"/>
          <w:szCs w:val="24"/>
        </w:rPr>
        <w:t>ls</w:t>
      </w:r>
      <w:proofErr w:type="spellEnd"/>
      <w:r w:rsidRPr="004669E0">
        <w:rPr>
          <w:sz w:val="24"/>
          <w:szCs w:val="24"/>
        </w:rPr>
        <w:t xml:space="preserve"> discricionários </w:t>
      </w:r>
      <w:r w:rsidR="00D620CC">
        <w:rPr>
          <w:sz w:val="24"/>
          <w:szCs w:val="24"/>
        </w:rPr>
        <w:t>pelo</w:t>
      </w:r>
      <w:r w:rsidRPr="004669E0">
        <w:rPr>
          <w:sz w:val="24"/>
          <w:szCs w:val="24"/>
        </w:rPr>
        <w:t xml:space="preserve"> modelo Jones e o gerenciamento real pelo modelo </w:t>
      </w:r>
      <w:r w:rsidR="00D620CC">
        <w:rPr>
          <w:sz w:val="24"/>
          <w:szCs w:val="24"/>
        </w:rPr>
        <w:t>de</w:t>
      </w:r>
      <w:r w:rsidRPr="004669E0">
        <w:rPr>
          <w:sz w:val="24"/>
          <w:szCs w:val="24"/>
        </w:rPr>
        <w:t> </w:t>
      </w:r>
      <w:bookmarkStart w:id="1" w:name="bbib24"/>
      <w:proofErr w:type="spellStart"/>
      <w:r w:rsidRPr="004669E0">
        <w:rPr>
          <w:sz w:val="24"/>
          <w:szCs w:val="24"/>
        </w:rPr>
        <w:t>Dechow</w:t>
      </w:r>
      <w:proofErr w:type="spellEnd"/>
      <w:r w:rsidRPr="004669E0">
        <w:rPr>
          <w:sz w:val="24"/>
          <w:szCs w:val="24"/>
        </w:rPr>
        <w:t xml:space="preserve">, </w:t>
      </w:r>
      <w:proofErr w:type="spellStart"/>
      <w:r w:rsidRPr="004669E0">
        <w:rPr>
          <w:sz w:val="24"/>
          <w:szCs w:val="24"/>
        </w:rPr>
        <w:t>Kothari</w:t>
      </w:r>
      <w:proofErr w:type="spellEnd"/>
      <w:r w:rsidRPr="004669E0">
        <w:rPr>
          <w:sz w:val="24"/>
          <w:szCs w:val="24"/>
        </w:rPr>
        <w:t xml:space="preserve"> &amp; Watts (1998)</w:t>
      </w:r>
      <w:bookmarkEnd w:id="1"/>
      <w:r w:rsidRPr="004669E0">
        <w:rPr>
          <w:sz w:val="24"/>
          <w:szCs w:val="24"/>
        </w:rPr>
        <w:t xml:space="preserve">. </w:t>
      </w:r>
      <w:r w:rsidR="00D620CC">
        <w:rPr>
          <w:sz w:val="24"/>
          <w:szCs w:val="24"/>
        </w:rPr>
        <w:t>A</w:t>
      </w:r>
      <w:r w:rsidRPr="004669E0">
        <w:rPr>
          <w:sz w:val="24"/>
          <w:szCs w:val="24"/>
        </w:rPr>
        <w:t xml:space="preserve"> </w:t>
      </w:r>
      <w:r w:rsidRPr="004669E0">
        <w:rPr>
          <w:i/>
          <w:sz w:val="24"/>
          <w:szCs w:val="24"/>
        </w:rPr>
        <w:t>proxy</w:t>
      </w:r>
      <w:r w:rsidRPr="004669E0">
        <w:rPr>
          <w:sz w:val="24"/>
          <w:szCs w:val="24"/>
        </w:rPr>
        <w:t xml:space="preserve"> </w:t>
      </w:r>
      <w:r w:rsidR="00D620CC">
        <w:rPr>
          <w:sz w:val="24"/>
          <w:szCs w:val="24"/>
        </w:rPr>
        <w:t xml:space="preserve">utilizada </w:t>
      </w:r>
      <w:r w:rsidRPr="004669E0">
        <w:rPr>
          <w:sz w:val="24"/>
          <w:szCs w:val="24"/>
        </w:rPr>
        <w:t xml:space="preserve">para qualidade da auditoria </w:t>
      </w:r>
      <w:r w:rsidR="00D620CC">
        <w:rPr>
          <w:sz w:val="24"/>
          <w:szCs w:val="24"/>
        </w:rPr>
        <w:t>foi</w:t>
      </w:r>
      <w:r w:rsidRPr="004669E0">
        <w:rPr>
          <w:sz w:val="24"/>
          <w:szCs w:val="24"/>
        </w:rPr>
        <w:t xml:space="preserve"> uma variável </w:t>
      </w:r>
      <w:proofErr w:type="spellStart"/>
      <w:r w:rsidRPr="004669E0">
        <w:rPr>
          <w:i/>
          <w:sz w:val="24"/>
          <w:szCs w:val="24"/>
        </w:rPr>
        <w:t>dummy</w:t>
      </w:r>
      <w:proofErr w:type="spellEnd"/>
      <w:r w:rsidRPr="004669E0">
        <w:rPr>
          <w:sz w:val="24"/>
          <w:szCs w:val="24"/>
        </w:rPr>
        <w:t xml:space="preserve"> que recebeu valor 1 quando </w:t>
      </w:r>
      <w:r w:rsidR="00D620CC">
        <w:rPr>
          <w:sz w:val="24"/>
          <w:szCs w:val="24"/>
        </w:rPr>
        <w:t>havia</w:t>
      </w:r>
      <w:r w:rsidRPr="004669E0">
        <w:rPr>
          <w:sz w:val="24"/>
          <w:szCs w:val="24"/>
        </w:rPr>
        <w:t xml:space="preserve"> audit</w:t>
      </w:r>
      <w:r w:rsidR="00D620CC">
        <w:rPr>
          <w:sz w:val="24"/>
          <w:szCs w:val="24"/>
        </w:rPr>
        <w:t>oria</w:t>
      </w:r>
      <w:r w:rsidRPr="004669E0">
        <w:rPr>
          <w:sz w:val="24"/>
          <w:szCs w:val="24"/>
        </w:rPr>
        <w:t xml:space="preserve"> por </w:t>
      </w:r>
      <w:r w:rsidRPr="004669E0">
        <w:rPr>
          <w:i/>
          <w:sz w:val="24"/>
          <w:szCs w:val="24"/>
        </w:rPr>
        <w:t xml:space="preserve">big four. </w:t>
      </w:r>
      <w:r w:rsidRPr="004669E0">
        <w:rPr>
          <w:sz w:val="24"/>
          <w:szCs w:val="24"/>
        </w:rPr>
        <w:t xml:space="preserve">Os resultados revelaram que as grandes empresas de auditoria restringiam o gerenciamento por </w:t>
      </w:r>
      <w:proofErr w:type="spellStart"/>
      <w:r w:rsidRPr="00D620CC">
        <w:rPr>
          <w:i/>
          <w:sz w:val="24"/>
          <w:szCs w:val="24"/>
        </w:rPr>
        <w:t>accru</w:t>
      </w:r>
      <w:r w:rsidR="00D620CC">
        <w:rPr>
          <w:i/>
          <w:sz w:val="24"/>
          <w:szCs w:val="24"/>
        </w:rPr>
        <w:t>a</w:t>
      </w:r>
      <w:r w:rsidRPr="00D620CC">
        <w:rPr>
          <w:i/>
          <w:sz w:val="24"/>
          <w:szCs w:val="24"/>
        </w:rPr>
        <w:t>ls</w:t>
      </w:r>
      <w:proofErr w:type="spellEnd"/>
      <w:r w:rsidRPr="004669E0">
        <w:rPr>
          <w:sz w:val="24"/>
          <w:szCs w:val="24"/>
        </w:rPr>
        <w:t xml:space="preserve"> discricionários, mas não o gerenciamento real.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  <w:shd w:val="clear" w:color="auto" w:fill="FFFFFF"/>
        </w:rPr>
      </w:pP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 (2017) examinaram a influência da qualidade da auditoria e do </w:t>
      </w:r>
      <w:r w:rsidR="00D620CC">
        <w:rPr>
          <w:sz w:val="24"/>
          <w:szCs w:val="24"/>
        </w:rPr>
        <w:t>endividamento</w:t>
      </w:r>
      <w:r w:rsidRPr="004669E0">
        <w:rPr>
          <w:sz w:val="24"/>
          <w:szCs w:val="24"/>
        </w:rPr>
        <w:t xml:space="preserve"> no gerenciamento de resultados em uma amostra composta por 72 empresas industriais da Jordânia durante o período de 2006 a 2012. O gerenciamento foi analisado por meio dos </w:t>
      </w:r>
      <w:proofErr w:type="spellStart"/>
      <w:r w:rsidRPr="004669E0">
        <w:rPr>
          <w:i/>
          <w:iCs/>
          <w:sz w:val="24"/>
          <w:szCs w:val="24"/>
        </w:rPr>
        <w:t>accruals</w:t>
      </w:r>
      <w:proofErr w:type="spell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 xml:space="preserve">discricionários baseados no modelo Jones Modificado. As proxies para qualidade da auditoria foram: mandato do auditor, </w:t>
      </w:r>
      <w:r w:rsidRPr="004669E0">
        <w:rPr>
          <w:i/>
          <w:sz w:val="24"/>
          <w:szCs w:val="24"/>
        </w:rPr>
        <w:t>big four</w:t>
      </w:r>
      <w:r w:rsidRPr="004669E0">
        <w:rPr>
          <w:sz w:val="24"/>
          <w:szCs w:val="24"/>
        </w:rPr>
        <w:t xml:space="preserve">, especialização do auditor e independência do auditor. </w:t>
      </w:r>
      <w:r w:rsidRPr="004669E0">
        <w:rPr>
          <w:sz w:val="24"/>
          <w:szCs w:val="24"/>
          <w:shd w:val="clear" w:color="auto" w:fill="FFFFFF"/>
        </w:rPr>
        <w:t xml:space="preserve">Os achados evidenciaram que maior qualidade da auditoria e menor </w:t>
      </w:r>
      <w:r w:rsidR="00E06CDE">
        <w:rPr>
          <w:sz w:val="24"/>
          <w:szCs w:val="24"/>
          <w:shd w:val="clear" w:color="auto" w:fill="FFFFFF"/>
        </w:rPr>
        <w:t>endividamento</w:t>
      </w:r>
      <w:r w:rsidRPr="004669E0">
        <w:rPr>
          <w:sz w:val="24"/>
          <w:szCs w:val="24"/>
          <w:shd w:val="clear" w:color="auto" w:fill="FFFFFF"/>
        </w:rPr>
        <w:t xml:space="preserve"> </w:t>
      </w:r>
      <w:r w:rsidR="00E06CDE">
        <w:rPr>
          <w:sz w:val="24"/>
          <w:szCs w:val="24"/>
          <w:shd w:val="clear" w:color="auto" w:fill="FFFFFF"/>
        </w:rPr>
        <w:t>reduziam o</w:t>
      </w:r>
      <w:r w:rsidRPr="004669E0">
        <w:rPr>
          <w:sz w:val="24"/>
          <w:szCs w:val="24"/>
          <w:shd w:val="clear" w:color="auto" w:fill="FFFFFF"/>
        </w:rPr>
        <w:t xml:space="preserve"> gerenciamento de resultados, aumentando a qualidade dos relatórios financeiros.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proofErr w:type="spellStart"/>
      <w:r w:rsidRPr="004669E0">
        <w:rPr>
          <w:sz w:val="24"/>
          <w:szCs w:val="24"/>
        </w:rPr>
        <w:t>Zalata</w:t>
      </w:r>
      <w:proofErr w:type="spellEnd"/>
      <w:r w:rsidRPr="004669E0">
        <w:rPr>
          <w:sz w:val="24"/>
          <w:szCs w:val="24"/>
        </w:rPr>
        <w:t xml:space="preserve"> et al. (2018) investigaram o efeito da experiência financeira e do gênero dos membros do comitê de auditoria no gerenciamento de resultados. A análise ocorreu em uma amostra de companhias abertas americanas no período de 2007 a 2013. Como medida de gerenciamento utilizaram os </w:t>
      </w:r>
      <w:proofErr w:type="spellStart"/>
      <w:r w:rsidRPr="004669E0">
        <w:rPr>
          <w:i/>
          <w:sz w:val="24"/>
          <w:szCs w:val="24"/>
        </w:rPr>
        <w:t>accru</w:t>
      </w:r>
      <w:r w:rsidR="00D620CC">
        <w:rPr>
          <w:i/>
          <w:sz w:val="24"/>
          <w:szCs w:val="24"/>
        </w:rPr>
        <w:t>a</w:t>
      </w:r>
      <w:r w:rsidRPr="004669E0">
        <w:rPr>
          <w:i/>
          <w:sz w:val="24"/>
          <w:szCs w:val="24"/>
        </w:rPr>
        <w:t>ls</w:t>
      </w:r>
      <w:proofErr w:type="spellEnd"/>
      <w:r w:rsidRPr="004669E0">
        <w:rPr>
          <w:sz w:val="24"/>
          <w:szCs w:val="24"/>
        </w:rPr>
        <w:t xml:space="preserve"> discricionários </w:t>
      </w:r>
      <w:r w:rsidR="00E06CDE">
        <w:rPr>
          <w:sz w:val="24"/>
          <w:szCs w:val="24"/>
        </w:rPr>
        <w:t>baseados n</w:t>
      </w:r>
      <w:r w:rsidRPr="004669E0">
        <w:rPr>
          <w:sz w:val="24"/>
          <w:szCs w:val="24"/>
        </w:rPr>
        <w:t xml:space="preserve">o modelo </w:t>
      </w:r>
      <w:r w:rsidR="00E06CDE">
        <w:rPr>
          <w:sz w:val="24"/>
          <w:szCs w:val="24"/>
        </w:rPr>
        <w:t>de</w:t>
      </w:r>
      <w:r w:rsidRPr="004669E0">
        <w:rPr>
          <w:sz w:val="24"/>
          <w:szCs w:val="24"/>
        </w:rPr>
        <w:t> </w:t>
      </w:r>
      <w:bookmarkStart w:id="2" w:name="bbb0270"/>
      <w:proofErr w:type="spellStart"/>
      <w:r w:rsidRPr="004669E0">
        <w:rPr>
          <w:sz w:val="24"/>
          <w:szCs w:val="24"/>
        </w:rPr>
        <w:t>McNichols</w:t>
      </w:r>
      <w:proofErr w:type="spellEnd"/>
      <w:r w:rsidRPr="004669E0">
        <w:rPr>
          <w:sz w:val="24"/>
          <w:szCs w:val="24"/>
        </w:rPr>
        <w:t xml:space="preserve"> (2002). A experiência financeira foi analisada pela proporção de membros especialistas que atuavam no comitê de auditoria. </w:t>
      </w:r>
      <w:bookmarkEnd w:id="2"/>
      <w:r w:rsidRPr="004669E0">
        <w:rPr>
          <w:sz w:val="24"/>
          <w:szCs w:val="24"/>
        </w:rPr>
        <w:t>Os resultados indicaram que membros especialistas reduziam o gerenciamento de resultados. Também demonstraram que a proporção de especialistas femininas no comitê estava significativamente associada ao menor gerenciamento de resultados.</w:t>
      </w:r>
    </w:p>
    <w:p w:rsidR="004669E0" w:rsidRPr="004669E0" w:rsidRDefault="004669E0" w:rsidP="004669E0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Os resultados de grande parte dos estudos anteriores sugerem que a auditoria por </w:t>
      </w:r>
      <w:r w:rsidRPr="004669E0">
        <w:rPr>
          <w:i/>
          <w:sz w:val="24"/>
          <w:szCs w:val="24"/>
        </w:rPr>
        <w:t>big four</w:t>
      </w:r>
      <w:r w:rsidRPr="004669E0">
        <w:rPr>
          <w:sz w:val="24"/>
          <w:szCs w:val="24"/>
        </w:rPr>
        <w:t xml:space="preserve"> e o comitê de auditoria contribuem para uma gestão mais eficaz, minimizando o gerenciamento de resultados. No entanto, essa não é uma conclusão única, pois achados de pesquisas evidenciam, também, o efeito nulo da auditoria. Assim, a relação entre auditoria e gerenciamento permanece como uma lacuna para a qual esta pesquisa pretende contribuir.</w:t>
      </w:r>
    </w:p>
    <w:p w:rsidR="004669E0" w:rsidRPr="004669E0" w:rsidRDefault="004669E0" w:rsidP="004669E0">
      <w:pPr>
        <w:contextualSpacing/>
        <w:jc w:val="both"/>
        <w:rPr>
          <w:b/>
          <w:bCs/>
          <w:sz w:val="24"/>
          <w:szCs w:val="24"/>
        </w:rPr>
      </w:pPr>
    </w:p>
    <w:p w:rsidR="004669E0" w:rsidRPr="004669E0" w:rsidRDefault="004669E0" w:rsidP="004669E0">
      <w:pPr>
        <w:contextualSpacing/>
        <w:jc w:val="both"/>
        <w:rPr>
          <w:b/>
          <w:bCs/>
          <w:sz w:val="24"/>
          <w:szCs w:val="24"/>
        </w:rPr>
      </w:pPr>
      <w:r w:rsidRPr="004669E0">
        <w:rPr>
          <w:b/>
          <w:bCs/>
          <w:sz w:val="24"/>
          <w:szCs w:val="24"/>
        </w:rPr>
        <w:t xml:space="preserve">3 </w:t>
      </w:r>
      <w:r w:rsidR="00FC2F82" w:rsidRPr="004669E0">
        <w:rPr>
          <w:b/>
          <w:bCs/>
          <w:sz w:val="24"/>
          <w:szCs w:val="24"/>
        </w:rPr>
        <w:t>Procedimentos Metodológicos</w:t>
      </w:r>
    </w:p>
    <w:p w:rsidR="004669E0" w:rsidRPr="004669E0" w:rsidRDefault="004669E0" w:rsidP="00FC2F82">
      <w:pPr>
        <w:ind w:firstLine="709"/>
        <w:jc w:val="both"/>
        <w:rPr>
          <w:sz w:val="24"/>
          <w:szCs w:val="24"/>
          <w:shd w:val="clear" w:color="auto" w:fill="FFFFFF"/>
        </w:rPr>
      </w:pPr>
      <w:r w:rsidRPr="004669E0">
        <w:rPr>
          <w:sz w:val="24"/>
          <w:szCs w:val="24"/>
        </w:rPr>
        <w:t xml:space="preserve">Para atender ao objetivo proposto, realizou-se pesquisa descritiva </w:t>
      </w:r>
      <w:bookmarkStart w:id="3" w:name="OLE_LINK21"/>
      <w:bookmarkStart w:id="4" w:name="OLE_LINK18"/>
      <w:r w:rsidRPr="004669E0">
        <w:rPr>
          <w:sz w:val="24"/>
          <w:szCs w:val="24"/>
        </w:rPr>
        <w:t>e com abordagem quantitativa</w:t>
      </w:r>
      <w:bookmarkEnd w:id="3"/>
      <w:bookmarkEnd w:id="4"/>
      <w:r w:rsidRPr="004669E0">
        <w:rPr>
          <w:sz w:val="24"/>
          <w:szCs w:val="24"/>
        </w:rPr>
        <w:t xml:space="preserve">. A população da pesquisa compreendeu as companhias abertas da B3 – Brasil Bolsa, Balcão. Em cada ano, as empresas que exerciam atividade financeira e que não possuíam informações necessárias para todas as variáveis utilizadas foram excluídas da amostra. Após </w:t>
      </w:r>
      <w:r w:rsidRPr="004669E0">
        <w:rPr>
          <w:sz w:val="24"/>
          <w:szCs w:val="24"/>
        </w:rPr>
        <w:lastRenderedPageBreak/>
        <w:t>estes procedimentos, a amostra de pesquisa analisada foi composta por 252 companhias em 2012, 262 em 2013, 269 em 2014, 272 em 2015 e 272 em 2016.</w:t>
      </w:r>
    </w:p>
    <w:p w:rsidR="004669E0" w:rsidRDefault="004669E0" w:rsidP="00FC2F82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Inicialmente foi identificado o gerenciamento de resultados</w:t>
      </w:r>
      <w:r w:rsidRPr="004669E0">
        <w:rPr>
          <w:rFonts w:eastAsia="FFScala"/>
          <w:iCs/>
          <w:sz w:val="24"/>
          <w:szCs w:val="24"/>
        </w:rPr>
        <w:t>. Para tal, foi</w:t>
      </w:r>
      <w:r w:rsidRPr="004669E0">
        <w:rPr>
          <w:sz w:val="24"/>
          <w:szCs w:val="24"/>
        </w:rPr>
        <w:t xml:space="preserve"> necessário determinar os </w:t>
      </w:r>
      <w:proofErr w:type="spellStart"/>
      <w:r w:rsidRPr="004669E0">
        <w:rPr>
          <w:i/>
          <w:sz w:val="24"/>
          <w:szCs w:val="24"/>
        </w:rPr>
        <w:t>accruals</w:t>
      </w:r>
      <w:proofErr w:type="spellEnd"/>
      <w:r w:rsidRPr="004669E0">
        <w:rPr>
          <w:sz w:val="24"/>
          <w:szCs w:val="24"/>
        </w:rPr>
        <w:t xml:space="preserve"> totais, pela comparação entre o lucro líquido e o fluxo de caixa operacional das empresas, calculado pelo método indireto. Após,</w:t>
      </w:r>
      <w:r w:rsidRPr="004669E0">
        <w:rPr>
          <w:rFonts w:eastAsia="FFScala"/>
          <w:iCs/>
          <w:sz w:val="24"/>
          <w:szCs w:val="24"/>
        </w:rPr>
        <w:t xml:space="preserve"> por regressão,</w:t>
      </w:r>
      <w:r w:rsidRPr="004669E0">
        <w:rPr>
          <w:sz w:val="24"/>
          <w:szCs w:val="24"/>
        </w:rPr>
        <w:t xml:space="preserve"> foram </w:t>
      </w:r>
      <w:r w:rsidRPr="004669E0">
        <w:rPr>
          <w:rFonts w:eastAsia="FFScala"/>
          <w:iCs/>
          <w:sz w:val="24"/>
          <w:szCs w:val="24"/>
        </w:rPr>
        <w:t xml:space="preserve">estimados os </w:t>
      </w:r>
      <w:proofErr w:type="spellStart"/>
      <w:r w:rsidRPr="004669E0">
        <w:rPr>
          <w:rFonts w:eastAsia="FFScala"/>
          <w:i/>
          <w:iCs/>
          <w:sz w:val="24"/>
          <w:szCs w:val="24"/>
        </w:rPr>
        <w:t>accruals</w:t>
      </w:r>
      <w:proofErr w:type="spellEnd"/>
      <w:r w:rsidRPr="004669E0">
        <w:rPr>
          <w:rFonts w:eastAsia="FFScala"/>
          <w:i/>
          <w:iCs/>
          <w:sz w:val="24"/>
          <w:szCs w:val="24"/>
        </w:rPr>
        <w:t xml:space="preserve"> </w:t>
      </w:r>
      <w:r w:rsidRPr="004669E0">
        <w:rPr>
          <w:rFonts w:eastAsia="FFScala"/>
          <w:iCs/>
          <w:sz w:val="24"/>
          <w:szCs w:val="24"/>
        </w:rPr>
        <w:t xml:space="preserve">discricionários. Destaca-se que, para o cálculo do gerenciamento de resultados, os dados foram obtidos no banco de dados </w:t>
      </w:r>
      <w:proofErr w:type="spellStart"/>
      <w:r w:rsidRPr="004669E0">
        <w:rPr>
          <w:rFonts w:eastAsia="FFScala"/>
          <w:iCs/>
          <w:sz w:val="24"/>
          <w:szCs w:val="24"/>
        </w:rPr>
        <w:t>Economática</w:t>
      </w:r>
      <w:proofErr w:type="spellEnd"/>
      <w:r w:rsidRPr="004669E0">
        <w:rPr>
          <w:rFonts w:eastAsia="FFScala"/>
          <w:iCs/>
          <w:sz w:val="24"/>
          <w:szCs w:val="24"/>
        </w:rPr>
        <w:t xml:space="preserve"> e pa</w:t>
      </w:r>
      <w:r w:rsidRPr="004669E0">
        <w:rPr>
          <w:sz w:val="24"/>
          <w:szCs w:val="24"/>
        </w:rPr>
        <w:t>ra o cálculo da regressão linear, entre os vários métodos teóricos, utilizou-se o modelo Jones Modificado (DECHOW et al., 1995), conforme Equação 1:</w:t>
      </w:r>
    </w:p>
    <w:p w:rsidR="00E06CDE" w:rsidRPr="00E06CDE" w:rsidRDefault="00E06CDE" w:rsidP="00FC2F82">
      <w:pPr>
        <w:autoSpaceDE w:val="0"/>
        <w:autoSpaceDN w:val="0"/>
        <w:adjustRightInd w:val="0"/>
        <w:ind w:firstLine="709"/>
        <w:jc w:val="both"/>
        <w:rPr>
          <w:sz w:val="16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065"/>
      </w:tblGrid>
      <w:tr w:rsidR="004669E0" w:rsidRPr="004669E0" w:rsidTr="004669E0">
        <w:tc>
          <w:tcPr>
            <w:tcW w:w="5000" w:type="pct"/>
            <w:shd w:val="clear" w:color="auto" w:fill="auto"/>
          </w:tcPr>
          <w:p w:rsidR="004669E0" w:rsidRPr="004669E0" w:rsidRDefault="004669E0" w:rsidP="004669E0">
            <w:pPr>
              <w:autoSpaceDE w:val="0"/>
              <w:autoSpaceDN w:val="0"/>
              <w:adjustRightInd w:val="0"/>
              <w:jc w:val="center"/>
              <w:rPr>
                <w:rFonts w:eastAsia="FFScala"/>
                <w:iCs/>
                <w:sz w:val="24"/>
                <w:szCs w:val="24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iCs/>
                    <w:sz w:val="24"/>
                    <w:szCs w:val="24"/>
                  </w:rPr>
                  <m:t>AT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  <w:vertAlign w:val="subscript"/>
                  </w:rPr>
                  <m:t>i,t</m:t>
                </m:r>
                <w:proofErr w:type="spellEnd"/>
                <m:r>
                  <m:rPr>
                    <m:nor/>
                  </m:rPr>
                  <w:rPr>
                    <w:iCs/>
                    <w:sz w:val="24"/>
                    <w:szCs w:val="24"/>
                  </w:rPr>
                  <m:t xml:space="preserve">  = α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  <w:vertAlign w:val="subscript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i,t-1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den>
                    </m:f>
                  </m:e>
                </m:d>
                <m:r>
                  <m:rPr>
                    <m:nor/>
                  </m:rPr>
                  <w:rPr>
                    <w:sz w:val="24"/>
                    <w:szCs w:val="24"/>
                  </w:rPr>
                  <m:t xml:space="preserve">+ 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</w:rPr>
                  <m:t>α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  <w:vertAlign w:val="subscript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sz w:val="24"/>
                            <w:szCs w:val="24"/>
                          </w:rPr>
                          <m:t>Δ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4"/>
                            <w:szCs w:val="24"/>
                          </w:rPr>
                          <m:t>RT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4"/>
                            <w:szCs w:val="24"/>
                            <w:vertAlign w:val="subscript"/>
                          </w:rPr>
                          <m:t>i,t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4"/>
                            <w:szCs w:val="24"/>
                          </w:rPr>
                          <m:t xml:space="preserve"> - ∆CR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4"/>
                            <w:szCs w:val="24"/>
                            <w:vertAlign w:val="subscript"/>
                          </w:rPr>
                          <m:t>i,t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i,t-1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den>
                    </m:f>
                  </m:e>
                </m:d>
                <m:r>
                  <m:rPr>
                    <m:nor/>
                  </m:rPr>
                  <w:rPr>
                    <w:iCs/>
                    <w:sz w:val="24"/>
                    <w:szCs w:val="24"/>
                  </w:rPr>
                  <m:t xml:space="preserve"> </m:t>
                </m:r>
                <m:r>
                  <m:rPr>
                    <m:nor/>
                  </m:rPr>
                  <w:rPr>
                    <w:sz w:val="24"/>
                    <w:szCs w:val="24"/>
                  </w:rPr>
                  <m:t xml:space="preserve">+ 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</w:rPr>
                  <m:t>α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  <w:vertAlign w:val="subscript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sz w:val="24"/>
                            <w:szCs w:val="24"/>
                          </w:rPr>
                          <m:t>AP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4"/>
                            <w:szCs w:val="24"/>
                            <w:vertAlign w:val="subscript"/>
                          </w:rPr>
                          <m:t>i,t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i,t-1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den>
                    </m:f>
                  </m:e>
                </m:d>
                <m:r>
                  <m:rPr>
                    <m:nor/>
                  </m:rPr>
                  <w:rPr>
                    <w:sz w:val="24"/>
                    <w:szCs w:val="24"/>
                  </w:rPr>
                  <m:t xml:space="preserve"> + </m:t>
                </m:r>
                <w:proofErr w:type="spellStart"/>
                <m:r>
                  <m:rPr>
                    <m:nor/>
                  </m:rPr>
                  <w:rPr>
                    <w:sz w:val="24"/>
                    <w:szCs w:val="24"/>
                  </w:rPr>
                  <m:t>ε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  <w:vertAlign w:val="subscript"/>
                  </w:rPr>
                  <m:t>i,t</m:t>
                </m:r>
              </m:oMath>
            </m:oMathPara>
            <w:proofErr w:type="spellEnd"/>
          </w:p>
        </w:tc>
      </w:tr>
    </w:tbl>
    <w:p w:rsidR="004669E0" w:rsidRPr="004669E0" w:rsidRDefault="004669E0" w:rsidP="004669E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669E0">
        <w:rPr>
          <w:sz w:val="24"/>
          <w:szCs w:val="24"/>
        </w:rPr>
        <w:t>Em que:</w:t>
      </w:r>
    </w:p>
    <w:p w:rsidR="004669E0" w:rsidRPr="004669E0" w:rsidRDefault="004669E0" w:rsidP="004669E0">
      <w:pPr>
        <w:autoSpaceDE w:val="0"/>
        <w:autoSpaceDN w:val="0"/>
        <w:adjustRightInd w:val="0"/>
        <w:jc w:val="both"/>
        <w:rPr>
          <w:i/>
          <w:iCs/>
          <w:sz w:val="24"/>
          <w:szCs w:val="24"/>
        </w:rPr>
      </w:pPr>
      <w:proofErr w:type="spellStart"/>
      <w:proofErr w:type="gramStart"/>
      <w:r w:rsidRPr="004669E0">
        <w:rPr>
          <w:iCs/>
          <w:sz w:val="24"/>
          <w:szCs w:val="24"/>
        </w:rPr>
        <w:t>AT</w:t>
      </w:r>
      <w:r w:rsidRPr="004669E0">
        <w:rPr>
          <w:iCs/>
          <w:sz w:val="24"/>
          <w:szCs w:val="24"/>
          <w:vertAlign w:val="subscript"/>
        </w:rPr>
        <w:t>i,t</w:t>
      </w:r>
      <w:proofErr w:type="spellEnd"/>
      <w:proofErr w:type="gramEnd"/>
      <w:r w:rsidRPr="004669E0">
        <w:rPr>
          <w:iCs/>
          <w:sz w:val="24"/>
          <w:szCs w:val="24"/>
          <w:vertAlign w:val="subscript"/>
        </w:rPr>
        <w:t xml:space="preserve"> </w:t>
      </w:r>
      <w:r w:rsidRPr="004669E0">
        <w:rPr>
          <w:sz w:val="24"/>
          <w:szCs w:val="24"/>
        </w:rPr>
        <w:t xml:space="preserve">= </w:t>
      </w:r>
      <w:proofErr w:type="spellStart"/>
      <w:r w:rsidRPr="004669E0">
        <w:rPr>
          <w:i/>
          <w:sz w:val="24"/>
          <w:szCs w:val="24"/>
        </w:rPr>
        <w:t>A</w:t>
      </w:r>
      <w:r w:rsidRPr="004669E0">
        <w:rPr>
          <w:i/>
          <w:iCs/>
          <w:sz w:val="24"/>
          <w:szCs w:val="24"/>
        </w:rPr>
        <w:t>ccruals</w:t>
      </w:r>
      <w:proofErr w:type="spell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sz w:val="24"/>
          <w:szCs w:val="24"/>
        </w:rPr>
        <w:t xml:space="preserve">totais da empresa </w:t>
      </w:r>
      <w:r w:rsidRPr="004669E0">
        <w:rPr>
          <w:i/>
          <w:iCs/>
          <w:sz w:val="24"/>
          <w:szCs w:val="24"/>
        </w:rPr>
        <w:t xml:space="preserve">i </w:t>
      </w:r>
      <w:r w:rsidRPr="004669E0">
        <w:rPr>
          <w:sz w:val="24"/>
          <w:szCs w:val="24"/>
        </w:rPr>
        <w:t xml:space="preserve">no ano </w:t>
      </w:r>
      <w:r w:rsidRPr="004669E0">
        <w:rPr>
          <w:i/>
          <w:iCs/>
          <w:sz w:val="24"/>
          <w:szCs w:val="24"/>
        </w:rPr>
        <w:t>t;</w:t>
      </w:r>
    </w:p>
    <w:p w:rsidR="004669E0" w:rsidRPr="004669E0" w:rsidRDefault="004669E0" w:rsidP="004669E0">
      <w:pPr>
        <w:autoSpaceDE w:val="0"/>
        <w:autoSpaceDN w:val="0"/>
        <w:adjustRightInd w:val="0"/>
        <w:jc w:val="both"/>
        <w:rPr>
          <w:i/>
          <w:iCs/>
          <w:sz w:val="24"/>
          <w:szCs w:val="24"/>
        </w:rPr>
      </w:pPr>
      <w:proofErr w:type="gramStart"/>
      <w:r w:rsidRPr="004669E0">
        <w:rPr>
          <w:iCs/>
          <w:sz w:val="24"/>
          <w:szCs w:val="24"/>
        </w:rPr>
        <w:t>A</w:t>
      </w:r>
      <w:r w:rsidRPr="004669E0">
        <w:rPr>
          <w:iCs/>
          <w:sz w:val="24"/>
          <w:szCs w:val="24"/>
          <w:vertAlign w:val="subscript"/>
        </w:rPr>
        <w:t>i,t</w:t>
      </w:r>
      <w:proofErr w:type="gramEnd"/>
      <w:r w:rsidRPr="004669E0">
        <w:rPr>
          <w:i/>
          <w:iCs/>
          <w:sz w:val="24"/>
          <w:szCs w:val="24"/>
        </w:rPr>
        <w:t>-</w:t>
      </w:r>
      <w:r w:rsidRPr="004669E0">
        <w:rPr>
          <w:i/>
          <w:iCs/>
          <w:sz w:val="24"/>
          <w:szCs w:val="24"/>
          <w:vertAlign w:val="subscript"/>
        </w:rPr>
        <w:t xml:space="preserve">1 </w:t>
      </w:r>
      <w:r w:rsidRPr="004669E0">
        <w:rPr>
          <w:sz w:val="24"/>
          <w:szCs w:val="24"/>
        </w:rPr>
        <w:t xml:space="preserve">= Ativo total da empresa no final do ano </w:t>
      </w:r>
      <w:r w:rsidRPr="004669E0">
        <w:rPr>
          <w:i/>
          <w:iCs/>
          <w:sz w:val="24"/>
          <w:szCs w:val="24"/>
        </w:rPr>
        <w:t>t-1;</w:t>
      </w:r>
    </w:p>
    <w:p w:rsidR="004669E0" w:rsidRPr="004669E0" w:rsidRDefault="004669E0" w:rsidP="004669E0">
      <w:pPr>
        <w:autoSpaceDE w:val="0"/>
        <w:autoSpaceDN w:val="0"/>
        <w:adjustRightInd w:val="0"/>
        <w:jc w:val="both"/>
        <w:rPr>
          <w:i/>
          <w:iCs/>
          <w:sz w:val="24"/>
          <w:szCs w:val="24"/>
        </w:rPr>
      </w:pPr>
      <w:proofErr w:type="spellStart"/>
      <w:r w:rsidRPr="004669E0">
        <w:rPr>
          <w:iCs/>
          <w:sz w:val="24"/>
          <w:szCs w:val="24"/>
        </w:rPr>
        <w:t>Δ</w:t>
      </w:r>
      <w:proofErr w:type="gramStart"/>
      <w:r w:rsidRPr="004669E0">
        <w:rPr>
          <w:iCs/>
          <w:sz w:val="24"/>
          <w:szCs w:val="24"/>
        </w:rPr>
        <w:t>RT</w:t>
      </w:r>
      <w:r w:rsidRPr="004669E0">
        <w:rPr>
          <w:iCs/>
          <w:sz w:val="24"/>
          <w:szCs w:val="24"/>
          <w:vertAlign w:val="subscript"/>
        </w:rPr>
        <w:t>i,t</w:t>
      </w:r>
      <w:proofErr w:type="spellEnd"/>
      <w:proofErr w:type="gramEnd"/>
      <w:r w:rsidRPr="004669E0">
        <w:rPr>
          <w:iCs/>
          <w:sz w:val="24"/>
          <w:szCs w:val="24"/>
          <w:vertAlign w:val="subscript"/>
        </w:rPr>
        <w:t xml:space="preserve"> </w:t>
      </w:r>
      <w:r w:rsidRPr="004669E0">
        <w:rPr>
          <w:sz w:val="24"/>
          <w:szCs w:val="24"/>
        </w:rPr>
        <w:t xml:space="preserve">= </w:t>
      </w:r>
      <w:bookmarkStart w:id="5" w:name="OLE_LINK26"/>
      <w:r w:rsidRPr="004669E0">
        <w:rPr>
          <w:sz w:val="24"/>
          <w:szCs w:val="24"/>
        </w:rPr>
        <w:t xml:space="preserve">Variação da receita líquida da </w:t>
      </w:r>
      <w:bookmarkStart w:id="6" w:name="OLE_LINK30"/>
      <w:r w:rsidRPr="004669E0">
        <w:rPr>
          <w:sz w:val="24"/>
          <w:szCs w:val="24"/>
        </w:rPr>
        <w:t xml:space="preserve">empresa </w:t>
      </w:r>
      <w:r w:rsidRPr="004669E0">
        <w:rPr>
          <w:i/>
          <w:iCs/>
          <w:sz w:val="24"/>
          <w:szCs w:val="24"/>
        </w:rPr>
        <w:t xml:space="preserve">i </w:t>
      </w:r>
      <w:r w:rsidRPr="004669E0">
        <w:rPr>
          <w:sz w:val="24"/>
          <w:szCs w:val="24"/>
        </w:rPr>
        <w:t xml:space="preserve">do ano </w:t>
      </w:r>
      <w:r w:rsidRPr="004669E0">
        <w:rPr>
          <w:i/>
          <w:iCs/>
          <w:sz w:val="24"/>
          <w:szCs w:val="24"/>
        </w:rPr>
        <w:t xml:space="preserve">t-1 </w:t>
      </w:r>
      <w:r w:rsidRPr="004669E0">
        <w:rPr>
          <w:sz w:val="24"/>
          <w:szCs w:val="24"/>
        </w:rPr>
        <w:t xml:space="preserve">para o ano </w:t>
      </w:r>
      <w:r w:rsidRPr="004669E0">
        <w:rPr>
          <w:i/>
          <w:iCs/>
          <w:sz w:val="24"/>
          <w:szCs w:val="24"/>
        </w:rPr>
        <w:t>t</w:t>
      </w:r>
      <w:r w:rsidRPr="004669E0">
        <w:rPr>
          <w:sz w:val="24"/>
          <w:szCs w:val="24"/>
        </w:rPr>
        <w:t>;</w:t>
      </w:r>
      <w:bookmarkEnd w:id="6"/>
    </w:p>
    <w:p w:rsidR="004669E0" w:rsidRPr="004669E0" w:rsidRDefault="004669E0" w:rsidP="004669E0">
      <w:pPr>
        <w:autoSpaceDE w:val="0"/>
        <w:autoSpaceDN w:val="0"/>
        <w:adjustRightInd w:val="0"/>
        <w:jc w:val="both"/>
        <w:rPr>
          <w:i/>
          <w:sz w:val="24"/>
          <w:szCs w:val="24"/>
        </w:rPr>
      </w:pPr>
      <w:proofErr w:type="spellStart"/>
      <w:r w:rsidRPr="004669E0">
        <w:rPr>
          <w:iCs/>
          <w:sz w:val="24"/>
          <w:szCs w:val="24"/>
        </w:rPr>
        <w:t>Δ</w:t>
      </w:r>
      <w:proofErr w:type="gramStart"/>
      <w:r w:rsidRPr="004669E0">
        <w:rPr>
          <w:iCs/>
          <w:sz w:val="24"/>
          <w:szCs w:val="24"/>
        </w:rPr>
        <w:t>CR</w:t>
      </w:r>
      <w:r w:rsidRPr="004669E0">
        <w:rPr>
          <w:iCs/>
          <w:sz w:val="24"/>
          <w:szCs w:val="24"/>
          <w:vertAlign w:val="subscript"/>
        </w:rPr>
        <w:t>i,t</w:t>
      </w:r>
      <w:proofErr w:type="spellEnd"/>
      <w:proofErr w:type="gramEnd"/>
      <w:r w:rsidRPr="004669E0">
        <w:rPr>
          <w:i/>
          <w:iCs/>
          <w:sz w:val="24"/>
          <w:szCs w:val="24"/>
        </w:rPr>
        <w:t xml:space="preserve"> </w:t>
      </w:r>
      <w:r w:rsidRPr="004669E0">
        <w:rPr>
          <w:iCs/>
          <w:sz w:val="24"/>
          <w:szCs w:val="24"/>
        </w:rPr>
        <w:t xml:space="preserve">= Variação da conta duplicatas a receber (clientes) da empresa </w:t>
      </w:r>
      <w:r w:rsidRPr="004669E0">
        <w:rPr>
          <w:i/>
          <w:iCs/>
          <w:sz w:val="24"/>
          <w:szCs w:val="24"/>
        </w:rPr>
        <w:t xml:space="preserve">i </w:t>
      </w:r>
      <w:r w:rsidRPr="004669E0">
        <w:rPr>
          <w:sz w:val="24"/>
          <w:szCs w:val="24"/>
        </w:rPr>
        <w:t xml:space="preserve">do ano </w:t>
      </w:r>
      <w:r w:rsidRPr="004669E0">
        <w:rPr>
          <w:i/>
          <w:iCs/>
          <w:sz w:val="24"/>
          <w:szCs w:val="24"/>
        </w:rPr>
        <w:t xml:space="preserve">t-1 </w:t>
      </w:r>
      <w:r w:rsidRPr="004669E0">
        <w:rPr>
          <w:sz w:val="24"/>
          <w:szCs w:val="24"/>
        </w:rPr>
        <w:t xml:space="preserve">para o ano </w:t>
      </w:r>
      <w:r w:rsidRPr="004669E0">
        <w:rPr>
          <w:i/>
          <w:iCs/>
          <w:sz w:val="24"/>
          <w:szCs w:val="24"/>
        </w:rPr>
        <w:t>t</w:t>
      </w:r>
      <w:r w:rsidRPr="004669E0">
        <w:rPr>
          <w:sz w:val="24"/>
          <w:szCs w:val="24"/>
        </w:rPr>
        <w:t>;</w:t>
      </w:r>
    </w:p>
    <w:p w:rsidR="004669E0" w:rsidRPr="004669E0" w:rsidRDefault="004669E0" w:rsidP="004669E0">
      <w:pPr>
        <w:autoSpaceDE w:val="0"/>
        <w:autoSpaceDN w:val="0"/>
        <w:adjustRightInd w:val="0"/>
        <w:jc w:val="both"/>
        <w:rPr>
          <w:i/>
          <w:iCs/>
          <w:sz w:val="24"/>
          <w:szCs w:val="24"/>
        </w:rPr>
      </w:pPr>
      <w:proofErr w:type="spellStart"/>
      <w:proofErr w:type="gramStart"/>
      <w:r w:rsidRPr="004669E0">
        <w:rPr>
          <w:iCs/>
          <w:sz w:val="24"/>
          <w:szCs w:val="24"/>
        </w:rPr>
        <w:t>AP</w:t>
      </w:r>
      <w:r w:rsidRPr="004669E0">
        <w:rPr>
          <w:iCs/>
          <w:sz w:val="24"/>
          <w:szCs w:val="24"/>
          <w:vertAlign w:val="subscript"/>
        </w:rPr>
        <w:t>i,t</w:t>
      </w:r>
      <w:proofErr w:type="spellEnd"/>
      <w:proofErr w:type="gramEnd"/>
      <w:r w:rsidRPr="004669E0">
        <w:rPr>
          <w:iCs/>
          <w:sz w:val="24"/>
          <w:szCs w:val="24"/>
          <w:vertAlign w:val="subscript"/>
        </w:rPr>
        <w:t xml:space="preserve"> </w:t>
      </w:r>
      <w:r w:rsidRPr="004669E0">
        <w:rPr>
          <w:iCs/>
          <w:sz w:val="24"/>
          <w:szCs w:val="24"/>
        </w:rPr>
        <w:t>= Ativo imobilizado e diferido da empresa</w:t>
      </w:r>
      <w:r w:rsidRPr="004669E0">
        <w:rPr>
          <w:i/>
          <w:iCs/>
          <w:sz w:val="24"/>
          <w:szCs w:val="24"/>
        </w:rPr>
        <w:t xml:space="preserve"> i </w:t>
      </w:r>
      <w:r w:rsidRPr="004669E0">
        <w:rPr>
          <w:iCs/>
          <w:sz w:val="24"/>
          <w:szCs w:val="24"/>
        </w:rPr>
        <w:t xml:space="preserve">no ano </w:t>
      </w:r>
      <w:r w:rsidRPr="004669E0">
        <w:rPr>
          <w:i/>
          <w:iCs/>
          <w:sz w:val="24"/>
          <w:szCs w:val="24"/>
        </w:rPr>
        <w:t>t;</w:t>
      </w:r>
    </w:p>
    <w:bookmarkEnd w:id="5"/>
    <w:p w:rsidR="004669E0" w:rsidRPr="004669E0" w:rsidRDefault="004E4F73" w:rsidP="004669E0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>
        <w:rPr>
          <w:position w:val="-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4.25pt" equationxml="&lt;">
            <v:imagedata r:id="rId7" o:title="" chromakey="white"/>
          </v:shape>
        </w:pict>
      </w:r>
      <w:proofErr w:type="spellStart"/>
      <w:proofErr w:type="gramStart"/>
      <w:r w:rsidR="004669E0" w:rsidRPr="004669E0">
        <w:rPr>
          <w:iCs/>
          <w:sz w:val="24"/>
          <w:szCs w:val="24"/>
          <w:vertAlign w:val="subscript"/>
        </w:rPr>
        <w:t>i,t</w:t>
      </w:r>
      <w:proofErr w:type="spellEnd"/>
      <w:proofErr w:type="gramEnd"/>
      <w:r w:rsidR="004669E0" w:rsidRPr="004669E0">
        <w:rPr>
          <w:i/>
          <w:iCs/>
          <w:sz w:val="24"/>
          <w:szCs w:val="24"/>
        </w:rPr>
        <w:t xml:space="preserve"> </w:t>
      </w:r>
      <w:r w:rsidR="004669E0" w:rsidRPr="004669E0">
        <w:rPr>
          <w:sz w:val="24"/>
          <w:szCs w:val="24"/>
        </w:rPr>
        <w:t xml:space="preserve">= resíduo da regressão para a empresa </w:t>
      </w:r>
      <w:r w:rsidR="004669E0" w:rsidRPr="004669E0">
        <w:rPr>
          <w:i/>
          <w:sz w:val="24"/>
          <w:szCs w:val="24"/>
        </w:rPr>
        <w:t>i</w:t>
      </w:r>
      <w:r w:rsidR="004669E0" w:rsidRPr="004669E0">
        <w:rPr>
          <w:sz w:val="24"/>
          <w:szCs w:val="24"/>
        </w:rPr>
        <w:t xml:space="preserve"> no ano </w:t>
      </w:r>
      <w:r w:rsidR="004669E0" w:rsidRPr="004669E0">
        <w:rPr>
          <w:i/>
          <w:sz w:val="24"/>
          <w:szCs w:val="24"/>
        </w:rPr>
        <w:t>t</w:t>
      </w:r>
      <w:r w:rsidR="004669E0" w:rsidRPr="004669E0">
        <w:rPr>
          <w:iCs/>
          <w:sz w:val="24"/>
          <w:szCs w:val="24"/>
        </w:rPr>
        <w:t>;</w:t>
      </w:r>
    </w:p>
    <w:p w:rsidR="004669E0" w:rsidRPr="004669E0" w:rsidRDefault="004669E0" w:rsidP="004669E0">
      <w:pPr>
        <w:autoSpaceDE w:val="0"/>
        <w:autoSpaceDN w:val="0"/>
        <w:adjustRightInd w:val="0"/>
        <w:rPr>
          <w:i/>
          <w:iCs/>
          <w:sz w:val="24"/>
          <w:szCs w:val="24"/>
        </w:rPr>
      </w:pPr>
    </w:p>
    <w:p w:rsidR="004669E0" w:rsidRPr="004669E0" w:rsidRDefault="004669E0" w:rsidP="002942CF">
      <w:pPr>
        <w:ind w:firstLine="709"/>
        <w:jc w:val="both"/>
        <w:rPr>
          <w:sz w:val="24"/>
          <w:szCs w:val="24"/>
        </w:rPr>
      </w:pPr>
      <w:r w:rsidRPr="004669E0">
        <w:rPr>
          <w:sz w:val="24"/>
          <w:szCs w:val="24"/>
        </w:rPr>
        <w:t xml:space="preserve">No cálculo, ocorreu a ponderação das variáveis pelos ativos totais do início do período para evitar a influência do tamanho da empresa nos resultados. </w:t>
      </w:r>
      <w:r w:rsidRPr="004669E0">
        <w:rPr>
          <w:rFonts w:eastAsia="FFScala"/>
          <w:iCs/>
          <w:sz w:val="24"/>
          <w:szCs w:val="24"/>
        </w:rPr>
        <w:t xml:space="preserve">O modelo Jones Modificado é um dos mais utilizados nas pesquisas internacionais que já analisaram a influência da qualidade da auditoria no gerenciamento de resultados. Como exemplo de estudos similares que utilizaram o modelo Jones Modificado podem ser citados </w:t>
      </w:r>
      <w:r w:rsidRPr="004669E0">
        <w:rPr>
          <w:sz w:val="24"/>
          <w:szCs w:val="24"/>
        </w:rPr>
        <w:t xml:space="preserve">Azevedo e Costa (2012), Cunha et al. (2014), Badolato et al. (2014); </w:t>
      </w:r>
      <w:proofErr w:type="spellStart"/>
      <w:r w:rsidRPr="004669E0">
        <w:rPr>
          <w:sz w:val="24"/>
          <w:szCs w:val="24"/>
        </w:rPr>
        <w:t>Alzoubi</w:t>
      </w:r>
      <w:proofErr w:type="spellEnd"/>
      <w:r w:rsidRPr="004669E0">
        <w:rPr>
          <w:sz w:val="24"/>
          <w:szCs w:val="24"/>
        </w:rPr>
        <w:t xml:space="preserve"> (2017); </w:t>
      </w:r>
      <w:proofErr w:type="spellStart"/>
      <w:r w:rsidRPr="004669E0">
        <w:rPr>
          <w:sz w:val="24"/>
          <w:szCs w:val="24"/>
        </w:rPr>
        <w:t>Alhadab</w:t>
      </w:r>
      <w:proofErr w:type="spellEnd"/>
      <w:r w:rsidRPr="004669E0">
        <w:rPr>
          <w:sz w:val="24"/>
          <w:szCs w:val="24"/>
        </w:rPr>
        <w:t xml:space="preserve"> e </w:t>
      </w:r>
      <w:proofErr w:type="spellStart"/>
      <w:r w:rsidRPr="004669E0">
        <w:rPr>
          <w:sz w:val="24"/>
          <w:szCs w:val="24"/>
        </w:rPr>
        <w:t>Clacher</w:t>
      </w:r>
      <w:proofErr w:type="spellEnd"/>
      <w:r w:rsidRPr="004669E0">
        <w:rPr>
          <w:sz w:val="24"/>
          <w:szCs w:val="24"/>
        </w:rPr>
        <w:t xml:space="preserve"> (2017); </w:t>
      </w:r>
      <w:proofErr w:type="spellStart"/>
      <w:r w:rsidRPr="004669E0">
        <w:rPr>
          <w:sz w:val="24"/>
          <w:szCs w:val="24"/>
        </w:rPr>
        <w:t>Zalata</w:t>
      </w:r>
      <w:proofErr w:type="spellEnd"/>
      <w:r w:rsidRPr="004669E0">
        <w:rPr>
          <w:sz w:val="24"/>
          <w:szCs w:val="24"/>
        </w:rPr>
        <w:t xml:space="preserve"> et al. (2018).</w:t>
      </w:r>
    </w:p>
    <w:p w:rsidR="004669E0" w:rsidRPr="004669E0" w:rsidRDefault="004669E0" w:rsidP="002942CF">
      <w:pPr>
        <w:autoSpaceDE w:val="0"/>
        <w:autoSpaceDN w:val="0"/>
        <w:adjustRightInd w:val="0"/>
        <w:ind w:firstLine="709"/>
        <w:jc w:val="both"/>
        <w:rPr>
          <w:rFonts w:eastAsia="FFScala"/>
          <w:sz w:val="24"/>
          <w:szCs w:val="24"/>
        </w:rPr>
      </w:pPr>
      <w:r w:rsidRPr="004669E0">
        <w:rPr>
          <w:rFonts w:eastAsia="FFScala"/>
          <w:iCs/>
          <w:sz w:val="24"/>
          <w:szCs w:val="24"/>
        </w:rPr>
        <w:t xml:space="preserve">Como </w:t>
      </w:r>
      <w:r w:rsidRPr="004669E0">
        <w:rPr>
          <w:rFonts w:eastAsia="FFScala"/>
          <w:i/>
          <w:iCs/>
          <w:sz w:val="24"/>
          <w:szCs w:val="24"/>
        </w:rPr>
        <w:t>proxy</w:t>
      </w:r>
      <w:r w:rsidRPr="004669E0">
        <w:rPr>
          <w:rFonts w:eastAsia="FFScala"/>
          <w:iCs/>
          <w:sz w:val="24"/>
          <w:szCs w:val="24"/>
        </w:rPr>
        <w:t xml:space="preserve"> para auditoria foram utilizadas três variáveis: 1) </w:t>
      </w:r>
      <w:proofErr w:type="spellStart"/>
      <w:r w:rsidRPr="004669E0">
        <w:rPr>
          <w:rFonts w:eastAsia="FFScala"/>
          <w:i/>
          <w:iCs/>
          <w:sz w:val="24"/>
          <w:szCs w:val="24"/>
        </w:rPr>
        <w:t>dummy</w:t>
      </w:r>
      <w:proofErr w:type="spellEnd"/>
      <w:r w:rsidRPr="004669E0">
        <w:rPr>
          <w:rFonts w:eastAsia="FFScala"/>
          <w:iCs/>
          <w:sz w:val="24"/>
          <w:szCs w:val="24"/>
        </w:rPr>
        <w:t xml:space="preserve"> que recebeu valor 1 </w:t>
      </w:r>
      <w:r w:rsidRPr="004669E0">
        <w:rPr>
          <w:sz w:val="24"/>
          <w:szCs w:val="24"/>
        </w:rPr>
        <w:t xml:space="preserve">quando a companhia era auditada por </w:t>
      </w:r>
      <w:r w:rsidRPr="004669E0">
        <w:rPr>
          <w:i/>
          <w:sz w:val="24"/>
          <w:szCs w:val="24"/>
        </w:rPr>
        <w:t>big four</w:t>
      </w:r>
      <w:r w:rsidRPr="004669E0">
        <w:rPr>
          <w:rFonts w:eastAsia="FFScala"/>
          <w:iCs/>
          <w:sz w:val="24"/>
          <w:szCs w:val="24"/>
        </w:rPr>
        <w:t xml:space="preserve">; 2) </w:t>
      </w:r>
      <w:proofErr w:type="spellStart"/>
      <w:r w:rsidRPr="004669E0">
        <w:rPr>
          <w:rFonts w:eastAsia="FFScala"/>
          <w:i/>
          <w:iCs/>
          <w:sz w:val="24"/>
          <w:szCs w:val="24"/>
        </w:rPr>
        <w:t>dummy</w:t>
      </w:r>
      <w:proofErr w:type="spellEnd"/>
      <w:r w:rsidRPr="004669E0">
        <w:rPr>
          <w:rFonts w:eastAsia="FFScala"/>
          <w:iCs/>
          <w:sz w:val="24"/>
          <w:szCs w:val="24"/>
        </w:rPr>
        <w:t xml:space="preserve"> que recebeu valor 1 </w:t>
      </w:r>
      <w:r w:rsidRPr="004669E0">
        <w:rPr>
          <w:sz w:val="24"/>
          <w:szCs w:val="24"/>
        </w:rPr>
        <w:t>quando a companhia possuía comitê de auditoria; e, 3) tam</w:t>
      </w:r>
      <w:r w:rsidRPr="004669E0">
        <w:rPr>
          <w:rFonts w:eastAsia="FFScala"/>
          <w:iCs/>
          <w:sz w:val="24"/>
          <w:szCs w:val="24"/>
        </w:rPr>
        <w:t>anho do comitê de auditoria. A</w:t>
      </w:r>
      <w:r w:rsidRPr="004669E0">
        <w:rPr>
          <w:rFonts w:eastAsia="FFScala"/>
          <w:sz w:val="24"/>
          <w:szCs w:val="24"/>
        </w:rPr>
        <w:t>s variáveis e suas respectivas métricas estão apresentadas na Tabela 1:</w:t>
      </w:r>
    </w:p>
    <w:p w:rsidR="004669E0" w:rsidRPr="00DF1957" w:rsidRDefault="004669E0" w:rsidP="004669E0">
      <w:pPr>
        <w:autoSpaceDE w:val="0"/>
        <w:autoSpaceDN w:val="0"/>
        <w:adjustRightInd w:val="0"/>
        <w:ind w:firstLine="567"/>
        <w:jc w:val="both"/>
        <w:rPr>
          <w:rFonts w:eastAsia="FFScala"/>
          <w:iCs/>
        </w:rPr>
      </w:pPr>
    </w:p>
    <w:p w:rsidR="004669E0" w:rsidRPr="00DF1957" w:rsidRDefault="004669E0" w:rsidP="004669E0">
      <w:pPr>
        <w:autoSpaceDE w:val="0"/>
        <w:autoSpaceDN w:val="0"/>
        <w:adjustRightInd w:val="0"/>
        <w:rPr>
          <w:rFonts w:eastAsia="FFScala"/>
          <w:b/>
        </w:rPr>
      </w:pPr>
      <w:r w:rsidRPr="00DF1957">
        <w:rPr>
          <w:rFonts w:eastAsia="FFScala"/>
          <w:b/>
        </w:rPr>
        <w:t>Tabela 1</w:t>
      </w:r>
      <w:r w:rsidR="0074712C">
        <w:rPr>
          <w:rFonts w:eastAsia="FFScala"/>
          <w:b/>
        </w:rPr>
        <w:t>.</w:t>
      </w:r>
      <w:r w:rsidRPr="00DF1957">
        <w:rPr>
          <w:rFonts w:eastAsia="FFScala"/>
          <w:b/>
        </w:rPr>
        <w:t xml:space="preserve"> Variáveis para qualidade da auditoria do período de 2012 a 2016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2257"/>
        <w:gridCol w:w="2268"/>
        <w:gridCol w:w="2544"/>
      </w:tblGrid>
      <w:tr w:rsidR="004669E0" w:rsidRPr="00DF1957" w:rsidTr="0074712C">
        <w:tc>
          <w:tcPr>
            <w:tcW w:w="1101" w:type="pct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Variáveis</w:t>
            </w:r>
          </w:p>
        </w:tc>
        <w:tc>
          <w:tcPr>
            <w:tcW w:w="1245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tabs>
                <w:tab w:val="left" w:pos="1209"/>
              </w:tabs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Métricas</w:t>
            </w:r>
          </w:p>
        </w:tc>
        <w:tc>
          <w:tcPr>
            <w:tcW w:w="125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Fonte de dados</w:t>
            </w:r>
          </w:p>
        </w:tc>
        <w:tc>
          <w:tcPr>
            <w:tcW w:w="140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Autores de base</w:t>
            </w:r>
          </w:p>
        </w:tc>
      </w:tr>
      <w:tr w:rsidR="004669E0" w:rsidRPr="00DF1957" w:rsidTr="0074712C">
        <w:trPr>
          <w:cantSplit/>
          <w:trHeight w:val="691"/>
        </w:trPr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  <w:rPr>
                <w:bCs/>
                <w:lang w:val="en-US"/>
              </w:rPr>
            </w:pPr>
            <w:r w:rsidRPr="00DF1957">
              <w:rPr>
                <w:bCs/>
                <w:lang w:val="en-US"/>
              </w:rPr>
              <w:t>Auditoria por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  <w:i/>
                <w:lang w:val="en-US"/>
              </w:rPr>
            </w:pPr>
            <w:r w:rsidRPr="00DF1957">
              <w:rPr>
                <w:bCs/>
                <w:i/>
                <w:lang w:val="en-US"/>
              </w:rPr>
              <w:t>big four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  <w:lang w:val="en-US"/>
              </w:rPr>
            </w:pPr>
            <w:r w:rsidRPr="00DF1957">
              <w:rPr>
                <w:bCs/>
                <w:lang w:val="en-US"/>
              </w:rPr>
              <w:t>(</w:t>
            </w:r>
            <w:proofErr w:type="spellStart"/>
            <w:r w:rsidRPr="00DF1957">
              <w:rPr>
                <w:bCs/>
                <w:i/>
                <w:lang w:val="en-US"/>
              </w:rPr>
              <w:t>Bigfour</w:t>
            </w:r>
            <w:proofErr w:type="spellEnd"/>
            <w:r w:rsidRPr="00DF1957">
              <w:rPr>
                <w:bCs/>
                <w:lang w:val="en-US"/>
              </w:rPr>
              <w:t>)</w:t>
            </w:r>
          </w:p>
        </w:tc>
        <w:tc>
          <w:tcPr>
            <w:tcW w:w="12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A companhia era</w:t>
            </w:r>
          </w:p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 xml:space="preserve">auditada por </w:t>
            </w:r>
            <w:r w:rsidRPr="00DF1957">
              <w:rPr>
                <w:i/>
              </w:rPr>
              <w:t>big four</w:t>
            </w:r>
            <w:r w:rsidRPr="00DF1957">
              <w:t>:</w:t>
            </w:r>
          </w:p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Sim = 1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t>Não = 0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Formulário de Referência: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t>Seção 2 – Auditores independentes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69E0" w:rsidRPr="00DF1957" w:rsidRDefault="004669E0" w:rsidP="004669E0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272FE5">
              <w:rPr>
                <w:lang w:val="es-ES"/>
              </w:rPr>
              <w:t>Martinez</w:t>
            </w:r>
            <w:proofErr w:type="spellEnd"/>
            <w:r w:rsidRPr="00272FE5">
              <w:rPr>
                <w:lang w:val="es-ES"/>
              </w:rPr>
              <w:t xml:space="preserve"> (2011); Santana et al. (2014); Silva et al. </w:t>
            </w:r>
            <w:r w:rsidRPr="00DF1957">
              <w:t xml:space="preserve">(2014); </w:t>
            </w:r>
            <w:proofErr w:type="spellStart"/>
            <w:r w:rsidRPr="00DF1957">
              <w:t>Huguet</w:t>
            </w:r>
            <w:proofErr w:type="spellEnd"/>
            <w:r w:rsidRPr="00DF1957">
              <w:t xml:space="preserve"> &amp; </w:t>
            </w:r>
            <w:proofErr w:type="spellStart"/>
            <w:r w:rsidRPr="00DF1957">
              <w:t>Gandía</w:t>
            </w:r>
            <w:proofErr w:type="spellEnd"/>
            <w:r w:rsidRPr="00DF1957">
              <w:t xml:space="preserve"> (2016); </w:t>
            </w:r>
            <w:proofErr w:type="spellStart"/>
            <w:r w:rsidRPr="00DF1957">
              <w:t>Alzoubi</w:t>
            </w:r>
            <w:proofErr w:type="spellEnd"/>
            <w:r w:rsidRPr="00DF1957">
              <w:t xml:space="preserve"> (2017); </w:t>
            </w:r>
            <w:proofErr w:type="spellStart"/>
            <w:r w:rsidRPr="00DF1957">
              <w:t>Alhadab</w:t>
            </w:r>
            <w:proofErr w:type="spellEnd"/>
            <w:r w:rsidRPr="00DF1957">
              <w:t xml:space="preserve"> &amp; </w:t>
            </w:r>
            <w:proofErr w:type="spellStart"/>
            <w:r w:rsidRPr="00DF1957">
              <w:t>Clacher</w:t>
            </w:r>
            <w:proofErr w:type="spellEnd"/>
            <w:r w:rsidRPr="00DF1957">
              <w:t xml:space="preserve"> (2017); </w:t>
            </w:r>
            <w:proofErr w:type="spellStart"/>
            <w:r w:rsidRPr="00DF1957">
              <w:t>Zalata</w:t>
            </w:r>
            <w:proofErr w:type="spellEnd"/>
            <w:r w:rsidRPr="00DF1957">
              <w:t xml:space="preserve"> et al. (2018)</w:t>
            </w:r>
          </w:p>
        </w:tc>
      </w:tr>
      <w:tr w:rsidR="004669E0" w:rsidRPr="00272FE5" w:rsidTr="0074712C">
        <w:trPr>
          <w:trHeight w:val="202"/>
        </w:trPr>
        <w:tc>
          <w:tcPr>
            <w:tcW w:w="1101" w:type="pct"/>
            <w:tcBorders>
              <w:left w:val="nil"/>
              <w:bottom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rPr>
                <w:bCs/>
              </w:rPr>
              <w:t>Comitê de auditoria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rPr>
                <w:bCs/>
              </w:rPr>
              <w:t>(</w:t>
            </w:r>
            <w:proofErr w:type="spellStart"/>
            <w:r w:rsidRPr="00DF1957">
              <w:rPr>
                <w:bCs/>
              </w:rPr>
              <w:t>ComiteAudit</w:t>
            </w:r>
            <w:proofErr w:type="spellEnd"/>
            <w:r w:rsidRPr="00DF1957">
              <w:rPr>
                <w:bCs/>
              </w:rPr>
              <w:t>)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A companhia possuía</w:t>
            </w:r>
          </w:p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comitê de auditoria:</w:t>
            </w:r>
          </w:p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Sim = 1</w:t>
            </w:r>
          </w:p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Não = 0</w:t>
            </w:r>
          </w:p>
        </w:tc>
        <w:tc>
          <w:tcPr>
            <w:tcW w:w="1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Formulário de Referência:</w:t>
            </w:r>
          </w:p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Seção 12.7 – Composição dos comitês</w:t>
            </w:r>
          </w:p>
        </w:tc>
        <w:tc>
          <w:tcPr>
            <w:tcW w:w="1403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69E0" w:rsidRPr="00272FE5" w:rsidRDefault="004669E0" w:rsidP="004669E0">
            <w:pPr>
              <w:autoSpaceDE w:val="0"/>
              <w:autoSpaceDN w:val="0"/>
              <w:adjustRightInd w:val="0"/>
              <w:jc w:val="center"/>
              <w:rPr>
                <w:lang w:val="es-ES"/>
              </w:rPr>
            </w:pPr>
            <w:proofErr w:type="spellStart"/>
            <w:r w:rsidRPr="00272FE5">
              <w:rPr>
                <w:lang w:val="es-ES"/>
              </w:rPr>
              <w:t>Badolato</w:t>
            </w:r>
            <w:proofErr w:type="spellEnd"/>
            <w:r w:rsidRPr="00272FE5">
              <w:rPr>
                <w:lang w:val="es-ES"/>
              </w:rPr>
              <w:t xml:space="preserve"> et al. (2014); Cunha et al. (2014); Silva et al. (</w:t>
            </w:r>
            <w:proofErr w:type="gramStart"/>
            <w:r w:rsidRPr="00272FE5">
              <w:rPr>
                <w:lang w:val="es-ES"/>
              </w:rPr>
              <w:t>2014)</w:t>
            </w:r>
            <w:proofErr w:type="spellStart"/>
            <w:r w:rsidRPr="00272FE5">
              <w:rPr>
                <w:lang w:val="es-ES"/>
              </w:rPr>
              <w:t>Alzoubi</w:t>
            </w:r>
            <w:proofErr w:type="spellEnd"/>
            <w:proofErr w:type="gramEnd"/>
            <w:r w:rsidRPr="00272FE5">
              <w:rPr>
                <w:lang w:val="es-ES"/>
              </w:rPr>
              <w:t xml:space="preserve"> (2017); </w:t>
            </w:r>
          </w:p>
          <w:p w:rsidR="004669E0" w:rsidRPr="00272FE5" w:rsidRDefault="004669E0" w:rsidP="004669E0">
            <w:pPr>
              <w:autoSpaceDE w:val="0"/>
              <w:autoSpaceDN w:val="0"/>
              <w:adjustRightInd w:val="0"/>
              <w:jc w:val="center"/>
              <w:rPr>
                <w:lang w:val="es-ES"/>
              </w:rPr>
            </w:pPr>
            <w:proofErr w:type="spellStart"/>
            <w:r w:rsidRPr="00272FE5">
              <w:rPr>
                <w:lang w:val="es-ES"/>
              </w:rPr>
              <w:t>Zalata</w:t>
            </w:r>
            <w:proofErr w:type="spellEnd"/>
            <w:r w:rsidRPr="00272FE5">
              <w:rPr>
                <w:lang w:val="es-ES"/>
              </w:rPr>
              <w:t xml:space="preserve"> et al. (2018)</w:t>
            </w:r>
          </w:p>
        </w:tc>
      </w:tr>
      <w:tr w:rsidR="004669E0" w:rsidRPr="00272FE5" w:rsidTr="0074712C">
        <w:trPr>
          <w:trHeight w:val="202"/>
        </w:trPr>
        <w:tc>
          <w:tcPr>
            <w:tcW w:w="1101" w:type="pct"/>
            <w:tcBorders>
              <w:left w:val="nil"/>
              <w:bottom w:val="single" w:sz="18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rPr>
                <w:bCs/>
              </w:rPr>
              <w:t>Tamanho do comitê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rPr>
                <w:bCs/>
              </w:rPr>
              <w:t>de auditoria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rPr>
                <w:bCs/>
              </w:rPr>
              <w:t>(</w:t>
            </w:r>
            <w:proofErr w:type="spellStart"/>
            <w:r w:rsidRPr="00DF1957">
              <w:rPr>
                <w:bCs/>
              </w:rPr>
              <w:t>Tam_ComiteAudit</w:t>
            </w:r>
            <w:proofErr w:type="spellEnd"/>
            <w:r w:rsidRPr="00DF1957">
              <w:rPr>
                <w:bCs/>
              </w:rPr>
              <w:t>)</w:t>
            </w:r>
          </w:p>
        </w:tc>
        <w:tc>
          <w:tcPr>
            <w:tcW w:w="1245" w:type="pct"/>
            <w:tcBorders>
              <w:bottom w:val="single" w:sz="18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Número total de membros atuantes no comitê de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t>auditoria</w:t>
            </w:r>
          </w:p>
        </w:tc>
        <w:tc>
          <w:tcPr>
            <w:tcW w:w="1251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widowControl w:val="0"/>
              <w:jc w:val="center"/>
            </w:pPr>
            <w:r w:rsidRPr="00DF1957">
              <w:t>Formulário de Referência:</w:t>
            </w:r>
          </w:p>
          <w:p w:rsidR="004669E0" w:rsidRPr="00DF1957" w:rsidRDefault="004669E0" w:rsidP="004669E0">
            <w:pPr>
              <w:widowControl w:val="0"/>
              <w:jc w:val="center"/>
              <w:rPr>
                <w:bCs/>
              </w:rPr>
            </w:pPr>
            <w:r w:rsidRPr="00DF1957">
              <w:t>Seção 12.7 – Composição dos comitês</w:t>
            </w:r>
          </w:p>
        </w:tc>
        <w:tc>
          <w:tcPr>
            <w:tcW w:w="1403" w:type="pct"/>
            <w:tcBorders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4669E0" w:rsidRPr="00272FE5" w:rsidRDefault="004669E0" w:rsidP="004669E0">
            <w:pPr>
              <w:jc w:val="center"/>
              <w:rPr>
                <w:lang w:val="es-ES"/>
              </w:rPr>
            </w:pPr>
            <w:proofErr w:type="spellStart"/>
            <w:r w:rsidRPr="00272FE5">
              <w:rPr>
                <w:lang w:val="es-ES"/>
              </w:rPr>
              <w:t>Badolato</w:t>
            </w:r>
            <w:proofErr w:type="spellEnd"/>
            <w:r w:rsidRPr="00272FE5">
              <w:rPr>
                <w:lang w:val="es-ES"/>
              </w:rPr>
              <w:t xml:space="preserve"> et al. (2014); Cunha et al. (2014); </w:t>
            </w:r>
            <w:proofErr w:type="spellStart"/>
            <w:r w:rsidRPr="00272FE5">
              <w:rPr>
                <w:lang w:val="es-ES"/>
              </w:rPr>
              <w:t>Miko</w:t>
            </w:r>
            <w:proofErr w:type="spellEnd"/>
            <w:r w:rsidRPr="00272FE5">
              <w:rPr>
                <w:lang w:val="es-ES"/>
              </w:rPr>
              <w:t xml:space="preserve"> &amp; </w:t>
            </w:r>
            <w:proofErr w:type="spellStart"/>
            <w:r w:rsidRPr="00272FE5">
              <w:rPr>
                <w:lang w:val="es-ES"/>
              </w:rPr>
              <w:t>Kamardin</w:t>
            </w:r>
            <w:proofErr w:type="spellEnd"/>
            <w:r w:rsidRPr="00272FE5">
              <w:rPr>
                <w:lang w:val="es-ES"/>
              </w:rPr>
              <w:t xml:space="preserve"> (2015); </w:t>
            </w:r>
          </w:p>
          <w:p w:rsidR="004669E0" w:rsidRPr="00272FE5" w:rsidRDefault="004669E0" w:rsidP="004669E0">
            <w:pPr>
              <w:jc w:val="center"/>
              <w:rPr>
                <w:bCs/>
                <w:lang w:val="es-ES"/>
              </w:rPr>
            </w:pPr>
            <w:proofErr w:type="spellStart"/>
            <w:r w:rsidRPr="00272FE5">
              <w:rPr>
                <w:lang w:val="es-ES"/>
              </w:rPr>
              <w:t>Zalata</w:t>
            </w:r>
            <w:proofErr w:type="spellEnd"/>
            <w:r w:rsidRPr="00272FE5">
              <w:rPr>
                <w:lang w:val="es-ES"/>
              </w:rPr>
              <w:t xml:space="preserve"> et al. (2018)</w:t>
            </w:r>
          </w:p>
        </w:tc>
      </w:tr>
    </w:tbl>
    <w:p w:rsidR="004669E0" w:rsidRPr="00DF1957" w:rsidRDefault="004669E0" w:rsidP="004669E0">
      <w:pPr>
        <w:widowControl w:val="0"/>
      </w:pPr>
      <w:r w:rsidRPr="00DF1957">
        <w:t>Fonte: elaborad</w:t>
      </w:r>
      <w:r w:rsidR="00C703C0">
        <w:t>a</w:t>
      </w:r>
      <w:r w:rsidRPr="00DF1957">
        <w:t xml:space="preserve"> pelos autores.</w:t>
      </w:r>
    </w:p>
    <w:p w:rsidR="004669E0" w:rsidRPr="00C703C0" w:rsidRDefault="004669E0" w:rsidP="002942CF">
      <w:pPr>
        <w:ind w:firstLine="709"/>
        <w:jc w:val="both"/>
        <w:rPr>
          <w:sz w:val="24"/>
          <w:szCs w:val="24"/>
          <w:shd w:val="clear" w:color="auto" w:fill="FFFFFF"/>
        </w:rPr>
      </w:pPr>
      <w:r w:rsidRPr="00C703C0">
        <w:rPr>
          <w:sz w:val="24"/>
          <w:szCs w:val="24"/>
        </w:rPr>
        <w:lastRenderedPageBreak/>
        <w:t>É importante destacar que os dados referentes a auditoria foram coletados manualmente, em cada ano, para cada empresa da amostra, nos Formulários de Referência, na Seção 2 – Auditores independentes e na Seção 12.7 – Composição dos comitês.</w:t>
      </w:r>
    </w:p>
    <w:p w:rsidR="004669E0" w:rsidRPr="00C703C0" w:rsidRDefault="004669E0" w:rsidP="002942CF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Por fim, foram coletados os dados das variáveis de controle, que também podem influenciar no gerenciamento de resultados, conforme Tabela 2: </w:t>
      </w:r>
    </w:p>
    <w:p w:rsidR="004669E0" w:rsidRDefault="004669E0" w:rsidP="004669E0">
      <w:pPr>
        <w:autoSpaceDE w:val="0"/>
        <w:autoSpaceDN w:val="0"/>
        <w:adjustRightInd w:val="0"/>
        <w:jc w:val="both"/>
        <w:rPr>
          <w:rFonts w:eastAsia="Calibri"/>
          <w:b/>
          <w:bCs/>
        </w:rPr>
      </w:pPr>
    </w:p>
    <w:p w:rsidR="004669E0" w:rsidRPr="00DF1957" w:rsidRDefault="004669E0" w:rsidP="004669E0">
      <w:pPr>
        <w:pStyle w:val="Default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DF1957">
        <w:rPr>
          <w:rFonts w:ascii="Times New Roman" w:hAnsi="Times New Roman" w:cs="Times New Roman"/>
          <w:b/>
          <w:bCs/>
          <w:color w:val="auto"/>
          <w:sz w:val="20"/>
          <w:szCs w:val="20"/>
        </w:rPr>
        <w:t>Tabela 2</w:t>
      </w:r>
      <w:r w:rsidR="0074712C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DF195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Variáveis de controle da pesquisa</w:t>
      </w:r>
      <w:r w:rsidRPr="00DF195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do período de 2012 a 2016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690"/>
        <w:gridCol w:w="1701"/>
        <w:gridCol w:w="3256"/>
      </w:tblGrid>
      <w:tr w:rsidR="004669E0" w:rsidRPr="00DF1957" w:rsidTr="004669E0">
        <w:trPr>
          <w:trHeight w:val="50"/>
          <w:jc w:val="center"/>
        </w:trPr>
        <w:tc>
          <w:tcPr>
            <w:tcW w:w="782" w:type="pct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bookmarkStart w:id="7" w:name="RANGE!A1"/>
            <w:bookmarkStart w:id="8" w:name="_Hlk336287577" w:colFirst="2" w:colLast="4"/>
            <w:r w:rsidRPr="00DF1957">
              <w:rPr>
                <w:b/>
                <w:bCs/>
              </w:rPr>
              <w:t>Variáveis</w:t>
            </w:r>
            <w:bookmarkEnd w:id="7"/>
            <w:r w:rsidRPr="00DF1957">
              <w:rPr>
                <w:b/>
                <w:bCs/>
              </w:rPr>
              <w:t xml:space="preserve"> de controle</w:t>
            </w:r>
          </w:p>
        </w:tc>
        <w:tc>
          <w:tcPr>
            <w:tcW w:w="148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Descrição</w:t>
            </w:r>
          </w:p>
        </w:tc>
        <w:tc>
          <w:tcPr>
            <w:tcW w:w="938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Fonte de dados</w:t>
            </w:r>
          </w:p>
        </w:tc>
        <w:tc>
          <w:tcPr>
            <w:tcW w:w="1796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Autores de base</w:t>
            </w:r>
          </w:p>
        </w:tc>
      </w:tr>
      <w:tr w:rsidR="004669E0" w:rsidRPr="00DF1957" w:rsidTr="004669E0">
        <w:trPr>
          <w:trHeight w:val="50"/>
          <w:jc w:val="center"/>
        </w:trPr>
        <w:tc>
          <w:tcPr>
            <w:tcW w:w="782" w:type="pct"/>
            <w:vMerge/>
            <w:tcBorders>
              <w:top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</w:p>
        </w:tc>
        <w:tc>
          <w:tcPr>
            <w:tcW w:w="1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Como calcular</w:t>
            </w:r>
          </w:p>
        </w:tc>
        <w:tc>
          <w:tcPr>
            <w:tcW w:w="938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</w:p>
        </w:tc>
        <w:tc>
          <w:tcPr>
            <w:tcW w:w="179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</w:p>
        </w:tc>
      </w:tr>
      <w:tr w:rsidR="004669E0" w:rsidRPr="00DF1957" w:rsidTr="004669E0">
        <w:trPr>
          <w:trHeight w:val="508"/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>Endividamento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>(Passivo circulante + Passivo não circulante) / Ativo total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F1957">
              <w:rPr>
                <w:bCs/>
              </w:rPr>
              <w:t xml:space="preserve">Banco de dados </w:t>
            </w:r>
            <w:proofErr w:type="spellStart"/>
            <w:r w:rsidRPr="00DF1957">
              <w:rPr>
                <w:bCs/>
              </w:rPr>
              <w:t>Economática</w:t>
            </w:r>
            <w:proofErr w:type="spellEnd"/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 xml:space="preserve">Cunha et al. (2014); </w:t>
            </w:r>
            <w:proofErr w:type="spellStart"/>
            <w:r w:rsidRPr="00DF1957">
              <w:t>Huguet</w:t>
            </w:r>
            <w:proofErr w:type="spellEnd"/>
            <w:r w:rsidRPr="00DF1957">
              <w:t xml:space="preserve"> &amp; </w:t>
            </w:r>
            <w:proofErr w:type="spellStart"/>
            <w:r w:rsidRPr="00DF1957">
              <w:t>Gandía</w:t>
            </w:r>
            <w:proofErr w:type="spellEnd"/>
            <w:r w:rsidRPr="00DF1957">
              <w:t xml:space="preserve"> (2016); </w:t>
            </w:r>
            <w:proofErr w:type="spellStart"/>
            <w:r w:rsidRPr="00DF1957">
              <w:t>Alzoubi</w:t>
            </w:r>
            <w:proofErr w:type="spellEnd"/>
            <w:r w:rsidRPr="00DF1957">
              <w:t xml:space="preserve"> (2017); </w:t>
            </w:r>
            <w:proofErr w:type="spellStart"/>
            <w:r w:rsidRPr="00DF1957">
              <w:t>Alhadab</w:t>
            </w:r>
            <w:proofErr w:type="spellEnd"/>
            <w:r w:rsidRPr="00DF1957">
              <w:t xml:space="preserve"> &amp; </w:t>
            </w:r>
            <w:proofErr w:type="spellStart"/>
            <w:r w:rsidRPr="00DF1957">
              <w:t>Clacher</w:t>
            </w:r>
            <w:proofErr w:type="spellEnd"/>
            <w:r w:rsidRPr="00DF1957">
              <w:t xml:space="preserve"> (2017</w:t>
            </w:r>
            <w:proofErr w:type="gramStart"/>
            <w:r w:rsidRPr="00DF1957">
              <w:t xml:space="preserve">); </w:t>
            </w:r>
            <w:r>
              <w:t xml:space="preserve"> </w:t>
            </w:r>
            <w:proofErr w:type="spellStart"/>
            <w:r w:rsidRPr="00DF1957">
              <w:t>Zalata</w:t>
            </w:r>
            <w:proofErr w:type="spellEnd"/>
            <w:proofErr w:type="gramEnd"/>
            <w:r w:rsidRPr="00DF1957">
              <w:t xml:space="preserve"> et al. (2018)</w:t>
            </w:r>
          </w:p>
        </w:tc>
      </w:tr>
      <w:tr w:rsidR="004669E0" w:rsidRPr="00DF1957" w:rsidTr="004669E0">
        <w:trPr>
          <w:trHeight w:val="521"/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>Tamanho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>Logaritmo neperiano do</w:t>
            </w:r>
          </w:p>
          <w:p w:rsidR="004669E0" w:rsidRPr="00DF1957" w:rsidRDefault="004669E0" w:rsidP="004669E0">
            <w:pPr>
              <w:jc w:val="center"/>
              <w:rPr>
                <w:u w:val="single"/>
              </w:rPr>
            </w:pPr>
            <w:r w:rsidRPr="00DF1957">
              <w:t>ativo total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F1957">
              <w:rPr>
                <w:bCs/>
              </w:rPr>
              <w:t xml:space="preserve">Banco de dados </w:t>
            </w:r>
            <w:proofErr w:type="spellStart"/>
            <w:r w:rsidRPr="00DF1957">
              <w:rPr>
                <w:bCs/>
              </w:rPr>
              <w:t>Economática</w:t>
            </w:r>
            <w:proofErr w:type="spellEnd"/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 xml:space="preserve">Cunha et al. (2014); </w:t>
            </w:r>
            <w:proofErr w:type="spellStart"/>
            <w:r w:rsidRPr="00DF1957">
              <w:t>Alzoubi</w:t>
            </w:r>
            <w:proofErr w:type="spellEnd"/>
            <w:r w:rsidRPr="00DF1957">
              <w:t xml:space="preserve"> (2017); </w:t>
            </w:r>
            <w:proofErr w:type="spellStart"/>
            <w:r w:rsidRPr="00DF1957">
              <w:t>Alhadab</w:t>
            </w:r>
            <w:proofErr w:type="spellEnd"/>
            <w:r w:rsidRPr="00DF1957">
              <w:t xml:space="preserve"> &amp; </w:t>
            </w:r>
            <w:proofErr w:type="spellStart"/>
            <w:r w:rsidRPr="00DF1957">
              <w:t>Clacher</w:t>
            </w:r>
            <w:proofErr w:type="spellEnd"/>
            <w:r w:rsidRPr="00DF1957">
              <w:t xml:space="preserve"> (2017); </w:t>
            </w:r>
            <w:proofErr w:type="spellStart"/>
            <w:r w:rsidRPr="00DF1957">
              <w:t>Zalata</w:t>
            </w:r>
            <w:proofErr w:type="spellEnd"/>
            <w:r w:rsidRPr="00DF1957">
              <w:t xml:space="preserve"> et al. (2018)</w:t>
            </w:r>
          </w:p>
        </w:tc>
      </w:tr>
      <w:tr w:rsidR="004669E0" w:rsidRPr="00DF1957" w:rsidTr="004669E0">
        <w:trPr>
          <w:trHeight w:val="180"/>
          <w:jc w:val="center"/>
        </w:trPr>
        <w:tc>
          <w:tcPr>
            <w:tcW w:w="78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>Crescimento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 xml:space="preserve">Média de crescimento </w:t>
            </w:r>
          </w:p>
          <w:p w:rsidR="004669E0" w:rsidRPr="00DF1957" w:rsidRDefault="004669E0" w:rsidP="004669E0">
            <w:pPr>
              <w:jc w:val="center"/>
            </w:pPr>
            <w:r w:rsidRPr="00DF1957">
              <w:t xml:space="preserve">das vendas dos últimos </w:t>
            </w:r>
          </w:p>
          <w:p w:rsidR="004669E0" w:rsidRPr="00DF1957" w:rsidRDefault="004669E0" w:rsidP="004669E0">
            <w:pPr>
              <w:jc w:val="center"/>
            </w:pPr>
            <w:r w:rsidRPr="00DF1957">
              <w:t>três anos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  <w:rPr>
                <w:bCs/>
              </w:rPr>
            </w:pPr>
            <w:r w:rsidRPr="00DF1957">
              <w:rPr>
                <w:bCs/>
              </w:rPr>
              <w:t xml:space="preserve">Banco de dados </w:t>
            </w:r>
            <w:proofErr w:type="spellStart"/>
            <w:r w:rsidRPr="00DF1957">
              <w:rPr>
                <w:bCs/>
              </w:rPr>
              <w:t>Economática</w:t>
            </w:r>
            <w:proofErr w:type="spellEnd"/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proofErr w:type="spellStart"/>
            <w:r w:rsidRPr="00272FE5">
              <w:rPr>
                <w:lang w:val="es-ES"/>
              </w:rPr>
              <w:t>Badolato</w:t>
            </w:r>
            <w:proofErr w:type="spellEnd"/>
            <w:r w:rsidRPr="00272FE5">
              <w:rPr>
                <w:lang w:val="es-ES"/>
              </w:rPr>
              <w:t xml:space="preserve"> et al. (2014); Huguet &amp; Gandía (2016); </w:t>
            </w:r>
            <w:proofErr w:type="spellStart"/>
            <w:r w:rsidRPr="00272FE5">
              <w:rPr>
                <w:lang w:val="es-ES"/>
              </w:rPr>
              <w:t>Alzoubi</w:t>
            </w:r>
            <w:proofErr w:type="spellEnd"/>
            <w:r w:rsidRPr="00272FE5">
              <w:rPr>
                <w:lang w:val="es-ES"/>
              </w:rPr>
              <w:t xml:space="preserve"> (2017); </w:t>
            </w:r>
            <w:proofErr w:type="spellStart"/>
            <w:r w:rsidRPr="00272FE5">
              <w:rPr>
                <w:lang w:val="es-ES"/>
              </w:rPr>
              <w:t>Alhadab</w:t>
            </w:r>
            <w:proofErr w:type="spellEnd"/>
            <w:r w:rsidRPr="00272FE5">
              <w:rPr>
                <w:lang w:val="es-ES"/>
              </w:rPr>
              <w:t xml:space="preserve"> &amp; </w:t>
            </w:r>
            <w:proofErr w:type="spellStart"/>
            <w:r w:rsidRPr="00272FE5">
              <w:rPr>
                <w:lang w:val="es-ES"/>
              </w:rPr>
              <w:t>Clacher</w:t>
            </w:r>
            <w:proofErr w:type="spellEnd"/>
            <w:r w:rsidRPr="00272FE5">
              <w:rPr>
                <w:lang w:val="es-ES"/>
              </w:rPr>
              <w:t xml:space="preserve"> (2017); </w:t>
            </w:r>
            <w:proofErr w:type="spellStart"/>
            <w:r w:rsidRPr="00272FE5">
              <w:rPr>
                <w:lang w:val="es-ES"/>
              </w:rPr>
              <w:t>Zalata</w:t>
            </w:r>
            <w:proofErr w:type="spellEnd"/>
            <w:r w:rsidRPr="00272FE5">
              <w:rPr>
                <w:lang w:val="es-ES"/>
              </w:rPr>
              <w:t xml:space="preserve"> et al. </w:t>
            </w:r>
            <w:r w:rsidRPr="00DF1957">
              <w:t>(2018)</w:t>
            </w:r>
          </w:p>
        </w:tc>
      </w:tr>
      <w:bookmarkEnd w:id="8"/>
      <w:tr w:rsidR="004669E0" w:rsidRPr="00DF1957" w:rsidTr="004669E0">
        <w:trPr>
          <w:trHeight w:val="125"/>
          <w:jc w:val="center"/>
        </w:trPr>
        <w:tc>
          <w:tcPr>
            <w:tcW w:w="782" w:type="pct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>Desempenho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r w:rsidRPr="00DF1957">
              <w:t>ROA</w:t>
            </w:r>
          </w:p>
          <w:p w:rsidR="004669E0" w:rsidRPr="00DF1957" w:rsidRDefault="004669E0" w:rsidP="004669E0">
            <w:pPr>
              <w:jc w:val="center"/>
            </w:pPr>
            <w:r w:rsidRPr="00DF1957">
              <w:t>(Lucro líquido / Ativo total)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  <w:rPr>
                <w:bCs/>
              </w:rPr>
            </w:pPr>
            <w:r w:rsidRPr="00DF1957">
              <w:rPr>
                <w:bCs/>
              </w:rPr>
              <w:t xml:space="preserve">Banco de dados </w:t>
            </w:r>
            <w:proofErr w:type="spellStart"/>
            <w:r w:rsidRPr="00DF1957">
              <w:rPr>
                <w:bCs/>
              </w:rPr>
              <w:t>Economática</w:t>
            </w:r>
            <w:proofErr w:type="spellEnd"/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669E0" w:rsidRPr="00DF1957" w:rsidRDefault="004669E0" w:rsidP="004669E0">
            <w:pPr>
              <w:jc w:val="center"/>
            </w:pPr>
            <w:proofErr w:type="spellStart"/>
            <w:r w:rsidRPr="00DF1957">
              <w:t>Huguet</w:t>
            </w:r>
            <w:proofErr w:type="spellEnd"/>
            <w:r w:rsidRPr="00DF1957">
              <w:t xml:space="preserve"> &amp; </w:t>
            </w:r>
            <w:proofErr w:type="spellStart"/>
            <w:r w:rsidRPr="00DF1957">
              <w:t>Gandía</w:t>
            </w:r>
            <w:proofErr w:type="spellEnd"/>
            <w:r w:rsidRPr="00DF1957">
              <w:t xml:space="preserve"> (2016); </w:t>
            </w:r>
            <w:proofErr w:type="spellStart"/>
            <w:r w:rsidRPr="00DF1957">
              <w:t>Alzoubi</w:t>
            </w:r>
            <w:proofErr w:type="spellEnd"/>
            <w:r w:rsidRPr="00DF1957">
              <w:t xml:space="preserve"> (2017); </w:t>
            </w:r>
            <w:proofErr w:type="spellStart"/>
            <w:r w:rsidRPr="00DF1957">
              <w:t>Alhadab</w:t>
            </w:r>
            <w:proofErr w:type="spellEnd"/>
            <w:r w:rsidRPr="00DF1957">
              <w:t xml:space="preserve"> &amp; </w:t>
            </w:r>
            <w:proofErr w:type="spellStart"/>
            <w:r w:rsidRPr="00DF1957">
              <w:t>Clacher</w:t>
            </w:r>
            <w:proofErr w:type="spellEnd"/>
            <w:r w:rsidRPr="00DF1957">
              <w:t xml:space="preserve"> (2017); </w:t>
            </w:r>
            <w:proofErr w:type="spellStart"/>
            <w:r w:rsidRPr="00DF1957">
              <w:t>Zalata</w:t>
            </w:r>
            <w:proofErr w:type="spellEnd"/>
            <w:r w:rsidRPr="00DF1957">
              <w:t xml:space="preserve"> et al. (2018)</w:t>
            </w:r>
          </w:p>
        </w:tc>
      </w:tr>
    </w:tbl>
    <w:p w:rsidR="004669E0" w:rsidRPr="00DF1957" w:rsidRDefault="004669E0" w:rsidP="004669E0">
      <w:pPr>
        <w:widowControl w:val="0"/>
      </w:pPr>
      <w:r w:rsidRPr="00DF1957">
        <w:t>Fonte: elaborad</w:t>
      </w:r>
      <w:r w:rsidR="00C703C0">
        <w:t>a</w:t>
      </w:r>
      <w:r w:rsidRPr="00DF1957">
        <w:t xml:space="preserve"> pelos autores.</w:t>
      </w:r>
    </w:p>
    <w:p w:rsidR="004669E0" w:rsidRPr="00DF1957" w:rsidRDefault="004669E0" w:rsidP="004669E0">
      <w:pPr>
        <w:widowControl w:val="0"/>
        <w:ind w:firstLine="567"/>
        <w:jc w:val="both"/>
      </w:pP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Observa-se na Tabela 2 que os dados foram coletados no banco de dados </w:t>
      </w:r>
      <w:proofErr w:type="spellStart"/>
      <w:r w:rsidRPr="00C703C0">
        <w:rPr>
          <w:sz w:val="24"/>
          <w:szCs w:val="24"/>
        </w:rPr>
        <w:t>Economática</w:t>
      </w:r>
      <w:proofErr w:type="spellEnd"/>
      <w:r w:rsidRPr="00C703C0">
        <w:rPr>
          <w:sz w:val="24"/>
          <w:szCs w:val="24"/>
        </w:rPr>
        <w:t xml:space="preserve"> e, assim como as demais variáveis, referem-se ao período de 2012 a 2016. As variáveis de controle, ou seja, variáveis que também podem influenciar nos níveis de gerenciamento, conforme indicado na literatura, também consideradas variáveis independentes na regressão, foram: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a) Endividamento: empresas com maior nível de endividamento estão mais susceptíveis às práticas de gerenciamento de resultados para evitar a violação de </w:t>
      </w:r>
      <w:proofErr w:type="spellStart"/>
      <w:r w:rsidRPr="00C703C0">
        <w:rPr>
          <w:i/>
          <w:sz w:val="24"/>
          <w:szCs w:val="24"/>
        </w:rPr>
        <w:t>covenants</w:t>
      </w:r>
      <w:proofErr w:type="spellEnd"/>
      <w:r w:rsidRPr="00C703C0">
        <w:rPr>
          <w:sz w:val="24"/>
          <w:szCs w:val="24"/>
        </w:rPr>
        <w:t xml:space="preserve"> de contratos de financiamentos, conforme descrevem Cunha et al. (2014); </w:t>
      </w:r>
      <w:proofErr w:type="spellStart"/>
      <w:r w:rsidRPr="00C703C0">
        <w:rPr>
          <w:sz w:val="24"/>
          <w:szCs w:val="24"/>
        </w:rPr>
        <w:t>Huguet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Gandía</w:t>
      </w:r>
      <w:proofErr w:type="spellEnd"/>
      <w:r w:rsidRPr="00C703C0">
        <w:rPr>
          <w:sz w:val="24"/>
          <w:szCs w:val="24"/>
        </w:rPr>
        <w:t xml:space="preserve"> (2016);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b) Tamanho: empresas maiores tendem a possuir estruturas de governança e controles internos de melhor qualidade. Também estão sujeitas a análises mais rigorosas por parte de investidores e analistas. Por isso, espera-se uma associação negativa entre o tamanho das empresas e o gerenciamento de resultados, conforme sugerem Cunha et al. (2014);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(2017),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 e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c) Crescimento: os gestores de empresas com alto potencial de crescimento tendem a ser mais preocupados com a necessidade de atingir metas de resultados e, por isso, possuem mais incentivos à prática do gerenciamento de resultados. Além disso, empresas em crescimento precisam de maiores financiamentos e novos investidores. </w:t>
      </w:r>
      <w:r w:rsidRPr="00C703C0">
        <w:rPr>
          <w:rStyle w:val="nfase"/>
          <w:rFonts w:eastAsia="Arial Unicode MS"/>
          <w:sz w:val="24"/>
          <w:szCs w:val="24"/>
          <w:bdr w:val="none" w:sz="0" w:space="0" w:color="auto" w:frame="1"/>
          <w:shd w:val="clear" w:color="auto" w:fill="FFFFFF"/>
        </w:rPr>
        <w:t xml:space="preserve">Esta variável foi utilizada nos estudos similares de </w:t>
      </w:r>
      <w:r w:rsidRPr="00C703C0">
        <w:rPr>
          <w:sz w:val="24"/>
          <w:szCs w:val="24"/>
        </w:rPr>
        <w:t xml:space="preserve">Badolato et al. (2014); </w:t>
      </w:r>
      <w:proofErr w:type="spellStart"/>
      <w:r w:rsidRPr="00C703C0">
        <w:rPr>
          <w:sz w:val="24"/>
          <w:szCs w:val="24"/>
        </w:rPr>
        <w:t>Huguet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Gandía</w:t>
      </w:r>
      <w:proofErr w:type="spellEnd"/>
      <w:r w:rsidRPr="00C703C0">
        <w:rPr>
          <w:sz w:val="24"/>
          <w:szCs w:val="24"/>
        </w:rPr>
        <w:t xml:space="preserve"> (2016);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C703C0" w:rsidRDefault="00361C1F" w:rsidP="00C703C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669E0" w:rsidRPr="00C703C0">
        <w:rPr>
          <w:sz w:val="24"/>
          <w:szCs w:val="24"/>
        </w:rPr>
        <w:t xml:space="preserve">) Desempenho: o desempenho da empresa afeta o incentivo dos gerentes para se envolverem em gerenciamento de resultados. Espera-se que empresas com mau desempenho sejam mais propensas a se envolverem em gerenciamentos de resultados, conforme descrevem </w:t>
      </w:r>
      <w:proofErr w:type="spellStart"/>
      <w:r w:rsidR="004669E0" w:rsidRPr="00C703C0">
        <w:rPr>
          <w:sz w:val="24"/>
          <w:szCs w:val="24"/>
        </w:rPr>
        <w:t>Huguet</w:t>
      </w:r>
      <w:proofErr w:type="spellEnd"/>
      <w:r w:rsidR="004669E0" w:rsidRPr="00C703C0">
        <w:rPr>
          <w:sz w:val="24"/>
          <w:szCs w:val="24"/>
        </w:rPr>
        <w:t xml:space="preserve"> e </w:t>
      </w:r>
      <w:proofErr w:type="spellStart"/>
      <w:r w:rsidR="004669E0" w:rsidRPr="00C703C0">
        <w:rPr>
          <w:sz w:val="24"/>
          <w:szCs w:val="24"/>
        </w:rPr>
        <w:t>Gandía</w:t>
      </w:r>
      <w:proofErr w:type="spellEnd"/>
      <w:r w:rsidR="004669E0" w:rsidRPr="00C703C0">
        <w:rPr>
          <w:sz w:val="24"/>
          <w:szCs w:val="24"/>
        </w:rPr>
        <w:t xml:space="preserve"> (2016); </w:t>
      </w:r>
      <w:proofErr w:type="spellStart"/>
      <w:r w:rsidR="004669E0" w:rsidRPr="00C703C0">
        <w:rPr>
          <w:sz w:val="24"/>
          <w:szCs w:val="24"/>
        </w:rPr>
        <w:t>Alzoubi</w:t>
      </w:r>
      <w:proofErr w:type="spellEnd"/>
      <w:r w:rsidR="004669E0" w:rsidRPr="00C703C0">
        <w:rPr>
          <w:sz w:val="24"/>
          <w:szCs w:val="24"/>
        </w:rPr>
        <w:t xml:space="preserve"> (2017); </w:t>
      </w:r>
      <w:proofErr w:type="spellStart"/>
      <w:r w:rsidR="004669E0" w:rsidRPr="00C703C0">
        <w:rPr>
          <w:sz w:val="24"/>
          <w:szCs w:val="24"/>
        </w:rPr>
        <w:t>Alhadab</w:t>
      </w:r>
      <w:proofErr w:type="spellEnd"/>
      <w:r w:rsidR="004669E0" w:rsidRPr="00C703C0">
        <w:rPr>
          <w:sz w:val="24"/>
          <w:szCs w:val="24"/>
        </w:rPr>
        <w:t xml:space="preserve"> e </w:t>
      </w:r>
      <w:proofErr w:type="spellStart"/>
      <w:r w:rsidR="004669E0" w:rsidRPr="00C703C0">
        <w:rPr>
          <w:sz w:val="24"/>
          <w:szCs w:val="24"/>
        </w:rPr>
        <w:t>Clacher</w:t>
      </w:r>
      <w:proofErr w:type="spellEnd"/>
      <w:r w:rsidR="004669E0" w:rsidRPr="00C703C0">
        <w:rPr>
          <w:sz w:val="24"/>
          <w:szCs w:val="24"/>
        </w:rPr>
        <w:t xml:space="preserve"> (2017); </w:t>
      </w:r>
      <w:proofErr w:type="spellStart"/>
      <w:r w:rsidR="004669E0" w:rsidRPr="00C703C0">
        <w:rPr>
          <w:sz w:val="24"/>
          <w:szCs w:val="24"/>
        </w:rPr>
        <w:t>Zalata</w:t>
      </w:r>
      <w:proofErr w:type="spellEnd"/>
      <w:r w:rsidR="004669E0" w:rsidRPr="00C703C0">
        <w:rPr>
          <w:sz w:val="24"/>
          <w:szCs w:val="24"/>
        </w:rPr>
        <w:t xml:space="preserve"> et al. (2018).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lastRenderedPageBreak/>
        <w:t xml:space="preserve">Após a coleta dos dados, realizou-se a análise. Inicialmente, ocorreu uma análise descritiva das principais variáveis de interesse da pesquisa. Em seguida, a análise de regressão linear múltipla foi realizada para verificar a influência da qualidade da auditoria, bem como, das demais variáveis de controle, no gerenciamento de resultados. </w:t>
      </w:r>
    </w:p>
    <w:p w:rsidR="004669E0" w:rsidRPr="00C703C0" w:rsidRDefault="004669E0" w:rsidP="00C703C0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Destaca-se que foram observados os pressupostos de normalidade, por meio do teste de </w:t>
      </w:r>
      <w:proofErr w:type="spellStart"/>
      <w:r w:rsidRPr="00C703C0">
        <w:rPr>
          <w:sz w:val="24"/>
          <w:szCs w:val="24"/>
        </w:rPr>
        <w:t>Kolmogorov-Smirnov</w:t>
      </w:r>
      <w:proofErr w:type="spellEnd"/>
      <w:r w:rsidRPr="00C703C0">
        <w:rPr>
          <w:sz w:val="24"/>
          <w:szCs w:val="24"/>
        </w:rPr>
        <w:t xml:space="preserve">; </w:t>
      </w:r>
      <w:proofErr w:type="spellStart"/>
      <w:r w:rsidRPr="00C703C0">
        <w:rPr>
          <w:sz w:val="24"/>
          <w:szCs w:val="24"/>
        </w:rPr>
        <w:t>multicolinearidade</w:t>
      </w:r>
      <w:proofErr w:type="spellEnd"/>
      <w:r w:rsidRPr="00C703C0">
        <w:rPr>
          <w:sz w:val="24"/>
          <w:szCs w:val="24"/>
        </w:rPr>
        <w:t xml:space="preserve">, por meio do fator de inflação de variância – VIF e </w:t>
      </w:r>
      <w:proofErr w:type="spellStart"/>
      <w:r w:rsidRPr="00C703C0">
        <w:rPr>
          <w:sz w:val="24"/>
          <w:szCs w:val="24"/>
        </w:rPr>
        <w:t>Tolerance</w:t>
      </w:r>
      <w:proofErr w:type="spellEnd"/>
      <w:r w:rsidRPr="00C703C0">
        <w:rPr>
          <w:sz w:val="24"/>
          <w:szCs w:val="24"/>
        </w:rPr>
        <w:t xml:space="preserve">; </w:t>
      </w:r>
      <w:proofErr w:type="spellStart"/>
      <w:r w:rsidRPr="00C703C0">
        <w:rPr>
          <w:sz w:val="24"/>
          <w:szCs w:val="24"/>
        </w:rPr>
        <w:t>homocedasticidade</w:t>
      </w:r>
      <w:proofErr w:type="spellEnd"/>
      <w:r w:rsidRPr="00C703C0">
        <w:rPr>
          <w:sz w:val="24"/>
          <w:szCs w:val="24"/>
        </w:rPr>
        <w:t xml:space="preserve">, por meio do teste de </w:t>
      </w:r>
      <w:proofErr w:type="spellStart"/>
      <w:r w:rsidRPr="00C703C0">
        <w:rPr>
          <w:sz w:val="24"/>
          <w:szCs w:val="24"/>
        </w:rPr>
        <w:t>Pesarán-Pesarán</w:t>
      </w:r>
      <w:proofErr w:type="spellEnd"/>
      <w:r w:rsidRPr="00C703C0">
        <w:rPr>
          <w:sz w:val="24"/>
          <w:szCs w:val="24"/>
        </w:rPr>
        <w:t xml:space="preserve">; e ausência de </w:t>
      </w:r>
      <w:proofErr w:type="spellStart"/>
      <w:r w:rsidRPr="00C703C0">
        <w:rPr>
          <w:sz w:val="24"/>
          <w:szCs w:val="24"/>
        </w:rPr>
        <w:t>autocorrelação</w:t>
      </w:r>
      <w:proofErr w:type="spellEnd"/>
      <w:r w:rsidRPr="00C703C0">
        <w:rPr>
          <w:sz w:val="24"/>
          <w:szCs w:val="24"/>
        </w:rPr>
        <w:t xml:space="preserve"> serial, por meio do teste de </w:t>
      </w:r>
      <w:proofErr w:type="spellStart"/>
      <w:r w:rsidRPr="00C703C0">
        <w:rPr>
          <w:sz w:val="24"/>
          <w:szCs w:val="24"/>
        </w:rPr>
        <w:t>Durbin</w:t>
      </w:r>
      <w:proofErr w:type="spellEnd"/>
      <w:r w:rsidRPr="00C703C0">
        <w:rPr>
          <w:sz w:val="24"/>
          <w:szCs w:val="24"/>
        </w:rPr>
        <w:t xml:space="preserve">-Watson. 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</w:p>
    <w:p w:rsidR="004669E0" w:rsidRPr="00C703C0" w:rsidRDefault="004669E0" w:rsidP="004669E0">
      <w:pPr>
        <w:jc w:val="both"/>
        <w:rPr>
          <w:b/>
          <w:sz w:val="24"/>
          <w:szCs w:val="24"/>
        </w:rPr>
      </w:pPr>
      <w:r w:rsidRPr="00C703C0">
        <w:rPr>
          <w:b/>
          <w:sz w:val="24"/>
          <w:szCs w:val="24"/>
        </w:rPr>
        <w:t xml:space="preserve">4 </w:t>
      </w:r>
      <w:r w:rsidR="00C703C0" w:rsidRPr="00C703C0">
        <w:rPr>
          <w:b/>
          <w:sz w:val="24"/>
          <w:szCs w:val="24"/>
        </w:rPr>
        <w:t>Descrição e Análise dos Dados</w:t>
      </w:r>
    </w:p>
    <w:p w:rsidR="004669E0" w:rsidRPr="00C703C0" w:rsidRDefault="004669E0" w:rsidP="004669E0">
      <w:pPr>
        <w:pStyle w:val="Legenda"/>
        <w:spacing w:line="240" w:lineRule="auto"/>
        <w:ind w:firstLine="709"/>
        <w:rPr>
          <w:b w:val="0"/>
          <w:bCs/>
          <w:sz w:val="24"/>
        </w:rPr>
      </w:pPr>
      <w:r w:rsidRPr="00C703C0">
        <w:rPr>
          <w:b w:val="0"/>
          <w:sz w:val="24"/>
        </w:rPr>
        <w:t xml:space="preserve">Esta seção contém a descrição e análise dos dados. Inicialmente apresentam-se as estatísticas descritivas dos indicadores de gerenciamento de resultados do período de 2012 a 2016. Em seguida, os totais de companhias que eram auditadas por </w:t>
      </w:r>
      <w:r w:rsidRPr="00C703C0">
        <w:rPr>
          <w:b w:val="0"/>
          <w:i/>
          <w:sz w:val="24"/>
        </w:rPr>
        <w:t>big</w:t>
      </w:r>
      <w:r w:rsidRPr="00C703C0">
        <w:rPr>
          <w:b w:val="0"/>
          <w:sz w:val="24"/>
        </w:rPr>
        <w:t xml:space="preserve"> </w:t>
      </w:r>
      <w:r w:rsidRPr="00C703C0">
        <w:rPr>
          <w:b w:val="0"/>
          <w:i/>
          <w:sz w:val="24"/>
        </w:rPr>
        <w:t xml:space="preserve">four, </w:t>
      </w:r>
      <w:r w:rsidRPr="00C703C0">
        <w:rPr>
          <w:b w:val="0"/>
          <w:bCs/>
          <w:sz w:val="24"/>
        </w:rPr>
        <w:t>os totais de companhias que possuíam comitês de auditoria e os tamanhos dos comitês no período de 2012 a 2016.</w:t>
      </w:r>
      <w:r w:rsidRPr="00C703C0">
        <w:rPr>
          <w:b w:val="0"/>
          <w:sz w:val="24"/>
        </w:rPr>
        <w:t xml:space="preserve"> </w:t>
      </w:r>
      <w:r w:rsidRPr="00C703C0">
        <w:rPr>
          <w:b w:val="0"/>
          <w:bCs/>
          <w:sz w:val="24"/>
        </w:rPr>
        <w:t xml:space="preserve">Por fim, </w:t>
      </w:r>
      <w:r w:rsidRPr="00C703C0">
        <w:rPr>
          <w:b w:val="0"/>
          <w:sz w:val="24"/>
        </w:rPr>
        <w:t>os resultados das regressões lineares múltiplas que possibilitaram alcançar o objetivo do estudo</w:t>
      </w:r>
      <w:r w:rsidRPr="00C703C0">
        <w:rPr>
          <w:b w:val="0"/>
          <w:bCs/>
          <w:sz w:val="24"/>
        </w:rPr>
        <w:t>.</w:t>
      </w:r>
    </w:p>
    <w:p w:rsidR="004669E0" w:rsidRPr="00C703C0" w:rsidRDefault="004669E0" w:rsidP="00C703C0">
      <w:pPr>
        <w:ind w:firstLine="708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Na Tabela 3 apresentam-se os indicadores de gerenciamento de resultados do período de 2012 a 2016 das companhias da amostra, calculados por meio dos </w:t>
      </w:r>
      <w:proofErr w:type="spellStart"/>
      <w:r w:rsidRPr="00C703C0">
        <w:rPr>
          <w:i/>
          <w:sz w:val="24"/>
          <w:szCs w:val="24"/>
        </w:rPr>
        <w:t>accruals</w:t>
      </w:r>
      <w:proofErr w:type="spellEnd"/>
      <w:r w:rsidRPr="00C703C0">
        <w:rPr>
          <w:sz w:val="24"/>
          <w:szCs w:val="24"/>
        </w:rPr>
        <w:t xml:space="preserve"> discricionários baseados no modelo Jones Modificado (</w:t>
      </w:r>
      <w:proofErr w:type="spellStart"/>
      <w:r w:rsidRPr="00C703C0">
        <w:rPr>
          <w:sz w:val="24"/>
          <w:szCs w:val="24"/>
        </w:rPr>
        <w:t>Dechow</w:t>
      </w:r>
      <w:proofErr w:type="spellEnd"/>
      <w:r w:rsidRPr="00C703C0">
        <w:rPr>
          <w:sz w:val="24"/>
          <w:szCs w:val="24"/>
        </w:rPr>
        <w:t xml:space="preserve"> et al.</w:t>
      </w:r>
      <w:r w:rsidRPr="00C703C0">
        <w:rPr>
          <w:sz w:val="24"/>
          <w:szCs w:val="24"/>
          <w:shd w:val="clear" w:color="auto" w:fill="FFFFFF"/>
        </w:rPr>
        <w:t xml:space="preserve">, </w:t>
      </w:r>
      <w:r w:rsidRPr="00C703C0">
        <w:rPr>
          <w:sz w:val="24"/>
          <w:szCs w:val="24"/>
        </w:rPr>
        <w:t xml:space="preserve">1995), assim como ocorreu nos estudos de Azevedo e Costa (2012), Cunha et al. (2014), Badolato et al. (2014);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74712C" w:rsidRPr="0074712C" w:rsidRDefault="0074712C" w:rsidP="0074712C"/>
    <w:p w:rsidR="004669E0" w:rsidRPr="00C703C0" w:rsidRDefault="004669E0" w:rsidP="004669E0">
      <w:pPr>
        <w:jc w:val="both"/>
        <w:rPr>
          <w:bCs/>
        </w:rPr>
      </w:pPr>
      <w:r w:rsidRPr="00C703C0">
        <w:rPr>
          <w:b/>
          <w:bCs/>
        </w:rPr>
        <w:t>Tabela 3</w:t>
      </w:r>
      <w:r w:rsidR="0074712C">
        <w:rPr>
          <w:b/>
          <w:bCs/>
        </w:rPr>
        <w:t>.</w:t>
      </w:r>
      <w:r w:rsidRPr="00C703C0">
        <w:rPr>
          <w:b/>
          <w:bCs/>
        </w:rPr>
        <w:t xml:space="preserve"> Estatística descritiva dos indicadores de gerenciamento de resultados do período de 2012 a 2016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720"/>
        <w:gridCol w:w="723"/>
        <w:gridCol w:w="720"/>
        <w:gridCol w:w="720"/>
        <w:gridCol w:w="720"/>
        <w:gridCol w:w="720"/>
        <w:gridCol w:w="720"/>
        <w:gridCol w:w="720"/>
        <w:gridCol w:w="720"/>
        <w:gridCol w:w="705"/>
      </w:tblGrid>
      <w:tr w:rsidR="004669E0" w:rsidRPr="00C703C0" w:rsidTr="004669E0">
        <w:trPr>
          <w:trHeight w:val="270"/>
        </w:trPr>
        <w:tc>
          <w:tcPr>
            <w:tcW w:w="1036" w:type="pct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Indicadores de gerenciamento</w:t>
            </w:r>
          </w:p>
          <w:p w:rsidR="004669E0" w:rsidRPr="00C703C0" w:rsidRDefault="004669E0" w:rsidP="004669E0">
            <w:pPr>
              <w:jc w:val="center"/>
              <w:rPr>
                <w:bCs/>
                <w:i/>
              </w:rPr>
            </w:pPr>
            <w:r w:rsidRPr="00C703C0">
              <w:rPr>
                <w:bCs/>
                <w:i/>
              </w:rPr>
              <w:t>(</w:t>
            </w:r>
            <w:proofErr w:type="spellStart"/>
            <w:r w:rsidRPr="00C703C0">
              <w:rPr>
                <w:bCs/>
                <w:i/>
              </w:rPr>
              <w:t>Accruals</w:t>
            </w:r>
            <w:proofErr w:type="spellEnd"/>
            <w:r w:rsidRPr="00C703C0">
              <w:rPr>
                <w:bCs/>
                <w:i/>
              </w:rPr>
              <w:t xml:space="preserve"> discricionários)</w:t>
            </w:r>
          </w:p>
        </w:tc>
        <w:tc>
          <w:tcPr>
            <w:tcW w:w="3964" w:type="pct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Quantidade de empresas</w:t>
            </w:r>
          </w:p>
        </w:tc>
      </w:tr>
      <w:tr w:rsidR="004669E0" w:rsidRPr="00C703C0" w:rsidTr="004669E0">
        <w:trPr>
          <w:trHeight w:val="315"/>
        </w:trPr>
        <w:tc>
          <w:tcPr>
            <w:tcW w:w="1036" w:type="pct"/>
            <w:vMerge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9E0" w:rsidRPr="00C703C0" w:rsidRDefault="004669E0" w:rsidP="004669E0">
            <w:pPr>
              <w:rPr>
                <w:b/>
                <w:bCs/>
              </w:rPr>
            </w:pPr>
          </w:p>
        </w:tc>
        <w:tc>
          <w:tcPr>
            <w:tcW w:w="796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2012</w:t>
            </w:r>
          </w:p>
        </w:tc>
        <w:tc>
          <w:tcPr>
            <w:tcW w:w="794" w:type="pct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2013</w:t>
            </w:r>
          </w:p>
        </w:tc>
        <w:tc>
          <w:tcPr>
            <w:tcW w:w="794" w:type="pct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2014</w:t>
            </w:r>
          </w:p>
        </w:tc>
        <w:tc>
          <w:tcPr>
            <w:tcW w:w="794" w:type="pct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2015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2016</w:t>
            </w:r>
          </w:p>
        </w:tc>
      </w:tr>
      <w:tr w:rsidR="004669E0" w:rsidRPr="00C703C0" w:rsidTr="004669E0">
        <w:trPr>
          <w:trHeight w:val="270"/>
        </w:trPr>
        <w:tc>
          <w:tcPr>
            <w:tcW w:w="1036" w:type="pct"/>
            <w:vMerge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9E0" w:rsidRPr="00C703C0" w:rsidRDefault="004669E0" w:rsidP="004669E0">
            <w:pPr>
              <w:rPr>
                <w:b/>
                <w:bCs/>
              </w:rPr>
            </w:pP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Nº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Nº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Nº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Nº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Nº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%</w:t>
            </w:r>
          </w:p>
        </w:tc>
      </w:tr>
      <w:tr w:rsidR="004669E0" w:rsidRPr="00C703C0" w:rsidTr="004669E0">
        <w:trPr>
          <w:trHeight w:val="315"/>
        </w:trPr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&gt; -0,10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24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24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32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30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11</w:t>
            </w:r>
          </w:p>
        </w:tc>
      </w:tr>
      <w:tr w:rsidR="004669E0" w:rsidRPr="00C703C0" w:rsidTr="004669E0">
        <w:trPr>
          <w:trHeight w:val="255"/>
        </w:trPr>
        <w:tc>
          <w:tcPr>
            <w:tcW w:w="10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-0,10 a 0,00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98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39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77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29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92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34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75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28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84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31</w:t>
            </w:r>
          </w:p>
        </w:tc>
      </w:tr>
      <w:tr w:rsidR="004669E0" w:rsidRPr="00C703C0" w:rsidTr="004669E0">
        <w:trPr>
          <w:trHeight w:val="255"/>
        </w:trPr>
        <w:tc>
          <w:tcPr>
            <w:tcW w:w="103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0,01 a 0,10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111</w:t>
            </w:r>
          </w:p>
        </w:tc>
        <w:tc>
          <w:tcPr>
            <w:tcW w:w="39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42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142</w:t>
            </w:r>
          </w:p>
        </w:tc>
        <w:tc>
          <w:tcPr>
            <w:tcW w:w="39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54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135</w:t>
            </w:r>
          </w:p>
        </w:tc>
        <w:tc>
          <w:tcPr>
            <w:tcW w:w="39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50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147</w:t>
            </w:r>
          </w:p>
        </w:tc>
        <w:tc>
          <w:tcPr>
            <w:tcW w:w="39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54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135</w:t>
            </w:r>
          </w:p>
        </w:tc>
        <w:tc>
          <w:tcPr>
            <w:tcW w:w="39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50</w:t>
            </w:r>
          </w:p>
        </w:tc>
      </w:tr>
      <w:tr w:rsidR="004669E0" w:rsidRPr="00C703C0" w:rsidTr="004669E0">
        <w:trPr>
          <w:trHeight w:val="270"/>
        </w:trPr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&gt; 0,10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24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18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23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C703C0" w:rsidRDefault="004669E0" w:rsidP="004669E0">
            <w:pPr>
              <w:jc w:val="center"/>
            </w:pPr>
            <w:r w:rsidRPr="00C703C0">
              <w:t>8</w:t>
            </w:r>
          </w:p>
        </w:tc>
      </w:tr>
      <w:tr w:rsidR="004669E0" w:rsidRPr="00C703C0" w:rsidTr="004669E0">
        <w:trPr>
          <w:trHeight w:val="285"/>
        </w:trPr>
        <w:tc>
          <w:tcPr>
            <w:tcW w:w="103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rPr>
                <w:b/>
                <w:bCs/>
              </w:rPr>
            </w:pPr>
            <w:r w:rsidRPr="00C703C0">
              <w:rPr>
                <w:b/>
                <w:bCs/>
              </w:rPr>
              <w:t>Totais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252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98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262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100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269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100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272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100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272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C703C0" w:rsidRDefault="004669E0" w:rsidP="004669E0">
            <w:pPr>
              <w:jc w:val="center"/>
              <w:rPr>
                <w:b/>
                <w:bCs/>
              </w:rPr>
            </w:pPr>
            <w:r w:rsidRPr="00C703C0">
              <w:rPr>
                <w:b/>
                <w:bCs/>
              </w:rPr>
              <w:t>100</w:t>
            </w:r>
          </w:p>
        </w:tc>
      </w:tr>
    </w:tbl>
    <w:p w:rsidR="004669E0" w:rsidRPr="00C703C0" w:rsidRDefault="004669E0" w:rsidP="004669E0">
      <w:r w:rsidRPr="00C703C0">
        <w:t>Fonte: dados da pesquisa.</w:t>
      </w:r>
    </w:p>
    <w:p w:rsidR="004669E0" w:rsidRPr="00DF1957" w:rsidRDefault="004669E0" w:rsidP="004669E0"/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bCs/>
          <w:sz w:val="24"/>
          <w:szCs w:val="24"/>
        </w:rPr>
        <w:t xml:space="preserve">Ao analisar os indicadores de gerenciamento de resultados na Tabela 3, é possível verificar que no ano de 2012 </w:t>
      </w:r>
      <w:r w:rsidRPr="00C703C0">
        <w:rPr>
          <w:sz w:val="24"/>
          <w:szCs w:val="24"/>
        </w:rPr>
        <w:t>o sentido maior dos ajustamentos de competência foi para aumentar os resultados, pois 52% (42% + 10%) das 252 empresas possuíam indicadores positivos, ou seja, superiores a 0. Destaca-se que dentre estas empresas que realizaram gerenciamento para aumentar o resultado (52%), a grande maioria, ou seja, em 42% delas os ajustamentos de competência ocorreram em maiores proporções (&gt; 0,10).</w:t>
      </w:r>
    </w:p>
    <w:p w:rsidR="004669E0" w:rsidRPr="00C703C0" w:rsidRDefault="004669E0" w:rsidP="00C703C0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Ressalta-se que </w:t>
      </w:r>
      <w:r w:rsidRPr="00C703C0">
        <w:rPr>
          <w:rStyle w:val="apple-converted-space"/>
          <w:rFonts w:eastAsia="Arial Unicode MS"/>
          <w:sz w:val="24"/>
          <w:szCs w:val="24"/>
          <w:shd w:val="clear" w:color="auto" w:fill="FFFFFF"/>
        </w:rPr>
        <w:t>ao longo do período de 2012 a 2016 não ocorreram grandes variações nos resultados. Sendo que os percentuais de empresas com indicadores de gerenciamento de baixas proporções (</w:t>
      </w:r>
      <w:r w:rsidRPr="00C703C0">
        <w:rPr>
          <w:sz w:val="24"/>
          <w:szCs w:val="24"/>
        </w:rPr>
        <w:t xml:space="preserve">-0,10 a 0,10) manteve-se em torno de 80% ao longo de todo o período. </w:t>
      </w:r>
      <w:r w:rsidRPr="00C703C0">
        <w:rPr>
          <w:rStyle w:val="apple-converted-space"/>
          <w:rFonts w:eastAsia="Arial Unicode MS"/>
          <w:sz w:val="24"/>
          <w:szCs w:val="24"/>
          <w:shd w:val="clear" w:color="auto" w:fill="FFFFFF"/>
        </w:rPr>
        <w:t xml:space="preserve">No ano de 2016, último ano da análise, </w:t>
      </w:r>
      <w:r w:rsidRPr="00C703C0">
        <w:rPr>
          <w:sz w:val="24"/>
          <w:szCs w:val="24"/>
        </w:rPr>
        <w:t xml:space="preserve">81% das 272 empresas que constituem a amostra da pesquisa possuíam indicadores variando entre -0,10 e 0,10. Dentre as 219 (135 + 84) empresas que estão nesta condição, é possível constatar que em 135 delas os ajustamentos de competência </w:t>
      </w:r>
      <w:r w:rsidRPr="00C703C0">
        <w:rPr>
          <w:sz w:val="24"/>
          <w:szCs w:val="24"/>
        </w:rPr>
        <w:lastRenderedPageBreak/>
        <w:t>ocorreram para aumentar os resultados contábeis e em 84 o gerenciamento ocorreu para reduzir os resultados.</w:t>
      </w:r>
    </w:p>
    <w:p w:rsidR="004669E0" w:rsidRPr="00C703C0" w:rsidRDefault="004669E0" w:rsidP="00C703C0">
      <w:pPr>
        <w:ind w:firstLine="709"/>
        <w:jc w:val="both"/>
        <w:rPr>
          <w:b/>
          <w:sz w:val="24"/>
          <w:szCs w:val="24"/>
        </w:rPr>
      </w:pPr>
      <w:r w:rsidRPr="00C703C0">
        <w:rPr>
          <w:sz w:val="24"/>
          <w:szCs w:val="24"/>
        </w:rPr>
        <w:t xml:space="preserve">Na Tabela 4 apresentam-se </w:t>
      </w:r>
      <w:r w:rsidRPr="00C703C0">
        <w:rPr>
          <w:bCs/>
          <w:sz w:val="24"/>
          <w:szCs w:val="24"/>
        </w:rPr>
        <w:t xml:space="preserve">as quantidades de companhias da amostra que eram auditadas por </w:t>
      </w:r>
      <w:r w:rsidRPr="00C703C0">
        <w:rPr>
          <w:bCs/>
          <w:i/>
          <w:sz w:val="24"/>
          <w:szCs w:val="24"/>
        </w:rPr>
        <w:t xml:space="preserve">big four </w:t>
      </w:r>
      <w:r w:rsidRPr="00C703C0">
        <w:rPr>
          <w:bCs/>
          <w:sz w:val="24"/>
          <w:szCs w:val="24"/>
        </w:rPr>
        <w:t xml:space="preserve">no período de 2012 a 2016. </w:t>
      </w:r>
      <w:r w:rsidRPr="00C703C0">
        <w:rPr>
          <w:rFonts w:eastAsia="Arial Unicode MS"/>
          <w:sz w:val="24"/>
          <w:szCs w:val="24"/>
          <w:shd w:val="clear" w:color="auto" w:fill="FFFFFF"/>
        </w:rPr>
        <w:t xml:space="preserve">Ressalta-se que foram consideradas como </w:t>
      </w:r>
      <w:r w:rsidRPr="00C703C0">
        <w:rPr>
          <w:rFonts w:eastAsia="Arial Unicode MS"/>
          <w:i/>
          <w:sz w:val="24"/>
          <w:szCs w:val="24"/>
          <w:shd w:val="clear" w:color="auto" w:fill="FFFFFF"/>
        </w:rPr>
        <w:t>big four</w:t>
      </w:r>
      <w:r w:rsidRPr="00C703C0">
        <w:rPr>
          <w:rFonts w:eastAsia="Arial Unicode MS"/>
          <w:sz w:val="24"/>
          <w:szCs w:val="24"/>
          <w:shd w:val="clear" w:color="auto" w:fill="FFFFFF"/>
        </w:rPr>
        <w:t xml:space="preserve"> a </w:t>
      </w:r>
      <w:r w:rsidRPr="00C703C0">
        <w:rPr>
          <w:sz w:val="24"/>
          <w:szCs w:val="24"/>
          <w:shd w:val="clear" w:color="auto" w:fill="FFFFFF"/>
        </w:rPr>
        <w:t xml:space="preserve">EY, </w:t>
      </w:r>
      <w:proofErr w:type="spellStart"/>
      <w:r w:rsidRPr="00C703C0">
        <w:rPr>
          <w:sz w:val="24"/>
          <w:szCs w:val="24"/>
          <w:shd w:val="clear" w:color="auto" w:fill="FFFFFF"/>
        </w:rPr>
        <w:t>PwC</w:t>
      </w:r>
      <w:proofErr w:type="spellEnd"/>
      <w:r w:rsidRPr="00C703C0">
        <w:rPr>
          <w:sz w:val="24"/>
          <w:szCs w:val="24"/>
          <w:shd w:val="clear" w:color="auto" w:fill="FFFFFF"/>
        </w:rPr>
        <w:t>, Deloitte e KPMG</w:t>
      </w:r>
      <w:r w:rsidRPr="00C703C0">
        <w:rPr>
          <w:sz w:val="24"/>
          <w:szCs w:val="24"/>
        </w:rPr>
        <w:t xml:space="preserve">, de forma similar aos estudos de Martinez (2011), Santana et al. (2014), Silva et al. (2014), </w:t>
      </w:r>
      <w:proofErr w:type="spellStart"/>
      <w:r w:rsidRPr="00C703C0">
        <w:rPr>
          <w:sz w:val="24"/>
          <w:szCs w:val="24"/>
        </w:rPr>
        <w:t>Huguet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Gandía</w:t>
      </w:r>
      <w:proofErr w:type="spellEnd"/>
      <w:r w:rsidRPr="00C703C0">
        <w:rPr>
          <w:sz w:val="24"/>
          <w:szCs w:val="24"/>
        </w:rPr>
        <w:t xml:space="preserve"> (2016),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(2017),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 e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DF1957" w:rsidRDefault="004669E0" w:rsidP="004669E0">
      <w:pPr>
        <w:rPr>
          <w:b/>
        </w:rPr>
      </w:pPr>
    </w:p>
    <w:p w:rsidR="004669E0" w:rsidRPr="00DF1957" w:rsidRDefault="004669E0" w:rsidP="004669E0">
      <w:pPr>
        <w:rPr>
          <w:b/>
        </w:rPr>
      </w:pPr>
      <w:r w:rsidRPr="00DF1957">
        <w:rPr>
          <w:b/>
        </w:rPr>
        <w:t xml:space="preserve">Tabela </w:t>
      </w:r>
      <w:r>
        <w:rPr>
          <w:b/>
        </w:rPr>
        <w:t>4</w:t>
      </w:r>
      <w:r w:rsidR="0074712C">
        <w:rPr>
          <w:b/>
        </w:rPr>
        <w:t>.</w:t>
      </w:r>
      <w:r w:rsidRPr="00DF1957">
        <w:rPr>
          <w:b/>
        </w:rPr>
        <w:t xml:space="preserve"> Total de companhias auditadas por big four no período de 2012 a 2016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2233"/>
        <w:gridCol w:w="2371"/>
        <w:gridCol w:w="2578"/>
      </w:tblGrid>
      <w:tr w:rsidR="004669E0" w:rsidRPr="00DF1957" w:rsidTr="004669E0">
        <w:trPr>
          <w:trHeight w:val="525"/>
        </w:trPr>
        <w:tc>
          <w:tcPr>
            <w:tcW w:w="103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ANO</w:t>
            </w:r>
          </w:p>
        </w:tc>
        <w:tc>
          <w:tcPr>
            <w:tcW w:w="123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Total de empresas da amostra</w:t>
            </w:r>
          </w:p>
        </w:tc>
        <w:tc>
          <w:tcPr>
            <w:tcW w:w="13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Pr="00DF1957">
              <w:rPr>
                <w:b/>
                <w:bCs/>
              </w:rPr>
              <w:t xml:space="preserve"> de companhias auditadas por big four</w:t>
            </w:r>
          </w:p>
        </w:tc>
        <w:tc>
          <w:tcPr>
            <w:tcW w:w="142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Percentual de companhias auditadas por big four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2016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272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195</w:t>
            </w:r>
          </w:p>
        </w:tc>
        <w:tc>
          <w:tcPr>
            <w:tcW w:w="1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71,69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2015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272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204</w:t>
            </w:r>
          </w:p>
        </w:tc>
        <w:tc>
          <w:tcPr>
            <w:tcW w:w="1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75,00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2014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269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</w:t>
            </w:r>
          </w:p>
        </w:tc>
        <w:tc>
          <w:tcPr>
            <w:tcW w:w="1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74,72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2013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262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195</w:t>
            </w:r>
          </w:p>
        </w:tc>
        <w:tc>
          <w:tcPr>
            <w:tcW w:w="1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74,43</w:t>
            </w:r>
          </w:p>
        </w:tc>
      </w:tr>
      <w:tr w:rsidR="004669E0" w:rsidRPr="00DF1957" w:rsidTr="004669E0">
        <w:trPr>
          <w:trHeight w:val="315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2012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252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191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75,79</w:t>
            </w:r>
          </w:p>
        </w:tc>
      </w:tr>
    </w:tbl>
    <w:p w:rsidR="004669E0" w:rsidRPr="00DF1957" w:rsidRDefault="004669E0" w:rsidP="004669E0">
      <w:r w:rsidRPr="00DF1957">
        <w:t>Fonte: dados da pesquisa.</w:t>
      </w:r>
    </w:p>
    <w:p w:rsidR="004669E0" w:rsidRPr="00DF1957" w:rsidRDefault="004669E0" w:rsidP="004669E0"/>
    <w:p w:rsidR="004669E0" w:rsidRPr="00C703C0" w:rsidRDefault="004669E0" w:rsidP="004669E0">
      <w:pPr>
        <w:ind w:firstLine="708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Nota-se na Tabela 4 que, em todos os anos pesquisados, o percentual de empresas auditadas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 xml:space="preserve"> se manteve acima de 70% do total de empresas da amostra, ou seja, percebe-se que não houve nenhum aumento ou baixa significativa, com o passar dos anos, em relação aos percentuais. </w:t>
      </w:r>
    </w:p>
    <w:p w:rsidR="004669E0" w:rsidRPr="00C703C0" w:rsidRDefault="004669E0" w:rsidP="004669E0">
      <w:pPr>
        <w:ind w:firstLine="708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Estes percentuais evidenciados na Tabela 4 são similares aos identificados por Santana et al. (2014) </w:t>
      </w:r>
      <w:r w:rsidRPr="00C703C0">
        <w:rPr>
          <w:bCs/>
          <w:sz w:val="24"/>
          <w:szCs w:val="24"/>
        </w:rPr>
        <w:t>que investigaram uma amostra de companhias</w:t>
      </w:r>
      <w:r w:rsidRPr="00C703C0">
        <w:rPr>
          <w:sz w:val="24"/>
          <w:szCs w:val="24"/>
        </w:rPr>
        <w:t xml:space="preserve"> abertas brasileiras </w:t>
      </w:r>
      <w:r w:rsidRPr="00C703C0">
        <w:rPr>
          <w:iCs/>
          <w:sz w:val="24"/>
          <w:szCs w:val="24"/>
        </w:rPr>
        <w:t>e encontraram um percentual</w:t>
      </w:r>
      <w:r w:rsidRPr="00C703C0">
        <w:rPr>
          <w:sz w:val="24"/>
          <w:szCs w:val="24"/>
        </w:rPr>
        <w:t xml:space="preserve"> de 74% de companhias auditadas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 xml:space="preserve"> e ao de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 que analisou empresas da Jordânia e encontrou um percentual de 73%. No entanto, são inferiores aos identificados por Martinez (2011), que encontrou um percentual de 80% de companhias auditadas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 xml:space="preserve"> em sua amostra composta também por companhias brasileiras e de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 que identificou 90% na sua amostra de companhias abertas americanas.</w:t>
      </w:r>
    </w:p>
    <w:p w:rsidR="004669E0" w:rsidRPr="00C703C0" w:rsidRDefault="004669E0" w:rsidP="004669E0">
      <w:pPr>
        <w:autoSpaceDE w:val="0"/>
        <w:autoSpaceDN w:val="0"/>
        <w:adjustRightInd w:val="0"/>
        <w:ind w:firstLine="708"/>
        <w:jc w:val="both"/>
        <w:rPr>
          <w:bCs/>
          <w:sz w:val="24"/>
          <w:szCs w:val="24"/>
        </w:rPr>
      </w:pPr>
      <w:r w:rsidRPr="00C703C0">
        <w:rPr>
          <w:sz w:val="24"/>
          <w:szCs w:val="24"/>
        </w:rPr>
        <w:t xml:space="preserve">É importante destacar que a diferença nos resultados pode ser decorrente dos critérios de formação da amostra. Todavia, os percentuais desta pesquisa, evidenciam uma alta quantidade de companhias abertas brasileira auditadas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>.</w:t>
      </w:r>
    </w:p>
    <w:p w:rsidR="004669E0" w:rsidRPr="00C703C0" w:rsidRDefault="004669E0" w:rsidP="004669E0">
      <w:pPr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Na Tabela 5 apresentam-se </w:t>
      </w:r>
      <w:r w:rsidRPr="00C703C0">
        <w:rPr>
          <w:bCs/>
          <w:sz w:val="24"/>
          <w:szCs w:val="24"/>
        </w:rPr>
        <w:t>os totais de companhias da amostra que possuíam comitê de auditoria no período de 2012 a 2016</w:t>
      </w:r>
      <w:r w:rsidRPr="00C703C0">
        <w:rPr>
          <w:sz w:val="24"/>
          <w:szCs w:val="24"/>
        </w:rPr>
        <w:t>.</w:t>
      </w:r>
    </w:p>
    <w:p w:rsidR="004669E0" w:rsidRPr="00DF1957" w:rsidRDefault="004669E0" w:rsidP="004669E0"/>
    <w:p w:rsidR="004669E0" w:rsidRPr="00DF1957" w:rsidRDefault="004669E0" w:rsidP="004669E0">
      <w:pPr>
        <w:rPr>
          <w:b/>
        </w:rPr>
      </w:pPr>
      <w:r w:rsidRPr="00DF1957">
        <w:rPr>
          <w:b/>
        </w:rPr>
        <w:t xml:space="preserve">Tabela </w:t>
      </w:r>
      <w:r>
        <w:rPr>
          <w:b/>
        </w:rPr>
        <w:t>5</w:t>
      </w:r>
      <w:r w:rsidR="0074712C">
        <w:rPr>
          <w:b/>
        </w:rPr>
        <w:t>.</w:t>
      </w:r>
      <w:r w:rsidRPr="00DF1957">
        <w:rPr>
          <w:b/>
        </w:rPr>
        <w:t xml:space="preserve"> Totais de companhias com comitê de auditoria no período de 2012 a 2016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2"/>
        <w:gridCol w:w="2232"/>
        <w:gridCol w:w="2373"/>
        <w:gridCol w:w="2578"/>
      </w:tblGrid>
      <w:tr w:rsidR="004669E0" w:rsidRPr="00DF1957" w:rsidTr="004669E0">
        <w:trPr>
          <w:trHeight w:val="525"/>
        </w:trPr>
        <w:tc>
          <w:tcPr>
            <w:tcW w:w="103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ANO</w:t>
            </w:r>
          </w:p>
        </w:tc>
        <w:tc>
          <w:tcPr>
            <w:tcW w:w="123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Total de empresas da amostra</w:t>
            </w:r>
          </w:p>
        </w:tc>
        <w:tc>
          <w:tcPr>
            <w:tcW w:w="130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Pr="00DF1957">
              <w:rPr>
                <w:b/>
                <w:bCs/>
              </w:rPr>
              <w:t xml:space="preserve"> de companhias com comitê de auditoria</w:t>
            </w:r>
          </w:p>
        </w:tc>
        <w:tc>
          <w:tcPr>
            <w:tcW w:w="142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  <w:r w:rsidRPr="00DF1957">
              <w:rPr>
                <w:b/>
                <w:bCs/>
              </w:rPr>
              <w:t xml:space="preserve"> de companhias com comitê de auditoria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2016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272</w:t>
            </w:r>
          </w:p>
        </w:tc>
        <w:tc>
          <w:tcPr>
            <w:tcW w:w="130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85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31,25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2015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272</w:t>
            </w:r>
          </w:p>
        </w:tc>
        <w:tc>
          <w:tcPr>
            <w:tcW w:w="130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79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29,04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2014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269</w:t>
            </w:r>
          </w:p>
        </w:tc>
        <w:tc>
          <w:tcPr>
            <w:tcW w:w="130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74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27,51</w:t>
            </w:r>
          </w:p>
        </w:tc>
      </w:tr>
      <w:tr w:rsidR="004669E0" w:rsidRPr="00DF1957" w:rsidTr="004669E0">
        <w:trPr>
          <w:trHeight w:val="300"/>
        </w:trPr>
        <w:tc>
          <w:tcPr>
            <w:tcW w:w="1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2013</w:t>
            </w:r>
          </w:p>
        </w:tc>
        <w:tc>
          <w:tcPr>
            <w:tcW w:w="1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262</w:t>
            </w:r>
          </w:p>
        </w:tc>
        <w:tc>
          <w:tcPr>
            <w:tcW w:w="130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71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27,10</w:t>
            </w:r>
          </w:p>
        </w:tc>
      </w:tr>
      <w:tr w:rsidR="004669E0" w:rsidRPr="00DF1957" w:rsidTr="004669E0">
        <w:trPr>
          <w:trHeight w:val="315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2012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252</w:t>
            </w:r>
          </w:p>
        </w:tc>
        <w:tc>
          <w:tcPr>
            <w:tcW w:w="1309" w:type="pct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69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27,38</w:t>
            </w:r>
          </w:p>
        </w:tc>
      </w:tr>
    </w:tbl>
    <w:p w:rsidR="004669E0" w:rsidRPr="00DF1957" w:rsidRDefault="004669E0" w:rsidP="004669E0">
      <w:r w:rsidRPr="00DF1957">
        <w:t>Fonte: dados da pesquisa.</w:t>
      </w:r>
    </w:p>
    <w:p w:rsidR="004669E0" w:rsidRPr="00DF1957" w:rsidRDefault="004669E0" w:rsidP="004669E0"/>
    <w:p w:rsidR="004669E0" w:rsidRPr="00C703C0" w:rsidRDefault="004669E0" w:rsidP="004669E0">
      <w:pPr>
        <w:jc w:val="both"/>
        <w:rPr>
          <w:sz w:val="24"/>
          <w:szCs w:val="24"/>
        </w:rPr>
      </w:pPr>
      <w:r w:rsidRPr="00DF1957">
        <w:lastRenderedPageBreak/>
        <w:tab/>
      </w:r>
      <w:r w:rsidR="00AA03BC">
        <w:rPr>
          <w:sz w:val="24"/>
          <w:szCs w:val="24"/>
        </w:rPr>
        <w:t>Observa-se</w:t>
      </w:r>
      <w:r w:rsidRPr="00C703C0">
        <w:rPr>
          <w:sz w:val="24"/>
          <w:szCs w:val="24"/>
        </w:rPr>
        <w:t xml:space="preserve"> na Tabela 5 que houve aumento gradativo no percentual de companhias que possuíam comitê de auditoria. É importante destacar que o comitê de auditoria não é uma exigência legal, e sim uma recomendação de boas práticas de governança corporativa. Ressalta-se que, de acordo com </w:t>
      </w:r>
      <w:proofErr w:type="spellStart"/>
      <w:r w:rsidRPr="00C703C0">
        <w:rPr>
          <w:sz w:val="24"/>
          <w:szCs w:val="24"/>
        </w:rPr>
        <w:t>Albouzi</w:t>
      </w:r>
      <w:proofErr w:type="spellEnd"/>
      <w:r w:rsidRPr="00C703C0">
        <w:rPr>
          <w:sz w:val="24"/>
          <w:szCs w:val="24"/>
        </w:rPr>
        <w:t xml:space="preserve"> (2017), o comitê de auditoria desempenha papel fundamental para redução do gerenciamento de resultados. </w:t>
      </w:r>
    </w:p>
    <w:p w:rsidR="004669E0" w:rsidRPr="00C703C0" w:rsidRDefault="004669E0" w:rsidP="004669E0">
      <w:pPr>
        <w:autoSpaceDE w:val="0"/>
        <w:autoSpaceDN w:val="0"/>
        <w:adjustRightInd w:val="0"/>
        <w:ind w:firstLine="567"/>
        <w:jc w:val="both"/>
        <w:rPr>
          <w:bCs/>
          <w:sz w:val="24"/>
          <w:szCs w:val="24"/>
        </w:rPr>
      </w:pPr>
      <w:r w:rsidRPr="00C703C0">
        <w:rPr>
          <w:sz w:val="24"/>
          <w:szCs w:val="24"/>
        </w:rPr>
        <w:t>Os percentuais médios identificados nesta pesquisa são inferiores aos identificados no estudo de Cunha et al. (2014)</w:t>
      </w:r>
      <w:r w:rsidRPr="00C703C0">
        <w:rPr>
          <w:bCs/>
          <w:sz w:val="24"/>
          <w:szCs w:val="24"/>
        </w:rPr>
        <w:t xml:space="preserve"> em que aproximadamente 90% </w:t>
      </w:r>
      <w:r w:rsidRPr="00C703C0">
        <w:rPr>
          <w:sz w:val="24"/>
          <w:szCs w:val="24"/>
        </w:rPr>
        <w:t>das empresas da amostra possuíam o comitê de auditoria. No entanto, ressalta-se, outra vez, que as diferenças nos resultados podem ser decorrentes dos critérios de formação da amostra. Vale destacar novamente o percentual crescente de companhias com comitê de auditoria implantado.</w:t>
      </w:r>
    </w:p>
    <w:p w:rsidR="004669E0" w:rsidRPr="00C703C0" w:rsidRDefault="004669E0" w:rsidP="002942CF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Na Tabela 6 apresentam-se </w:t>
      </w:r>
      <w:r w:rsidRPr="00C703C0">
        <w:rPr>
          <w:bCs/>
          <w:sz w:val="24"/>
          <w:szCs w:val="24"/>
        </w:rPr>
        <w:t>as estatísticas descritivas referentes ao tamanho do comitê de auditoria das companhias da amostra no período de 2012 a 2016.</w:t>
      </w:r>
    </w:p>
    <w:p w:rsidR="004669E0" w:rsidRPr="00C703C0" w:rsidRDefault="004669E0" w:rsidP="004669E0">
      <w:pPr>
        <w:jc w:val="both"/>
        <w:rPr>
          <w:sz w:val="24"/>
          <w:szCs w:val="24"/>
        </w:rPr>
      </w:pPr>
    </w:p>
    <w:p w:rsidR="004669E0" w:rsidRPr="00DF1957" w:rsidRDefault="004669E0" w:rsidP="004669E0">
      <w:pPr>
        <w:rPr>
          <w:b/>
        </w:rPr>
      </w:pPr>
      <w:r w:rsidRPr="00DF1957">
        <w:rPr>
          <w:b/>
        </w:rPr>
        <w:t xml:space="preserve">Tabela </w:t>
      </w:r>
      <w:r>
        <w:rPr>
          <w:b/>
        </w:rPr>
        <w:t>6</w:t>
      </w:r>
      <w:r w:rsidR="0074712C">
        <w:rPr>
          <w:b/>
        </w:rPr>
        <w:t>.</w:t>
      </w:r>
      <w:r w:rsidRPr="00DF1957">
        <w:rPr>
          <w:b/>
        </w:rPr>
        <w:t xml:space="preserve"> Tamanho do Comitê de auditoria das companhias no período de 2012 a 2016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811"/>
        <w:gridCol w:w="1568"/>
        <w:gridCol w:w="1568"/>
        <w:gridCol w:w="1568"/>
        <w:gridCol w:w="1224"/>
      </w:tblGrid>
      <w:tr w:rsidR="004669E0" w:rsidRPr="00DF1957" w:rsidTr="004669E0">
        <w:trPr>
          <w:trHeight w:val="780"/>
        </w:trPr>
        <w:tc>
          <w:tcPr>
            <w:tcW w:w="731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ANO</w:t>
            </w:r>
          </w:p>
        </w:tc>
        <w:tc>
          <w:tcPr>
            <w:tcW w:w="999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Total de companhias com comitê de auditoria</w:t>
            </w:r>
          </w:p>
        </w:tc>
        <w:tc>
          <w:tcPr>
            <w:tcW w:w="865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Mínimo</w:t>
            </w:r>
          </w:p>
        </w:tc>
        <w:tc>
          <w:tcPr>
            <w:tcW w:w="865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Máximo</w:t>
            </w:r>
          </w:p>
        </w:tc>
        <w:tc>
          <w:tcPr>
            <w:tcW w:w="865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Média</w:t>
            </w:r>
          </w:p>
        </w:tc>
        <w:tc>
          <w:tcPr>
            <w:tcW w:w="67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  <w:r w:rsidRPr="00DF1957">
              <w:rPr>
                <w:b/>
                <w:bCs/>
              </w:rPr>
              <w:t>Desvio Padrão</w:t>
            </w:r>
          </w:p>
        </w:tc>
      </w:tr>
      <w:tr w:rsidR="004669E0" w:rsidRPr="00DF1957" w:rsidTr="004669E0">
        <w:trPr>
          <w:trHeight w:val="300"/>
        </w:trPr>
        <w:tc>
          <w:tcPr>
            <w:tcW w:w="731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2016</w:t>
            </w:r>
          </w:p>
        </w:tc>
        <w:tc>
          <w:tcPr>
            <w:tcW w:w="99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85</w:t>
            </w:r>
          </w:p>
        </w:tc>
        <w:tc>
          <w:tcPr>
            <w:tcW w:w="865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1,00</w:t>
            </w:r>
          </w:p>
        </w:tc>
        <w:tc>
          <w:tcPr>
            <w:tcW w:w="865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8,00</w:t>
            </w:r>
          </w:p>
        </w:tc>
        <w:tc>
          <w:tcPr>
            <w:tcW w:w="865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3,2588</w:t>
            </w:r>
          </w:p>
        </w:tc>
        <w:tc>
          <w:tcPr>
            <w:tcW w:w="6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1,20</w:t>
            </w:r>
          </w:p>
        </w:tc>
      </w:tr>
      <w:tr w:rsidR="004669E0" w:rsidRPr="00DF1957" w:rsidTr="004669E0">
        <w:trPr>
          <w:trHeight w:val="300"/>
        </w:trPr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2015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79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1,00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8,00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3,1646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1,30</w:t>
            </w:r>
          </w:p>
        </w:tc>
      </w:tr>
      <w:tr w:rsidR="004669E0" w:rsidRPr="00DF1957" w:rsidTr="004669E0">
        <w:trPr>
          <w:trHeight w:val="300"/>
        </w:trPr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2014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74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1,00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8,00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3,2568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1,28</w:t>
            </w:r>
          </w:p>
        </w:tc>
      </w:tr>
      <w:tr w:rsidR="004669E0" w:rsidRPr="00DF1957" w:rsidTr="004669E0">
        <w:trPr>
          <w:trHeight w:val="300"/>
        </w:trPr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2013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71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1,00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8,00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3,2676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0,94</w:t>
            </w:r>
          </w:p>
        </w:tc>
      </w:tr>
      <w:tr w:rsidR="004669E0" w:rsidRPr="00DF1957" w:rsidTr="004669E0">
        <w:trPr>
          <w:trHeight w:val="315"/>
        </w:trPr>
        <w:tc>
          <w:tcPr>
            <w:tcW w:w="731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2012</w:t>
            </w:r>
          </w:p>
        </w:tc>
        <w:tc>
          <w:tcPr>
            <w:tcW w:w="999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69</w:t>
            </w:r>
          </w:p>
        </w:tc>
        <w:tc>
          <w:tcPr>
            <w:tcW w:w="865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1,00</w:t>
            </w:r>
          </w:p>
        </w:tc>
        <w:tc>
          <w:tcPr>
            <w:tcW w:w="865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8,00</w:t>
            </w:r>
          </w:p>
        </w:tc>
        <w:tc>
          <w:tcPr>
            <w:tcW w:w="865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3,4783</w:t>
            </w:r>
          </w:p>
        </w:tc>
        <w:tc>
          <w:tcPr>
            <w:tcW w:w="6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1,27</w:t>
            </w:r>
          </w:p>
        </w:tc>
      </w:tr>
    </w:tbl>
    <w:p w:rsidR="004669E0" w:rsidRPr="00DF1957" w:rsidRDefault="004669E0" w:rsidP="004669E0">
      <w:r w:rsidRPr="00DF1957">
        <w:t>Fonte: dados da pesquisa.</w:t>
      </w:r>
    </w:p>
    <w:p w:rsidR="004669E0" w:rsidRPr="00DF1957" w:rsidRDefault="004669E0" w:rsidP="004669E0"/>
    <w:p w:rsidR="004669E0" w:rsidRPr="00C703C0" w:rsidRDefault="004669E0" w:rsidP="004669E0">
      <w:pPr>
        <w:jc w:val="both"/>
        <w:rPr>
          <w:sz w:val="24"/>
          <w:szCs w:val="24"/>
        </w:rPr>
      </w:pPr>
      <w:r w:rsidRPr="00DF1957">
        <w:tab/>
      </w:r>
      <w:r w:rsidRPr="00C703C0">
        <w:rPr>
          <w:sz w:val="24"/>
          <w:szCs w:val="24"/>
        </w:rPr>
        <w:t xml:space="preserve">É possível verificar na Tabela 6, no período de 2012 a 2016, que o tamanho médio dos comitês de auditoria fica em torno de três membros, sendo que o menor comitê possuía um único membro e o maior era constituído por oito membros. </w:t>
      </w:r>
    </w:p>
    <w:p w:rsidR="004669E0" w:rsidRPr="00C703C0" w:rsidRDefault="004669E0" w:rsidP="004669E0">
      <w:pPr>
        <w:ind w:firstLine="708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Os tamanhos médios descritos na Tabela 6 são similares ao identificados por Cunha et al. (2014) </w:t>
      </w:r>
      <w:r w:rsidRPr="00C703C0">
        <w:rPr>
          <w:bCs/>
          <w:sz w:val="24"/>
          <w:szCs w:val="24"/>
        </w:rPr>
        <w:t>que investigaram 64 companhias</w:t>
      </w:r>
      <w:r w:rsidRPr="00C703C0">
        <w:rPr>
          <w:sz w:val="24"/>
          <w:szCs w:val="24"/>
        </w:rPr>
        <w:t xml:space="preserve"> brasileiras </w:t>
      </w:r>
      <w:r w:rsidRPr="00C703C0">
        <w:rPr>
          <w:iCs/>
          <w:sz w:val="24"/>
          <w:szCs w:val="24"/>
        </w:rPr>
        <w:t xml:space="preserve">e também encontraram um tamanho médio próximo a três membros. Porém, </w:t>
      </w:r>
      <w:r w:rsidRPr="00C703C0">
        <w:rPr>
          <w:sz w:val="24"/>
          <w:szCs w:val="24"/>
        </w:rPr>
        <w:t xml:space="preserve">são um pouco inferiores aos identificados por Badolato et al. (2014), que encontrou um tamanho médio do comitê de auditoria de 3,80 membros em uma amostra de companhias americanas e ao encontrado por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 que identificou um tamanho médio equivalente a 3,96 membros por comitê. Mais uma vez, destaca-se que as diferenças nos resultados podem ser decorrentes dos critérios de formação da amostra</w:t>
      </w:r>
    </w:p>
    <w:p w:rsidR="004669E0" w:rsidRPr="00C703C0" w:rsidRDefault="004669E0" w:rsidP="004669E0">
      <w:pPr>
        <w:widowControl w:val="0"/>
        <w:ind w:firstLine="567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Na Tabela 7 são apresentados os coeficientes da regressão, que possibilitam </w:t>
      </w:r>
      <w:r w:rsidRPr="00C703C0">
        <w:rPr>
          <w:iCs/>
          <w:sz w:val="24"/>
          <w:szCs w:val="24"/>
        </w:rPr>
        <w:t>verificar a influência</w:t>
      </w:r>
      <w:r w:rsidRPr="00C703C0">
        <w:rPr>
          <w:bCs/>
          <w:sz w:val="24"/>
          <w:szCs w:val="24"/>
        </w:rPr>
        <w:t xml:space="preserve"> da qualidade da auditoria </w:t>
      </w:r>
      <w:r w:rsidRPr="00C703C0">
        <w:rPr>
          <w:iCs/>
          <w:sz w:val="24"/>
          <w:szCs w:val="24"/>
        </w:rPr>
        <w:t>no gerenciamento de resultados</w:t>
      </w:r>
      <w:r w:rsidRPr="00C703C0">
        <w:rPr>
          <w:sz w:val="24"/>
          <w:szCs w:val="24"/>
        </w:rPr>
        <w:t xml:space="preserve"> (dependente). Todavia, antes de iniciar a análise, ressalta-se que os indicadores de gerenciamento podem ser tanto positivos, quanto negativos, conforme pode ser verificado na Tabela 3. Porém, apesar do indicador em uma determinada empresa ser negativo, equivalente a -0,10, por exemplo, não significa que, em termos proporcionais, o gerenciamento tenha sido menor do que o praticado em uma outra empresa que apresentou indicador positivo de 0,10. A diferença é que, enquanto uma delas realizou gerenciamento para reduzir o resultado, a outra, realizou para aumentar o resultado. Mas, proporcionalmente, o gerenciamento realizado foi similar. </w:t>
      </w:r>
    </w:p>
    <w:p w:rsidR="004669E0" w:rsidRPr="00C703C0" w:rsidRDefault="004669E0" w:rsidP="004669E0">
      <w:pPr>
        <w:widowControl w:val="0"/>
        <w:ind w:firstLine="567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Então, neste estudo, a exemplo de </w:t>
      </w:r>
      <w:proofErr w:type="spellStart"/>
      <w:r w:rsidRPr="00C703C0">
        <w:rPr>
          <w:sz w:val="24"/>
          <w:szCs w:val="24"/>
        </w:rPr>
        <w:t>Huguet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Gandía</w:t>
      </w:r>
      <w:proofErr w:type="spellEnd"/>
      <w:r w:rsidRPr="00C703C0">
        <w:rPr>
          <w:sz w:val="24"/>
          <w:szCs w:val="24"/>
        </w:rPr>
        <w:t xml:space="preserve"> (2016),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(2017),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 e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(2018), foram utilizados os indicadores de gerenciamento em </w:t>
      </w:r>
      <w:r w:rsidRPr="00C703C0">
        <w:rPr>
          <w:sz w:val="24"/>
          <w:szCs w:val="24"/>
        </w:rPr>
        <w:lastRenderedPageBreak/>
        <w:t>valores absolutos para gerar a regressão, pois, quanto mais distante de zero for o indicador, seja positivo ou negativo, significa que haverá maior gerenciamento nos resultados. Ou seja, para não gerar uma regressão equivocada foram ignorados os sinais negativos e foram considerados os indicadores em valores absolutos.</w:t>
      </w:r>
    </w:p>
    <w:p w:rsidR="004669E0" w:rsidRPr="00DF1957" w:rsidRDefault="004669E0" w:rsidP="004669E0">
      <w:pPr>
        <w:ind w:firstLine="567"/>
        <w:jc w:val="both"/>
        <w:rPr>
          <w:bCs/>
        </w:rPr>
      </w:pPr>
    </w:p>
    <w:p w:rsidR="004669E0" w:rsidRPr="00DF1957" w:rsidRDefault="004669E0" w:rsidP="004669E0">
      <w:pPr>
        <w:jc w:val="both"/>
        <w:rPr>
          <w:bCs/>
        </w:rPr>
      </w:pPr>
      <w:r w:rsidRPr="00DF1957">
        <w:rPr>
          <w:b/>
          <w:bCs/>
        </w:rPr>
        <w:t>Tabela 7</w:t>
      </w:r>
      <w:r w:rsidR="0074712C">
        <w:rPr>
          <w:b/>
          <w:bCs/>
        </w:rPr>
        <w:t>.</w:t>
      </w:r>
      <w:r w:rsidRPr="00DF1957">
        <w:rPr>
          <w:b/>
          <w:bCs/>
        </w:rPr>
        <w:t xml:space="preserve"> Coeficientes das regressões da influência da qualidade da auditoria no gerenciamento de resultados do período de 2012 a 2016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1684"/>
        <w:gridCol w:w="1684"/>
        <w:gridCol w:w="1684"/>
        <w:gridCol w:w="1684"/>
      </w:tblGrid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rPr>
                <w:b/>
                <w:bCs/>
                <w:i/>
                <w:iCs/>
              </w:rPr>
            </w:pPr>
            <w:r w:rsidRPr="00DF1957">
              <w:rPr>
                <w:b/>
                <w:bCs/>
                <w:i/>
                <w:iCs/>
              </w:rPr>
              <w:t>Variáveis</w:t>
            </w:r>
          </w:p>
        </w:tc>
        <w:tc>
          <w:tcPr>
            <w:tcW w:w="929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  <w:i/>
                <w:iCs/>
              </w:rPr>
            </w:pPr>
            <w:r w:rsidRPr="00DF1957">
              <w:rPr>
                <w:b/>
                <w:bCs/>
                <w:i/>
                <w:iCs/>
              </w:rPr>
              <w:t>Modelo 1</w:t>
            </w:r>
          </w:p>
        </w:tc>
        <w:tc>
          <w:tcPr>
            <w:tcW w:w="9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  <w:i/>
                <w:iCs/>
              </w:rPr>
            </w:pPr>
            <w:r w:rsidRPr="00DF1957">
              <w:rPr>
                <w:b/>
                <w:bCs/>
                <w:i/>
                <w:iCs/>
              </w:rPr>
              <w:t>Modelo 2</w:t>
            </w:r>
          </w:p>
        </w:tc>
        <w:tc>
          <w:tcPr>
            <w:tcW w:w="92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  <w:i/>
                <w:iCs/>
              </w:rPr>
            </w:pPr>
            <w:r w:rsidRPr="00DF1957">
              <w:rPr>
                <w:b/>
                <w:bCs/>
                <w:i/>
                <w:iCs/>
              </w:rPr>
              <w:t>Modelo 3</w:t>
            </w:r>
          </w:p>
        </w:tc>
        <w:tc>
          <w:tcPr>
            <w:tcW w:w="92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  <w:i/>
                <w:iCs/>
              </w:rPr>
            </w:pPr>
            <w:r w:rsidRPr="00DF1957">
              <w:rPr>
                <w:b/>
                <w:bCs/>
                <w:i/>
                <w:iCs/>
              </w:rPr>
              <w:t>Modelo 4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r w:rsidRPr="00DF1957">
              <w:t>(Constante)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0,168***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0,167***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0,168***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0,173***</w:t>
            </w:r>
          </w:p>
        </w:tc>
      </w:tr>
      <w:tr w:rsidR="004669E0" w:rsidRPr="00430FD2" w:rsidTr="0074712C">
        <w:trPr>
          <w:trHeight w:hRule="exact" w:val="60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69E0" w:rsidRPr="00430FD2" w:rsidRDefault="004669E0" w:rsidP="004669E0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Big</w:t>
            </w:r>
            <w:r w:rsidRPr="00DF1957">
              <w:rPr>
                <w:i/>
                <w:iCs/>
              </w:rPr>
              <w:t>four</w:t>
            </w:r>
            <w:proofErr w:type="spellEnd"/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-0,037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-0,035</w:t>
            </w:r>
          </w:p>
        </w:tc>
      </w:tr>
      <w:tr w:rsidR="004669E0" w:rsidRPr="00430FD2" w:rsidTr="0074712C">
        <w:trPr>
          <w:trHeight w:hRule="exact" w:val="60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69E0" w:rsidRPr="00430FD2" w:rsidRDefault="004669E0" w:rsidP="004669E0">
            <w:pPr>
              <w:rPr>
                <w:sz w:val="16"/>
                <w:szCs w:val="16"/>
              </w:rPr>
            </w:pP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6"/>
                <w:szCs w:val="16"/>
              </w:rPr>
            </w:pP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roofErr w:type="spellStart"/>
            <w:r w:rsidRPr="00DF1957">
              <w:t>ComiteAudit</w:t>
            </w:r>
            <w:proofErr w:type="spellEnd"/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-0,029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-0,031</w:t>
            </w:r>
          </w:p>
        </w:tc>
      </w:tr>
      <w:tr w:rsidR="004669E0" w:rsidRPr="00430FD2" w:rsidTr="0074712C">
        <w:trPr>
          <w:trHeight w:hRule="exact" w:val="60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69E0" w:rsidRPr="00430FD2" w:rsidRDefault="004669E0" w:rsidP="004669E0">
            <w:pPr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roofErr w:type="spellStart"/>
            <w:r w:rsidRPr="00DF1957">
              <w:t>Tam_ComiteAudit</w:t>
            </w:r>
            <w:proofErr w:type="spellEnd"/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  <w:rPr>
                <w:b/>
                <w:bCs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0,037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0,006</w:t>
            </w:r>
          </w:p>
        </w:tc>
      </w:tr>
      <w:tr w:rsidR="004669E0" w:rsidRPr="00430FD2" w:rsidTr="004669E0">
        <w:trPr>
          <w:trHeight w:hRule="exact" w:val="140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69E0" w:rsidRPr="00430FD2" w:rsidRDefault="004669E0" w:rsidP="004669E0">
            <w:pPr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69E0" w:rsidRPr="00430FD2" w:rsidRDefault="004669E0" w:rsidP="004669E0">
            <w:pPr>
              <w:jc w:val="center"/>
              <w:rPr>
                <w:sz w:val="12"/>
                <w:szCs w:val="12"/>
              </w:rPr>
            </w:pP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r w:rsidRPr="00DF1957">
              <w:t>Endividamento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0,048*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0,044*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0,044*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0,048*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roofErr w:type="spellStart"/>
            <w:r w:rsidRPr="00DF1957">
              <w:t>TamCia</w:t>
            </w:r>
            <w:proofErr w:type="spellEnd"/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-0,158***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-0,152***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-0,153***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-0,166***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r w:rsidRPr="00DF1957">
              <w:t>Crescimento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0,062**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0,060**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0,060**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0,060**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r w:rsidRPr="00DF1957">
              <w:t>Desempenho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-0,425***</w:t>
            </w:r>
          </w:p>
        </w:tc>
        <w:tc>
          <w:tcPr>
            <w:tcW w:w="92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-0,423***</w:t>
            </w:r>
          </w:p>
        </w:tc>
        <w:tc>
          <w:tcPr>
            <w:tcW w:w="92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-0,424***</w:t>
            </w:r>
          </w:p>
        </w:tc>
        <w:tc>
          <w:tcPr>
            <w:tcW w:w="9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-0,427***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r w:rsidRPr="00DF1957">
              <w:t>R-quadrado ajustado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0,224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0,223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0,224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0,224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r w:rsidRPr="00DF1957">
              <w:t>F-Anova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77,457***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77,318***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77,485***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55,572***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r w:rsidRPr="00DF1957">
              <w:t>VIF/</w:t>
            </w:r>
            <w:proofErr w:type="spellStart"/>
            <w:r w:rsidRPr="00DF1957">
              <w:t>Tolerance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&lt;10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&lt;10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&lt;10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&lt;10</w:t>
            </w:r>
          </w:p>
        </w:tc>
      </w:tr>
      <w:tr w:rsidR="004669E0" w:rsidRPr="00DF1957" w:rsidTr="004669E0">
        <w:trPr>
          <w:trHeight w:hRule="exact" w:val="284"/>
        </w:trPr>
        <w:tc>
          <w:tcPr>
            <w:tcW w:w="128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roofErr w:type="spellStart"/>
            <w:r w:rsidRPr="00DF1957">
              <w:t>Durbin</w:t>
            </w:r>
            <w:proofErr w:type="spellEnd"/>
            <w:r w:rsidRPr="00DF1957">
              <w:t xml:space="preserve"> Watson</w:t>
            </w:r>
          </w:p>
        </w:tc>
        <w:tc>
          <w:tcPr>
            <w:tcW w:w="92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1,932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1,934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1,933</w:t>
            </w:r>
          </w:p>
        </w:tc>
        <w:tc>
          <w:tcPr>
            <w:tcW w:w="929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669E0" w:rsidRPr="00DF1957" w:rsidRDefault="004669E0" w:rsidP="004669E0">
            <w:pPr>
              <w:jc w:val="center"/>
            </w:pPr>
            <w:r w:rsidRPr="00DF1957">
              <w:t>1,930</w:t>
            </w:r>
          </w:p>
        </w:tc>
      </w:tr>
    </w:tbl>
    <w:p w:rsidR="004669E0" w:rsidRPr="00DF1957" w:rsidRDefault="004669E0" w:rsidP="004669E0">
      <w:pPr>
        <w:ind w:right="-1"/>
        <w:jc w:val="both"/>
      </w:pPr>
      <w:r w:rsidRPr="00DF1957">
        <w:t>*** Significativo a 1%</w:t>
      </w:r>
      <w:r>
        <w:t xml:space="preserve">; </w:t>
      </w:r>
      <w:r w:rsidRPr="00DF1957">
        <w:t>** Significativo a 5%</w:t>
      </w:r>
      <w:r>
        <w:t xml:space="preserve">; </w:t>
      </w:r>
      <w:r w:rsidRPr="00DF1957">
        <w:t>* Significativo a 10%</w:t>
      </w:r>
      <w:r>
        <w:t>.</w:t>
      </w:r>
    </w:p>
    <w:p w:rsidR="004669E0" w:rsidRPr="00DF1957" w:rsidRDefault="004669E0" w:rsidP="004669E0">
      <w:pPr>
        <w:ind w:right="-1"/>
        <w:jc w:val="both"/>
      </w:pPr>
      <w:r w:rsidRPr="00DF1957">
        <w:t>Fonte: dados de pesquisa.</w:t>
      </w:r>
    </w:p>
    <w:p w:rsidR="004669E0" w:rsidRPr="00DF1957" w:rsidRDefault="004669E0" w:rsidP="004669E0"/>
    <w:p w:rsidR="004669E0" w:rsidRPr="00C703C0" w:rsidRDefault="004669E0" w:rsidP="00C703C0">
      <w:pPr>
        <w:widowControl w:val="0"/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Observa-se na Tabela 7 que o R² ajustado foi de aproximadamente 22% nos quatro modelos. Estes R² ajustados são semelhantes aos registrados em outras pesquisas da mesma natureza, tais como de Badolato et al. (2014) que apresentaram regressões com R² ajustado de 12% e 33%, de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 que se basearam em regressões com R² de 18% e 25% e, também, similar a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 com regressões de R² entre 12% e 16%. Desse modo, o percentual explicado pelas variáveis independentes pode ser considerado aceitável.</w:t>
      </w:r>
    </w:p>
    <w:p w:rsidR="004669E0" w:rsidRPr="00C703C0" w:rsidRDefault="004669E0" w:rsidP="00C703C0">
      <w:pPr>
        <w:widowControl w:val="0"/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Verifica-se que os testes F-ANOVA foram significantes (0,01), ou seja, o conjunto de variáveis independentes exercem influência sobre as variáveis dependentes. Os resultados da estatística de </w:t>
      </w:r>
      <w:proofErr w:type="spellStart"/>
      <w:r w:rsidRPr="00C703C0">
        <w:rPr>
          <w:sz w:val="24"/>
          <w:szCs w:val="24"/>
        </w:rPr>
        <w:t>Durbin</w:t>
      </w:r>
      <w:proofErr w:type="spellEnd"/>
      <w:r w:rsidRPr="00C703C0">
        <w:rPr>
          <w:sz w:val="24"/>
          <w:szCs w:val="24"/>
        </w:rPr>
        <w:t xml:space="preserve">-Watson, em torno de 1,93, em todos os modelos, demonstram que não há problemas de </w:t>
      </w:r>
      <w:proofErr w:type="spellStart"/>
      <w:r w:rsidRPr="00C703C0">
        <w:rPr>
          <w:sz w:val="24"/>
          <w:szCs w:val="24"/>
        </w:rPr>
        <w:t>autocorrelação</w:t>
      </w:r>
      <w:proofErr w:type="spellEnd"/>
      <w:r w:rsidRPr="00C703C0">
        <w:rPr>
          <w:sz w:val="24"/>
          <w:szCs w:val="24"/>
        </w:rPr>
        <w:t xml:space="preserve"> dos resíduos, já que o valor ficou próximo de dois. Por fim, verifica-se também que o fator de inflação de variância – VIF e </w:t>
      </w:r>
      <w:proofErr w:type="spellStart"/>
      <w:r w:rsidRPr="00C703C0">
        <w:rPr>
          <w:sz w:val="24"/>
          <w:szCs w:val="24"/>
        </w:rPr>
        <w:t>Tolerance</w:t>
      </w:r>
      <w:proofErr w:type="spellEnd"/>
      <w:r w:rsidRPr="00C703C0">
        <w:rPr>
          <w:sz w:val="24"/>
          <w:szCs w:val="24"/>
        </w:rPr>
        <w:t xml:space="preserve"> apresentaram valores baixos. Portanto, neste caso não há problema de </w:t>
      </w:r>
      <w:proofErr w:type="spellStart"/>
      <w:r w:rsidRPr="00C703C0">
        <w:rPr>
          <w:sz w:val="24"/>
          <w:szCs w:val="24"/>
        </w:rPr>
        <w:t>multicolinearidade</w:t>
      </w:r>
      <w:proofErr w:type="spellEnd"/>
      <w:r w:rsidRPr="00C703C0">
        <w:rPr>
          <w:sz w:val="24"/>
          <w:szCs w:val="24"/>
        </w:rPr>
        <w:t xml:space="preserve"> entre as variáveis independentes do modelo. Conforme </w:t>
      </w:r>
      <w:proofErr w:type="spellStart"/>
      <w:r w:rsidRPr="00C703C0">
        <w:rPr>
          <w:sz w:val="24"/>
          <w:szCs w:val="24"/>
        </w:rPr>
        <w:t>Hair</w:t>
      </w:r>
      <w:proofErr w:type="spellEnd"/>
      <w:r w:rsidRPr="00C703C0">
        <w:rPr>
          <w:sz w:val="24"/>
          <w:szCs w:val="24"/>
        </w:rPr>
        <w:t xml:space="preserve"> Jr. et al. (2005), um VIF é considerado alto quando está acima de dez.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bCs/>
          <w:sz w:val="24"/>
          <w:szCs w:val="24"/>
        </w:rPr>
        <w:t>É possível perceber, ainda na Tabela 7, que as três variáveis relacionadas a auditoria</w:t>
      </w:r>
      <w:r w:rsidRPr="00C703C0">
        <w:rPr>
          <w:sz w:val="24"/>
          <w:szCs w:val="24"/>
        </w:rPr>
        <w:t xml:space="preserve">, ou seja, a variável que capta a auditoria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 xml:space="preserve"> (</w:t>
      </w:r>
      <w:proofErr w:type="spellStart"/>
      <w:r w:rsidRPr="00C703C0">
        <w:rPr>
          <w:bCs/>
          <w:i/>
          <w:sz w:val="24"/>
          <w:szCs w:val="24"/>
        </w:rPr>
        <w:t>bigfour</w:t>
      </w:r>
      <w:proofErr w:type="spellEnd"/>
      <w:r w:rsidRPr="00C703C0">
        <w:rPr>
          <w:bCs/>
          <w:sz w:val="24"/>
          <w:szCs w:val="24"/>
        </w:rPr>
        <w:t>), que verifica a existência de comitê de auditoria</w:t>
      </w:r>
      <w:r w:rsidRPr="00C703C0">
        <w:rPr>
          <w:sz w:val="24"/>
          <w:szCs w:val="24"/>
        </w:rPr>
        <w:t xml:space="preserve"> (</w:t>
      </w:r>
      <w:proofErr w:type="spellStart"/>
      <w:r w:rsidRPr="00C703C0">
        <w:rPr>
          <w:bCs/>
          <w:sz w:val="24"/>
          <w:szCs w:val="24"/>
        </w:rPr>
        <w:t>ComiteAudit</w:t>
      </w:r>
      <w:proofErr w:type="spellEnd"/>
      <w:r w:rsidRPr="00C703C0">
        <w:rPr>
          <w:bCs/>
          <w:sz w:val="24"/>
          <w:szCs w:val="24"/>
        </w:rPr>
        <w:t>) e, ainda, o tamanho do comitê de auditoria</w:t>
      </w:r>
      <w:r w:rsidRPr="00C703C0">
        <w:rPr>
          <w:sz w:val="24"/>
          <w:szCs w:val="24"/>
        </w:rPr>
        <w:t xml:space="preserve"> (</w:t>
      </w:r>
      <w:proofErr w:type="spellStart"/>
      <w:r w:rsidRPr="00C703C0">
        <w:rPr>
          <w:bCs/>
          <w:sz w:val="24"/>
          <w:szCs w:val="24"/>
        </w:rPr>
        <w:t>Tam_ComiteAudit</w:t>
      </w:r>
      <w:proofErr w:type="spellEnd"/>
      <w:r w:rsidRPr="00C703C0">
        <w:rPr>
          <w:bCs/>
          <w:sz w:val="24"/>
          <w:szCs w:val="24"/>
        </w:rPr>
        <w:t xml:space="preserve">) não se </w:t>
      </w:r>
      <w:r w:rsidRPr="00C703C0">
        <w:rPr>
          <w:sz w:val="24"/>
          <w:szCs w:val="24"/>
        </w:rPr>
        <w:t xml:space="preserve">revelaram estatisticamente significantes, seja quando analisadas de forma individual ou de forma combinadas nos modelos. Em razão da falta de significância estatística infere-se que a auditoria por </w:t>
      </w:r>
      <w:r w:rsidRPr="00C703C0">
        <w:rPr>
          <w:i/>
          <w:sz w:val="24"/>
          <w:szCs w:val="24"/>
        </w:rPr>
        <w:t>big four,</w:t>
      </w:r>
      <w:r w:rsidRPr="00C703C0">
        <w:rPr>
          <w:sz w:val="24"/>
          <w:szCs w:val="24"/>
        </w:rPr>
        <w:t xml:space="preserve"> a existência de comitê de auditoria e o tamanho do comitê, na amostra pesquisada, não influenciam no nível de gerenciamento. O resultado é similar aos de Martinez e Reis (2010), Silva e Bezerra (2010), </w:t>
      </w:r>
      <w:proofErr w:type="spellStart"/>
      <w:r w:rsidRPr="00C703C0">
        <w:rPr>
          <w:sz w:val="24"/>
          <w:szCs w:val="24"/>
        </w:rPr>
        <w:t>Lin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Hwang</w:t>
      </w:r>
      <w:proofErr w:type="spellEnd"/>
      <w:r w:rsidRPr="00C703C0">
        <w:rPr>
          <w:sz w:val="24"/>
          <w:szCs w:val="24"/>
        </w:rPr>
        <w:t xml:space="preserve"> (2010), Azevedo e Costa (2012), Cunha et </w:t>
      </w:r>
      <w:r w:rsidRPr="00C703C0">
        <w:rPr>
          <w:sz w:val="24"/>
          <w:szCs w:val="24"/>
        </w:rPr>
        <w:lastRenderedPageBreak/>
        <w:t xml:space="preserve">al. (2014), Santana et al. (2014) e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(2017), que também não identificaram influência da auditoria no gerenciamento de resultados. </w:t>
      </w:r>
    </w:p>
    <w:p w:rsidR="004669E0" w:rsidRPr="00C703C0" w:rsidRDefault="004669E0" w:rsidP="00C703C0">
      <w:pPr>
        <w:ind w:right="-1" w:firstLine="709"/>
        <w:jc w:val="both"/>
        <w:rPr>
          <w:rFonts w:eastAsia="Arial Unicode MS"/>
          <w:sz w:val="24"/>
          <w:szCs w:val="24"/>
          <w:shd w:val="clear" w:color="auto" w:fill="FFFFFF"/>
        </w:rPr>
      </w:pPr>
      <w:r w:rsidRPr="00C703C0">
        <w:rPr>
          <w:bCs/>
          <w:sz w:val="24"/>
          <w:szCs w:val="24"/>
        </w:rPr>
        <w:t xml:space="preserve">O Brasil, assim como outros países </w:t>
      </w:r>
      <w:proofErr w:type="spellStart"/>
      <w:r w:rsidRPr="00C703C0">
        <w:rPr>
          <w:bCs/>
          <w:i/>
          <w:sz w:val="24"/>
          <w:szCs w:val="24"/>
        </w:rPr>
        <w:t>code</w:t>
      </w:r>
      <w:proofErr w:type="spellEnd"/>
      <w:r w:rsidRPr="00C703C0">
        <w:rPr>
          <w:bCs/>
          <w:i/>
          <w:sz w:val="24"/>
          <w:szCs w:val="24"/>
        </w:rPr>
        <w:t xml:space="preserve"> </w:t>
      </w:r>
      <w:proofErr w:type="spellStart"/>
      <w:r w:rsidRPr="00C703C0">
        <w:rPr>
          <w:bCs/>
          <w:i/>
          <w:sz w:val="24"/>
          <w:szCs w:val="24"/>
        </w:rPr>
        <w:t>law</w:t>
      </w:r>
      <w:proofErr w:type="spellEnd"/>
      <w:r w:rsidRPr="00C703C0">
        <w:rPr>
          <w:bCs/>
          <w:sz w:val="24"/>
          <w:szCs w:val="24"/>
        </w:rPr>
        <w:t>, possui</w:t>
      </w:r>
      <w:r w:rsidRPr="00C703C0">
        <w:rPr>
          <w:rFonts w:eastAsia="Arial Unicode MS"/>
          <w:sz w:val="24"/>
          <w:szCs w:val="24"/>
          <w:shd w:val="clear" w:color="auto" w:fill="FFFFFF"/>
        </w:rPr>
        <w:t xml:space="preserve"> um mercado de ações em desenvolvimento, em que maioria das</w:t>
      </w:r>
      <w:r w:rsidRPr="00C703C0">
        <w:rPr>
          <w:sz w:val="24"/>
          <w:szCs w:val="24"/>
        </w:rPr>
        <w:t xml:space="preserve"> companhias possuem propriedade altamente concentrada, inclusive, muitas vezes, com sistemas de governança deficientes. Este ambiente institucional difere daquele percebido em </w:t>
      </w:r>
      <w:r w:rsidRPr="00C703C0">
        <w:rPr>
          <w:rFonts w:eastAsia="Arial Unicode MS"/>
          <w:sz w:val="24"/>
          <w:szCs w:val="24"/>
          <w:shd w:val="clear" w:color="auto" w:fill="FFFFFF"/>
        </w:rPr>
        <w:t>mercados mais desenvolvidos, como Estados Unidos (</w:t>
      </w:r>
      <w:r w:rsidRPr="00C703C0">
        <w:rPr>
          <w:rFonts w:eastAsia="Arial Unicode MS"/>
          <w:i/>
          <w:sz w:val="24"/>
          <w:szCs w:val="24"/>
          <w:shd w:val="clear" w:color="auto" w:fill="FFFFFF"/>
        </w:rPr>
        <w:t>common-</w:t>
      </w:r>
      <w:proofErr w:type="spellStart"/>
      <w:r w:rsidRPr="00C703C0">
        <w:rPr>
          <w:rFonts w:eastAsia="Arial Unicode MS"/>
          <w:i/>
          <w:sz w:val="24"/>
          <w:szCs w:val="24"/>
          <w:shd w:val="clear" w:color="auto" w:fill="FFFFFF"/>
        </w:rPr>
        <w:t>law</w:t>
      </w:r>
      <w:proofErr w:type="spellEnd"/>
      <w:r w:rsidRPr="00C703C0">
        <w:rPr>
          <w:rFonts w:eastAsia="Arial Unicode MS"/>
          <w:sz w:val="24"/>
          <w:szCs w:val="24"/>
          <w:shd w:val="clear" w:color="auto" w:fill="FFFFFF"/>
        </w:rPr>
        <w:t xml:space="preserve">), por exemplo. Logo, </w:t>
      </w:r>
      <w:r w:rsidRPr="00C703C0">
        <w:rPr>
          <w:sz w:val="24"/>
          <w:szCs w:val="24"/>
        </w:rPr>
        <w:t>a pressão exercida pelo acionista controlador pode reduzir o impacto positivo da auditoria no gerenciamento de resultados. Essa pode ser uma justificativa para a falta de significância identificada nesse estudo, na amostra composta por companhias brasileiras.</w:t>
      </w:r>
    </w:p>
    <w:p w:rsidR="004669E0" w:rsidRPr="00C703C0" w:rsidRDefault="004669E0" w:rsidP="00C703C0">
      <w:pPr>
        <w:ind w:right="-1"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>Em relação às variáveis de controle, verifica-se na Tabela 7 que todas revelaram-se estatisticamente significantes nos quatro modelos. Todavia, enquanto as variáveis “endividamento” (0,048) e “crescimento” (0,062) apresentaram coeficientes positivos, de modo contrário, as variáveis “</w:t>
      </w:r>
      <w:proofErr w:type="spellStart"/>
      <w:r w:rsidRPr="00C703C0">
        <w:rPr>
          <w:sz w:val="24"/>
          <w:szCs w:val="24"/>
        </w:rPr>
        <w:t>TamCia</w:t>
      </w:r>
      <w:proofErr w:type="spellEnd"/>
      <w:r w:rsidRPr="00C703C0">
        <w:rPr>
          <w:sz w:val="24"/>
          <w:szCs w:val="24"/>
        </w:rPr>
        <w:t>” e “Desempenho” apresentaram coeficientes negativos.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Em relação ao endividamento, confirmou-se que empresas que possuem maior nível de endividamento estão mais susceptíveis as práticas de gerenciamento de resultados para evitar a violação de </w:t>
      </w:r>
      <w:proofErr w:type="spellStart"/>
      <w:r w:rsidRPr="00C703C0">
        <w:rPr>
          <w:i/>
          <w:sz w:val="24"/>
          <w:szCs w:val="24"/>
        </w:rPr>
        <w:t>covenants</w:t>
      </w:r>
      <w:proofErr w:type="spellEnd"/>
      <w:r w:rsidRPr="00C703C0">
        <w:rPr>
          <w:sz w:val="24"/>
          <w:szCs w:val="24"/>
        </w:rPr>
        <w:t xml:space="preserve"> de contratos de financiamentos, conforme salientaram autores como Cunha et al. (2014); </w:t>
      </w:r>
      <w:proofErr w:type="spellStart"/>
      <w:r w:rsidRPr="00C703C0">
        <w:rPr>
          <w:sz w:val="24"/>
          <w:szCs w:val="24"/>
        </w:rPr>
        <w:t>Huguet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Gandía</w:t>
      </w:r>
      <w:proofErr w:type="spellEnd"/>
      <w:r w:rsidRPr="00C703C0">
        <w:rPr>
          <w:sz w:val="24"/>
          <w:szCs w:val="24"/>
        </w:rPr>
        <w:t xml:space="preserve"> (2016);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pacing w:val="1"/>
          <w:sz w:val="24"/>
          <w:szCs w:val="24"/>
        </w:rPr>
        <w:t>No tocante ao crescimento, o coeficiente positivo revelou que há uma tendência de que os</w:t>
      </w:r>
      <w:r w:rsidRPr="00C703C0">
        <w:rPr>
          <w:sz w:val="24"/>
          <w:szCs w:val="24"/>
        </w:rPr>
        <w:t xml:space="preserve"> gestores de empresas com alto potencial de crescimento, realmente, podem ser mais preocupados com a necessidade de atingir metas de resultados e, por isso, possuem mais incentivos à prática do gerenciamento de resultados. O resultado do estudo confirma os preceitos de Badolato et al. (2014); </w:t>
      </w:r>
      <w:proofErr w:type="spellStart"/>
      <w:r w:rsidRPr="00C703C0">
        <w:rPr>
          <w:sz w:val="24"/>
          <w:szCs w:val="24"/>
        </w:rPr>
        <w:t>Huguet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Gandía</w:t>
      </w:r>
      <w:proofErr w:type="spellEnd"/>
      <w:r w:rsidRPr="00C703C0">
        <w:rPr>
          <w:sz w:val="24"/>
          <w:szCs w:val="24"/>
        </w:rPr>
        <w:t xml:space="preserve"> (2016);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Quanto ao tamanho, confirmou-se que empresas maiores tendem a possuir estruturas de governança e controles internos de melhor qualidade, estão sujeitas a análises mais rigorosas por parte de investidores e analistas e, por isso, estão associadas negativamente com o gerenciamento de resultados conforme sugerem os estudos de Cunha et al. (2014);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 e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>No que se refere ao desempenho, os coeficientes confirmam que empresas com desempenho superior se tornam menos propensas a se envolverem em gerenciamentos de resultados, conforme observado anteriormente nas investigações  de</w:t>
      </w:r>
      <w:r w:rsidRPr="00C703C0">
        <w:rPr>
          <w:rStyle w:val="nfase"/>
          <w:rFonts w:eastAsia="Arial Unicode M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703C0">
        <w:rPr>
          <w:sz w:val="24"/>
          <w:szCs w:val="24"/>
        </w:rPr>
        <w:t>Huguet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Gandía</w:t>
      </w:r>
      <w:proofErr w:type="spellEnd"/>
      <w:r w:rsidRPr="00C703C0">
        <w:rPr>
          <w:sz w:val="24"/>
          <w:szCs w:val="24"/>
        </w:rPr>
        <w:t xml:space="preserve"> (2016);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(2017);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</w:t>
      </w:r>
    </w:p>
    <w:p w:rsidR="004669E0" w:rsidRPr="00C703C0" w:rsidRDefault="004669E0" w:rsidP="004669E0">
      <w:pPr>
        <w:ind w:right="-1"/>
        <w:jc w:val="both"/>
        <w:rPr>
          <w:sz w:val="24"/>
          <w:szCs w:val="24"/>
        </w:rPr>
      </w:pPr>
    </w:p>
    <w:p w:rsidR="004669E0" w:rsidRPr="00C703C0" w:rsidRDefault="004669E0" w:rsidP="004669E0">
      <w:pPr>
        <w:jc w:val="both"/>
        <w:rPr>
          <w:b/>
          <w:bCs/>
          <w:sz w:val="24"/>
          <w:szCs w:val="24"/>
        </w:rPr>
      </w:pPr>
      <w:r w:rsidRPr="00C703C0">
        <w:rPr>
          <w:b/>
          <w:bCs/>
          <w:sz w:val="24"/>
          <w:szCs w:val="24"/>
        </w:rPr>
        <w:t xml:space="preserve">5 </w:t>
      </w:r>
      <w:r w:rsidR="00467FB3" w:rsidRPr="00C703C0">
        <w:rPr>
          <w:b/>
          <w:bCs/>
          <w:sz w:val="24"/>
          <w:szCs w:val="24"/>
        </w:rPr>
        <w:t>Considerações Finais</w:t>
      </w:r>
    </w:p>
    <w:p w:rsidR="004669E0" w:rsidRPr="00C703C0" w:rsidRDefault="004669E0" w:rsidP="00C703C0">
      <w:pPr>
        <w:ind w:firstLine="709"/>
        <w:jc w:val="both"/>
        <w:rPr>
          <w:bCs/>
          <w:sz w:val="24"/>
          <w:szCs w:val="24"/>
        </w:rPr>
      </w:pPr>
      <w:r w:rsidRPr="00C703C0">
        <w:rPr>
          <w:sz w:val="24"/>
          <w:szCs w:val="24"/>
        </w:rPr>
        <w:t>O estudo verificou a influência da auditoria no gerenciamento de resultados das companhias abertas listadas na B3. Para tal, realizou-se pesquisa descritiva e com abordagem quantitativa em uma amostra de companhias que possuíam dados disponíveis no período de 2012 a 2016. Inicialmente, o</w:t>
      </w:r>
      <w:r w:rsidRPr="00C703C0">
        <w:rPr>
          <w:bCs/>
          <w:sz w:val="24"/>
          <w:szCs w:val="24"/>
        </w:rPr>
        <w:t xml:space="preserve">s resultados revelaram </w:t>
      </w:r>
      <w:r w:rsidRPr="00C703C0">
        <w:rPr>
          <w:sz w:val="24"/>
          <w:szCs w:val="24"/>
        </w:rPr>
        <w:t xml:space="preserve">baixos volumes de </w:t>
      </w:r>
      <w:proofErr w:type="spellStart"/>
      <w:r w:rsidRPr="00C703C0">
        <w:rPr>
          <w:i/>
          <w:sz w:val="24"/>
          <w:szCs w:val="24"/>
        </w:rPr>
        <w:t>accruals</w:t>
      </w:r>
      <w:proofErr w:type="spellEnd"/>
      <w:r w:rsidRPr="00C703C0">
        <w:rPr>
          <w:sz w:val="24"/>
          <w:szCs w:val="24"/>
        </w:rPr>
        <w:t xml:space="preserve"> discricionários, na maioria das empresas, ao longo de todo o período investigado. Uma justificativa para esse resultado é que as empresas gerenciam por meio da prática de suavização, cujo propósito é evitar a excessiva flutuação dos resultados contábeis, o que os torna mais previsíveis.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Em relação a auditoria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 xml:space="preserve">, constatou-se que o percentual de empresas auditadas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 xml:space="preserve"> se manteve acima de 70% do total de empresas da amostra ao longo de todo o </w:t>
      </w:r>
      <w:r w:rsidRPr="00C703C0">
        <w:rPr>
          <w:sz w:val="24"/>
          <w:szCs w:val="24"/>
        </w:rPr>
        <w:lastRenderedPageBreak/>
        <w:t xml:space="preserve">período investigado. Os percentuais identificados são similares aos identificados por Santana et al. (2014) </w:t>
      </w:r>
      <w:r w:rsidRPr="00C703C0">
        <w:rPr>
          <w:bCs/>
          <w:sz w:val="24"/>
          <w:szCs w:val="24"/>
        </w:rPr>
        <w:t>e</w:t>
      </w:r>
      <w:r w:rsidRPr="00C703C0">
        <w:rPr>
          <w:sz w:val="24"/>
          <w:szCs w:val="24"/>
        </w:rPr>
        <w:t xml:space="preserve"> </w:t>
      </w:r>
      <w:proofErr w:type="spellStart"/>
      <w:r w:rsidRPr="00C703C0">
        <w:rPr>
          <w:sz w:val="24"/>
          <w:szCs w:val="24"/>
        </w:rPr>
        <w:t>Alzoubi</w:t>
      </w:r>
      <w:proofErr w:type="spellEnd"/>
      <w:r w:rsidRPr="00C703C0">
        <w:rPr>
          <w:sz w:val="24"/>
          <w:szCs w:val="24"/>
        </w:rPr>
        <w:t xml:space="preserve"> (2017). No entanto, são inferiores aos identificados por Martinez (2011) e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 Essas diferenças nos resultados podem ser decorrentes dos critérios de formação da amostra. 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sz w:val="24"/>
          <w:szCs w:val="24"/>
        </w:rPr>
        <w:t xml:space="preserve">Os resultados revelaram, ainda, que houve aumento gradativo no percentual de companhias que possuíam comitê de auditoria. O aumento é relevante, pois o comitê de auditoria, de acordo com </w:t>
      </w:r>
      <w:proofErr w:type="spellStart"/>
      <w:r w:rsidRPr="00C703C0">
        <w:rPr>
          <w:sz w:val="24"/>
          <w:szCs w:val="24"/>
        </w:rPr>
        <w:t>Albouzi</w:t>
      </w:r>
      <w:proofErr w:type="spellEnd"/>
      <w:r w:rsidRPr="00C703C0">
        <w:rPr>
          <w:sz w:val="24"/>
          <w:szCs w:val="24"/>
        </w:rPr>
        <w:t xml:space="preserve"> (2017), desempenha papel fundamental para redução do gerenciamento de resultados. Percebeu-se, também, que o tamanho médio dos comitês de auditoria girou em torno de três membros. O tamanho médio identificado é similar ao identificado por Cunha et al. (2014), </w:t>
      </w:r>
      <w:r w:rsidRPr="00C703C0">
        <w:rPr>
          <w:iCs/>
          <w:sz w:val="24"/>
          <w:szCs w:val="24"/>
        </w:rPr>
        <w:t xml:space="preserve">porém, </w:t>
      </w:r>
      <w:r w:rsidRPr="00C703C0">
        <w:rPr>
          <w:sz w:val="24"/>
          <w:szCs w:val="24"/>
        </w:rPr>
        <w:t xml:space="preserve">um pouco inferior ao identificado por Badolato et al. (2014) e por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(2018). Mais uma vez, destaca-se que as diferenças nos resultados podem ser decorrentes dos critérios de formação da amostra.</w:t>
      </w:r>
    </w:p>
    <w:p w:rsidR="004669E0" w:rsidRPr="00C703C0" w:rsidRDefault="004669E0" w:rsidP="00C703C0">
      <w:pPr>
        <w:ind w:firstLine="709"/>
        <w:jc w:val="both"/>
        <w:rPr>
          <w:sz w:val="24"/>
          <w:szCs w:val="24"/>
        </w:rPr>
      </w:pPr>
      <w:r w:rsidRPr="00C703C0">
        <w:rPr>
          <w:bCs/>
          <w:sz w:val="24"/>
          <w:szCs w:val="24"/>
        </w:rPr>
        <w:t>Por fim, constatou-se que as três variáveis relacionadas a auditoria</w:t>
      </w:r>
      <w:r w:rsidRPr="00C703C0">
        <w:rPr>
          <w:sz w:val="24"/>
          <w:szCs w:val="24"/>
        </w:rPr>
        <w:t xml:space="preserve">, ou seja, a variável que capta a auditoria por </w:t>
      </w:r>
      <w:r w:rsidRPr="00C703C0">
        <w:rPr>
          <w:i/>
          <w:sz w:val="24"/>
          <w:szCs w:val="24"/>
        </w:rPr>
        <w:t>big four</w:t>
      </w:r>
      <w:r w:rsidRPr="00C703C0">
        <w:rPr>
          <w:sz w:val="24"/>
          <w:szCs w:val="24"/>
        </w:rPr>
        <w:t xml:space="preserve"> (</w:t>
      </w:r>
      <w:proofErr w:type="spellStart"/>
      <w:r w:rsidRPr="00C703C0">
        <w:rPr>
          <w:bCs/>
          <w:i/>
          <w:sz w:val="24"/>
          <w:szCs w:val="24"/>
        </w:rPr>
        <w:t>bigfour</w:t>
      </w:r>
      <w:proofErr w:type="spellEnd"/>
      <w:r w:rsidRPr="00C703C0">
        <w:rPr>
          <w:bCs/>
          <w:sz w:val="24"/>
          <w:szCs w:val="24"/>
        </w:rPr>
        <w:t>), que verifica a existência de comitê de auditoria</w:t>
      </w:r>
      <w:r w:rsidRPr="00C703C0">
        <w:rPr>
          <w:sz w:val="24"/>
          <w:szCs w:val="24"/>
        </w:rPr>
        <w:t xml:space="preserve"> (</w:t>
      </w:r>
      <w:proofErr w:type="spellStart"/>
      <w:r w:rsidRPr="00C703C0">
        <w:rPr>
          <w:bCs/>
          <w:sz w:val="24"/>
          <w:szCs w:val="24"/>
        </w:rPr>
        <w:t>ComiteAudit</w:t>
      </w:r>
      <w:proofErr w:type="spellEnd"/>
      <w:r w:rsidRPr="00C703C0">
        <w:rPr>
          <w:bCs/>
          <w:sz w:val="24"/>
          <w:szCs w:val="24"/>
        </w:rPr>
        <w:t>) e, ainda, o tamanho do comitê de auditoria</w:t>
      </w:r>
      <w:r w:rsidRPr="00C703C0">
        <w:rPr>
          <w:sz w:val="24"/>
          <w:szCs w:val="24"/>
        </w:rPr>
        <w:t xml:space="preserve"> (</w:t>
      </w:r>
      <w:proofErr w:type="spellStart"/>
      <w:r w:rsidRPr="00C703C0">
        <w:rPr>
          <w:bCs/>
          <w:sz w:val="24"/>
          <w:szCs w:val="24"/>
        </w:rPr>
        <w:t>Tam_ComiteAudit</w:t>
      </w:r>
      <w:proofErr w:type="spellEnd"/>
      <w:r w:rsidRPr="00C703C0">
        <w:rPr>
          <w:bCs/>
          <w:sz w:val="24"/>
          <w:szCs w:val="24"/>
        </w:rPr>
        <w:t xml:space="preserve">) não se </w:t>
      </w:r>
      <w:r w:rsidRPr="00C703C0">
        <w:rPr>
          <w:sz w:val="24"/>
          <w:szCs w:val="24"/>
        </w:rPr>
        <w:t xml:space="preserve">revelaram estatisticamente significantes, seja quando analisadas de forma individual ou de forma combinadas nos modelos utilizados. Em razão da falta de significância estatística, infere-se que a auditoria por </w:t>
      </w:r>
      <w:r w:rsidRPr="00C703C0">
        <w:rPr>
          <w:i/>
          <w:sz w:val="24"/>
          <w:szCs w:val="24"/>
        </w:rPr>
        <w:t>big four,</w:t>
      </w:r>
      <w:r w:rsidRPr="00C703C0">
        <w:rPr>
          <w:sz w:val="24"/>
          <w:szCs w:val="24"/>
        </w:rPr>
        <w:t xml:space="preserve"> a existência de comitê de auditoria e o tamanho do comitê, na amostra pesquisada, não influenciaram no nível de gerenciamento. O resultado é similar aos de Martinez e Reis (2010), Silva e Bezerra (2010), </w:t>
      </w:r>
      <w:proofErr w:type="spellStart"/>
      <w:r w:rsidRPr="00C703C0">
        <w:rPr>
          <w:sz w:val="24"/>
          <w:szCs w:val="24"/>
        </w:rPr>
        <w:t>Lin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Hwang</w:t>
      </w:r>
      <w:proofErr w:type="spellEnd"/>
      <w:r w:rsidRPr="00C703C0">
        <w:rPr>
          <w:sz w:val="24"/>
          <w:szCs w:val="24"/>
        </w:rPr>
        <w:t xml:space="preserve"> (2010), Azevedo e Costa (2012), Cunha et al. (2014), Santana et al. (2014) e </w:t>
      </w:r>
      <w:proofErr w:type="spellStart"/>
      <w:r w:rsidRPr="00C703C0">
        <w:rPr>
          <w:sz w:val="24"/>
          <w:szCs w:val="24"/>
        </w:rPr>
        <w:t>Alhadab</w:t>
      </w:r>
      <w:proofErr w:type="spellEnd"/>
      <w:r w:rsidRPr="00C703C0">
        <w:rPr>
          <w:sz w:val="24"/>
          <w:szCs w:val="24"/>
        </w:rPr>
        <w:t xml:space="preserve"> e </w:t>
      </w:r>
      <w:proofErr w:type="spellStart"/>
      <w:r w:rsidRPr="00C703C0">
        <w:rPr>
          <w:sz w:val="24"/>
          <w:szCs w:val="24"/>
        </w:rPr>
        <w:t>Clacher</w:t>
      </w:r>
      <w:proofErr w:type="spellEnd"/>
      <w:r w:rsidRPr="00C703C0">
        <w:rPr>
          <w:sz w:val="24"/>
          <w:szCs w:val="24"/>
        </w:rPr>
        <w:t xml:space="preserve"> (2017) que também não identificaram influência da independência do conselho no gerenciamento de resultados. </w:t>
      </w:r>
    </w:p>
    <w:p w:rsidR="004669E0" w:rsidRPr="00C703C0" w:rsidRDefault="004669E0" w:rsidP="00C703C0">
      <w:pPr>
        <w:ind w:right="-1" w:firstLine="709"/>
        <w:jc w:val="both"/>
        <w:rPr>
          <w:sz w:val="24"/>
          <w:szCs w:val="24"/>
        </w:rPr>
      </w:pPr>
      <w:r w:rsidRPr="00C703C0">
        <w:rPr>
          <w:bCs/>
          <w:sz w:val="24"/>
          <w:szCs w:val="24"/>
        </w:rPr>
        <w:t xml:space="preserve">O Brasil, assim como outros países </w:t>
      </w:r>
      <w:proofErr w:type="spellStart"/>
      <w:r w:rsidRPr="00C703C0">
        <w:rPr>
          <w:bCs/>
          <w:i/>
          <w:sz w:val="24"/>
          <w:szCs w:val="24"/>
        </w:rPr>
        <w:t>code</w:t>
      </w:r>
      <w:proofErr w:type="spellEnd"/>
      <w:r w:rsidRPr="00C703C0">
        <w:rPr>
          <w:bCs/>
          <w:i/>
          <w:sz w:val="24"/>
          <w:szCs w:val="24"/>
        </w:rPr>
        <w:t xml:space="preserve"> </w:t>
      </w:r>
      <w:proofErr w:type="spellStart"/>
      <w:r w:rsidRPr="00C703C0">
        <w:rPr>
          <w:bCs/>
          <w:i/>
          <w:sz w:val="24"/>
          <w:szCs w:val="24"/>
        </w:rPr>
        <w:t>law</w:t>
      </w:r>
      <w:proofErr w:type="spellEnd"/>
      <w:r w:rsidRPr="00C703C0">
        <w:rPr>
          <w:bCs/>
          <w:sz w:val="24"/>
          <w:szCs w:val="24"/>
        </w:rPr>
        <w:t>, possui</w:t>
      </w:r>
      <w:r w:rsidRPr="00C703C0">
        <w:rPr>
          <w:rFonts w:eastAsia="Arial Unicode MS"/>
          <w:sz w:val="24"/>
          <w:szCs w:val="24"/>
          <w:shd w:val="clear" w:color="auto" w:fill="FFFFFF"/>
        </w:rPr>
        <w:t xml:space="preserve"> um mercado de ações em desenvolvimento, em que maioria das</w:t>
      </w:r>
      <w:r w:rsidRPr="00C703C0">
        <w:rPr>
          <w:sz w:val="24"/>
          <w:szCs w:val="24"/>
        </w:rPr>
        <w:t xml:space="preserve"> companhias possuem propriedade altamente concentrada, inclusive, muitas vezes, com sistemas de governança deficientes. Diferente </w:t>
      </w:r>
      <w:r w:rsidRPr="00C703C0">
        <w:rPr>
          <w:rFonts w:eastAsia="Arial Unicode MS"/>
          <w:sz w:val="24"/>
          <w:szCs w:val="24"/>
          <w:shd w:val="clear" w:color="auto" w:fill="FFFFFF"/>
        </w:rPr>
        <w:t>do que em mercados mais desenvolvidos, como Estados Unidos (</w:t>
      </w:r>
      <w:r w:rsidRPr="00C703C0">
        <w:rPr>
          <w:rFonts w:eastAsia="Arial Unicode MS"/>
          <w:i/>
          <w:sz w:val="24"/>
          <w:szCs w:val="24"/>
          <w:shd w:val="clear" w:color="auto" w:fill="FFFFFF"/>
        </w:rPr>
        <w:t xml:space="preserve">common </w:t>
      </w:r>
      <w:proofErr w:type="spellStart"/>
      <w:r w:rsidRPr="00C703C0">
        <w:rPr>
          <w:rFonts w:eastAsia="Arial Unicode MS"/>
          <w:i/>
          <w:sz w:val="24"/>
          <w:szCs w:val="24"/>
          <w:shd w:val="clear" w:color="auto" w:fill="FFFFFF"/>
        </w:rPr>
        <w:t>law</w:t>
      </w:r>
      <w:proofErr w:type="spellEnd"/>
      <w:r w:rsidRPr="00C703C0">
        <w:rPr>
          <w:rFonts w:eastAsia="Arial Unicode MS"/>
          <w:sz w:val="24"/>
          <w:szCs w:val="24"/>
          <w:shd w:val="clear" w:color="auto" w:fill="FFFFFF"/>
        </w:rPr>
        <w:t xml:space="preserve">), por exemplo. Logo, </w:t>
      </w:r>
      <w:r w:rsidRPr="00C703C0">
        <w:rPr>
          <w:sz w:val="24"/>
          <w:szCs w:val="24"/>
        </w:rPr>
        <w:t>a pressão exercida pelo acionista controlador pode reduzir o impacto positivo da auditoria no gerenciamento de resultados. Essa pode ser uma justificativa para a falta de significância identificada nesse estudo, na amostra composta por companhias brasileiras.</w:t>
      </w:r>
    </w:p>
    <w:p w:rsidR="004669E0" w:rsidRPr="00C703C0" w:rsidRDefault="004669E0" w:rsidP="00C703C0">
      <w:pPr>
        <w:autoSpaceDE w:val="0"/>
        <w:autoSpaceDN w:val="0"/>
        <w:adjustRightInd w:val="0"/>
        <w:ind w:firstLine="709"/>
        <w:jc w:val="both"/>
        <w:rPr>
          <w:sz w:val="24"/>
          <w:szCs w:val="24"/>
          <w:lang w:val="en-US"/>
        </w:rPr>
      </w:pPr>
      <w:r w:rsidRPr="00C703C0">
        <w:rPr>
          <w:sz w:val="24"/>
          <w:szCs w:val="24"/>
        </w:rPr>
        <w:t xml:space="preserve">Esta pesquisa contribui para fortalecer o entendimento dessa temática e incrementa a literatura da área com evidências empíricas relativas ao cenário brasileiro. Saliente-se que o tema, em razão </w:t>
      </w:r>
      <w:r w:rsidR="00E41938">
        <w:rPr>
          <w:sz w:val="24"/>
          <w:szCs w:val="24"/>
        </w:rPr>
        <w:t xml:space="preserve">da </w:t>
      </w:r>
      <w:r w:rsidRPr="00C703C0">
        <w:rPr>
          <w:sz w:val="24"/>
          <w:szCs w:val="24"/>
        </w:rPr>
        <w:t xml:space="preserve">importância e da crescente discussão ainda merece destaque, em razão da necessidade de se fortalecer o entendimento das análises e conclusões. Deste modo, para futuras pesquisas sugere-se a ampliação temporal, o aumento da quantidade de empresas analisadas, o uso de outros métodos de mensuração do gerenciamento de resultados e a utilização de outras variáveis relativas a auditoria, tais como a independência, o gênero e a especialização dos membros, a fim de identificar se estas variáveis apresentam influência sobre o gerenciamento de resultados, assim como investigado por </w:t>
      </w: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 et al. </w:t>
      </w:r>
      <w:r w:rsidRPr="00C703C0">
        <w:rPr>
          <w:sz w:val="24"/>
          <w:szCs w:val="24"/>
          <w:lang w:val="en-US"/>
        </w:rPr>
        <w:t xml:space="preserve">(2018). </w:t>
      </w:r>
    </w:p>
    <w:p w:rsidR="004669E0" w:rsidRPr="00C703C0" w:rsidRDefault="004669E0" w:rsidP="004669E0">
      <w:pPr>
        <w:ind w:firstLine="567"/>
        <w:rPr>
          <w:sz w:val="24"/>
          <w:szCs w:val="24"/>
          <w:lang w:val="en-US"/>
        </w:rPr>
      </w:pPr>
    </w:p>
    <w:p w:rsidR="004669E0" w:rsidRPr="00C703C0" w:rsidRDefault="00467FB3" w:rsidP="0074712C">
      <w:pPr>
        <w:rPr>
          <w:b/>
          <w:sz w:val="24"/>
          <w:szCs w:val="24"/>
          <w:lang w:val="en-US"/>
        </w:rPr>
      </w:pPr>
      <w:proofErr w:type="spellStart"/>
      <w:r w:rsidRPr="00C703C0">
        <w:rPr>
          <w:b/>
          <w:sz w:val="24"/>
          <w:szCs w:val="24"/>
          <w:lang w:val="en-US"/>
        </w:rPr>
        <w:t>Referências</w:t>
      </w:r>
      <w:proofErr w:type="spellEnd"/>
    </w:p>
    <w:p w:rsidR="004669E0" w:rsidRPr="00C703C0" w:rsidRDefault="004669E0" w:rsidP="0074712C">
      <w:pPr>
        <w:rPr>
          <w:sz w:val="24"/>
          <w:szCs w:val="24"/>
          <w:shd w:val="clear" w:color="auto" w:fill="FFFFFF"/>
          <w:lang w:val="en-US"/>
        </w:rPr>
      </w:pP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Alhadab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 xml:space="preserve">, M., &amp; </w:t>
      </w: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Clacher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I. (2017). The impact of audit quality on real and accrual earnings management around IPOs. </w:t>
      </w:r>
      <w:r w:rsidRPr="00C703C0">
        <w:rPr>
          <w:bCs/>
          <w:i/>
          <w:sz w:val="24"/>
          <w:szCs w:val="24"/>
          <w:shd w:val="clear" w:color="auto" w:fill="FFFFFF"/>
          <w:lang w:val="en-US"/>
        </w:rPr>
        <w:t>The British Accounting Review</w:t>
      </w:r>
      <w:r w:rsidRPr="00C703C0">
        <w:rPr>
          <w:i/>
          <w:sz w:val="24"/>
          <w:szCs w:val="24"/>
          <w:shd w:val="clear" w:color="auto" w:fill="FFFFFF"/>
          <w:lang w:val="en-US"/>
        </w:rPr>
        <w:t>,</w:t>
      </w:r>
      <w:r w:rsidRPr="00C703C0">
        <w:rPr>
          <w:sz w:val="24"/>
          <w:szCs w:val="24"/>
          <w:shd w:val="clear" w:color="auto" w:fill="FFFFFF"/>
          <w:lang w:val="en-US"/>
        </w:rPr>
        <w:t xml:space="preserve"> In Press.</w:t>
      </w:r>
    </w:p>
    <w:p w:rsidR="004669E0" w:rsidRPr="00C703C0" w:rsidRDefault="004669E0" w:rsidP="0074712C">
      <w:pPr>
        <w:widowControl w:val="0"/>
        <w:rPr>
          <w:sz w:val="24"/>
          <w:szCs w:val="24"/>
          <w:lang w:val="en-US"/>
        </w:rPr>
      </w:pPr>
      <w:r w:rsidRPr="004E4F73">
        <w:rPr>
          <w:sz w:val="24"/>
          <w:szCs w:val="24"/>
        </w:rPr>
        <w:t xml:space="preserve">Almeida, J. E. F. &amp; Almeida, J. C. G. (2009). </w:t>
      </w:r>
      <w:r w:rsidRPr="00C703C0">
        <w:rPr>
          <w:sz w:val="24"/>
          <w:szCs w:val="24"/>
        </w:rPr>
        <w:t xml:space="preserve">Auditoria e </w:t>
      </w:r>
      <w:proofErr w:type="spellStart"/>
      <w:r w:rsidRPr="00C703C0">
        <w:rPr>
          <w:sz w:val="24"/>
          <w:szCs w:val="24"/>
        </w:rPr>
        <w:t>earnings</w:t>
      </w:r>
      <w:proofErr w:type="spellEnd"/>
      <w:r w:rsidRPr="00C703C0">
        <w:rPr>
          <w:sz w:val="24"/>
          <w:szCs w:val="24"/>
        </w:rPr>
        <w:t xml:space="preserve"> management: estudo empírico nas empresas abertas auditadas </w:t>
      </w:r>
      <w:proofErr w:type="gramStart"/>
      <w:r w:rsidRPr="00C703C0">
        <w:rPr>
          <w:sz w:val="24"/>
          <w:szCs w:val="24"/>
        </w:rPr>
        <w:t>pelas big four</w:t>
      </w:r>
      <w:proofErr w:type="gramEnd"/>
      <w:r w:rsidRPr="00C703C0">
        <w:rPr>
          <w:sz w:val="24"/>
          <w:szCs w:val="24"/>
        </w:rPr>
        <w:t xml:space="preserve"> e demais firmas de auditoria. </w:t>
      </w:r>
      <w:proofErr w:type="spellStart"/>
      <w:r w:rsidRPr="00C703C0">
        <w:rPr>
          <w:i/>
          <w:sz w:val="24"/>
          <w:szCs w:val="24"/>
          <w:lang w:val="en-US"/>
        </w:rPr>
        <w:t>Revista</w:t>
      </w:r>
      <w:proofErr w:type="spellEnd"/>
      <w:r w:rsidRPr="00C703C0">
        <w:rPr>
          <w:i/>
          <w:sz w:val="24"/>
          <w:szCs w:val="24"/>
          <w:lang w:val="en-US"/>
        </w:rPr>
        <w:t xml:space="preserve"> </w:t>
      </w:r>
      <w:proofErr w:type="spellStart"/>
      <w:r w:rsidRPr="00C703C0">
        <w:rPr>
          <w:i/>
          <w:sz w:val="24"/>
          <w:szCs w:val="24"/>
          <w:lang w:val="en-US"/>
        </w:rPr>
        <w:t>Contabilidade</w:t>
      </w:r>
      <w:proofErr w:type="spellEnd"/>
      <w:r w:rsidRPr="00C703C0">
        <w:rPr>
          <w:i/>
          <w:sz w:val="24"/>
          <w:szCs w:val="24"/>
          <w:lang w:val="en-US"/>
        </w:rPr>
        <w:t xml:space="preserve"> &amp; </w:t>
      </w:r>
      <w:proofErr w:type="spellStart"/>
      <w:r w:rsidRPr="00C703C0">
        <w:rPr>
          <w:i/>
          <w:sz w:val="24"/>
          <w:szCs w:val="24"/>
          <w:lang w:val="en-US"/>
        </w:rPr>
        <w:t>Finanças</w:t>
      </w:r>
      <w:proofErr w:type="spellEnd"/>
      <w:r w:rsidRPr="00C703C0">
        <w:rPr>
          <w:i/>
          <w:sz w:val="24"/>
          <w:szCs w:val="24"/>
          <w:lang w:val="en-US"/>
        </w:rPr>
        <w:t>-USP</w:t>
      </w:r>
      <w:r w:rsidRPr="00C703C0">
        <w:rPr>
          <w:sz w:val="24"/>
          <w:szCs w:val="24"/>
          <w:lang w:val="en-US"/>
        </w:rPr>
        <w:t xml:space="preserve">, </w:t>
      </w:r>
      <w:r w:rsidRPr="00C703C0">
        <w:rPr>
          <w:i/>
          <w:sz w:val="24"/>
          <w:szCs w:val="24"/>
          <w:lang w:val="en-US"/>
        </w:rPr>
        <w:t>20</w:t>
      </w:r>
      <w:r w:rsidRPr="00C703C0">
        <w:rPr>
          <w:sz w:val="24"/>
          <w:szCs w:val="24"/>
          <w:lang w:val="en-US"/>
        </w:rPr>
        <w:t xml:space="preserve">(50). 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  <w:lang w:val="en-US"/>
        </w:rPr>
      </w:pPr>
      <w:r w:rsidRPr="00C703C0">
        <w:rPr>
          <w:sz w:val="24"/>
          <w:szCs w:val="24"/>
          <w:shd w:val="clear" w:color="auto" w:fill="FFFFFF"/>
          <w:lang w:val="en-US"/>
        </w:rPr>
        <w:lastRenderedPageBreak/>
        <w:t xml:space="preserve">Alves, S. (2014). The effect of board independence on the earnings quality: evidence from </w:t>
      </w: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portuguese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 xml:space="preserve"> listed companies.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Australasian Accounting Business &amp; Finance Journal</w:t>
      </w:r>
      <w:r w:rsidRPr="00C703C0">
        <w:rPr>
          <w:sz w:val="24"/>
          <w:szCs w:val="24"/>
          <w:shd w:val="clear" w:color="auto" w:fill="FFFFFF"/>
          <w:lang w:val="en-US"/>
        </w:rPr>
        <w:t>,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8</w:t>
      </w:r>
      <w:r w:rsidRPr="00C703C0">
        <w:rPr>
          <w:sz w:val="24"/>
          <w:szCs w:val="24"/>
          <w:shd w:val="clear" w:color="auto" w:fill="FFFFFF"/>
          <w:lang w:val="en-US"/>
        </w:rPr>
        <w:t>(3), 23.</w:t>
      </w:r>
    </w:p>
    <w:p w:rsidR="004669E0" w:rsidRPr="00C703C0" w:rsidRDefault="004669E0" w:rsidP="0074712C">
      <w:pPr>
        <w:rPr>
          <w:sz w:val="24"/>
          <w:szCs w:val="24"/>
          <w:lang w:val="en-US"/>
        </w:rPr>
      </w:pP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Alzoubi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E. S. S. (2017). Audit quality, debt financing, and earnings management: Evidence from Jordan. </w:t>
      </w:r>
      <w:r w:rsidRPr="00C703C0">
        <w:rPr>
          <w:bCs/>
          <w:i/>
          <w:sz w:val="24"/>
          <w:szCs w:val="24"/>
          <w:shd w:val="clear" w:color="auto" w:fill="FFFFFF"/>
          <w:lang w:val="en-US"/>
        </w:rPr>
        <w:t>Journal of International Accounting, Auditing and Taxation</w:t>
      </w:r>
      <w:r w:rsidRPr="00C703C0">
        <w:rPr>
          <w:i/>
          <w:sz w:val="24"/>
          <w:szCs w:val="24"/>
          <w:shd w:val="clear" w:color="auto" w:fill="FFFFFF"/>
          <w:lang w:val="en-US"/>
        </w:rPr>
        <w:t>,</w:t>
      </w:r>
      <w:r w:rsidRPr="00C703C0">
        <w:rPr>
          <w:sz w:val="24"/>
          <w:szCs w:val="24"/>
          <w:shd w:val="clear" w:color="auto" w:fill="FFFFFF"/>
          <w:lang w:val="en-US"/>
        </w:rPr>
        <w:t xml:space="preserve"> In Press.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</w:rPr>
      </w:pPr>
      <w:r w:rsidRPr="00C703C0">
        <w:rPr>
          <w:sz w:val="24"/>
          <w:szCs w:val="24"/>
          <w:lang w:val="en-US"/>
        </w:rPr>
        <w:t xml:space="preserve">Azevedo, F. B., &amp; Costa, F. C. (2012). </w:t>
      </w:r>
      <w:r w:rsidRPr="00C703C0">
        <w:rPr>
          <w:sz w:val="24"/>
          <w:szCs w:val="24"/>
        </w:rPr>
        <w:t xml:space="preserve">Efeito da troca da firma de auditoria no gerenciamento de resultados das companhias abertas brasileiras. </w:t>
      </w:r>
      <w:r w:rsidRPr="00C703C0">
        <w:rPr>
          <w:i/>
          <w:sz w:val="24"/>
          <w:szCs w:val="24"/>
        </w:rPr>
        <w:t>Revista de Administração Mackenzie</w:t>
      </w:r>
      <w:r w:rsidRPr="00C703C0">
        <w:rPr>
          <w:sz w:val="24"/>
          <w:szCs w:val="24"/>
        </w:rPr>
        <w:t xml:space="preserve">, </w:t>
      </w:r>
      <w:r w:rsidRPr="00C703C0">
        <w:rPr>
          <w:i/>
          <w:sz w:val="24"/>
          <w:szCs w:val="24"/>
        </w:rPr>
        <w:t>13</w:t>
      </w:r>
      <w:r w:rsidRPr="00C703C0">
        <w:rPr>
          <w:sz w:val="24"/>
          <w:szCs w:val="24"/>
        </w:rPr>
        <w:t>(5).</w:t>
      </w:r>
    </w:p>
    <w:p w:rsidR="004669E0" w:rsidRPr="00C703C0" w:rsidRDefault="004669E0" w:rsidP="0074712C">
      <w:pPr>
        <w:widowControl w:val="0"/>
        <w:rPr>
          <w:sz w:val="24"/>
          <w:szCs w:val="24"/>
        </w:rPr>
      </w:pPr>
      <w:r w:rsidRPr="00C703C0">
        <w:rPr>
          <w:sz w:val="24"/>
          <w:szCs w:val="24"/>
        </w:rPr>
        <w:t xml:space="preserve">Badolato, P. G., </w:t>
      </w:r>
      <w:proofErr w:type="spellStart"/>
      <w:r w:rsidRPr="00C703C0">
        <w:rPr>
          <w:sz w:val="24"/>
          <w:szCs w:val="24"/>
        </w:rPr>
        <w:t>Donelson</w:t>
      </w:r>
      <w:proofErr w:type="spellEnd"/>
      <w:r w:rsidRPr="00C703C0">
        <w:rPr>
          <w:sz w:val="24"/>
          <w:szCs w:val="24"/>
        </w:rPr>
        <w:t xml:space="preserve">, D. C., &amp; </w:t>
      </w:r>
      <w:proofErr w:type="spellStart"/>
      <w:r w:rsidRPr="00C703C0">
        <w:rPr>
          <w:sz w:val="24"/>
          <w:szCs w:val="24"/>
        </w:rPr>
        <w:t>Ege</w:t>
      </w:r>
      <w:proofErr w:type="spellEnd"/>
      <w:r w:rsidRPr="00C703C0">
        <w:rPr>
          <w:sz w:val="24"/>
          <w:szCs w:val="24"/>
        </w:rPr>
        <w:t xml:space="preserve">, M. (2014). </w:t>
      </w:r>
      <w:r w:rsidRPr="00C703C0">
        <w:rPr>
          <w:sz w:val="24"/>
          <w:szCs w:val="24"/>
          <w:lang w:val="en-US"/>
        </w:rPr>
        <w:t xml:space="preserve">Audit committee financial expertise and earnings management: The role of status. </w:t>
      </w:r>
      <w:proofErr w:type="spellStart"/>
      <w:r w:rsidRPr="00C703C0">
        <w:rPr>
          <w:i/>
          <w:sz w:val="24"/>
          <w:szCs w:val="24"/>
        </w:rPr>
        <w:t>J</w:t>
      </w:r>
      <w:r w:rsidR="00E06CDE" w:rsidRPr="00C703C0">
        <w:rPr>
          <w:i/>
          <w:iCs/>
          <w:sz w:val="24"/>
          <w:szCs w:val="24"/>
          <w:shd w:val="clear" w:color="auto" w:fill="FFFFFF"/>
        </w:rPr>
        <w:t>ournal</w:t>
      </w:r>
      <w:proofErr w:type="spellEnd"/>
      <w:r w:rsidRPr="00C703C0">
        <w:rPr>
          <w:i/>
          <w:sz w:val="24"/>
          <w:szCs w:val="24"/>
        </w:rPr>
        <w:t xml:space="preserve"> </w:t>
      </w:r>
      <w:proofErr w:type="spellStart"/>
      <w:r w:rsidRPr="00C703C0">
        <w:rPr>
          <w:i/>
          <w:sz w:val="24"/>
          <w:szCs w:val="24"/>
        </w:rPr>
        <w:t>of</w:t>
      </w:r>
      <w:proofErr w:type="spellEnd"/>
      <w:r w:rsidRPr="00C703C0">
        <w:rPr>
          <w:i/>
          <w:sz w:val="24"/>
          <w:szCs w:val="24"/>
        </w:rPr>
        <w:t xml:space="preserve"> </w:t>
      </w:r>
      <w:proofErr w:type="spellStart"/>
      <w:r w:rsidRPr="00C703C0">
        <w:rPr>
          <w:i/>
          <w:sz w:val="24"/>
          <w:szCs w:val="24"/>
        </w:rPr>
        <w:t>Accounting</w:t>
      </w:r>
      <w:proofErr w:type="spellEnd"/>
      <w:r w:rsidRPr="00C703C0">
        <w:rPr>
          <w:i/>
          <w:sz w:val="24"/>
          <w:szCs w:val="24"/>
        </w:rPr>
        <w:t xml:space="preserve"> </w:t>
      </w:r>
      <w:proofErr w:type="spellStart"/>
      <w:r w:rsidRPr="00C703C0">
        <w:rPr>
          <w:i/>
          <w:sz w:val="24"/>
          <w:szCs w:val="24"/>
        </w:rPr>
        <w:t>and</w:t>
      </w:r>
      <w:proofErr w:type="spellEnd"/>
      <w:r w:rsidRPr="00C703C0">
        <w:rPr>
          <w:i/>
          <w:sz w:val="24"/>
          <w:szCs w:val="24"/>
        </w:rPr>
        <w:t xml:space="preserve"> </w:t>
      </w:r>
      <w:proofErr w:type="spellStart"/>
      <w:r w:rsidRPr="00C703C0">
        <w:rPr>
          <w:i/>
          <w:sz w:val="24"/>
          <w:szCs w:val="24"/>
        </w:rPr>
        <w:t>Economics</w:t>
      </w:r>
      <w:proofErr w:type="spellEnd"/>
      <w:r w:rsidRPr="00C703C0">
        <w:rPr>
          <w:sz w:val="24"/>
          <w:szCs w:val="24"/>
        </w:rPr>
        <w:t xml:space="preserve">, </w:t>
      </w:r>
      <w:r w:rsidRPr="00C703C0">
        <w:rPr>
          <w:i/>
          <w:sz w:val="24"/>
          <w:szCs w:val="24"/>
        </w:rPr>
        <w:t>58</w:t>
      </w:r>
      <w:r w:rsidRPr="00C703C0">
        <w:rPr>
          <w:sz w:val="24"/>
          <w:szCs w:val="24"/>
        </w:rPr>
        <w:t xml:space="preserve">(2-3), 208-230. </w:t>
      </w:r>
    </w:p>
    <w:p w:rsidR="004669E0" w:rsidRPr="00C703C0" w:rsidRDefault="004669E0" w:rsidP="0074712C">
      <w:pPr>
        <w:rPr>
          <w:sz w:val="24"/>
          <w:szCs w:val="24"/>
        </w:rPr>
      </w:pPr>
      <w:r w:rsidRPr="00C703C0">
        <w:rPr>
          <w:sz w:val="24"/>
          <w:szCs w:val="24"/>
        </w:rPr>
        <w:t xml:space="preserve">Baptista, E. M. B. (2008). </w:t>
      </w:r>
      <w:r w:rsidRPr="00C703C0">
        <w:rPr>
          <w:i/>
          <w:iCs/>
          <w:sz w:val="24"/>
          <w:szCs w:val="24"/>
        </w:rPr>
        <w:t>Análise do perfil das empresas brasileiras segundo o nível de gerenciamento de resultados</w:t>
      </w:r>
      <w:r w:rsidRPr="00C703C0">
        <w:rPr>
          <w:sz w:val="24"/>
          <w:szCs w:val="24"/>
        </w:rPr>
        <w:t>. Tese de doutorado, Universidade Federal do Rio Grande do Sul, Porto Alegre, RS, Brasil.</w:t>
      </w:r>
    </w:p>
    <w:p w:rsidR="004669E0" w:rsidRPr="00C703C0" w:rsidRDefault="004669E0" w:rsidP="0074712C">
      <w:pPr>
        <w:rPr>
          <w:sz w:val="24"/>
          <w:szCs w:val="24"/>
        </w:rPr>
      </w:pPr>
      <w:r w:rsidRPr="00C703C0">
        <w:rPr>
          <w:sz w:val="24"/>
          <w:szCs w:val="24"/>
          <w:shd w:val="clear" w:color="auto" w:fill="FFFFFF"/>
          <w:lang w:val="en-US"/>
        </w:rPr>
        <w:t xml:space="preserve">Bilal A., Chen, S., &amp; </w:t>
      </w: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Komal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B. (2018). Audit committee financial expertise and earnings quality: A meta-analysis. 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C703C0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of</w:t>
      </w:r>
      <w:proofErr w:type="spellEnd"/>
      <w:r w:rsidRPr="00C703C0">
        <w:rPr>
          <w:i/>
          <w:iCs/>
          <w:sz w:val="24"/>
          <w:szCs w:val="24"/>
          <w:shd w:val="clear" w:color="auto" w:fill="FFFFFF"/>
        </w:rPr>
        <w:t xml:space="preserve"> Business 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Research</w:t>
      </w:r>
      <w:proofErr w:type="spellEnd"/>
      <w:r w:rsidRPr="00C703C0">
        <w:rPr>
          <w:sz w:val="24"/>
          <w:szCs w:val="24"/>
          <w:shd w:val="clear" w:color="auto" w:fill="FFFFFF"/>
        </w:rPr>
        <w:t>, </w:t>
      </w:r>
      <w:r w:rsidRPr="00C703C0">
        <w:rPr>
          <w:i/>
          <w:iCs/>
          <w:sz w:val="24"/>
          <w:szCs w:val="24"/>
          <w:shd w:val="clear" w:color="auto" w:fill="FFFFFF"/>
        </w:rPr>
        <w:t>84</w:t>
      </w:r>
      <w:r w:rsidRPr="00C703C0">
        <w:rPr>
          <w:sz w:val="24"/>
          <w:szCs w:val="24"/>
          <w:shd w:val="clear" w:color="auto" w:fill="FFFFFF"/>
        </w:rPr>
        <w:t>, 253-270.</w:t>
      </w:r>
    </w:p>
    <w:p w:rsidR="004669E0" w:rsidRPr="00C703C0" w:rsidRDefault="004669E0" w:rsidP="0074712C">
      <w:pPr>
        <w:shd w:val="clear" w:color="auto" w:fill="FFFFFF"/>
        <w:rPr>
          <w:sz w:val="24"/>
          <w:szCs w:val="24"/>
        </w:rPr>
      </w:pPr>
      <w:r w:rsidRPr="00C703C0">
        <w:rPr>
          <w:sz w:val="24"/>
          <w:szCs w:val="24"/>
          <w:shd w:val="clear" w:color="auto" w:fill="FFFFFF"/>
        </w:rPr>
        <w:t>Cunha, P. R., Teixeira, S. A., Santana, A. G., &amp; Bezerra, F. A. (2014). Auditoria independente e a qualidade da informação na divulgação das demonstrações contábeis: estudo comparativo entre empresas brasileiras auditadas pelas big four e não big four. </w:t>
      </w:r>
      <w:r w:rsidRPr="00C703C0">
        <w:rPr>
          <w:bCs/>
          <w:i/>
          <w:sz w:val="24"/>
          <w:szCs w:val="24"/>
          <w:shd w:val="clear" w:color="auto" w:fill="FFFFFF"/>
        </w:rPr>
        <w:t>Revista de Contabilidade do Mestrado em Ciências Contábeis da UERJ</w:t>
      </w:r>
      <w:r w:rsidRPr="00C703C0">
        <w:rPr>
          <w:i/>
          <w:sz w:val="24"/>
          <w:szCs w:val="24"/>
          <w:shd w:val="clear" w:color="auto" w:fill="FFFFFF"/>
        </w:rPr>
        <w:t>,</w:t>
      </w:r>
      <w:r w:rsidRPr="00C703C0">
        <w:rPr>
          <w:sz w:val="24"/>
          <w:szCs w:val="24"/>
          <w:shd w:val="clear" w:color="auto" w:fill="FFFFFF"/>
        </w:rPr>
        <w:t xml:space="preserve"> 19(3), 70-87.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  <w:lang w:val="en-US"/>
        </w:rPr>
      </w:pP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Dechow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P. M., Sloan, R. G., &amp; Sweeney, A. P. (1995). Detecting earnings management.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Accounting review</w:t>
      </w:r>
      <w:r w:rsidRPr="00C703C0">
        <w:rPr>
          <w:sz w:val="24"/>
          <w:szCs w:val="24"/>
          <w:shd w:val="clear" w:color="auto" w:fill="FFFFFF"/>
          <w:lang w:val="en-US"/>
        </w:rPr>
        <w:t>, 193-225.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  <w:lang w:val="en-US"/>
        </w:rPr>
      </w:pP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Dechow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P. M., Kothari, S. P., &amp; Watts, R. L. (1998). The relation between earnings and cash flows.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Journal of accounting and Economics</w:t>
      </w:r>
      <w:r w:rsidRPr="00C703C0">
        <w:rPr>
          <w:sz w:val="24"/>
          <w:szCs w:val="24"/>
          <w:shd w:val="clear" w:color="auto" w:fill="FFFFFF"/>
          <w:lang w:val="en-US"/>
        </w:rPr>
        <w:t>,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25</w:t>
      </w:r>
      <w:r w:rsidRPr="00C703C0">
        <w:rPr>
          <w:sz w:val="24"/>
          <w:szCs w:val="24"/>
          <w:shd w:val="clear" w:color="auto" w:fill="FFFFFF"/>
          <w:lang w:val="en-US"/>
        </w:rPr>
        <w:t>(2), 133-168.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  <w:lang w:val="en-US"/>
        </w:rPr>
      </w:pPr>
      <w:r w:rsidRPr="00C703C0">
        <w:rPr>
          <w:sz w:val="24"/>
          <w:szCs w:val="24"/>
          <w:shd w:val="clear" w:color="auto" w:fill="FFFFFF"/>
          <w:lang w:val="en-US"/>
        </w:rPr>
        <w:t>Du, X., Jian, W., &amp; Lai, S. (2017). Do foreign directors mitigate earnings management? Evidence from China.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The International Journal of Accounting</w:t>
      </w:r>
      <w:r w:rsidRPr="00C703C0">
        <w:rPr>
          <w:sz w:val="24"/>
          <w:szCs w:val="24"/>
          <w:shd w:val="clear" w:color="auto" w:fill="FFFFFF"/>
          <w:lang w:val="en-US"/>
        </w:rPr>
        <w:t>,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52</w:t>
      </w:r>
      <w:r w:rsidRPr="00C703C0">
        <w:rPr>
          <w:sz w:val="24"/>
          <w:szCs w:val="24"/>
          <w:shd w:val="clear" w:color="auto" w:fill="FFFFFF"/>
          <w:lang w:val="en-US"/>
        </w:rPr>
        <w:t>(2), 142-177.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</w:rPr>
      </w:pPr>
      <w:r w:rsidRPr="00C703C0">
        <w:rPr>
          <w:sz w:val="24"/>
          <w:szCs w:val="24"/>
          <w:shd w:val="clear" w:color="auto" w:fill="FFFFFF"/>
          <w:lang w:val="en-US"/>
        </w:rPr>
        <w:t>Eckel, N. (1981). The income smoothing hypothesis revisited. 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Abacus</w:t>
      </w:r>
      <w:proofErr w:type="spellEnd"/>
      <w:r w:rsidRPr="00C703C0">
        <w:rPr>
          <w:sz w:val="24"/>
          <w:szCs w:val="24"/>
          <w:shd w:val="clear" w:color="auto" w:fill="FFFFFF"/>
        </w:rPr>
        <w:t>, </w:t>
      </w:r>
      <w:r w:rsidRPr="00C703C0">
        <w:rPr>
          <w:i/>
          <w:iCs/>
          <w:sz w:val="24"/>
          <w:szCs w:val="24"/>
          <w:shd w:val="clear" w:color="auto" w:fill="FFFFFF"/>
        </w:rPr>
        <w:t>17</w:t>
      </w:r>
      <w:r w:rsidRPr="00C703C0">
        <w:rPr>
          <w:sz w:val="24"/>
          <w:szCs w:val="24"/>
          <w:shd w:val="clear" w:color="auto" w:fill="FFFFFF"/>
        </w:rPr>
        <w:t>(1), 28-40.</w:t>
      </w:r>
    </w:p>
    <w:p w:rsidR="004669E0" w:rsidRPr="00C703C0" w:rsidRDefault="004669E0" w:rsidP="0074712C">
      <w:pPr>
        <w:rPr>
          <w:sz w:val="24"/>
          <w:szCs w:val="24"/>
          <w:shd w:val="clear" w:color="auto" w:fill="FFFFFF"/>
        </w:rPr>
      </w:pPr>
      <w:r w:rsidRPr="00C703C0">
        <w:rPr>
          <w:sz w:val="24"/>
          <w:szCs w:val="24"/>
          <w:shd w:val="clear" w:color="auto" w:fill="FFFFFF"/>
        </w:rPr>
        <w:t>Firmino, J. E., Damascena, L. G., &amp; Paulo, E. (2010). Qualidade da auditoria no Brasil: Um estudo sobre a atuação das auditorias independentes denominadas Big Four. </w:t>
      </w:r>
      <w:r w:rsidRPr="00C703C0">
        <w:rPr>
          <w:bCs/>
          <w:i/>
          <w:sz w:val="24"/>
          <w:szCs w:val="24"/>
          <w:shd w:val="clear" w:color="auto" w:fill="FFFFFF"/>
        </w:rPr>
        <w:t>Sociedade, Contabilidade e Gestão</w:t>
      </w:r>
      <w:r w:rsidRPr="00C703C0">
        <w:rPr>
          <w:i/>
          <w:sz w:val="24"/>
          <w:szCs w:val="24"/>
          <w:shd w:val="clear" w:color="auto" w:fill="FFFFFF"/>
        </w:rPr>
        <w:t xml:space="preserve">, </w:t>
      </w:r>
      <w:r w:rsidRPr="00C703C0">
        <w:rPr>
          <w:sz w:val="24"/>
          <w:szCs w:val="24"/>
          <w:shd w:val="clear" w:color="auto" w:fill="FFFFFF"/>
        </w:rPr>
        <w:t>5(3), 40-50.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</w:rPr>
      </w:pPr>
      <w:proofErr w:type="spellStart"/>
      <w:r w:rsidRPr="00C703C0">
        <w:rPr>
          <w:sz w:val="24"/>
          <w:szCs w:val="24"/>
          <w:shd w:val="clear" w:color="auto" w:fill="FFFFFF"/>
        </w:rPr>
        <w:t>Formigoni</w:t>
      </w:r>
      <w:proofErr w:type="spellEnd"/>
      <w:r w:rsidRPr="00C703C0">
        <w:rPr>
          <w:sz w:val="24"/>
          <w:szCs w:val="24"/>
          <w:shd w:val="clear" w:color="auto" w:fill="FFFFFF"/>
        </w:rPr>
        <w:t>, H., Antunes, M. T. P., Leite, R. S., &amp; Paulo, E. (2008). A contribuição do rodízio de auditoria para a independência e qualidade dos serviços prestados: um estudo exploratório baseado na percepção de gestores de companhias abertas brasileiras. </w:t>
      </w:r>
      <w:r w:rsidRPr="00C703C0">
        <w:rPr>
          <w:i/>
          <w:iCs/>
          <w:sz w:val="24"/>
          <w:szCs w:val="24"/>
          <w:shd w:val="clear" w:color="auto" w:fill="FFFFFF"/>
        </w:rPr>
        <w:t>Contabilidade Vista &amp; Revista</w:t>
      </w:r>
      <w:r w:rsidRPr="00C703C0">
        <w:rPr>
          <w:sz w:val="24"/>
          <w:szCs w:val="24"/>
          <w:shd w:val="clear" w:color="auto" w:fill="FFFFFF"/>
        </w:rPr>
        <w:t>, </w:t>
      </w:r>
      <w:r w:rsidRPr="00C703C0">
        <w:rPr>
          <w:i/>
          <w:iCs/>
          <w:sz w:val="24"/>
          <w:szCs w:val="24"/>
          <w:shd w:val="clear" w:color="auto" w:fill="FFFFFF"/>
        </w:rPr>
        <w:t>19</w:t>
      </w:r>
      <w:r w:rsidRPr="00C703C0">
        <w:rPr>
          <w:sz w:val="24"/>
          <w:szCs w:val="24"/>
          <w:shd w:val="clear" w:color="auto" w:fill="FFFFFF"/>
        </w:rPr>
        <w:t>(3).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</w:rPr>
      </w:pPr>
      <w:proofErr w:type="spellStart"/>
      <w:r w:rsidRPr="00C703C0">
        <w:rPr>
          <w:sz w:val="24"/>
          <w:szCs w:val="24"/>
          <w:shd w:val="clear" w:color="auto" w:fill="FFFFFF"/>
        </w:rPr>
        <w:t>Hair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 Jr, J. F., Anderson, R. E., </w:t>
      </w:r>
      <w:proofErr w:type="spellStart"/>
      <w:r w:rsidRPr="00C703C0">
        <w:rPr>
          <w:sz w:val="24"/>
          <w:szCs w:val="24"/>
          <w:shd w:val="clear" w:color="auto" w:fill="FFFFFF"/>
        </w:rPr>
        <w:t>Tatham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, R. L., &amp; Black, W. C. (2005). Análise Multivariada de dados. </w:t>
      </w:r>
      <w:proofErr w:type="spellStart"/>
      <w:r w:rsidRPr="00C703C0">
        <w:rPr>
          <w:sz w:val="24"/>
          <w:szCs w:val="24"/>
          <w:shd w:val="clear" w:color="auto" w:fill="FFFFFF"/>
        </w:rPr>
        <w:t>Traduçao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: Adonai </w:t>
      </w:r>
      <w:proofErr w:type="spellStart"/>
      <w:r w:rsidRPr="00C703C0">
        <w:rPr>
          <w:sz w:val="24"/>
          <w:szCs w:val="24"/>
          <w:shd w:val="clear" w:color="auto" w:fill="FFFFFF"/>
        </w:rPr>
        <w:t>Schlup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 Sant ‘Anna e Anselmo Chaves Neto.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  <w:lang w:val="en-US"/>
        </w:rPr>
      </w:pPr>
      <w:r w:rsidRPr="00C703C0">
        <w:rPr>
          <w:sz w:val="24"/>
          <w:szCs w:val="24"/>
          <w:shd w:val="clear" w:color="auto" w:fill="FFFFFF"/>
          <w:lang w:val="en-US"/>
        </w:rPr>
        <w:t xml:space="preserve">Healy, P. M., &amp; </w:t>
      </w: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Wahlen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J. M. (1999). A review of the earnings management literature and its implications for standard setting.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Accounting horizons</w:t>
      </w:r>
      <w:r w:rsidRPr="00C703C0">
        <w:rPr>
          <w:sz w:val="24"/>
          <w:szCs w:val="24"/>
          <w:shd w:val="clear" w:color="auto" w:fill="FFFFFF"/>
          <w:lang w:val="en-US"/>
        </w:rPr>
        <w:t>,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13</w:t>
      </w:r>
      <w:r w:rsidRPr="00C703C0">
        <w:rPr>
          <w:sz w:val="24"/>
          <w:szCs w:val="24"/>
          <w:shd w:val="clear" w:color="auto" w:fill="FFFFFF"/>
          <w:lang w:val="en-US"/>
        </w:rPr>
        <w:t>(4), 365-383.</w:t>
      </w:r>
    </w:p>
    <w:p w:rsidR="004669E0" w:rsidRPr="00C703C0" w:rsidRDefault="004669E0" w:rsidP="0074712C">
      <w:pPr>
        <w:widowControl w:val="0"/>
        <w:rPr>
          <w:sz w:val="24"/>
          <w:szCs w:val="24"/>
          <w:lang w:val="en-US"/>
        </w:rPr>
      </w:pPr>
      <w:proofErr w:type="spellStart"/>
      <w:r w:rsidRPr="00C703C0">
        <w:rPr>
          <w:sz w:val="24"/>
          <w:szCs w:val="24"/>
          <w:lang w:val="en-US"/>
        </w:rPr>
        <w:t>Huguet</w:t>
      </w:r>
      <w:proofErr w:type="spellEnd"/>
      <w:r w:rsidRPr="00C703C0">
        <w:rPr>
          <w:sz w:val="24"/>
          <w:szCs w:val="24"/>
          <w:lang w:val="en-US"/>
        </w:rPr>
        <w:t xml:space="preserve">, D., &amp; </w:t>
      </w:r>
      <w:proofErr w:type="spellStart"/>
      <w:r w:rsidRPr="00C703C0">
        <w:rPr>
          <w:sz w:val="24"/>
          <w:szCs w:val="24"/>
          <w:lang w:val="en-US"/>
        </w:rPr>
        <w:t>Gandía</w:t>
      </w:r>
      <w:proofErr w:type="spellEnd"/>
      <w:r w:rsidRPr="00C703C0">
        <w:rPr>
          <w:sz w:val="24"/>
          <w:szCs w:val="24"/>
          <w:lang w:val="en-US"/>
        </w:rPr>
        <w:t xml:space="preserve">, J. L. (2016). Audit and earnings management in Spanish SMEs. </w:t>
      </w:r>
      <w:r w:rsidRPr="00C703C0">
        <w:rPr>
          <w:i/>
          <w:sz w:val="24"/>
          <w:szCs w:val="24"/>
          <w:lang w:val="en-US"/>
        </w:rPr>
        <w:t>BRQ Business Research Quarterly</w:t>
      </w:r>
      <w:r w:rsidRPr="00C703C0">
        <w:rPr>
          <w:sz w:val="24"/>
          <w:szCs w:val="24"/>
          <w:lang w:val="en-US"/>
        </w:rPr>
        <w:t xml:space="preserve">, </w:t>
      </w:r>
      <w:r w:rsidRPr="00C703C0">
        <w:rPr>
          <w:i/>
          <w:sz w:val="24"/>
          <w:szCs w:val="24"/>
          <w:lang w:val="en-US"/>
        </w:rPr>
        <w:t>19</w:t>
      </w:r>
      <w:r w:rsidRPr="00C703C0">
        <w:rPr>
          <w:sz w:val="24"/>
          <w:szCs w:val="24"/>
          <w:lang w:val="en-US"/>
        </w:rPr>
        <w:t xml:space="preserve">(3), 171-187. 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  <w:lang w:val="en-US"/>
        </w:rPr>
      </w:pPr>
      <w:r w:rsidRPr="00C703C0">
        <w:rPr>
          <w:sz w:val="24"/>
          <w:szCs w:val="24"/>
          <w:shd w:val="clear" w:color="auto" w:fill="FFFFFF"/>
          <w:lang w:val="en-US"/>
        </w:rPr>
        <w:t xml:space="preserve">Kang, S. H., &amp; </w:t>
      </w:r>
      <w:proofErr w:type="spellStart"/>
      <w:r w:rsidRPr="00C703C0">
        <w:rPr>
          <w:sz w:val="24"/>
          <w:szCs w:val="24"/>
          <w:shd w:val="clear" w:color="auto" w:fill="FFFFFF"/>
          <w:lang w:val="en-US"/>
        </w:rPr>
        <w:t>Sivaramakrishnan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K. (1995). Issues in testing earnings management and an instrumental variable approach.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Journal of accounting Research</w:t>
      </w:r>
      <w:r w:rsidRPr="00C703C0">
        <w:rPr>
          <w:sz w:val="24"/>
          <w:szCs w:val="24"/>
          <w:shd w:val="clear" w:color="auto" w:fill="FFFFFF"/>
          <w:lang w:val="en-US"/>
        </w:rPr>
        <w:t>, 353-367.</w:t>
      </w:r>
    </w:p>
    <w:p w:rsidR="004669E0" w:rsidRPr="00C703C0" w:rsidRDefault="004669E0" w:rsidP="0074712C">
      <w:pPr>
        <w:widowControl w:val="0"/>
        <w:rPr>
          <w:sz w:val="24"/>
          <w:szCs w:val="24"/>
          <w:lang w:val="en-US"/>
        </w:rPr>
      </w:pPr>
      <w:r w:rsidRPr="00C703C0">
        <w:rPr>
          <w:sz w:val="24"/>
          <w:szCs w:val="24"/>
          <w:lang w:val="en-US"/>
        </w:rPr>
        <w:t xml:space="preserve">Klein, A. (2002). Audit committee, board of director characteristics, and earnings management. </w:t>
      </w:r>
      <w:r w:rsidRPr="00C703C0">
        <w:rPr>
          <w:i/>
          <w:sz w:val="24"/>
          <w:szCs w:val="24"/>
          <w:lang w:val="en-US"/>
        </w:rPr>
        <w:t>Journal of accounting and economics</w:t>
      </w:r>
      <w:r w:rsidRPr="00C703C0">
        <w:rPr>
          <w:sz w:val="24"/>
          <w:szCs w:val="24"/>
          <w:lang w:val="en-US"/>
        </w:rPr>
        <w:t xml:space="preserve">, </w:t>
      </w:r>
      <w:r w:rsidRPr="00C703C0">
        <w:rPr>
          <w:i/>
          <w:sz w:val="24"/>
          <w:szCs w:val="24"/>
          <w:lang w:val="en-US"/>
        </w:rPr>
        <w:t>33</w:t>
      </w:r>
      <w:r w:rsidRPr="00C703C0">
        <w:rPr>
          <w:sz w:val="24"/>
          <w:szCs w:val="24"/>
          <w:lang w:val="en-US"/>
        </w:rPr>
        <w:t xml:space="preserve">(3), 375-400. </w:t>
      </w:r>
    </w:p>
    <w:p w:rsidR="004669E0" w:rsidRPr="00C703C0" w:rsidRDefault="004669E0" w:rsidP="0074712C">
      <w:pPr>
        <w:widowControl w:val="0"/>
        <w:rPr>
          <w:sz w:val="24"/>
          <w:szCs w:val="24"/>
          <w:lang w:val="en-US"/>
        </w:rPr>
      </w:pPr>
      <w:r w:rsidRPr="00C703C0">
        <w:rPr>
          <w:sz w:val="24"/>
          <w:szCs w:val="24"/>
          <w:shd w:val="clear" w:color="auto" w:fill="FFFFFF"/>
          <w:lang w:val="en-US"/>
        </w:rPr>
        <w:t>Lennox, C., Wang, Z. T., &amp; Wu, X. (2017). Earnings management, audit adjustments, and the financing of corporate acquisitions: Evidence from China.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J</w:t>
      </w:r>
      <w:proofErr w:type="spellStart"/>
      <w:r w:rsidR="00E06CDE" w:rsidRPr="00C703C0">
        <w:rPr>
          <w:i/>
          <w:iCs/>
          <w:sz w:val="24"/>
          <w:szCs w:val="24"/>
          <w:shd w:val="clear" w:color="auto" w:fill="FFFFFF"/>
        </w:rPr>
        <w:t>ournal</w:t>
      </w:r>
      <w:proofErr w:type="spellEnd"/>
      <w:r w:rsidRPr="00C703C0">
        <w:rPr>
          <w:i/>
          <w:iCs/>
          <w:sz w:val="24"/>
          <w:szCs w:val="24"/>
          <w:shd w:val="clear" w:color="auto" w:fill="FFFFFF"/>
          <w:lang w:val="en-US"/>
        </w:rPr>
        <w:t xml:space="preserve"> of Accounting and Economics</w:t>
      </w:r>
      <w:r w:rsidRPr="00C703C0">
        <w:rPr>
          <w:sz w:val="24"/>
          <w:szCs w:val="24"/>
          <w:shd w:val="clear" w:color="auto" w:fill="FFFFFF"/>
          <w:lang w:val="en-US"/>
        </w:rPr>
        <w:t>.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  <w:lang w:val="en-US"/>
        </w:rPr>
      </w:pPr>
      <w:proofErr w:type="spellStart"/>
      <w:r w:rsidRPr="00C703C0">
        <w:rPr>
          <w:sz w:val="24"/>
          <w:szCs w:val="24"/>
          <w:shd w:val="clear" w:color="auto" w:fill="FFFFFF"/>
          <w:lang w:val="en-US"/>
        </w:rPr>
        <w:lastRenderedPageBreak/>
        <w:t>Leuz</w:t>
      </w:r>
      <w:proofErr w:type="spellEnd"/>
      <w:r w:rsidRPr="00C703C0">
        <w:rPr>
          <w:sz w:val="24"/>
          <w:szCs w:val="24"/>
          <w:shd w:val="clear" w:color="auto" w:fill="FFFFFF"/>
          <w:lang w:val="en-US"/>
        </w:rPr>
        <w:t>, C., Nanda, D., &amp; Wysocki, P. D. (2003). Earnings management and investor protection: an international comparison.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Journal of financial economics</w:t>
      </w:r>
      <w:r w:rsidRPr="00C703C0">
        <w:rPr>
          <w:sz w:val="24"/>
          <w:szCs w:val="24"/>
          <w:shd w:val="clear" w:color="auto" w:fill="FFFFFF"/>
          <w:lang w:val="en-US"/>
        </w:rPr>
        <w:t>,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69</w:t>
      </w:r>
      <w:r w:rsidRPr="00C703C0">
        <w:rPr>
          <w:sz w:val="24"/>
          <w:szCs w:val="24"/>
          <w:shd w:val="clear" w:color="auto" w:fill="FFFFFF"/>
          <w:lang w:val="en-US"/>
        </w:rPr>
        <w:t>(3), 505-527.</w:t>
      </w:r>
    </w:p>
    <w:p w:rsidR="004669E0" w:rsidRPr="00C703C0" w:rsidRDefault="004669E0" w:rsidP="0074712C">
      <w:pPr>
        <w:widowControl w:val="0"/>
        <w:rPr>
          <w:sz w:val="24"/>
          <w:szCs w:val="24"/>
          <w:lang w:val="en-US"/>
        </w:rPr>
      </w:pPr>
      <w:r w:rsidRPr="00C703C0">
        <w:rPr>
          <w:sz w:val="24"/>
          <w:szCs w:val="24"/>
          <w:lang w:val="en-US"/>
        </w:rPr>
        <w:t>Lin, J. W., &amp; Hwang, M. I. (2010). Audit quality, corporate governance, and earnings management: A meta</w:t>
      </w:r>
      <w:r w:rsidRPr="00C703C0">
        <w:rPr>
          <w:rFonts w:ascii="Cambria Math" w:hAnsi="Cambria Math" w:cs="Cambria Math"/>
          <w:sz w:val="24"/>
          <w:szCs w:val="24"/>
          <w:lang w:val="en-US"/>
        </w:rPr>
        <w:t>‐</w:t>
      </w:r>
      <w:r w:rsidRPr="00C703C0">
        <w:rPr>
          <w:sz w:val="24"/>
          <w:szCs w:val="24"/>
          <w:lang w:val="en-US"/>
        </w:rPr>
        <w:t xml:space="preserve">analysis. </w:t>
      </w:r>
      <w:r w:rsidRPr="00C703C0">
        <w:rPr>
          <w:i/>
          <w:sz w:val="24"/>
          <w:szCs w:val="24"/>
          <w:lang w:val="en-US"/>
        </w:rPr>
        <w:t>International Journal of Auditing</w:t>
      </w:r>
      <w:r w:rsidRPr="00C703C0">
        <w:rPr>
          <w:sz w:val="24"/>
          <w:szCs w:val="24"/>
          <w:lang w:val="en-US"/>
        </w:rPr>
        <w:t xml:space="preserve">, </w:t>
      </w:r>
      <w:r w:rsidRPr="00C703C0">
        <w:rPr>
          <w:i/>
          <w:sz w:val="24"/>
          <w:szCs w:val="24"/>
          <w:lang w:val="en-US"/>
        </w:rPr>
        <w:t>14</w:t>
      </w:r>
      <w:r w:rsidRPr="00C703C0">
        <w:rPr>
          <w:sz w:val="24"/>
          <w:szCs w:val="24"/>
          <w:lang w:val="en-US"/>
        </w:rPr>
        <w:t xml:space="preserve">(1), 57-77. </w:t>
      </w:r>
    </w:p>
    <w:p w:rsidR="004669E0" w:rsidRPr="00C703C0" w:rsidRDefault="004669E0" w:rsidP="0074712C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r w:rsidRPr="00C703C0">
        <w:rPr>
          <w:sz w:val="24"/>
          <w:szCs w:val="24"/>
          <w:lang w:val="en-US"/>
        </w:rPr>
        <w:t>Lopes, A. L.; Walker, M. (2008).</w:t>
      </w:r>
      <w:r w:rsidRPr="00C703C0">
        <w:rPr>
          <w:rStyle w:val="apple-converted-space"/>
          <w:rFonts w:eastAsiaTheme="minorEastAsia"/>
          <w:sz w:val="24"/>
          <w:szCs w:val="24"/>
          <w:lang w:val="en-US"/>
        </w:rPr>
        <w:t> </w:t>
      </w:r>
      <w:r w:rsidRPr="00C703C0">
        <w:rPr>
          <w:rStyle w:val="searchword"/>
          <w:sz w:val="24"/>
          <w:szCs w:val="24"/>
          <w:lang w:val="en-US"/>
        </w:rPr>
        <w:t xml:space="preserve">Firm Level Incentives and the Informativeness of Accounting Reports: An Experiment in Brazil. (February 1, 2008). </w:t>
      </w:r>
      <w:r w:rsidRPr="00C703C0">
        <w:rPr>
          <w:rStyle w:val="searchword"/>
          <w:b/>
          <w:sz w:val="24"/>
          <w:szCs w:val="24"/>
          <w:lang w:val="en-US"/>
        </w:rPr>
        <w:t>Available at SSRN</w:t>
      </w:r>
      <w:r w:rsidRPr="00C703C0">
        <w:rPr>
          <w:rStyle w:val="searchword"/>
          <w:sz w:val="24"/>
          <w:szCs w:val="24"/>
          <w:lang w:val="en-US"/>
        </w:rPr>
        <w:t>:</w:t>
      </w:r>
      <w:r w:rsidRPr="00C703C0">
        <w:rPr>
          <w:sz w:val="24"/>
          <w:szCs w:val="24"/>
          <w:lang w:val="en-US"/>
        </w:rPr>
        <w:t xml:space="preserve"> http://ssrn.com/abstract=1095781</w:t>
      </w:r>
      <w:r w:rsidRPr="00C703C0">
        <w:rPr>
          <w:rStyle w:val="apple-converted-space"/>
          <w:rFonts w:eastAsiaTheme="minorEastAsia"/>
          <w:sz w:val="24"/>
          <w:szCs w:val="24"/>
          <w:lang w:val="en-US"/>
        </w:rPr>
        <w:t xml:space="preserve"> or </w:t>
      </w:r>
      <w:r w:rsidRPr="00C703C0">
        <w:rPr>
          <w:sz w:val="24"/>
          <w:szCs w:val="24"/>
          <w:lang w:val="en-US"/>
        </w:rPr>
        <w:t>http://dx.doi.org/10.2139/ssrn.1095781.</w:t>
      </w:r>
    </w:p>
    <w:p w:rsidR="004669E0" w:rsidRPr="00C703C0" w:rsidRDefault="002942CF" w:rsidP="0074712C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r w:rsidRPr="00C703C0">
        <w:rPr>
          <w:rFonts w:eastAsia="Arial Unicode MS"/>
          <w:sz w:val="24"/>
          <w:szCs w:val="24"/>
          <w:shd w:val="clear" w:color="auto" w:fill="FFFFFF"/>
        </w:rPr>
        <w:t xml:space="preserve">Lopes, A. B.; Martins, </w:t>
      </w:r>
      <w:r w:rsidR="004669E0" w:rsidRPr="00C703C0">
        <w:rPr>
          <w:rFonts w:eastAsia="Arial Unicode MS"/>
          <w:sz w:val="24"/>
          <w:szCs w:val="24"/>
          <w:shd w:val="clear" w:color="auto" w:fill="FFFFFF"/>
        </w:rPr>
        <w:t xml:space="preserve">E. (2005) </w:t>
      </w:r>
      <w:r w:rsidR="004669E0" w:rsidRPr="00C703C0">
        <w:rPr>
          <w:rFonts w:eastAsia="Arial Unicode MS"/>
          <w:i/>
          <w:sz w:val="24"/>
          <w:szCs w:val="24"/>
          <w:shd w:val="clear" w:color="auto" w:fill="FFFFFF"/>
        </w:rPr>
        <w:t>Teoria da Contabilidade</w:t>
      </w:r>
      <w:r w:rsidR="004669E0" w:rsidRPr="00C703C0">
        <w:rPr>
          <w:rFonts w:eastAsia="Arial Unicode MS"/>
          <w:b/>
          <w:sz w:val="24"/>
          <w:szCs w:val="24"/>
          <w:shd w:val="clear" w:color="auto" w:fill="FFFFFF"/>
        </w:rPr>
        <w:t>:</w:t>
      </w:r>
      <w:r w:rsidR="004669E0" w:rsidRPr="00C703C0">
        <w:rPr>
          <w:rFonts w:eastAsia="Arial Unicode MS"/>
          <w:sz w:val="24"/>
          <w:szCs w:val="24"/>
          <w:shd w:val="clear" w:color="auto" w:fill="FFFFFF"/>
        </w:rPr>
        <w:t xml:space="preserve"> Uma nova abordagem. </w:t>
      </w:r>
      <w:r w:rsidR="004669E0" w:rsidRPr="00C703C0">
        <w:rPr>
          <w:rFonts w:eastAsia="Arial Unicode MS"/>
          <w:sz w:val="24"/>
          <w:szCs w:val="24"/>
          <w:shd w:val="clear" w:color="auto" w:fill="FFFFFF"/>
          <w:lang w:val="en-US"/>
        </w:rPr>
        <w:t>São Paulo: Atlas.</w:t>
      </w:r>
    </w:p>
    <w:p w:rsidR="004669E0" w:rsidRPr="00C703C0" w:rsidRDefault="004669E0" w:rsidP="0074712C">
      <w:pPr>
        <w:widowControl w:val="0"/>
        <w:rPr>
          <w:sz w:val="24"/>
          <w:szCs w:val="24"/>
        </w:rPr>
      </w:pPr>
      <w:r w:rsidRPr="00C703C0">
        <w:rPr>
          <w:sz w:val="24"/>
          <w:szCs w:val="24"/>
          <w:lang w:val="en-US"/>
        </w:rPr>
        <w:t xml:space="preserve">Martinez, A. L. (2011). Do corporate governance special listing segments and auditing curb real and accrual-based earnings management? </w:t>
      </w:r>
      <w:proofErr w:type="spellStart"/>
      <w:r w:rsidRPr="00C703C0">
        <w:rPr>
          <w:sz w:val="24"/>
          <w:szCs w:val="24"/>
        </w:rPr>
        <w:t>Evidence</w:t>
      </w:r>
      <w:proofErr w:type="spellEnd"/>
      <w:r w:rsidRPr="00C703C0">
        <w:rPr>
          <w:sz w:val="24"/>
          <w:szCs w:val="24"/>
        </w:rPr>
        <w:t xml:space="preserve"> </w:t>
      </w:r>
      <w:proofErr w:type="spellStart"/>
      <w:r w:rsidRPr="00C703C0">
        <w:rPr>
          <w:sz w:val="24"/>
          <w:szCs w:val="24"/>
        </w:rPr>
        <w:t>from</w:t>
      </w:r>
      <w:proofErr w:type="spellEnd"/>
      <w:r w:rsidRPr="00C703C0">
        <w:rPr>
          <w:sz w:val="24"/>
          <w:szCs w:val="24"/>
        </w:rPr>
        <w:t xml:space="preserve"> </w:t>
      </w:r>
      <w:proofErr w:type="spellStart"/>
      <w:r w:rsidRPr="00C703C0">
        <w:rPr>
          <w:sz w:val="24"/>
          <w:szCs w:val="24"/>
        </w:rPr>
        <w:t>Brazil</w:t>
      </w:r>
      <w:proofErr w:type="spellEnd"/>
      <w:r w:rsidRPr="00C703C0">
        <w:rPr>
          <w:sz w:val="24"/>
          <w:szCs w:val="24"/>
        </w:rPr>
        <w:t xml:space="preserve">. </w:t>
      </w:r>
      <w:r w:rsidRPr="00C703C0">
        <w:rPr>
          <w:i/>
          <w:sz w:val="24"/>
          <w:szCs w:val="24"/>
        </w:rPr>
        <w:t>Revista Universo Contábil</w:t>
      </w:r>
      <w:r w:rsidRPr="00C703C0">
        <w:rPr>
          <w:sz w:val="24"/>
          <w:szCs w:val="24"/>
        </w:rPr>
        <w:t xml:space="preserve">, </w:t>
      </w:r>
      <w:r w:rsidRPr="00C703C0">
        <w:rPr>
          <w:i/>
          <w:sz w:val="24"/>
          <w:szCs w:val="24"/>
        </w:rPr>
        <w:t>7</w:t>
      </w:r>
      <w:r w:rsidRPr="00C703C0">
        <w:rPr>
          <w:sz w:val="24"/>
          <w:szCs w:val="24"/>
        </w:rPr>
        <w:t xml:space="preserve">(4), 98. </w:t>
      </w:r>
    </w:p>
    <w:p w:rsidR="004669E0" w:rsidRPr="00C703C0" w:rsidRDefault="002942CF" w:rsidP="0074712C">
      <w:pPr>
        <w:widowControl w:val="0"/>
        <w:rPr>
          <w:rFonts w:eastAsia="Liberation Serif"/>
          <w:sz w:val="24"/>
          <w:szCs w:val="24"/>
        </w:rPr>
      </w:pPr>
      <w:r w:rsidRPr="00C703C0">
        <w:rPr>
          <w:sz w:val="24"/>
          <w:szCs w:val="24"/>
          <w:shd w:val="clear" w:color="auto" w:fill="FFFFFF"/>
        </w:rPr>
        <w:t>Martinez, A. L., &amp; Reis</w:t>
      </w:r>
      <w:r w:rsidR="004669E0" w:rsidRPr="00C703C0">
        <w:rPr>
          <w:sz w:val="24"/>
          <w:szCs w:val="24"/>
          <w:shd w:val="clear" w:color="auto" w:fill="FFFFFF"/>
        </w:rPr>
        <w:t xml:space="preserve">, G. M. (2010, </w:t>
      </w:r>
      <w:proofErr w:type="spellStart"/>
      <w:r w:rsidR="004669E0" w:rsidRPr="00C703C0">
        <w:rPr>
          <w:sz w:val="24"/>
          <w:szCs w:val="24"/>
          <w:shd w:val="clear" w:color="auto" w:fill="FFFFFF"/>
        </w:rPr>
        <w:t>October</w:t>
      </w:r>
      <w:proofErr w:type="spellEnd"/>
      <w:r w:rsidR="004669E0" w:rsidRPr="00C703C0">
        <w:rPr>
          <w:sz w:val="24"/>
          <w:szCs w:val="24"/>
          <w:shd w:val="clear" w:color="auto" w:fill="FFFFFF"/>
        </w:rPr>
        <w:t>). Rodízio de auditores e o gerenciamento de resultados. In </w:t>
      </w:r>
      <w:r w:rsidR="004669E0" w:rsidRPr="00C703C0">
        <w:rPr>
          <w:i/>
          <w:iCs/>
          <w:sz w:val="24"/>
          <w:szCs w:val="24"/>
          <w:shd w:val="clear" w:color="auto" w:fill="FFFFFF"/>
        </w:rPr>
        <w:t>Congresso USP de Controladoria e Contabilidade</w:t>
      </w:r>
      <w:r w:rsidR="004669E0" w:rsidRPr="00C703C0">
        <w:rPr>
          <w:sz w:val="24"/>
          <w:szCs w:val="24"/>
          <w:shd w:val="clear" w:color="auto" w:fill="FFFFFF"/>
        </w:rPr>
        <w:t> (Vol. 10).</w:t>
      </w:r>
    </w:p>
    <w:p w:rsidR="004669E0" w:rsidRPr="00C703C0" w:rsidRDefault="004669E0" w:rsidP="0074712C">
      <w:pPr>
        <w:widowControl w:val="0"/>
        <w:rPr>
          <w:sz w:val="24"/>
          <w:szCs w:val="24"/>
        </w:rPr>
      </w:pPr>
      <w:proofErr w:type="spellStart"/>
      <w:r w:rsidRPr="00C703C0">
        <w:rPr>
          <w:sz w:val="24"/>
          <w:szCs w:val="24"/>
        </w:rPr>
        <w:t>Miko</w:t>
      </w:r>
      <w:proofErr w:type="spellEnd"/>
      <w:r w:rsidRPr="00C703C0">
        <w:rPr>
          <w:sz w:val="24"/>
          <w:szCs w:val="24"/>
        </w:rPr>
        <w:t xml:space="preserve">, N. U., &amp; </w:t>
      </w:r>
      <w:proofErr w:type="spellStart"/>
      <w:r w:rsidRPr="00C703C0">
        <w:rPr>
          <w:sz w:val="24"/>
          <w:szCs w:val="24"/>
        </w:rPr>
        <w:t>Kamardin</w:t>
      </w:r>
      <w:proofErr w:type="spellEnd"/>
      <w:r w:rsidRPr="00C703C0">
        <w:rPr>
          <w:sz w:val="24"/>
          <w:szCs w:val="24"/>
        </w:rPr>
        <w:t xml:space="preserve">, H. (2015). </w:t>
      </w:r>
      <w:r w:rsidRPr="00C703C0">
        <w:rPr>
          <w:sz w:val="24"/>
          <w:szCs w:val="24"/>
          <w:lang w:val="en-US"/>
        </w:rPr>
        <w:t xml:space="preserve">Impact of audit committee and audit quality on preventing earnings management in the pre-and post-Nigerian corporate governance code 2011. </w:t>
      </w:r>
      <w:r w:rsidRPr="00C703C0">
        <w:rPr>
          <w:i/>
          <w:sz w:val="24"/>
          <w:szCs w:val="24"/>
        </w:rPr>
        <w:t xml:space="preserve">Procedia-Social </w:t>
      </w:r>
      <w:proofErr w:type="spellStart"/>
      <w:r w:rsidRPr="00C703C0">
        <w:rPr>
          <w:i/>
          <w:sz w:val="24"/>
          <w:szCs w:val="24"/>
        </w:rPr>
        <w:t>and</w:t>
      </w:r>
      <w:proofErr w:type="spellEnd"/>
      <w:r w:rsidRPr="00C703C0">
        <w:rPr>
          <w:i/>
          <w:sz w:val="24"/>
          <w:szCs w:val="24"/>
        </w:rPr>
        <w:t xml:space="preserve"> </w:t>
      </w:r>
      <w:proofErr w:type="spellStart"/>
      <w:r w:rsidRPr="00C703C0">
        <w:rPr>
          <w:i/>
          <w:sz w:val="24"/>
          <w:szCs w:val="24"/>
        </w:rPr>
        <w:t>Behavioral</w:t>
      </w:r>
      <w:proofErr w:type="spellEnd"/>
      <w:r w:rsidRPr="00C703C0">
        <w:rPr>
          <w:i/>
          <w:sz w:val="24"/>
          <w:szCs w:val="24"/>
        </w:rPr>
        <w:t xml:space="preserve"> </w:t>
      </w:r>
      <w:proofErr w:type="spellStart"/>
      <w:r w:rsidRPr="00C703C0">
        <w:rPr>
          <w:i/>
          <w:sz w:val="24"/>
          <w:szCs w:val="24"/>
        </w:rPr>
        <w:t>Sciences</w:t>
      </w:r>
      <w:proofErr w:type="spellEnd"/>
      <w:r w:rsidRPr="00C703C0">
        <w:rPr>
          <w:sz w:val="24"/>
          <w:szCs w:val="24"/>
        </w:rPr>
        <w:t xml:space="preserve">, </w:t>
      </w:r>
      <w:r w:rsidRPr="00C703C0">
        <w:rPr>
          <w:i/>
          <w:sz w:val="24"/>
          <w:szCs w:val="24"/>
        </w:rPr>
        <w:t>172</w:t>
      </w:r>
      <w:r w:rsidRPr="00C703C0">
        <w:rPr>
          <w:sz w:val="24"/>
          <w:szCs w:val="24"/>
        </w:rPr>
        <w:t>, 651-657.</w:t>
      </w:r>
    </w:p>
    <w:p w:rsidR="004669E0" w:rsidRPr="00C703C0" w:rsidRDefault="004669E0" w:rsidP="0074712C">
      <w:pPr>
        <w:rPr>
          <w:sz w:val="24"/>
          <w:szCs w:val="24"/>
          <w:shd w:val="clear" w:color="auto" w:fill="FFFFFF"/>
        </w:rPr>
      </w:pPr>
      <w:r w:rsidRPr="00C703C0">
        <w:rPr>
          <w:sz w:val="24"/>
          <w:szCs w:val="24"/>
          <w:shd w:val="clear" w:color="auto" w:fill="FFFFFF"/>
        </w:rPr>
        <w:t>Paulo, I. I. S. L. M., Cavalcante, P. R. N., &amp; Paulo, E. (2013). Relação entre qualidade da auditoria e conservadorismo contábil nas empresas brasileiras. </w:t>
      </w:r>
      <w:r w:rsidRPr="00C703C0">
        <w:rPr>
          <w:bCs/>
          <w:i/>
          <w:sz w:val="24"/>
          <w:szCs w:val="24"/>
          <w:shd w:val="clear" w:color="auto" w:fill="FFFFFF"/>
        </w:rPr>
        <w:t>Revista de Educação e Pesquisa em Contabilidade (</w:t>
      </w:r>
      <w:proofErr w:type="spellStart"/>
      <w:r w:rsidRPr="00C703C0">
        <w:rPr>
          <w:bCs/>
          <w:i/>
          <w:sz w:val="24"/>
          <w:szCs w:val="24"/>
          <w:shd w:val="clear" w:color="auto" w:fill="FFFFFF"/>
        </w:rPr>
        <w:t>REPeC</w:t>
      </w:r>
      <w:proofErr w:type="spellEnd"/>
      <w:r w:rsidRPr="00C703C0">
        <w:rPr>
          <w:bCs/>
          <w:i/>
          <w:sz w:val="24"/>
          <w:szCs w:val="24"/>
          <w:shd w:val="clear" w:color="auto" w:fill="FFFFFF"/>
        </w:rPr>
        <w:t>)</w:t>
      </w:r>
      <w:r w:rsidRPr="00C703C0">
        <w:rPr>
          <w:i/>
          <w:sz w:val="24"/>
          <w:szCs w:val="24"/>
          <w:shd w:val="clear" w:color="auto" w:fill="FFFFFF"/>
        </w:rPr>
        <w:t>,</w:t>
      </w:r>
      <w:r w:rsidRPr="00C703C0">
        <w:rPr>
          <w:sz w:val="24"/>
          <w:szCs w:val="24"/>
          <w:shd w:val="clear" w:color="auto" w:fill="FFFFFF"/>
        </w:rPr>
        <w:t xml:space="preserve"> 7(3), 306-328.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  <w:lang w:val="en-US"/>
        </w:rPr>
      </w:pPr>
      <w:proofErr w:type="spellStart"/>
      <w:r w:rsidRPr="00C703C0">
        <w:rPr>
          <w:sz w:val="24"/>
          <w:szCs w:val="24"/>
          <w:shd w:val="clear" w:color="auto" w:fill="FFFFFF"/>
        </w:rPr>
        <w:t>Pincus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, M., &amp; </w:t>
      </w:r>
      <w:proofErr w:type="spellStart"/>
      <w:r w:rsidRPr="00C703C0">
        <w:rPr>
          <w:sz w:val="24"/>
          <w:szCs w:val="24"/>
          <w:shd w:val="clear" w:color="auto" w:fill="FFFFFF"/>
        </w:rPr>
        <w:t>Rajgopal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, S. (2002). </w:t>
      </w:r>
      <w:r w:rsidRPr="00C703C0">
        <w:rPr>
          <w:sz w:val="24"/>
          <w:szCs w:val="24"/>
          <w:shd w:val="clear" w:color="auto" w:fill="FFFFFF"/>
          <w:lang w:val="en-US"/>
        </w:rPr>
        <w:t>The interaction between accrual management and hedging: Evidence from oil and gas firms.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The Accounting Review</w:t>
      </w:r>
      <w:r w:rsidRPr="00C703C0">
        <w:rPr>
          <w:sz w:val="24"/>
          <w:szCs w:val="24"/>
          <w:shd w:val="clear" w:color="auto" w:fill="FFFFFF"/>
          <w:lang w:val="en-US"/>
        </w:rPr>
        <w:t>,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77</w:t>
      </w:r>
      <w:r w:rsidRPr="00C703C0">
        <w:rPr>
          <w:sz w:val="24"/>
          <w:szCs w:val="24"/>
          <w:shd w:val="clear" w:color="auto" w:fill="FFFFFF"/>
          <w:lang w:val="en-US"/>
        </w:rPr>
        <w:t>(1), 127-160.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  <w:lang w:val="en-US"/>
        </w:rPr>
      </w:pPr>
      <w:r w:rsidRPr="00C703C0">
        <w:rPr>
          <w:sz w:val="24"/>
          <w:szCs w:val="24"/>
          <w:shd w:val="clear" w:color="auto" w:fill="FFFFFF"/>
          <w:lang w:val="en-US"/>
        </w:rPr>
        <w:t>Rajpal, H. (2012). Independent Directors and Earnings Management: Evidence from India.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International J</w:t>
      </w:r>
      <w:r w:rsidR="00475F2F">
        <w:rPr>
          <w:i/>
          <w:iCs/>
          <w:sz w:val="24"/>
          <w:szCs w:val="24"/>
          <w:shd w:val="clear" w:color="auto" w:fill="FFFFFF"/>
          <w:lang w:val="en-US"/>
        </w:rPr>
        <w:t>.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 xml:space="preserve"> of Accounting and Financial Management Research</w:t>
      </w:r>
      <w:r w:rsidRPr="00C703C0">
        <w:rPr>
          <w:sz w:val="24"/>
          <w:szCs w:val="24"/>
          <w:shd w:val="clear" w:color="auto" w:fill="FFFFFF"/>
          <w:lang w:val="en-US"/>
        </w:rPr>
        <w:t>, </w:t>
      </w:r>
      <w:r w:rsidRPr="00C703C0">
        <w:rPr>
          <w:i/>
          <w:iCs/>
          <w:sz w:val="24"/>
          <w:szCs w:val="24"/>
          <w:shd w:val="clear" w:color="auto" w:fill="FFFFFF"/>
          <w:lang w:val="en-US"/>
        </w:rPr>
        <w:t>2</w:t>
      </w:r>
      <w:r w:rsidRPr="00C703C0">
        <w:rPr>
          <w:sz w:val="24"/>
          <w:szCs w:val="24"/>
          <w:shd w:val="clear" w:color="auto" w:fill="FFFFFF"/>
          <w:lang w:val="en-US"/>
        </w:rPr>
        <w:t>(4), 2249-6882.</w:t>
      </w:r>
    </w:p>
    <w:p w:rsidR="004669E0" w:rsidRPr="00C703C0" w:rsidRDefault="004669E0" w:rsidP="0074712C">
      <w:pPr>
        <w:widowControl w:val="0"/>
        <w:rPr>
          <w:sz w:val="24"/>
          <w:szCs w:val="24"/>
        </w:rPr>
      </w:pPr>
      <w:r w:rsidRPr="00C703C0">
        <w:rPr>
          <w:sz w:val="24"/>
          <w:szCs w:val="24"/>
          <w:lang w:val="en-US"/>
        </w:rPr>
        <w:t xml:space="preserve">Santana, A. G., </w:t>
      </w:r>
      <w:proofErr w:type="spellStart"/>
      <w:r w:rsidRPr="00C703C0">
        <w:rPr>
          <w:sz w:val="24"/>
          <w:szCs w:val="24"/>
          <w:lang w:val="en-US"/>
        </w:rPr>
        <w:t>Bezerra</w:t>
      </w:r>
      <w:proofErr w:type="spellEnd"/>
      <w:r w:rsidRPr="00C703C0">
        <w:rPr>
          <w:sz w:val="24"/>
          <w:szCs w:val="24"/>
          <w:lang w:val="en-US"/>
        </w:rPr>
        <w:t xml:space="preserve">, F. A., Teixeira, S. A., &amp; Cunha, P. R. D. (2014). </w:t>
      </w:r>
      <w:r w:rsidRPr="00C703C0">
        <w:rPr>
          <w:sz w:val="24"/>
          <w:szCs w:val="24"/>
        </w:rPr>
        <w:t xml:space="preserve">Auditoria independente e a qualidade da informação na divulgação das demonstrações contábeis: estudo comparativo entre empresas brasileiras auditadas pelas big four e não big four. </w:t>
      </w:r>
      <w:r w:rsidRPr="00C703C0">
        <w:rPr>
          <w:i/>
          <w:sz w:val="24"/>
          <w:szCs w:val="24"/>
        </w:rPr>
        <w:t>Revista de Contabilidade do Mestrado em Ciências Contábeis da UERJ</w:t>
      </w:r>
      <w:r w:rsidRPr="00C703C0">
        <w:rPr>
          <w:sz w:val="24"/>
          <w:szCs w:val="24"/>
        </w:rPr>
        <w:t xml:space="preserve">, </w:t>
      </w:r>
      <w:r w:rsidRPr="00C703C0">
        <w:rPr>
          <w:i/>
          <w:sz w:val="24"/>
          <w:szCs w:val="24"/>
        </w:rPr>
        <w:t>19</w:t>
      </w:r>
      <w:r w:rsidRPr="00C703C0">
        <w:rPr>
          <w:sz w:val="24"/>
          <w:szCs w:val="24"/>
        </w:rPr>
        <w:t xml:space="preserve">(3). </w:t>
      </w:r>
    </w:p>
    <w:p w:rsidR="004669E0" w:rsidRPr="00C703C0" w:rsidRDefault="004669E0" w:rsidP="0074712C">
      <w:pPr>
        <w:widowControl w:val="0"/>
        <w:rPr>
          <w:sz w:val="24"/>
          <w:szCs w:val="24"/>
          <w:shd w:val="clear" w:color="auto" w:fill="FFFFFF"/>
        </w:rPr>
      </w:pPr>
      <w:r w:rsidRPr="00C703C0">
        <w:rPr>
          <w:sz w:val="24"/>
          <w:szCs w:val="24"/>
          <w:shd w:val="clear" w:color="auto" w:fill="FFFFFF"/>
          <w:lang w:val="en-US"/>
        </w:rPr>
        <w:t>Schipper, K. (2003). Principles-based accounting standards. 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Accounting</w:t>
      </w:r>
      <w:proofErr w:type="spellEnd"/>
      <w:r w:rsidRPr="00C703C0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horizons</w:t>
      </w:r>
      <w:proofErr w:type="spellEnd"/>
      <w:r w:rsidRPr="00C703C0">
        <w:rPr>
          <w:sz w:val="24"/>
          <w:szCs w:val="24"/>
          <w:shd w:val="clear" w:color="auto" w:fill="FFFFFF"/>
        </w:rPr>
        <w:t>, </w:t>
      </w:r>
      <w:r w:rsidRPr="00C703C0">
        <w:rPr>
          <w:i/>
          <w:iCs/>
          <w:sz w:val="24"/>
          <w:szCs w:val="24"/>
          <w:shd w:val="clear" w:color="auto" w:fill="FFFFFF"/>
        </w:rPr>
        <w:t>17</w:t>
      </w:r>
      <w:r w:rsidRPr="00C703C0">
        <w:rPr>
          <w:sz w:val="24"/>
          <w:szCs w:val="24"/>
          <w:shd w:val="clear" w:color="auto" w:fill="FFFFFF"/>
        </w:rPr>
        <w:t>, 61-72.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</w:rPr>
      </w:pPr>
      <w:r w:rsidRPr="00C703C0">
        <w:rPr>
          <w:sz w:val="24"/>
          <w:szCs w:val="24"/>
          <w:shd w:val="clear" w:color="auto" w:fill="FFFFFF"/>
        </w:rPr>
        <w:t>Silva, J. O., &amp; Bezerra, F. A. (2010). Análise do gerenciamento de resultados e o rodízio de firmas de auditoria nas empresas de capital aberto. </w:t>
      </w:r>
      <w:r w:rsidRPr="00C703C0">
        <w:rPr>
          <w:i/>
          <w:iCs/>
          <w:sz w:val="24"/>
          <w:szCs w:val="24"/>
          <w:shd w:val="clear" w:color="auto" w:fill="FFFFFF"/>
        </w:rPr>
        <w:t>Revista Brasileira de Gestão de Negócios</w:t>
      </w:r>
      <w:r w:rsidRPr="00C703C0">
        <w:rPr>
          <w:sz w:val="24"/>
          <w:szCs w:val="24"/>
          <w:shd w:val="clear" w:color="auto" w:fill="FFFFFF"/>
        </w:rPr>
        <w:t>, </w:t>
      </w:r>
      <w:r w:rsidRPr="00C703C0">
        <w:rPr>
          <w:i/>
          <w:iCs/>
          <w:sz w:val="24"/>
          <w:szCs w:val="24"/>
          <w:shd w:val="clear" w:color="auto" w:fill="FFFFFF"/>
        </w:rPr>
        <w:t>12</w:t>
      </w:r>
      <w:r w:rsidRPr="00C703C0">
        <w:rPr>
          <w:sz w:val="24"/>
          <w:szCs w:val="24"/>
          <w:shd w:val="clear" w:color="auto" w:fill="FFFFFF"/>
        </w:rPr>
        <w:t>(36).</w:t>
      </w:r>
    </w:p>
    <w:p w:rsidR="004669E0" w:rsidRPr="00C703C0" w:rsidRDefault="004669E0" w:rsidP="0074712C">
      <w:pPr>
        <w:widowControl w:val="0"/>
        <w:rPr>
          <w:sz w:val="24"/>
          <w:szCs w:val="24"/>
        </w:rPr>
      </w:pPr>
      <w:r w:rsidRPr="00C703C0">
        <w:rPr>
          <w:sz w:val="24"/>
          <w:szCs w:val="24"/>
        </w:rPr>
        <w:t xml:space="preserve">Silva, A. D., Pletsch, C. S., Vargas, A. J. D., </w:t>
      </w:r>
      <w:proofErr w:type="spellStart"/>
      <w:r w:rsidRPr="00C703C0">
        <w:rPr>
          <w:sz w:val="24"/>
          <w:szCs w:val="24"/>
        </w:rPr>
        <w:t>Fazolin</w:t>
      </w:r>
      <w:proofErr w:type="spellEnd"/>
      <w:r w:rsidRPr="00C703C0">
        <w:rPr>
          <w:sz w:val="24"/>
          <w:szCs w:val="24"/>
        </w:rPr>
        <w:t xml:space="preserve">, L. B., &amp; </w:t>
      </w:r>
      <w:proofErr w:type="spellStart"/>
      <w:r w:rsidRPr="00C703C0">
        <w:rPr>
          <w:sz w:val="24"/>
          <w:szCs w:val="24"/>
        </w:rPr>
        <w:t>Klann</w:t>
      </w:r>
      <w:proofErr w:type="spellEnd"/>
      <w:r w:rsidRPr="00C703C0">
        <w:rPr>
          <w:sz w:val="24"/>
          <w:szCs w:val="24"/>
        </w:rPr>
        <w:t xml:space="preserve">, R. C. (2014). Influência da auditoria sobre o gerenciamento de resultados. </w:t>
      </w:r>
      <w:r w:rsidRPr="00C703C0">
        <w:rPr>
          <w:i/>
          <w:sz w:val="24"/>
          <w:szCs w:val="24"/>
        </w:rPr>
        <w:t>Revista de Contabilidade do Mestrado em Ciências Contábeis da UERJ</w:t>
      </w:r>
      <w:r w:rsidRPr="00C703C0">
        <w:rPr>
          <w:sz w:val="24"/>
          <w:szCs w:val="24"/>
        </w:rPr>
        <w:t xml:space="preserve">, </w:t>
      </w:r>
      <w:r w:rsidRPr="00C703C0">
        <w:rPr>
          <w:i/>
          <w:sz w:val="24"/>
          <w:szCs w:val="24"/>
        </w:rPr>
        <w:t>19</w:t>
      </w:r>
      <w:r w:rsidRPr="00C703C0">
        <w:rPr>
          <w:sz w:val="24"/>
          <w:szCs w:val="24"/>
        </w:rPr>
        <w:t xml:space="preserve">(3). 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</w:rPr>
      </w:pPr>
      <w:proofErr w:type="spellStart"/>
      <w:r w:rsidRPr="00C703C0">
        <w:rPr>
          <w:sz w:val="24"/>
          <w:szCs w:val="24"/>
          <w:shd w:val="clear" w:color="auto" w:fill="FFFFFF"/>
        </w:rPr>
        <w:t>Vladu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, A. B., &amp; </w:t>
      </w:r>
      <w:proofErr w:type="spellStart"/>
      <w:r w:rsidRPr="00C703C0">
        <w:rPr>
          <w:sz w:val="24"/>
          <w:szCs w:val="24"/>
          <w:shd w:val="clear" w:color="auto" w:fill="FFFFFF"/>
        </w:rPr>
        <w:t>Cuzdriorean</w:t>
      </w:r>
      <w:proofErr w:type="spellEnd"/>
      <w:r w:rsidRPr="00C703C0">
        <w:rPr>
          <w:sz w:val="24"/>
          <w:szCs w:val="24"/>
          <w:shd w:val="clear" w:color="auto" w:fill="FFFFFF"/>
        </w:rPr>
        <w:t xml:space="preserve">, D. D. (2014). </w:t>
      </w:r>
      <w:r w:rsidRPr="00C703C0">
        <w:rPr>
          <w:sz w:val="24"/>
          <w:szCs w:val="24"/>
          <w:shd w:val="clear" w:color="auto" w:fill="FFFFFF"/>
          <w:lang w:val="en-US"/>
        </w:rPr>
        <w:t>Detecting earnings management: Insights from the last decade leading journals published research. </w:t>
      </w:r>
      <w:r w:rsidRPr="00C703C0">
        <w:rPr>
          <w:i/>
          <w:iCs/>
          <w:sz w:val="24"/>
          <w:szCs w:val="24"/>
          <w:shd w:val="clear" w:color="auto" w:fill="FFFFFF"/>
        </w:rPr>
        <w:t xml:space="preserve">Procedia 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Economics</w:t>
      </w:r>
      <w:proofErr w:type="spellEnd"/>
      <w:r w:rsidRPr="00C703C0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and</w:t>
      </w:r>
      <w:proofErr w:type="spellEnd"/>
      <w:r w:rsidRPr="00C703C0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03C0">
        <w:rPr>
          <w:i/>
          <w:iCs/>
          <w:sz w:val="24"/>
          <w:szCs w:val="24"/>
          <w:shd w:val="clear" w:color="auto" w:fill="FFFFFF"/>
        </w:rPr>
        <w:t>Finance</w:t>
      </w:r>
      <w:proofErr w:type="spellEnd"/>
      <w:r w:rsidRPr="00C703C0">
        <w:rPr>
          <w:sz w:val="24"/>
          <w:szCs w:val="24"/>
          <w:shd w:val="clear" w:color="auto" w:fill="FFFFFF"/>
        </w:rPr>
        <w:t>, </w:t>
      </w:r>
      <w:r w:rsidRPr="00C703C0">
        <w:rPr>
          <w:i/>
          <w:iCs/>
          <w:sz w:val="24"/>
          <w:szCs w:val="24"/>
          <w:shd w:val="clear" w:color="auto" w:fill="FFFFFF"/>
        </w:rPr>
        <w:t>15</w:t>
      </w:r>
      <w:r w:rsidRPr="00C703C0">
        <w:rPr>
          <w:sz w:val="24"/>
          <w:szCs w:val="24"/>
          <w:shd w:val="clear" w:color="auto" w:fill="FFFFFF"/>
        </w:rPr>
        <w:t>, 695-703.</w:t>
      </w:r>
    </w:p>
    <w:p w:rsidR="004669E0" w:rsidRPr="00C703C0" w:rsidRDefault="004669E0" w:rsidP="0074712C">
      <w:pPr>
        <w:widowControl w:val="0"/>
        <w:rPr>
          <w:rFonts w:eastAsia="Liberation Serif"/>
          <w:sz w:val="24"/>
          <w:szCs w:val="24"/>
        </w:rPr>
      </w:pPr>
      <w:proofErr w:type="spellStart"/>
      <w:r w:rsidRPr="00C703C0">
        <w:rPr>
          <w:sz w:val="24"/>
          <w:szCs w:val="24"/>
        </w:rPr>
        <w:t>Zalata</w:t>
      </w:r>
      <w:proofErr w:type="spellEnd"/>
      <w:r w:rsidRPr="00C703C0">
        <w:rPr>
          <w:sz w:val="24"/>
          <w:szCs w:val="24"/>
        </w:rPr>
        <w:t xml:space="preserve">, A. M., </w:t>
      </w:r>
      <w:proofErr w:type="spellStart"/>
      <w:r w:rsidRPr="00C703C0">
        <w:rPr>
          <w:sz w:val="24"/>
          <w:szCs w:val="24"/>
        </w:rPr>
        <w:t>Tauringana</w:t>
      </w:r>
      <w:proofErr w:type="spellEnd"/>
      <w:r w:rsidRPr="00C703C0">
        <w:rPr>
          <w:sz w:val="24"/>
          <w:szCs w:val="24"/>
        </w:rPr>
        <w:t xml:space="preserve">, V., &amp; </w:t>
      </w:r>
      <w:proofErr w:type="spellStart"/>
      <w:r w:rsidRPr="00C703C0">
        <w:rPr>
          <w:sz w:val="24"/>
          <w:szCs w:val="24"/>
        </w:rPr>
        <w:t>Tingbani</w:t>
      </w:r>
      <w:proofErr w:type="spellEnd"/>
      <w:r w:rsidRPr="00C703C0">
        <w:rPr>
          <w:sz w:val="24"/>
          <w:szCs w:val="24"/>
        </w:rPr>
        <w:t xml:space="preserve">, I. (2018). </w:t>
      </w:r>
      <w:r w:rsidRPr="00C703C0">
        <w:rPr>
          <w:sz w:val="24"/>
          <w:szCs w:val="24"/>
          <w:lang w:val="en-US"/>
        </w:rPr>
        <w:t xml:space="preserve">Audit committee financial expertise, gender, and earnings management: Does gender of the financial expert </w:t>
      </w:r>
      <w:proofErr w:type="gramStart"/>
      <w:r w:rsidRPr="00C703C0">
        <w:rPr>
          <w:sz w:val="24"/>
          <w:szCs w:val="24"/>
          <w:lang w:val="en-US"/>
        </w:rPr>
        <w:t>matter?.</w:t>
      </w:r>
      <w:proofErr w:type="gramEnd"/>
      <w:r w:rsidRPr="00C703C0">
        <w:rPr>
          <w:sz w:val="24"/>
          <w:szCs w:val="24"/>
          <w:lang w:val="en-US"/>
        </w:rPr>
        <w:t xml:space="preserve"> </w:t>
      </w:r>
      <w:proofErr w:type="spellStart"/>
      <w:r w:rsidRPr="00C703C0">
        <w:rPr>
          <w:i/>
          <w:sz w:val="24"/>
          <w:szCs w:val="24"/>
        </w:rPr>
        <w:t>International</w:t>
      </w:r>
      <w:proofErr w:type="spellEnd"/>
      <w:r w:rsidRPr="00C703C0">
        <w:rPr>
          <w:i/>
          <w:sz w:val="24"/>
          <w:szCs w:val="24"/>
        </w:rPr>
        <w:t xml:space="preserve"> Review </w:t>
      </w:r>
      <w:proofErr w:type="spellStart"/>
      <w:r w:rsidRPr="00C703C0">
        <w:rPr>
          <w:i/>
          <w:sz w:val="24"/>
          <w:szCs w:val="24"/>
        </w:rPr>
        <w:t>of</w:t>
      </w:r>
      <w:proofErr w:type="spellEnd"/>
      <w:r w:rsidRPr="00C703C0">
        <w:rPr>
          <w:i/>
          <w:sz w:val="24"/>
          <w:szCs w:val="24"/>
        </w:rPr>
        <w:t xml:space="preserve"> Financial </w:t>
      </w:r>
      <w:proofErr w:type="spellStart"/>
      <w:r w:rsidRPr="00C703C0">
        <w:rPr>
          <w:i/>
          <w:sz w:val="24"/>
          <w:szCs w:val="24"/>
        </w:rPr>
        <w:t>Analysis</w:t>
      </w:r>
      <w:proofErr w:type="spellEnd"/>
      <w:r w:rsidRPr="00C703C0">
        <w:rPr>
          <w:sz w:val="24"/>
          <w:szCs w:val="24"/>
        </w:rPr>
        <w:t xml:space="preserve">, </w:t>
      </w:r>
      <w:r w:rsidRPr="00C703C0">
        <w:rPr>
          <w:i/>
          <w:sz w:val="24"/>
          <w:szCs w:val="24"/>
        </w:rPr>
        <w:t>55</w:t>
      </w:r>
      <w:r w:rsidRPr="00C703C0">
        <w:rPr>
          <w:sz w:val="24"/>
          <w:szCs w:val="24"/>
        </w:rPr>
        <w:t>, 170-183.</w:t>
      </w:r>
    </w:p>
    <w:sectPr w:rsidR="004669E0" w:rsidRPr="00C703C0" w:rsidSect="003028C8">
      <w:headerReference w:type="default" r:id="rId8"/>
      <w:footerReference w:type="default" r:id="rId9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77B" w:rsidRDefault="0082777B" w:rsidP="008A5824">
      <w:r>
        <w:separator/>
      </w:r>
    </w:p>
  </w:endnote>
  <w:endnote w:type="continuationSeparator" w:id="0">
    <w:p w:rsidR="0082777B" w:rsidRDefault="0082777B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Scal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venir-Ligh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/>
    <w:sdtContent>
      <w:p w:rsidR="0093358D" w:rsidRDefault="0093358D">
        <w:pPr>
          <w:pStyle w:val="Rodap"/>
          <w:jc w:val="right"/>
          <w:rPr>
            <w:rFonts w:ascii="Times New Roman" w:hAnsi="Times New Roman" w:cs="Times New Roman"/>
          </w:rPr>
        </w:pPr>
      </w:p>
      <w:p w:rsidR="0093358D" w:rsidRPr="00C04F45" w:rsidRDefault="0093358D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:rsidR="0093358D" w:rsidRDefault="0093358D">
    <w:pPr>
      <w:pStyle w:val="Rodap"/>
      <w:rPr>
        <w:rFonts w:ascii="Times New Roman" w:hAnsi="Times New Roman" w:cs="Times New Roman"/>
      </w:rPr>
    </w:pPr>
  </w:p>
  <w:p w:rsidR="0093358D" w:rsidRPr="00C04F45" w:rsidRDefault="0093358D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77B" w:rsidRDefault="0082777B" w:rsidP="008A5824">
      <w:r>
        <w:separator/>
      </w:r>
    </w:p>
  </w:footnote>
  <w:footnote w:type="continuationSeparator" w:id="0">
    <w:p w:rsidR="0082777B" w:rsidRDefault="0082777B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58D" w:rsidRPr="00E361F4" w:rsidRDefault="0093358D" w:rsidP="00E361F4">
    <w:pPr>
      <w:pStyle w:val="Cabealho"/>
    </w:pPr>
    <w:r>
      <w:rPr>
        <w:noProof/>
        <w:lang w:eastAsia="pt-BR"/>
      </w:rPr>
      <w:drawing>
        <wp:inline distT="0" distB="0" distL="0" distR="0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F41CA"/>
    <w:multiLevelType w:val="hybridMultilevel"/>
    <w:tmpl w:val="0C0CAB5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24"/>
    <w:rsid w:val="00047017"/>
    <w:rsid w:val="00067126"/>
    <w:rsid w:val="0016220D"/>
    <w:rsid w:val="00194BA9"/>
    <w:rsid w:val="001A4423"/>
    <w:rsid w:val="001B71DF"/>
    <w:rsid w:val="001C328B"/>
    <w:rsid w:val="001F6A6D"/>
    <w:rsid w:val="002011CE"/>
    <w:rsid w:val="0020629D"/>
    <w:rsid w:val="002942CF"/>
    <w:rsid w:val="002B0015"/>
    <w:rsid w:val="002B2B78"/>
    <w:rsid w:val="003028C8"/>
    <w:rsid w:val="00361C1F"/>
    <w:rsid w:val="0036377D"/>
    <w:rsid w:val="0038579D"/>
    <w:rsid w:val="00401695"/>
    <w:rsid w:val="004020EB"/>
    <w:rsid w:val="004669E0"/>
    <w:rsid w:val="00467FB3"/>
    <w:rsid w:val="004731ED"/>
    <w:rsid w:val="00473887"/>
    <w:rsid w:val="00475F2F"/>
    <w:rsid w:val="00491708"/>
    <w:rsid w:val="004E4F73"/>
    <w:rsid w:val="00540FF0"/>
    <w:rsid w:val="005A6486"/>
    <w:rsid w:val="006064A3"/>
    <w:rsid w:val="00627F12"/>
    <w:rsid w:val="00631DCF"/>
    <w:rsid w:val="006347A2"/>
    <w:rsid w:val="00686527"/>
    <w:rsid w:val="0069371D"/>
    <w:rsid w:val="006C5B4D"/>
    <w:rsid w:val="0072578D"/>
    <w:rsid w:val="0074712C"/>
    <w:rsid w:val="00755016"/>
    <w:rsid w:val="0082777B"/>
    <w:rsid w:val="00860B20"/>
    <w:rsid w:val="008A5824"/>
    <w:rsid w:val="008D4F05"/>
    <w:rsid w:val="0093358D"/>
    <w:rsid w:val="009758E3"/>
    <w:rsid w:val="009833D5"/>
    <w:rsid w:val="00A86ECF"/>
    <w:rsid w:val="00AA03BC"/>
    <w:rsid w:val="00AF678A"/>
    <w:rsid w:val="00B32719"/>
    <w:rsid w:val="00B41CAF"/>
    <w:rsid w:val="00BD0F13"/>
    <w:rsid w:val="00C004F1"/>
    <w:rsid w:val="00C04F45"/>
    <w:rsid w:val="00C30374"/>
    <w:rsid w:val="00C703C0"/>
    <w:rsid w:val="00C71FC0"/>
    <w:rsid w:val="00CA2367"/>
    <w:rsid w:val="00CA25AA"/>
    <w:rsid w:val="00CE5296"/>
    <w:rsid w:val="00CF645C"/>
    <w:rsid w:val="00D620CC"/>
    <w:rsid w:val="00D91EAD"/>
    <w:rsid w:val="00E06CDE"/>
    <w:rsid w:val="00E361F4"/>
    <w:rsid w:val="00E41938"/>
    <w:rsid w:val="00E6136F"/>
    <w:rsid w:val="00EB379E"/>
    <w:rsid w:val="00ED7A83"/>
    <w:rsid w:val="00EE20C6"/>
    <w:rsid w:val="00F42444"/>
    <w:rsid w:val="00FC2F82"/>
    <w:rsid w:val="00FE1CF2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3CC036-2B2B-47D8-B0FA-6D8A80DA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69E0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qFormat/>
    <w:rsid w:val="004669E0"/>
    <w:pPr>
      <w:widowControl w:val="0"/>
      <w:suppressAutoHyphens w:val="0"/>
      <w:spacing w:line="360" w:lineRule="auto"/>
      <w:ind w:firstLine="180"/>
      <w:jc w:val="both"/>
    </w:pPr>
    <w:rPr>
      <w:b/>
      <w:szCs w:val="24"/>
    </w:rPr>
  </w:style>
  <w:style w:type="character" w:customStyle="1" w:styleId="Textodocorpo8">
    <w:name w:val="Texto do corpo + 8"/>
    <w:aliases w:val="5 pt,Itálico,Negrito"/>
    <w:rsid w:val="004669E0"/>
    <w:rPr>
      <w:rFonts w:ascii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u w:val="none"/>
      <w:effect w:val="none"/>
    </w:rPr>
  </w:style>
  <w:style w:type="character" w:styleId="nfase">
    <w:name w:val="Emphasis"/>
    <w:uiPriority w:val="20"/>
    <w:qFormat/>
    <w:rsid w:val="004669E0"/>
    <w:rPr>
      <w:i/>
      <w:iCs/>
    </w:rPr>
  </w:style>
  <w:style w:type="paragraph" w:customStyle="1" w:styleId="Default">
    <w:name w:val="Default"/>
    <w:rsid w:val="004669E0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customStyle="1" w:styleId="Textodocorpo1">
    <w:name w:val="Texto do corpo1"/>
    <w:rsid w:val="004669E0"/>
    <w:rPr>
      <w:rFonts w:ascii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u w:val="none"/>
      <w:effect w:val="none"/>
    </w:rPr>
  </w:style>
  <w:style w:type="character" w:customStyle="1" w:styleId="TextodocorpoItlico">
    <w:name w:val="Texto do corpo + Itálico"/>
    <w:rsid w:val="004669E0"/>
    <w:rPr>
      <w:rFonts w:ascii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u w:val="none"/>
      <w:effect w:val="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69E0"/>
    <w:rPr>
      <w:rFonts w:eastAsiaTheme="minorEastAsia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69E0"/>
    <w:pPr>
      <w:suppressAutoHyphens w:val="0"/>
      <w:spacing w:after="200"/>
    </w:pPr>
    <w:rPr>
      <w:rFonts w:asciiTheme="minorHAnsi" w:eastAsiaTheme="minorEastAsia" w:hAnsiTheme="minorHAnsi" w:cstheme="minorBidi"/>
    </w:rPr>
  </w:style>
  <w:style w:type="character" w:customStyle="1" w:styleId="fontstyle01">
    <w:name w:val="fontstyle01"/>
    <w:basedOn w:val="Fontepargpadro"/>
    <w:rsid w:val="004669E0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669E0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69E0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69E0"/>
    <w:pPr>
      <w:spacing w:after="0"/>
      <w:ind w:firstLine="709"/>
    </w:pPr>
    <w:rPr>
      <w:rFonts w:ascii="Times New Roman" w:eastAsiaTheme="minorHAnsi" w:hAnsi="Times New Roman" w:cs="Times New Roman"/>
      <w:b/>
      <w:bCs/>
      <w:lang w:eastAsia="en-US"/>
    </w:rPr>
  </w:style>
  <w:style w:type="character" w:customStyle="1" w:styleId="A1">
    <w:name w:val="A1"/>
    <w:uiPriority w:val="99"/>
    <w:rsid w:val="004669E0"/>
    <w:rPr>
      <w:color w:val="000000"/>
      <w:sz w:val="18"/>
      <w:szCs w:val="18"/>
    </w:rPr>
  </w:style>
  <w:style w:type="character" w:customStyle="1" w:styleId="apple-converted-space">
    <w:name w:val="apple-converted-space"/>
    <w:basedOn w:val="Fontepargpadro"/>
    <w:rsid w:val="004669E0"/>
  </w:style>
  <w:style w:type="character" w:customStyle="1" w:styleId="searchword">
    <w:name w:val="searchword"/>
    <w:basedOn w:val="Fontepargpadro"/>
    <w:rsid w:val="00466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8697</Words>
  <Characters>46965</Characters>
  <Application>Microsoft Office Word</Application>
  <DocSecurity>0</DocSecurity>
  <Lines>391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Silvete Moterle</cp:lastModifiedBy>
  <cp:revision>2</cp:revision>
  <dcterms:created xsi:type="dcterms:W3CDTF">2018-04-29T12:53:00Z</dcterms:created>
  <dcterms:modified xsi:type="dcterms:W3CDTF">2018-04-29T12:53:00Z</dcterms:modified>
</cp:coreProperties>
</file>