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Default="0036377D" w:rsidP="0036377D">
      <w:pPr>
        <w:jc w:val="center"/>
        <w:rPr>
          <w:b/>
          <w:sz w:val="24"/>
        </w:rPr>
      </w:pPr>
      <w:bookmarkStart w:id="0" w:name="_GoBack"/>
      <w:bookmarkEnd w:id="0"/>
    </w:p>
    <w:p w:rsidR="00760C73" w:rsidRPr="00760C73" w:rsidRDefault="00760C73" w:rsidP="00760C73">
      <w:pPr>
        <w:tabs>
          <w:tab w:val="left" w:pos="709"/>
          <w:tab w:val="left" w:pos="7232"/>
        </w:tabs>
        <w:spacing w:before="240" w:after="240"/>
        <w:jc w:val="center"/>
        <w:rPr>
          <w:b/>
          <w:sz w:val="24"/>
          <w:szCs w:val="24"/>
        </w:rPr>
      </w:pPr>
      <w:r w:rsidRPr="00760C73">
        <w:rPr>
          <w:b/>
          <w:sz w:val="24"/>
          <w:szCs w:val="24"/>
        </w:rPr>
        <w:t xml:space="preserve">Percepção </w:t>
      </w:r>
      <w:r>
        <w:rPr>
          <w:b/>
          <w:sz w:val="24"/>
          <w:szCs w:val="24"/>
        </w:rPr>
        <w:t>d</w:t>
      </w:r>
      <w:r w:rsidRPr="00760C73">
        <w:rPr>
          <w:b/>
          <w:sz w:val="24"/>
          <w:szCs w:val="24"/>
        </w:rPr>
        <w:t xml:space="preserve">os Contadores </w:t>
      </w:r>
      <w:r>
        <w:rPr>
          <w:b/>
          <w:sz w:val="24"/>
          <w:szCs w:val="24"/>
        </w:rPr>
        <w:t>s</w:t>
      </w:r>
      <w:r w:rsidRPr="00760C73">
        <w:rPr>
          <w:b/>
          <w:sz w:val="24"/>
          <w:szCs w:val="24"/>
        </w:rPr>
        <w:t xml:space="preserve">obre </w:t>
      </w:r>
      <w:r>
        <w:rPr>
          <w:b/>
          <w:sz w:val="24"/>
          <w:szCs w:val="24"/>
        </w:rPr>
        <w:t>a</w:t>
      </w:r>
      <w:r w:rsidRPr="00760C73">
        <w:rPr>
          <w:b/>
          <w:sz w:val="24"/>
          <w:szCs w:val="24"/>
        </w:rPr>
        <w:t xml:space="preserve"> Depreciação, Avaliação </w:t>
      </w:r>
      <w:r>
        <w:rPr>
          <w:b/>
          <w:sz w:val="24"/>
          <w:szCs w:val="24"/>
        </w:rPr>
        <w:t>e</w:t>
      </w:r>
      <w:r w:rsidRPr="00760C73">
        <w:rPr>
          <w:b/>
          <w:sz w:val="24"/>
          <w:szCs w:val="24"/>
        </w:rPr>
        <w:t xml:space="preserve"> Mensuração </w:t>
      </w:r>
      <w:r>
        <w:rPr>
          <w:b/>
          <w:sz w:val="24"/>
          <w:szCs w:val="24"/>
        </w:rPr>
        <w:t>d</w:t>
      </w:r>
      <w:r w:rsidRPr="00760C73">
        <w:rPr>
          <w:b/>
          <w:sz w:val="24"/>
          <w:szCs w:val="24"/>
        </w:rPr>
        <w:t>e Ativos Imobilizados.</w:t>
      </w:r>
    </w:p>
    <w:p w:rsidR="0036377D" w:rsidRDefault="0036377D" w:rsidP="0036377D">
      <w:pPr>
        <w:jc w:val="center"/>
        <w:rPr>
          <w:color w:val="999999"/>
        </w:rPr>
      </w:pPr>
    </w:p>
    <w:p w:rsidR="00EF41F4" w:rsidRDefault="00EF41F4" w:rsidP="00EF41F4">
      <w:pPr>
        <w:jc w:val="right"/>
        <w:rPr>
          <w:b/>
          <w:sz w:val="24"/>
          <w:szCs w:val="24"/>
        </w:rPr>
      </w:pPr>
      <w:r>
        <w:rPr>
          <w:b/>
          <w:sz w:val="24"/>
          <w:szCs w:val="24"/>
        </w:rPr>
        <w:t>Ricardo José Correia Neves</w:t>
      </w:r>
    </w:p>
    <w:p w:rsidR="00EF41F4" w:rsidRDefault="00EF41F4" w:rsidP="00EF41F4">
      <w:pPr>
        <w:jc w:val="right"/>
        <w:rPr>
          <w:b/>
          <w:i/>
          <w:sz w:val="24"/>
          <w:szCs w:val="24"/>
        </w:rPr>
      </w:pPr>
      <w:r>
        <w:rPr>
          <w:b/>
          <w:sz w:val="24"/>
          <w:szCs w:val="24"/>
        </w:rPr>
        <w:t>Universidade Federal Rural de Pernambuco (UFRPE)</w:t>
      </w:r>
    </w:p>
    <w:p w:rsidR="0036377D" w:rsidRPr="00EF41F4" w:rsidRDefault="00EF41F4" w:rsidP="00EF41F4">
      <w:pPr>
        <w:widowControl w:val="0"/>
        <w:jc w:val="right"/>
        <w:rPr>
          <w:b/>
          <w:i/>
          <w:sz w:val="24"/>
          <w:szCs w:val="24"/>
        </w:rPr>
      </w:pPr>
      <w:r>
        <w:rPr>
          <w:b/>
          <w:i/>
          <w:sz w:val="24"/>
          <w:szCs w:val="24"/>
        </w:rPr>
        <w:t xml:space="preserve">E-mail: </w:t>
      </w:r>
      <w:hyperlink r:id="rId7" w:history="1">
        <w:r w:rsidRPr="00EF41F4">
          <w:rPr>
            <w:b/>
            <w:i/>
            <w:sz w:val="24"/>
            <w:szCs w:val="24"/>
          </w:rPr>
          <w:t>rcorreia_neves@hotmail.com</w:t>
        </w:r>
      </w:hyperlink>
    </w:p>
    <w:p w:rsidR="00EF41F4" w:rsidRDefault="00EF41F4" w:rsidP="00EF41F4">
      <w:pPr>
        <w:widowControl w:val="0"/>
        <w:jc w:val="right"/>
        <w:rPr>
          <w:b/>
          <w:i/>
          <w:sz w:val="24"/>
          <w:szCs w:val="24"/>
        </w:rPr>
      </w:pPr>
    </w:p>
    <w:p w:rsidR="00EF41F4" w:rsidRDefault="00EF41F4" w:rsidP="00EF41F4">
      <w:pPr>
        <w:jc w:val="right"/>
        <w:rPr>
          <w:b/>
          <w:sz w:val="24"/>
          <w:szCs w:val="24"/>
        </w:rPr>
      </w:pPr>
      <w:r w:rsidRPr="00EF41F4">
        <w:rPr>
          <w:b/>
          <w:sz w:val="24"/>
          <w:szCs w:val="24"/>
        </w:rPr>
        <w:t>Carla Renata Silva Leitão</w:t>
      </w:r>
    </w:p>
    <w:p w:rsidR="00EF41F4" w:rsidRDefault="00EF41F4" w:rsidP="00EF41F4">
      <w:pPr>
        <w:jc w:val="right"/>
        <w:rPr>
          <w:b/>
          <w:i/>
          <w:sz w:val="24"/>
          <w:szCs w:val="24"/>
        </w:rPr>
      </w:pPr>
      <w:r>
        <w:rPr>
          <w:b/>
          <w:sz w:val="24"/>
          <w:szCs w:val="24"/>
        </w:rPr>
        <w:t>Universidade Federal Rural de Pernambuco (UFRPE)</w:t>
      </w:r>
    </w:p>
    <w:p w:rsidR="00EF41F4" w:rsidRPr="00EF41F4" w:rsidRDefault="00EF41F4" w:rsidP="00EF41F4">
      <w:pPr>
        <w:widowControl w:val="0"/>
        <w:jc w:val="right"/>
        <w:rPr>
          <w:b/>
          <w:i/>
          <w:sz w:val="24"/>
          <w:szCs w:val="24"/>
        </w:rPr>
      </w:pPr>
      <w:r>
        <w:rPr>
          <w:b/>
          <w:i/>
          <w:sz w:val="24"/>
          <w:szCs w:val="24"/>
        </w:rPr>
        <w:t xml:space="preserve">E-mail: </w:t>
      </w:r>
      <w:r w:rsidRPr="00EF41F4">
        <w:rPr>
          <w:b/>
          <w:i/>
          <w:sz w:val="24"/>
          <w:szCs w:val="24"/>
        </w:rPr>
        <w:t>carlaleitao_ufrpe@yahoo.com.br</w:t>
      </w:r>
    </w:p>
    <w:p w:rsidR="00FF648D" w:rsidRDefault="00FF648D" w:rsidP="00067126">
      <w:pPr>
        <w:widowControl w:val="0"/>
        <w:jc w:val="right"/>
        <w:rPr>
          <w:b/>
          <w:sz w:val="24"/>
          <w:szCs w:val="24"/>
        </w:rPr>
      </w:pPr>
    </w:p>
    <w:p w:rsidR="00FF648D" w:rsidRDefault="00FF648D" w:rsidP="00067126">
      <w:pPr>
        <w:widowControl w:val="0"/>
        <w:jc w:val="right"/>
        <w:rPr>
          <w:b/>
          <w:sz w:val="24"/>
          <w:szCs w:val="24"/>
        </w:rPr>
      </w:pPr>
    </w:p>
    <w:p w:rsidR="0036377D" w:rsidRDefault="0036377D" w:rsidP="00067126">
      <w:pPr>
        <w:widowControl w:val="0"/>
        <w:jc w:val="center"/>
        <w:rPr>
          <w:b/>
          <w:color w:val="999999"/>
        </w:rPr>
      </w:pPr>
    </w:p>
    <w:p w:rsidR="00C04F45" w:rsidRPr="00157FE8" w:rsidRDefault="0036377D" w:rsidP="009E0416">
      <w:pPr>
        <w:widowControl w:val="0"/>
        <w:spacing w:line="360" w:lineRule="auto"/>
        <w:jc w:val="center"/>
        <w:rPr>
          <w:b/>
          <w:sz w:val="24"/>
          <w:szCs w:val="24"/>
        </w:rPr>
      </w:pPr>
      <w:r w:rsidRPr="00157FE8">
        <w:rPr>
          <w:b/>
          <w:sz w:val="24"/>
          <w:szCs w:val="24"/>
        </w:rPr>
        <w:t>Resumo</w:t>
      </w:r>
    </w:p>
    <w:p w:rsidR="0036377D" w:rsidRPr="00157FE8" w:rsidRDefault="00DA07FE" w:rsidP="00EF41F4">
      <w:pPr>
        <w:widowControl w:val="0"/>
        <w:jc w:val="both"/>
        <w:rPr>
          <w:b/>
          <w:sz w:val="24"/>
          <w:szCs w:val="24"/>
        </w:rPr>
      </w:pPr>
      <w:r w:rsidRPr="00157FE8">
        <w:rPr>
          <w:sz w:val="24"/>
          <w:szCs w:val="24"/>
        </w:rPr>
        <w:t>O trabalho destina identificar a percepção dos contadores públicos da Universidade Federal de Pernambuco (UFPE) quanto à depreciação, avaliação e mensuração de ativos imobilizados em relação às Normas Brasileiras de Contabilidade Técnica 16.9 e 16.10, que tratam da temática deste estudo, enviando aos profissionais um questionário estruturado por meio eletrônico. A pesquisa, do tipo descritiva, buscou primeiramente identificar o perfil do profissional contador, as dificuldades na adaptação às normativas e por último, abordou-se o entendimento das Normas Brasileiras de Contabilidade Aplicadas ao Setor Público. O estudo revelou ainda que aproximadamente 44% dos entrevistados possuem amplo conhecimento sobre as NBCASP. As dificuldades que se observou na pesquisa são resultantes da não atualização dos procedimentos estabelecidos pelos novos normativos, aqui abordados a partir das normas 16.9 e 16.10. Conclui-se que os contadores públicos da Universidade Federal de Pernambuco, abordados na pesquisa, identificam a relevância das novas normas contábeis aplicáveis ao setor público e que trará maior valorização do profissional, havendo, no entanto, uma necessidade de atualização sobre os normativos que são basilares para o desenvolvimento das atividades do contador.</w:t>
      </w:r>
      <w:r w:rsidR="0036377D" w:rsidRPr="00157FE8">
        <w:rPr>
          <w:sz w:val="24"/>
          <w:szCs w:val="24"/>
        </w:rPr>
        <w:t xml:space="preserve"> </w:t>
      </w:r>
    </w:p>
    <w:p w:rsidR="00EF41F4" w:rsidRDefault="00EF41F4" w:rsidP="00EF41F4">
      <w:pPr>
        <w:widowControl w:val="0"/>
        <w:ind w:firstLine="709"/>
        <w:jc w:val="both"/>
        <w:rPr>
          <w:b/>
          <w:sz w:val="24"/>
          <w:szCs w:val="24"/>
        </w:rPr>
      </w:pPr>
    </w:p>
    <w:p w:rsidR="0036377D" w:rsidRPr="00157FE8" w:rsidRDefault="0036377D" w:rsidP="00EF41F4">
      <w:pPr>
        <w:widowControl w:val="0"/>
        <w:ind w:firstLine="709"/>
        <w:jc w:val="both"/>
        <w:rPr>
          <w:sz w:val="24"/>
          <w:szCs w:val="24"/>
        </w:rPr>
      </w:pPr>
      <w:r w:rsidRPr="00157FE8">
        <w:rPr>
          <w:b/>
          <w:sz w:val="24"/>
          <w:szCs w:val="24"/>
        </w:rPr>
        <w:t xml:space="preserve">Palavras-chave: </w:t>
      </w:r>
      <w:r w:rsidR="00DA07FE" w:rsidRPr="00157FE8">
        <w:rPr>
          <w:sz w:val="24"/>
          <w:szCs w:val="24"/>
        </w:rPr>
        <w:t>Contabilidade Pública; Normatização; Depreciação; Ativos Imobilizados.</w:t>
      </w:r>
    </w:p>
    <w:p w:rsidR="00EF41F4" w:rsidRDefault="00EF41F4" w:rsidP="00157FE8">
      <w:pPr>
        <w:widowControl w:val="0"/>
        <w:spacing w:line="360" w:lineRule="auto"/>
        <w:ind w:firstLine="709"/>
        <w:rPr>
          <w:b/>
          <w:sz w:val="24"/>
          <w:szCs w:val="24"/>
        </w:rPr>
      </w:pPr>
    </w:p>
    <w:p w:rsidR="0036377D" w:rsidRPr="00157FE8" w:rsidRDefault="0036377D" w:rsidP="00157FE8">
      <w:pPr>
        <w:widowControl w:val="0"/>
        <w:spacing w:line="360" w:lineRule="auto"/>
        <w:ind w:firstLine="709"/>
        <w:rPr>
          <w:sz w:val="24"/>
          <w:szCs w:val="24"/>
        </w:rPr>
      </w:pPr>
      <w:r w:rsidRPr="00157FE8">
        <w:rPr>
          <w:b/>
          <w:sz w:val="24"/>
          <w:szCs w:val="24"/>
        </w:rPr>
        <w:t xml:space="preserve">Linha Temática: </w:t>
      </w:r>
      <w:r w:rsidR="00175350" w:rsidRPr="00157FE8">
        <w:rPr>
          <w:sz w:val="24"/>
          <w:szCs w:val="24"/>
        </w:rPr>
        <w:t>Contabilidade Gerencial</w:t>
      </w:r>
    </w:p>
    <w:p w:rsidR="005C7C8F" w:rsidRPr="00157FE8" w:rsidRDefault="00F94E21" w:rsidP="00157FE8">
      <w:pPr>
        <w:widowControl w:val="0"/>
        <w:spacing w:line="360" w:lineRule="auto"/>
        <w:ind w:firstLine="709"/>
        <w:rPr>
          <w:sz w:val="24"/>
          <w:szCs w:val="24"/>
        </w:rPr>
      </w:pPr>
    </w:p>
    <w:p w:rsidR="00FF648D" w:rsidRDefault="00FF648D" w:rsidP="00157FE8">
      <w:pPr>
        <w:widowControl w:val="0"/>
        <w:spacing w:line="360" w:lineRule="auto"/>
        <w:ind w:firstLine="709"/>
        <w:rPr>
          <w:sz w:val="24"/>
          <w:szCs w:val="24"/>
        </w:rPr>
      </w:pPr>
    </w:p>
    <w:p w:rsidR="00EF41F4" w:rsidRDefault="00EF41F4" w:rsidP="00157FE8">
      <w:pPr>
        <w:widowControl w:val="0"/>
        <w:spacing w:line="360" w:lineRule="auto"/>
        <w:ind w:firstLine="709"/>
        <w:rPr>
          <w:sz w:val="24"/>
          <w:szCs w:val="24"/>
        </w:rPr>
      </w:pPr>
    </w:p>
    <w:p w:rsidR="00EF41F4" w:rsidRDefault="00EF41F4" w:rsidP="00157FE8">
      <w:pPr>
        <w:widowControl w:val="0"/>
        <w:spacing w:line="360" w:lineRule="auto"/>
        <w:ind w:firstLine="709"/>
        <w:rPr>
          <w:sz w:val="24"/>
          <w:szCs w:val="24"/>
        </w:rPr>
      </w:pPr>
    </w:p>
    <w:p w:rsidR="00EF41F4" w:rsidRDefault="00EF41F4" w:rsidP="00157FE8">
      <w:pPr>
        <w:widowControl w:val="0"/>
        <w:spacing w:line="360" w:lineRule="auto"/>
        <w:ind w:firstLine="709"/>
        <w:rPr>
          <w:sz w:val="24"/>
          <w:szCs w:val="24"/>
        </w:rPr>
      </w:pPr>
    </w:p>
    <w:p w:rsidR="00EF41F4" w:rsidRDefault="00EF41F4" w:rsidP="00157FE8">
      <w:pPr>
        <w:widowControl w:val="0"/>
        <w:spacing w:line="360" w:lineRule="auto"/>
        <w:ind w:firstLine="709"/>
        <w:rPr>
          <w:sz w:val="24"/>
          <w:szCs w:val="24"/>
        </w:rPr>
      </w:pPr>
    </w:p>
    <w:p w:rsidR="00E6136F" w:rsidRPr="00157FE8" w:rsidRDefault="001C328B" w:rsidP="00157FE8">
      <w:pPr>
        <w:widowControl w:val="0"/>
        <w:spacing w:line="360" w:lineRule="auto"/>
        <w:rPr>
          <w:b/>
          <w:sz w:val="24"/>
          <w:szCs w:val="24"/>
        </w:rPr>
      </w:pPr>
      <w:r w:rsidRPr="00157FE8">
        <w:rPr>
          <w:b/>
          <w:sz w:val="24"/>
          <w:szCs w:val="24"/>
        </w:rPr>
        <w:lastRenderedPageBreak/>
        <w:t>1 Introdução</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A Contabilidade no decorrer do tempo, acompanha as mudanças da sociedade, no sentido econômico, político, científico, social e até cultural, num processo contínuo de desenvolvimento à medida que o homem busca novas fontes para aperfeiçoar seus conhecimentos, ora em razão de um novo olhar sobre um fato já consolidado, ora em virtude de uma descoberta, que possa afetar seu cotidiano.</w:t>
      </w:r>
    </w:p>
    <w:p w:rsidR="009C5DB4"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Desta forma, pode-se afirmar que a contabilidade atual é fruto dos diversos agentes que no passado se relacionaram com o conhecimento, como os pesquisadores, profissionais, usuários diversos, as escolas doutrinárias, que permitiram a construção do presente momento da Contabilidade.</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Este desenvolvimento da Contabilidade, em razão das diferentes linhas de pensamentos, que estabeleceram estas escolas, resultou em uma heterogeneidade de interpretações e, com isso, padrões contábeis diferentes entre os diversos mercados.</w:t>
      </w:r>
    </w:p>
    <w:p w:rsidR="009C5DB4"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A necessidade de se compartilhar informação contábil em termos homogêneos, em função da globalização dos mercados, promoveu ao arcabouço que consolida as normas contábeis um processo de harmonização para consolidação de Normas I</w:t>
      </w:r>
      <w:r w:rsidR="009C5DB4">
        <w:rPr>
          <w:sz w:val="24"/>
          <w:szCs w:val="24"/>
        </w:rPr>
        <w:t>nternacionais de Contabilidade.</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 xml:space="preserve">Este processo tem à sua frente o </w:t>
      </w:r>
      <w:proofErr w:type="spellStart"/>
      <w:r w:rsidRPr="00157FE8">
        <w:rPr>
          <w:i/>
          <w:sz w:val="24"/>
          <w:szCs w:val="24"/>
        </w:rPr>
        <w:t>International</w:t>
      </w:r>
      <w:proofErr w:type="spellEnd"/>
      <w:r w:rsidRPr="00157FE8">
        <w:rPr>
          <w:i/>
          <w:sz w:val="24"/>
          <w:szCs w:val="24"/>
        </w:rPr>
        <w:t xml:space="preserve"> </w:t>
      </w:r>
      <w:proofErr w:type="spellStart"/>
      <w:r w:rsidRPr="00157FE8">
        <w:rPr>
          <w:i/>
          <w:sz w:val="24"/>
          <w:szCs w:val="24"/>
        </w:rPr>
        <w:t>Accounting</w:t>
      </w:r>
      <w:proofErr w:type="spellEnd"/>
      <w:r w:rsidRPr="00157FE8">
        <w:rPr>
          <w:i/>
          <w:sz w:val="24"/>
          <w:szCs w:val="24"/>
        </w:rPr>
        <w:t xml:space="preserve"> Standards </w:t>
      </w:r>
      <w:proofErr w:type="spellStart"/>
      <w:r w:rsidRPr="00157FE8">
        <w:rPr>
          <w:i/>
          <w:sz w:val="24"/>
          <w:szCs w:val="24"/>
        </w:rPr>
        <w:t>Board</w:t>
      </w:r>
      <w:proofErr w:type="spellEnd"/>
      <w:r w:rsidRPr="00157FE8">
        <w:rPr>
          <w:sz w:val="24"/>
          <w:szCs w:val="24"/>
        </w:rPr>
        <w:t xml:space="preserve"> – </w:t>
      </w:r>
      <w:r w:rsidRPr="00157FE8">
        <w:rPr>
          <w:i/>
          <w:sz w:val="24"/>
          <w:szCs w:val="24"/>
        </w:rPr>
        <w:t>IASB</w:t>
      </w:r>
      <w:r w:rsidRPr="00157FE8">
        <w:rPr>
          <w:sz w:val="24"/>
          <w:szCs w:val="24"/>
        </w:rPr>
        <w:t xml:space="preserve">, promovendo a padronização contábil para os diversos procedimentos envolvidos no alcance do objeto da Contabilidade. </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 xml:space="preserve">Segundo </w:t>
      </w:r>
      <w:proofErr w:type="spellStart"/>
      <w:r w:rsidRPr="009E0416">
        <w:rPr>
          <w:sz w:val="24"/>
          <w:szCs w:val="24"/>
        </w:rPr>
        <w:t>Iudícibus</w:t>
      </w:r>
      <w:proofErr w:type="spellEnd"/>
      <w:r w:rsidRPr="009E0416">
        <w:rPr>
          <w:sz w:val="24"/>
          <w:szCs w:val="24"/>
        </w:rPr>
        <w:t xml:space="preserve"> (2010</w:t>
      </w:r>
      <w:r w:rsidRPr="00157FE8">
        <w:rPr>
          <w:sz w:val="24"/>
          <w:szCs w:val="24"/>
        </w:rPr>
        <w:t>), deve a Contabilidade ser reconhecida como única, que se baseie em princípios, postulados, normas e procedimentos para a sua aplicabilidade, sendo independente das influências das diferentes escolas de contabilidade.</w:t>
      </w:r>
    </w:p>
    <w:p w:rsidR="009C5DB4"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Com a edição da Lei Nº 4.320/1964, a contabilidade aplicada a este setor foi regulamentada, permitindo exercer o controle das finanças públicas, contribuindo para uma administração financeira e contábil. No entanto, o foco desta regulamentação era o orçamento público, promovendo o enfoque especialmente nos conceitos orçamentários às normas relativas a registros e demonstrações contábeis, em detrimento da evidenciação dos aspectos patrimoniais.</w:t>
      </w:r>
      <w:r w:rsidR="00B13C0C">
        <w:rPr>
          <w:sz w:val="24"/>
          <w:szCs w:val="24"/>
        </w:rPr>
        <w:t xml:space="preserve"> </w:t>
      </w:r>
      <w:r w:rsidRPr="00157FE8">
        <w:rPr>
          <w:sz w:val="24"/>
          <w:szCs w:val="24"/>
        </w:rPr>
        <w:t>Assim, em 2008, o Conselho Federal de Contabilidade</w:t>
      </w:r>
      <w:r w:rsidR="007B7755" w:rsidRPr="00157FE8">
        <w:rPr>
          <w:sz w:val="24"/>
          <w:szCs w:val="24"/>
        </w:rPr>
        <w:t xml:space="preserve"> </w:t>
      </w:r>
      <w:r w:rsidR="00CF063D">
        <w:rPr>
          <w:sz w:val="24"/>
          <w:szCs w:val="24"/>
        </w:rPr>
        <w:t>(</w:t>
      </w:r>
      <w:r w:rsidRPr="00157FE8">
        <w:rPr>
          <w:sz w:val="24"/>
          <w:szCs w:val="24"/>
        </w:rPr>
        <w:t>CFC</w:t>
      </w:r>
      <w:r w:rsidR="00CF063D">
        <w:rPr>
          <w:sz w:val="24"/>
          <w:szCs w:val="24"/>
        </w:rPr>
        <w:t>)</w:t>
      </w:r>
      <w:r w:rsidR="007B7755" w:rsidRPr="00157FE8">
        <w:rPr>
          <w:sz w:val="24"/>
          <w:szCs w:val="24"/>
        </w:rPr>
        <w:t>, órgão responsável por edição de normas contábeis no Brasil,</w:t>
      </w:r>
      <w:r w:rsidRPr="00157FE8">
        <w:rPr>
          <w:sz w:val="24"/>
          <w:szCs w:val="24"/>
        </w:rPr>
        <w:t xml:space="preserve"> estabeleceu diretrizes e orientações, através do documento “Orientações Estratégicas para a Contabilidade Aplicada ao Setor Público no Brasil”, para iniciar o processo de convergência brasileira às Normas Internacionais de Contabilidade Aplicadas ao Setor Público (</w:t>
      </w:r>
      <w:r w:rsidRPr="00157FE8">
        <w:rPr>
          <w:i/>
          <w:sz w:val="24"/>
          <w:szCs w:val="24"/>
        </w:rPr>
        <w:t>IPSAS</w:t>
      </w:r>
      <w:r w:rsidRPr="00157FE8">
        <w:rPr>
          <w:sz w:val="24"/>
          <w:szCs w:val="24"/>
        </w:rPr>
        <w:t xml:space="preserve">, </w:t>
      </w:r>
      <w:proofErr w:type="spellStart"/>
      <w:r w:rsidRPr="00157FE8">
        <w:rPr>
          <w:i/>
          <w:sz w:val="24"/>
          <w:szCs w:val="24"/>
        </w:rPr>
        <w:t>International</w:t>
      </w:r>
      <w:proofErr w:type="spellEnd"/>
      <w:r w:rsidRPr="00157FE8">
        <w:rPr>
          <w:i/>
          <w:sz w:val="24"/>
          <w:szCs w:val="24"/>
        </w:rPr>
        <w:t xml:space="preserve"> </w:t>
      </w:r>
      <w:proofErr w:type="spellStart"/>
      <w:r w:rsidRPr="00157FE8">
        <w:rPr>
          <w:i/>
          <w:sz w:val="24"/>
          <w:szCs w:val="24"/>
        </w:rPr>
        <w:t>Public</w:t>
      </w:r>
      <w:proofErr w:type="spellEnd"/>
      <w:r w:rsidRPr="00157FE8">
        <w:rPr>
          <w:i/>
          <w:sz w:val="24"/>
          <w:szCs w:val="24"/>
        </w:rPr>
        <w:t xml:space="preserve"> Sector </w:t>
      </w:r>
      <w:proofErr w:type="spellStart"/>
      <w:r w:rsidRPr="00157FE8">
        <w:rPr>
          <w:i/>
          <w:sz w:val="24"/>
          <w:szCs w:val="24"/>
        </w:rPr>
        <w:t>Accouting</w:t>
      </w:r>
      <w:proofErr w:type="spellEnd"/>
      <w:r w:rsidRPr="00157FE8">
        <w:rPr>
          <w:i/>
          <w:sz w:val="24"/>
          <w:szCs w:val="24"/>
        </w:rPr>
        <w:t xml:space="preserve"> Standards</w:t>
      </w:r>
      <w:r w:rsidRPr="00157FE8">
        <w:rPr>
          <w:sz w:val="24"/>
          <w:szCs w:val="24"/>
        </w:rPr>
        <w:t>).</w:t>
      </w:r>
    </w:p>
    <w:p w:rsidR="001D4F18" w:rsidRPr="00B13C0C"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O C</w:t>
      </w:r>
      <w:r w:rsidR="007B7755" w:rsidRPr="00157FE8">
        <w:rPr>
          <w:sz w:val="24"/>
          <w:szCs w:val="24"/>
        </w:rPr>
        <w:t xml:space="preserve">FC </w:t>
      </w:r>
      <w:r w:rsidRPr="00157FE8">
        <w:rPr>
          <w:sz w:val="24"/>
          <w:szCs w:val="24"/>
        </w:rPr>
        <w:t xml:space="preserve">criou através da Resolução n° 1.055/2005, o Comitê de Pronunciamentos Contábeis objetivando o estudo, o preparo e a emissão de Pronunciamentos Técnicos sobre procedimentos de Contabilidade e a divulgação de informações dessa natureza, para permitir a emissão de normas pela entidade reguladora brasileira, visando à centralização e uniformização do seu processo de produção, levando sempre em conta a convergência da Contabilidade Brasileira aos padrões internacionais </w:t>
      </w:r>
      <w:r w:rsidRPr="00B13C0C">
        <w:rPr>
          <w:sz w:val="24"/>
          <w:szCs w:val="24"/>
        </w:rPr>
        <w:t>(CONSELHO FEDERAL DE CONTABILIDADE, 2005).</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B13C0C">
        <w:rPr>
          <w:sz w:val="24"/>
          <w:szCs w:val="24"/>
        </w:rPr>
        <w:t>Inician</w:t>
      </w:r>
      <w:r w:rsidRPr="00157FE8">
        <w:rPr>
          <w:sz w:val="24"/>
          <w:szCs w:val="24"/>
        </w:rPr>
        <w:t>do as ações para a implementação da convergência às normas internacionais, o Ministério da Fazenda estabeleceu através da Portaria MF Nº 184/2008, as diretrizes a serem observadas no setor público quanto aos procedimentos, práticas, elaboração e divulgação das demonstrações contábeis.</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lastRenderedPageBreak/>
        <w:t>O CFC, desde 2008, editou onze normas técnicas contábeis aplicadas ao setor público influenciadas pelas normas internacionais de contabilidade, porém não convergidas, sendo que até 2009, as normas se revestiam de facultatividade, tornando-se obrigatórias a sua adoção apenas a partir de janeiro de 2010.</w:t>
      </w:r>
      <w:r w:rsidR="00B13C0C">
        <w:rPr>
          <w:sz w:val="24"/>
          <w:szCs w:val="24"/>
        </w:rPr>
        <w:t xml:space="preserve"> </w:t>
      </w:r>
      <w:r w:rsidRPr="00157FE8">
        <w:rPr>
          <w:sz w:val="24"/>
          <w:szCs w:val="24"/>
        </w:rPr>
        <w:t>Dentre as normas editadas pelo CFC, a N</w:t>
      </w:r>
      <w:r w:rsidR="00E037C6">
        <w:rPr>
          <w:sz w:val="24"/>
          <w:szCs w:val="24"/>
        </w:rPr>
        <w:t xml:space="preserve">orma </w:t>
      </w:r>
      <w:r w:rsidRPr="00157FE8">
        <w:rPr>
          <w:sz w:val="24"/>
          <w:szCs w:val="24"/>
        </w:rPr>
        <w:t>B</w:t>
      </w:r>
      <w:r w:rsidR="00E037C6">
        <w:rPr>
          <w:sz w:val="24"/>
          <w:szCs w:val="24"/>
        </w:rPr>
        <w:t xml:space="preserve">rasileira de </w:t>
      </w:r>
      <w:r w:rsidRPr="00157FE8">
        <w:rPr>
          <w:sz w:val="24"/>
          <w:szCs w:val="24"/>
        </w:rPr>
        <w:t>C</w:t>
      </w:r>
      <w:r w:rsidR="00E037C6">
        <w:rPr>
          <w:sz w:val="24"/>
          <w:szCs w:val="24"/>
        </w:rPr>
        <w:t>ontabilidade</w:t>
      </w:r>
      <w:r w:rsidRPr="00157FE8">
        <w:rPr>
          <w:sz w:val="24"/>
          <w:szCs w:val="24"/>
        </w:rPr>
        <w:t xml:space="preserve"> T</w:t>
      </w:r>
      <w:r w:rsidR="00E037C6">
        <w:rPr>
          <w:sz w:val="24"/>
          <w:szCs w:val="24"/>
        </w:rPr>
        <w:t>écnica – NBC T</w:t>
      </w:r>
      <w:r w:rsidRPr="00157FE8">
        <w:rPr>
          <w:sz w:val="24"/>
          <w:szCs w:val="24"/>
        </w:rPr>
        <w:t xml:space="preserve"> 16.9, aprovada pela Resolução CFC n° 1.136/2008, estabelece critérios e procedimentos para o registro contábil da depreciação, da amortização e da exaustão e a NBC T 16.10, aprovada pela Resolução CFC N° 1.137/2008, estabelece critérios e procedimentos para a avaliação e a mensuração de ativos e passivos integrantes do patrimônio de entidades do setor público. </w:t>
      </w:r>
    </w:p>
    <w:p w:rsidR="00E037C6" w:rsidRPr="00C62FB2"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 xml:space="preserve">Pesquisas realizadas sobre as alterações que se processaram, até o momento, na </w:t>
      </w:r>
      <w:r w:rsidRPr="00C62FB2">
        <w:rPr>
          <w:sz w:val="24"/>
          <w:szCs w:val="24"/>
        </w:rPr>
        <w:t xml:space="preserve">contabilidade pública, abordam a relevância das mudanças trazidas pelas normas contábeis como a de </w:t>
      </w:r>
      <w:proofErr w:type="spellStart"/>
      <w:r w:rsidRPr="00C62FB2">
        <w:rPr>
          <w:sz w:val="24"/>
          <w:szCs w:val="24"/>
        </w:rPr>
        <w:t>Darós</w:t>
      </w:r>
      <w:proofErr w:type="spellEnd"/>
      <w:r w:rsidRPr="00C62FB2">
        <w:rPr>
          <w:sz w:val="24"/>
          <w:szCs w:val="24"/>
        </w:rPr>
        <w:t xml:space="preserve"> e Pereira (2009), o reconhecimento e mensuração de ativos, pesquisa realizada por Galante, </w:t>
      </w:r>
      <w:proofErr w:type="spellStart"/>
      <w:r w:rsidRPr="00C62FB2">
        <w:rPr>
          <w:sz w:val="24"/>
          <w:szCs w:val="24"/>
        </w:rPr>
        <w:t>Oenning</w:t>
      </w:r>
      <w:proofErr w:type="spellEnd"/>
      <w:r w:rsidRPr="00C62FB2">
        <w:rPr>
          <w:sz w:val="24"/>
          <w:szCs w:val="24"/>
        </w:rPr>
        <w:t xml:space="preserve"> e Land (2016), numa evidenciação das práticas até então realizadas e as mudanças implementadas pelas normas modificadas.</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proofErr w:type="spellStart"/>
      <w:r w:rsidRPr="00C62FB2">
        <w:rPr>
          <w:sz w:val="24"/>
          <w:szCs w:val="24"/>
        </w:rPr>
        <w:t>Piccoli</w:t>
      </w:r>
      <w:proofErr w:type="spellEnd"/>
      <w:r w:rsidRPr="00C62FB2">
        <w:rPr>
          <w:sz w:val="24"/>
          <w:szCs w:val="24"/>
        </w:rPr>
        <w:t xml:space="preserve"> e </w:t>
      </w:r>
      <w:proofErr w:type="spellStart"/>
      <w:r w:rsidRPr="00C62FB2">
        <w:rPr>
          <w:sz w:val="24"/>
          <w:szCs w:val="24"/>
        </w:rPr>
        <w:t>Klan</w:t>
      </w:r>
      <w:proofErr w:type="spellEnd"/>
      <w:r w:rsidRPr="00157FE8">
        <w:rPr>
          <w:sz w:val="24"/>
          <w:szCs w:val="24"/>
        </w:rPr>
        <w:t xml:space="preserve"> (2015) realizaram um trabalho abordando o profissional de contabilidade no objetivo de avaliar a percepção do contador às mudanças trazidas, num enfoque das atividades de contabilidade desenvolvidas no âmbito dos Municípios e Câmaras Legislativas de determinada região do Estado de Santa Catarina.</w:t>
      </w:r>
    </w:p>
    <w:p w:rsidR="001D4F18" w:rsidRPr="00157FE8"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Assim, pela lacuna existente de pesquisas abordando o entendimento das mudanças pelos contadores que atuam no serviço público federal, e por compreender que esta temática é importante tanto para o profissional como para a entidade em que desempenha suas atividades, procura-se neste trabalho responder ao seguinte questionamento: qual a percepção</w:t>
      </w:r>
      <w:r w:rsidRPr="00157FE8">
        <w:rPr>
          <w:spacing w:val="2"/>
          <w:sz w:val="24"/>
          <w:szCs w:val="24"/>
        </w:rPr>
        <w:t xml:space="preserve"> </w:t>
      </w:r>
      <w:r w:rsidRPr="00157FE8">
        <w:rPr>
          <w:sz w:val="24"/>
          <w:szCs w:val="24"/>
        </w:rPr>
        <w:t>dos contadores de uma Instituição Federal de Ensino Público sobre as Normas Brasileiras de Contabilidade Aplicadas ao Setor Público (NBCASP)?</w:t>
      </w:r>
    </w:p>
    <w:p w:rsidR="001D4F18" w:rsidRPr="00C62FB2" w:rsidRDefault="001D4F18" w:rsidP="009C5DB4">
      <w:pPr>
        <w:pStyle w:val="NormalWeb"/>
        <w:shd w:val="clear" w:color="auto" w:fill="FFFFFF"/>
        <w:spacing w:before="0" w:beforeAutospacing="0" w:after="75" w:afterAutospacing="0"/>
        <w:ind w:firstLine="709"/>
        <w:contextualSpacing/>
        <w:jc w:val="both"/>
        <w:rPr>
          <w:sz w:val="24"/>
          <w:szCs w:val="24"/>
        </w:rPr>
      </w:pPr>
      <w:r w:rsidRPr="00157FE8">
        <w:rPr>
          <w:sz w:val="24"/>
          <w:szCs w:val="24"/>
        </w:rPr>
        <w:t xml:space="preserve">A pesquisa objetiva evidenciar a percepção dos contadores da Universidade Federal de Pernambuco sobre a adoção das NBC T 16.9 e NBC T 16.10 que aborda os procedimentos de depreciação e avaliação e mensuração de ativos imobilizados, respectivamente, a partir de uma análise com base no perfil profissional, conhecimento dos impactos no sistema de informação e na </w:t>
      </w:r>
      <w:r w:rsidRPr="00C62FB2">
        <w:rPr>
          <w:sz w:val="24"/>
          <w:szCs w:val="24"/>
        </w:rPr>
        <w:t>interpretação operacional das NBCASP</w:t>
      </w:r>
      <w:r w:rsidR="00E037C6" w:rsidRPr="00C62FB2">
        <w:rPr>
          <w:sz w:val="24"/>
          <w:szCs w:val="24"/>
        </w:rPr>
        <w:t>s</w:t>
      </w:r>
      <w:r w:rsidRPr="00C62FB2">
        <w:rPr>
          <w:sz w:val="24"/>
          <w:szCs w:val="24"/>
        </w:rPr>
        <w:t>.</w:t>
      </w:r>
    </w:p>
    <w:p w:rsidR="00ED7A83" w:rsidRPr="00157FE8" w:rsidRDefault="001D4F18" w:rsidP="009C5DB4">
      <w:pPr>
        <w:widowControl w:val="0"/>
        <w:ind w:firstLine="709"/>
        <w:contextualSpacing/>
        <w:jc w:val="both"/>
        <w:rPr>
          <w:sz w:val="24"/>
          <w:szCs w:val="24"/>
        </w:rPr>
      </w:pPr>
      <w:r w:rsidRPr="00C62FB2">
        <w:rPr>
          <w:sz w:val="24"/>
          <w:szCs w:val="24"/>
        </w:rPr>
        <w:t xml:space="preserve">Segundo Penna (1997), o termo percepção tem originalmente etimológica no latim </w:t>
      </w:r>
      <w:proofErr w:type="spellStart"/>
      <w:r w:rsidRPr="00C62FB2">
        <w:rPr>
          <w:i/>
          <w:sz w:val="24"/>
          <w:szCs w:val="24"/>
        </w:rPr>
        <w:t>perceptìo</w:t>
      </w:r>
      <w:proofErr w:type="spellEnd"/>
      <w:r w:rsidRPr="00C62FB2">
        <w:rPr>
          <w:i/>
          <w:sz w:val="24"/>
          <w:szCs w:val="24"/>
        </w:rPr>
        <w:t xml:space="preserve">, </w:t>
      </w:r>
      <w:proofErr w:type="spellStart"/>
      <w:r w:rsidRPr="00C62FB2">
        <w:rPr>
          <w:i/>
          <w:sz w:val="24"/>
          <w:szCs w:val="24"/>
        </w:rPr>
        <w:t>óni</w:t>
      </w:r>
      <w:r w:rsidRPr="00157FE8">
        <w:rPr>
          <w:i/>
          <w:sz w:val="24"/>
          <w:szCs w:val="24"/>
        </w:rPr>
        <w:t>s</w:t>
      </w:r>
      <w:proofErr w:type="spellEnd"/>
      <w:r w:rsidRPr="00157FE8">
        <w:rPr>
          <w:sz w:val="24"/>
          <w:szCs w:val="24"/>
        </w:rPr>
        <w:t>, que significa compreensão, faculdade de perceber e, perceber é conhecer objetos e situações através dos sentidos, sendo que o ato implica a proximidade do objeto no tempo e no espaço. Em estudos realizados recentemente sobre as NBCASPs, a abordagem diz respeito aos conceitos das mudanças que foram inseridas por esta normatização.</w:t>
      </w:r>
    </w:p>
    <w:p w:rsidR="00D73CD7" w:rsidRPr="00157FE8" w:rsidRDefault="00D72AC9" w:rsidP="009C5DB4">
      <w:pPr>
        <w:pStyle w:val="Ttulo1"/>
        <w:numPr>
          <w:ilvl w:val="0"/>
          <w:numId w:val="9"/>
        </w:numPr>
        <w:spacing w:before="240" w:after="240"/>
        <w:ind w:left="284" w:hanging="284"/>
        <w:jc w:val="both"/>
        <w:rPr>
          <w:lang w:val="pt-BR"/>
        </w:rPr>
      </w:pPr>
      <w:r>
        <w:rPr>
          <w:lang w:val="pt-BR"/>
        </w:rPr>
        <w:t>Desenvolvimento</w:t>
      </w:r>
    </w:p>
    <w:p w:rsidR="00D73CD7" w:rsidRPr="00157FE8" w:rsidRDefault="009E0416" w:rsidP="009C5DB4">
      <w:pPr>
        <w:pStyle w:val="Corpodetexto"/>
        <w:numPr>
          <w:ilvl w:val="1"/>
          <w:numId w:val="9"/>
        </w:numPr>
        <w:tabs>
          <w:tab w:val="left" w:pos="426"/>
        </w:tabs>
        <w:spacing w:before="196" w:after="240"/>
        <w:ind w:left="284" w:right="115" w:hanging="284"/>
        <w:jc w:val="both"/>
        <w:rPr>
          <w:b/>
          <w:lang w:val="pt-BR"/>
        </w:rPr>
      </w:pPr>
      <w:r w:rsidRPr="00157FE8">
        <w:rPr>
          <w:b/>
          <w:lang w:val="pt-BR"/>
        </w:rPr>
        <w:t>Contabilidade aplicada ao setor público</w:t>
      </w:r>
    </w:p>
    <w:p w:rsidR="009C5DB4" w:rsidRDefault="00D73CD7" w:rsidP="009C5DB4">
      <w:pPr>
        <w:ind w:firstLine="709"/>
        <w:jc w:val="both"/>
        <w:rPr>
          <w:sz w:val="24"/>
          <w:szCs w:val="24"/>
        </w:rPr>
      </w:pPr>
      <w:r w:rsidRPr="00157FE8">
        <w:rPr>
          <w:sz w:val="24"/>
          <w:szCs w:val="24"/>
        </w:rPr>
        <w:t>Através da Lei n° 4.320/1964, promoveu-se a padronização da Contabilidade Aplicada ao Setor Público, através do estabelecimento de normas gerais sobre o direito financeiro permitindo a construção e controle dos orçamentos e balanços dos entes da federação.</w:t>
      </w:r>
    </w:p>
    <w:p w:rsidR="00D73CD7" w:rsidRPr="00157FE8" w:rsidRDefault="00D73CD7" w:rsidP="009C5DB4">
      <w:pPr>
        <w:ind w:firstLine="709"/>
        <w:jc w:val="both"/>
        <w:rPr>
          <w:sz w:val="24"/>
          <w:szCs w:val="24"/>
        </w:rPr>
      </w:pPr>
      <w:r w:rsidRPr="00157FE8">
        <w:rPr>
          <w:sz w:val="24"/>
          <w:szCs w:val="24"/>
        </w:rPr>
        <w:t xml:space="preserve">Esta lei tem como principal instrumento o orçamento público e, com este enfoque, o orçamento público ganhou significativa importância no Brasil, resultando deste posicionamento legal que os registros e demonstrações contábeis abrangeram, sobretudo aos conceitos </w:t>
      </w:r>
      <w:r w:rsidRPr="00157FE8">
        <w:rPr>
          <w:sz w:val="24"/>
          <w:szCs w:val="24"/>
        </w:rPr>
        <w:lastRenderedPageBreak/>
        <w:t xml:space="preserve">orçamentários, não sendo evidenciado o caráter patrimonial das </w:t>
      </w:r>
      <w:r w:rsidRPr="00C62FB2">
        <w:rPr>
          <w:sz w:val="24"/>
          <w:szCs w:val="24"/>
        </w:rPr>
        <w:t>transações (MINISTÉRIO DA FAZENDA,</w:t>
      </w:r>
      <w:r w:rsidRPr="00157FE8">
        <w:rPr>
          <w:sz w:val="24"/>
          <w:szCs w:val="24"/>
        </w:rPr>
        <w:t xml:space="preserve"> 2017).</w:t>
      </w:r>
      <w:r w:rsidR="00E037C6">
        <w:rPr>
          <w:sz w:val="24"/>
          <w:szCs w:val="24"/>
        </w:rPr>
        <w:t xml:space="preserve"> </w:t>
      </w:r>
    </w:p>
    <w:p w:rsidR="00D73CD7" w:rsidRPr="00C62FB2" w:rsidRDefault="00D73CD7" w:rsidP="009C5DB4">
      <w:pPr>
        <w:ind w:firstLine="709"/>
        <w:jc w:val="both"/>
        <w:rPr>
          <w:sz w:val="24"/>
          <w:szCs w:val="24"/>
        </w:rPr>
      </w:pPr>
      <w:r w:rsidRPr="00C62FB2">
        <w:rPr>
          <w:sz w:val="24"/>
          <w:szCs w:val="24"/>
        </w:rPr>
        <w:t xml:space="preserve">Conforme Silva (2003), os sistemas de contabilidade pública objetivam primordialmente, através do controle, </w:t>
      </w:r>
      <w:proofErr w:type="spellStart"/>
      <w:r w:rsidRPr="00C62FB2">
        <w:rPr>
          <w:sz w:val="24"/>
          <w:szCs w:val="24"/>
        </w:rPr>
        <w:t>fornecer</w:t>
      </w:r>
      <w:proofErr w:type="spellEnd"/>
      <w:r w:rsidRPr="00C62FB2">
        <w:rPr>
          <w:sz w:val="24"/>
          <w:szCs w:val="24"/>
        </w:rPr>
        <w:t xml:space="preserve"> informações necessárias para nortear a gestão de forma mais econômica.</w:t>
      </w:r>
    </w:p>
    <w:p w:rsidR="00D73CD7" w:rsidRPr="00157FE8" w:rsidRDefault="00D73CD7" w:rsidP="009C5DB4">
      <w:pPr>
        <w:ind w:firstLine="709"/>
        <w:jc w:val="both"/>
        <w:rPr>
          <w:sz w:val="24"/>
          <w:szCs w:val="24"/>
        </w:rPr>
      </w:pPr>
      <w:r w:rsidRPr="00C62FB2">
        <w:rPr>
          <w:sz w:val="24"/>
          <w:szCs w:val="24"/>
        </w:rPr>
        <w:t>Ainda afirma Ministério da Fazenda (2017) que neste processo de mudanças na contabilidade pública, um importante avanço se deu, na área das finanças públicas, com a edição da Lei Complementar nº 101/2000 – Lei</w:t>
      </w:r>
      <w:r w:rsidRPr="00157FE8">
        <w:rPr>
          <w:sz w:val="24"/>
          <w:szCs w:val="24"/>
        </w:rPr>
        <w:t xml:space="preserve"> de Responsabilidade Fiscal (LRF), estabelecendo para os entes federados controles sobre a dívida consolidada, as garantias, as operações de crédito, os restos a pagar e as despesas com pessoal, entre muitos outros limites, objetivando permitir o equilíbrio das finanças públicas, através de instrumentos de transparência da gestão fiscal.</w:t>
      </w:r>
    </w:p>
    <w:p w:rsidR="00157FE8" w:rsidRDefault="00D73CD7" w:rsidP="009C5DB4">
      <w:pPr>
        <w:ind w:firstLine="709"/>
        <w:jc w:val="both"/>
        <w:rPr>
          <w:sz w:val="24"/>
          <w:szCs w:val="24"/>
        </w:rPr>
      </w:pPr>
      <w:r w:rsidRPr="00157FE8">
        <w:rPr>
          <w:sz w:val="24"/>
          <w:szCs w:val="24"/>
        </w:rPr>
        <w:t xml:space="preserve">Segundo </w:t>
      </w:r>
      <w:r w:rsidRPr="00C62FB2">
        <w:rPr>
          <w:sz w:val="24"/>
          <w:szCs w:val="24"/>
        </w:rPr>
        <w:t>Bezerra Filho e Feijó (2012</w:t>
      </w:r>
      <w:r w:rsidRPr="00157FE8">
        <w:rPr>
          <w:sz w:val="24"/>
          <w:szCs w:val="24"/>
        </w:rPr>
        <w:t>), a Contabilidade aplicada ao Setor Público, passa por um processo em que vem incorporando novas metodologias, recuperando como sua função de sistema de informações específico, adotando orientação para a boa governança, demonstrando a importância de um sistema que forneça o apoio necessário à integração das informações macroeconômicas do setor público e à consolidação das contas da nação.</w:t>
      </w:r>
      <w:r w:rsidR="00157FE8">
        <w:rPr>
          <w:sz w:val="24"/>
          <w:szCs w:val="24"/>
        </w:rPr>
        <w:t xml:space="preserve"> </w:t>
      </w:r>
    </w:p>
    <w:p w:rsidR="00D73CD7" w:rsidRPr="00157FE8" w:rsidRDefault="00D73CD7" w:rsidP="009C5DB4">
      <w:pPr>
        <w:ind w:firstLine="709"/>
        <w:jc w:val="both"/>
        <w:rPr>
          <w:sz w:val="24"/>
          <w:szCs w:val="24"/>
        </w:rPr>
      </w:pPr>
      <w:r w:rsidRPr="00157FE8">
        <w:rPr>
          <w:sz w:val="24"/>
          <w:szCs w:val="24"/>
        </w:rPr>
        <w:t>Vicente (2012) objetivou a análise das implicações e perspectivas decorrentes da reforma através do processo de convergência conduzido pelo CFC e a Secretaria do Tesouro Nacional.</w:t>
      </w:r>
    </w:p>
    <w:p w:rsidR="00D73CD7" w:rsidRPr="00157FE8" w:rsidRDefault="009E0416" w:rsidP="009C5DB4">
      <w:pPr>
        <w:pStyle w:val="Corpodetexto"/>
        <w:numPr>
          <w:ilvl w:val="1"/>
          <w:numId w:val="9"/>
        </w:numPr>
        <w:tabs>
          <w:tab w:val="left" w:pos="426"/>
        </w:tabs>
        <w:spacing w:before="196" w:after="240"/>
        <w:ind w:left="426" w:right="115" w:hanging="426"/>
        <w:jc w:val="both"/>
        <w:rPr>
          <w:b/>
          <w:spacing w:val="-3"/>
          <w:lang w:val="pt-BR"/>
        </w:rPr>
      </w:pPr>
      <w:r w:rsidRPr="00157FE8">
        <w:rPr>
          <w:b/>
          <w:spacing w:val="-3"/>
          <w:lang w:val="pt-BR"/>
        </w:rPr>
        <w:t>Normas internacionais de contabilidade</w:t>
      </w:r>
    </w:p>
    <w:p w:rsidR="00D73CD7" w:rsidRPr="00157FE8" w:rsidRDefault="00D73CD7" w:rsidP="009C5DB4">
      <w:pPr>
        <w:pStyle w:val="Corpodetexto"/>
        <w:tabs>
          <w:tab w:val="left" w:pos="709"/>
        </w:tabs>
        <w:ind w:right="113" w:firstLine="709"/>
        <w:contextualSpacing/>
        <w:jc w:val="both"/>
        <w:rPr>
          <w:lang w:val="pt-BR"/>
        </w:rPr>
      </w:pPr>
      <w:r w:rsidRPr="00157FE8">
        <w:rPr>
          <w:lang w:val="pt-BR"/>
        </w:rPr>
        <w:t xml:space="preserve">Segundo </w:t>
      </w:r>
      <w:r w:rsidRPr="00C62FB2">
        <w:rPr>
          <w:lang w:val="pt-BR"/>
        </w:rPr>
        <w:t>Carneiro e</w:t>
      </w:r>
      <w:r w:rsidRPr="00157FE8">
        <w:rPr>
          <w:lang w:val="pt-BR"/>
        </w:rPr>
        <w:t>t al. (2012), a edição das Normas Brasileiras de Contabilidade Aplicadas ao Setor Público, em 2008 pelo CFC, marca o início da convergência às Normas Internacionais de Contabilidade do Setor Público (</w:t>
      </w:r>
      <w:proofErr w:type="spellStart"/>
      <w:r w:rsidRPr="00157FE8">
        <w:rPr>
          <w:i/>
          <w:lang w:val="pt-BR"/>
        </w:rPr>
        <w:t>International</w:t>
      </w:r>
      <w:proofErr w:type="spellEnd"/>
      <w:r w:rsidRPr="00157FE8">
        <w:rPr>
          <w:i/>
          <w:lang w:val="pt-BR"/>
        </w:rPr>
        <w:t xml:space="preserve"> </w:t>
      </w:r>
      <w:proofErr w:type="spellStart"/>
      <w:r w:rsidRPr="00157FE8">
        <w:rPr>
          <w:i/>
          <w:lang w:val="pt-BR"/>
        </w:rPr>
        <w:t>Public</w:t>
      </w:r>
      <w:proofErr w:type="spellEnd"/>
      <w:r w:rsidRPr="00157FE8">
        <w:rPr>
          <w:i/>
          <w:lang w:val="pt-BR"/>
        </w:rPr>
        <w:t xml:space="preserve"> Sector </w:t>
      </w:r>
      <w:proofErr w:type="spellStart"/>
      <w:r w:rsidRPr="00157FE8">
        <w:rPr>
          <w:i/>
          <w:lang w:val="pt-BR"/>
        </w:rPr>
        <w:t>Accounting</w:t>
      </w:r>
      <w:proofErr w:type="spellEnd"/>
      <w:r w:rsidRPr="00157FE8">
        <w:rPr>
          <w:i/>
          <w:lang w:val="pt-BR"/>
        </w:rPr>
        <w:t xml:space="preserve"> Standard </w:t>
      </w:r>
      <w:proofErr w:type="spellStart"/>
      <w:r w:rsidRPr="00157FE8">
        <w:rPr>
          <w:i/>
          <w:lang w:val="pt-BR"/>
        </w:rPr>
        <w:t>Board</w:t>
      </w:r>
      <w:proofErr w:type="spellEnd"/>
      <w:r w:rsidRPr="00157FE8">
        <w:rPr>
          <w:i/>
          <w:lang w:val="pt-BR"/>
        </w:rPr>
        <w:t xml:space="preserve"> – IPSASB</w:t>
      </w:r>
      <w:r w:rsidRPr="00157FE8">
        <w:rPr>
          <w:lang w:val="pt-BR"/>
        </w:rPr>
        <w:t>).</w:t>
      </w:r>
    </w:p>
    <w:p w:rsidR="009C5DB4" w:rsidRDefault="00D73CD7" w:rsidP="009C5DB4">
      <w:pPr>
        <w:pStyle w:val="Corpodetexto"/>
        <w:tabs>
          <w:tab w:val="left" w:pos="709"/>
        </w:tabs>
        <w:ind w:right="113" w:firstLine="709"/>
        <w:contextualSpacing/>
        <w:jc w:val="both"/>
        <w:rPr>
          <w:lang w:val="pt-BR"/>
        </w:rPr>
      </w:pPr>
      <w:r w:rsidRPr="00157FE8">
        <w:rPr>
          <w:lang w:val="pt-BR"/>
        </w:rPr>
        <w:t>Conform</w:t>
      </w:r>
      <w:r w:rsidRPr="00C62FB2">
        <w:rPr>
          <w:lang w:val="pt-BR"/>
        </w:rPr>
        <w:t>e Araújo (2016), as N</w:t>
      </w:r>
      <w:r w:rsidR="00841028" w:rsidRPr="00C62FB2">
        <w:rPr>
          <w:lang w:val="pt-BR"/>
        </w:rPr>
        <w:t xml:space="preserve">ormas </w:t>
      </w:r>
      <w:r w:rsidRPr="00C62FB2">
        <w:rPr>
          <w:lang w:val="pt-BR"/>
        </w:rPr>
        <w:t>B</w:t>
      </w:r>
      <w:r w:rsidR="00841028" w:rsidRPr="00C62FB2">
        <w:rPr>
          <w:lang w:val="pt-BR"/>
        </w:rPr>
        <w:t xml:space="preserve">rasileiras de </w:t>
      </w:r>
      <w:r w:rsidRPr="00C62FB2">
        <w:rPr>
          <w:lang w:val="pt-BR"/>
        </w:rPr>
        <w:t>C</w:t>
      </w:r>
      <w:r w:rsidR="00841028" w:rsidRPr="00C62FB2">
        <w:rPr>
          <w:lang w:val="pt-BR"/>
        </w:rPr>
        <w:t>ontabilidade</w:t>
      </w:r>
      <w:r w:rsidRPr="00C62FB2">
        <w:rPr>
          <w:lang w:val="pt-BR"/>
        </w:rPr>
        <w:t xml:space="preserve"> T</w:t>
      </w:r>
      <w:r w:rsidR="00841028" w:rsidRPr="00C62FB2">
        <w:rPr>
          <w:lang w:val="pt-BR"/>
        </w:rPr>
        <w:t xml:space="preserve">écnica do </w:t>
      </w:r>
      <w:r w:rsidRPr="00C62FB2">
        <w:rPr>
          <w:lang w:val="pt-BR"/>
        </w:rPr>
        <w:t>S</w:t>
      </w:r>
      <w:r w:rsidR="00841028" w:rsidRPr="00C62FB2">
        <w:rPr>
          <w:lang w:val="pt-BR"/>
        </w:rPr>
        <w:t xml:space="preserve">etor   </w:t>
      </w:r>
      <w:r w:rsidRPr="00C62FB2">
        <w:rPr>
          <w:lang w:val="pt-BR"/>
        </w:rPr>
        <w:t>P</w:t>
      </w:r>
      <w:r w:rsidR="00841028" w:rsidRPr="00C62FB2">
        <w:rPr>
          <w:lang w:val="pt-BR"/>
        </w:rPr>
        <w:t>úblico – NBC TSP</w:t>
      </w:r>
      <w:r w:rsidRPr="00C62FB2">
        <w:rPr>
          <w:lang w:val="pt-BR"/>
        </w:rPr>
        <w:t xml:space="preserve"> almejam contribuir para a padronização das normas voltadas ao setor público, disponibilizando uma nova estrutura conceitual visando a convergência e integração com</w:t>
      </w:r>
      <w:r w:rsidR="009C5DB4">
        <w:rPr>
          <w:lang w:val="pt-BR"/>
        </w:rPr>
        <w:t xml:space="preserve"> as normas internacionais.</w:t>
      </w:r>
    </w:p>
    <w:p w:rsidR="00D73CD7" w:rsidRPr="00157FE8" w:rsidRDefault="00D73CD7" w:rsidP="009C5DB4">
      <w:pPr>
        <w:pStyle w:val="Corpodetexto"/>
        <w:tabs>
          <w:tab w:val="left" w:pos="709"/>
        </w:tabs>
        <w:ind w:right="113" w:firstLine="709"/>
        <w:contextualSpacing/>
        <w:jc w:val="both"/>
        <w:rPr>
          <w:lang w:val="pt-BR"/>
        </w:rPr>
      </w:pPr>
      <w:r w:rsidRPr="00C62FB2">
        <w:rPr>
          <w:lang w:val="pt-BR"/>
        </w:rPr>
        <w:t>As modificações e o atual processo de convergência no setor público decorrem da necessidade constante de fornecer informações relevantes e oportunas para auxiliar a tomada de decisões dos usuários internos e externos da Contabilidade Governamental (SANTOS e ALMEIDA,</w:t>
      </w:r>
      <w:r w:rsidRPr="00157FE8">
        <w:rPr>
          <w:lang w:val="pt-BR"/>
        </w:rPr>
        <w:t xml:space="preserve"> 2012).</w:t>
      </w:r>
    </w:p>
    <w:p w:rsidR="009C5DB4" w:rsidRDefault="00D73CD7" w:rsidP="009C5DB4">
      <w:pPr>
        <w:pStyle w:val="Corpodetexto"/>
        <w:tabs>
          <w:tab w:val="left" w:pos="709"/>
        </w:tabs>
        <w:ind w:right="115" w:firstLine="709"/>
        <w:contextualSpacing/>
        <w:jc w:val="both"/>
        <w:rPr>
          <w:lang w:val="pt-BR"/>
        </w:rPr>
      </w:pPr>
      <w:r w:rsidRPr="00157FE8">
        <w:rPr>
          <w:lang w:val="pt-BR"/>
        </w:rPr>
        <w:t>A partir das Resoluções CFC nº 1.128 a 1.137, de 21/11/2008, bem como a Resolução nº 1.268/2009, a qual altera, inclui e exclui itens das NBCASPs 16.1, 16.2 e 16.6, construiu-se o rol das dez primeiras normas té</w:t>
      </w:r>
      <w:r w:rsidR="009C5DB4">
        <w:rPr>
          <w:lang w:val="pt-BR"/>
        </w:rPr>
        <w:t>cnicas NBC TSP 16.</w:t>
      </w:r>
    </w:p>
    <w:p w:rsidR="009C5DB4" w:rsidRDefault="009C5DB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3D52F4" w:rsidRDefault="003D52F4" w:rsidP="009C5DB4">
      <w:pPr>
        <w:pStyle w:val="Corpodetexto"/>
        <w:tabs>
          <w:tab w:val="left" w:pos="709"/>
        </w:tabs>
        <w:ind w:right="115" w:firstLine="709"/>
        <w:contextualSpacing/>
        <w:jc w:val="both"/>
        <w:rPr>
          <w:lang w:val="pt-BR"/>
        </w:rPr>
      </w:pPr>
    </w:p>
    <w:p w:rsidR="00D73CD7" w:rsidRPr="00157FE8" w:rsidRDefault="00D73CD7" w:rsidP="009C5DB4">
      <w:pPr>
        <w:pStyle w:val="Corpodetexto"/>
        <w:tabs>
          <w:tab w:val="left" w:pos="709"/>
        </w:tabs>
        <w:ind w:right="115" w:firstLine="709"/>
        <w:contextualSpacing/>
        <w:jc w:val="both"/>
        <w:rPr>
          <w:lang w:val="pt-BR"/>
        </w:rPr>
      </w:pPr>
      <w:r w:rsidRPr="00157FE8">
        <w:rPr>
          <w:lang w:val="pt-BR"/>
        </w:rPr>
        <w:lastRenderedPageBreak/>
        <w:t>Em 2011, regulamentada pela Resolução CFC nº 1.366/2011, juntou-se ao conjunto de normas, a NBC T 16.11, conforme apresentado na Tabela 1.</w:t>
      </w:r>
    </w:p>
    <w:p w:rsidR="00D73CD7" w:rsidRDefault="00D73CD7" w:rsidP="009C5DB4">
      <w:pPr>
        <w:pStyle w:val="Corpodetexto"/>
        <w:tabs>
          <w:tab w:val="left" w:pos="709"/>
        </w:tabs>
        <w:ind w:right="115"/>
        <w:contextualSpacing/>
        <w:jc w:val="both"/>
        <w:rPr>
          <w:lang w:val="pt-BR"/>
        </w:rPr>
      </w:pPr>
    </w:p>
    <w:p w:rsidR="00D73CD7" w:rsidRPr="0094338E" w:rsidRDefault="00D73CD7" w:rsidP="009C5DB4">
      <w:pPr>
        <w:pStyle w:val="Legenda"/>
        <w:keepNext/>
        <w:spacing w:after="0"/>
        <w:ind w:left="426"/>
        <w:rPr>
          <w:b w:val="0"/>
          <w:color w:val="000000" w:themeColor="text1"/>
          <w:sz w:val="20"/>
          <w:szCs w:val="20"/>
          <w:lang w:val="pt-BR"/>
        </w:rPr>
      </w:pPr>
      <w:r w:rsidRPr="0094338E">
        <w:rPr>
          <w:b w:val="0"/>
          <w:color w:val="000000" w:themeColor="text1"/>
          <w:sz w:val="20"/>
          <w:szCs w:val="20"/>
          <w:lang w:val="pt-BR"/>
        </w:rPr>
        <w:t xml:space="preserve">Tabela </w:t>
      </w:r>
      <w:r w:rsidRPr="0094338E">
        <w:rPr>
          <w:b w:val="0"/>
          <w:color w:val="000000" w:themeColor="text1"/>
          <w:sz w:val="20"/>
          <w:szCs w:val="20"/>
        </w:rPr>
        <w:fldChar w:fldCharType="begin"/>
      </w:r>
      <w:r w:rsidRPr="0094338E">
        <w:rPr>
          <w:b w:val="0"/>
          <w:color w:val="000000" w:themeColor="text1"/>
          <w:sz w:val="20"/>
          <w:szCs w:val="20"/>
          <w:lang w:val="pt-BR"/>
        </w:rPr>
        <w:instrText xml:space="preserve"> SEQ Tabela \* ARABIC </w:instrText>
      </w:r>
      <w:r w:rsidRPr="0094338E">
        <w:rPr>
          <w:b w:val="0"/>
          <w:color w:val="000000" w:themeColor="text1"/>
          <w:sz w:val="20"/>
          <w:szCs w:val="20"/>
        </w:rPr>
        <w:fldChar w:fldCharType="separate"/>
      </w:r>
      <w:r w:rsidR="00FF648D">
        <w:rPr>
          <w:b w:val="0"/>
          <w:noProof/>
          <w:color w:val="000000" w:themeColor="text1"/>
          <w:sz w:val="20"/>
          <w:szCs w:val="20"/>
          <w:lang w:val="pt-BR"/>
        </w:rPr>
        <w:t>1</w:t>
      </w:r>
      <w:r w:rsidRPr="0094338E">
        <w:rPr>
          <w:b w:val="0"/>
          <w:color w:val="000000" w:themeColor="text1"/>
          <w:sz w:val="20"/>
          <w:szCs w:val="20"/>
        </w:rPr>
        <w:fldChar w:fldCharType="end"/>
      </w:r>
      <w:r w:rsidRPr="0094338E">
        <w:rPr>
          <w:b w:val="0"/>
          <w:color w:val="000000" w:themeColor="text1"/>
          <w:sz w:val="20"/>
          <w:szCs w:val="20"/>
          <w:lang w:val="pt-BR"/>
        </w:rPr>
        <w:t>.</w:t>
      </w:r>
    </w:p>
    <w:p w:rsidR="00D73CD7" w:rsidRPr="0094338E" w:rsidRDefault="00D73CD7" w:rsidP="009C5DB4">
      <w:pPr>
        <w:pStyle w:val="Legenda"/>
        <w:keepNext/>
        <w:ind w:left="426"/>
        <w:rPr>
          <w:b w:val="0"/>
          <w:color w:val="000000" w:themeColor="text1"/>
          <w:sz w:val="20"/>
          <w:szCs w:val="20"/>
          <w:lang w:val="pt-BR"/>
        </w:rPr>
      </w:pPr>
      <w:r w:rsidRPr="0094338E">
        <w:rPr>
          <w:b w:val="0"/>
          <w:color w:val="000000" w:themeColor="text1"/>
          <w:sz w:val="20"/>
          <w:szCs w:val="20"/>
          <w:lang w:val="pt-BR"/>
        </w:rPr>
        <w:t>Normas Brasileiras de Contabilidade Aplicada ao Setor Público – CFC 2017.</w:t>
      </w:r>
    </w:p>
    <w:tbl>
      <w:tblPr>
        <w:tblW w:w="4504" w:type="pct"/>
        <w:jc w:val="center"/>
        <w:tblBorders>
          <w:top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1171"/>
        <w:gridCol w:w="3608"/>
        <w:gridCol w:w="1346"/>
      </w:tblGrid>
      <w:tr w:rsidR="00D73CD7" w:rsidRPr="00157FE8" w:rsidTr="0009752F">
        <w:trPr>
          <w:trHeight w:val="452"/>
          <w:jc w:val="center"/>
        </w:trPr>
        <w:tc>
          <w:tcPr>
            <w:tcW w:w="1250" w:type="pct"/>
            <w:shd w:val="clear" w:color="auto" w:fill="auto"/>
            <w:vAlign w:val="center"/>
            <w:hideMark/>
          </w:tcPr>
          <w:p w:rsidR="00D73CD7" w:rsidRPr="00157FE8" w:rsidRDefault="00D73CD7" w:rsidP="009C5DB4">
            <w:pPr>
              <w:contextualSpacing/>
              <w:jc w:val="center"/>
              <w:rPr>
                <w:b/>
              </w:rPr>
            </w:pPr>
            <w:r w:rsidRPr="00157FE8">
              <w:rPr>
                <w:b/>
              </w:rPr>
              <w:t>NBC</w:t>
            </w:r>
          </w:p>
        </w:tc>
        <w:tc>
          <w:tcPr>
            <w:tcW w:w="717" w:type="pct"/>
            <w:shd w:val="clear" w:color="auto" w:fill="auto"/>
            <w:vAlign w:val="center"/>
            <w:hideMark/>
          </w:tcPr>
          <w:p w:rsidR="00D73CD7" w:rsidRPr="00157FE8" w:rsidRDefault="00D73CD7" w:rsidP="009C5DB4">
            <w:pPr>
              <w:contextualSpacing/>
              <w:jc w:val="center"/>
              <w:rPr>
                <w:b/>
              </w:rPr>
            </w:pPr>
            <w:r w:rsidRPr="00157FE8">
              <w:rPr>
                <w:b/>
              </w:rPr>
              <w:t>Resolução CFC</w:t>
            </w:r>
          </w:p>
        </w:tc>
        <w:tc>
          <w:tcPr>
            <w:tcW w:w="2209" w:type="pct"/>
            <w:shd w:val="clear" w:color="auto" w:fill="auto"/>
            <w:vAlign w:val="center"/>
            <w:hideMark/>
          </w:tcPr>
          <w:p w:rsidR="00D73CD7" w:rsidRPr="00157FE8" w:rsidRDefault="00D73CD7" w:rsidP="009C5DB4">
            <w:pPr>
              <w:contextualSpacing/>
              <w:jc w:val="center"/>
              <w:rPr>
                <w:b/>
              </w:rPr>
            </w:pPr>
            <w:r w:rsidRPr="00157FE8">
              <w:rPr>
                <w:b/>
              </w:rPr>
              <w:t>Nome da Norma</w:t>
            </w:r>
          </w:p>
        </w:tc>
        <w:tc>
          <w:tcPr>
            <w:tcW w:w="824" w:type="pct"/>
            <w:shd w:val="clear" w:color="auto" w:fill="auto"/>
            <w:vAlign w:val="center"/>
            <w:hideMark/>
          </w:tcPr>
          <w:p w:rsidR="00D73CD7" w:rsidRPr="00157FE8" w:rsidRDefault="00D73CD7" w:rsidP="009C5DB4">
            <w:pPr>
              <w:contextualSpacing/>
              <w:jc w:val="center"/>
              <w:rPr>
                <w:b/>
              </w:rPr>
            </w:pPr>
            <w:r w:rsidRPr="00157FE8">
              <w:rPr>
                <w:b/>
              </w:rPr>
              <w:t>IFAC</w:t>
            </w:r>
          </w:p>
        </w:tc>
      </w:tr>
      <w:tr w:rsidR="00D73CD7" w:rsidRPr="00157FE8" w:rsidTr="0009752F">
        <w:trPr>
          <w:trHeight w:val="904"/>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ESTRUTURA CONCEITUAL</w:t>
            </w:r>
          </w:p>
        </w:tc>
        <w:tc>
          <w:tcPr>
            <w:tcW w:w="717" w:type="pct"/>
            <w:shd w:val="clear" w:color="auto" w:fill="auto"/>
            <w:vAlign w:val="center"/>
            <w:hideMark/>
          </w:tcPr>
          <w:p w:rsidR="00D73CD7" w:rsidRPr="00157FE8" w:rsidRDefault="00D73CD7" w:rsidP="009C5DB4">
            <w:pPr>
              <w:contextualSpacing/>
              <w:jc w:val="center"/>
            </w:pPr>
            <w:r w:rsidRPr="00157FE8">
              <w:rPr>
                <w:bCs/>
              </w:rPr>
              <w:t>DOU 04/10/16</w:t>
            </w:r>
          </w:p>
        </w:tc>
        <w:tc>
          <w:tcPr>
            <w:tcW w:w="2209" w:type="pct"/>
            <w:shd w:val="clear" w:color="auto" w:fill="auto"/>
            <w:vAlign w:val="center"/>
            <w:hideMark/>
          </w:tcPr>
          <w:p w:rsidR="00D73CD7" w:rsidRPr="00157FE8" w:rsidRDefault="00D73CD7" w:rsidP="009C5DB4">
            <w:pPr>
              <w:contextualSpacing/>
              <w:jc w:val="center"/>
            </w:pPr>
            <w:r w:rsidRPr="00157FE8">
              <w:rPr>
                <w:bCs/>
              </w:rPr>
              <w:t>Estrutura Conceitual para Elaboração e Divulgação de Informação Contábil de Propósito Geral pelas Entidades do Setor Público</w:t>
            </w:r>
          </w:p>
        </w:tc>
        <w:tc>
          <w:tcPr>
            <w:tcW w:w="824" w:type="pct"/>
            <w:shd w:val="clear" w:color="auto" w:fill="auto"/>
            <w:vAlign w:val="center"/>
            <w:hideMark/>
          </w:tcPr>
          <w:p w:rsidR="00D73CD7" w:rsidRPr="00157FE8" w:rsidRDefault="00D73CD7" w:rsidP="009C5DB4">
            <w:pPr>
              <w:contextualSpacing/>
              <w:jc w:val="center"/>
            </w:pPr>
            <w:r w:rsidRPr="00157FE8">
              <w:t>Conceptual Framework</w:t>
            </w:r>
          </w:p>
        </w:tc>
      </w:tr>
      <w:tr w:rsidR="00D73CD7" w:rsidRPr="00157FE8" w:rsidTr="0009752F">
        <w:trPr>
          <w:trHeight w:val="452"/>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01</w:t>
            </w:r>
          </w:p>
        </w:tc>
        <w:tc>
          <w:tcPr>
            <w:tcW w:w="717" w:type="pct"/>
            <w:shd w:val="clear" w:color="auto" w:fill="auto"/>
            <w:vAlign w:val="center"/>
            <w:hideMark/>
          </w:tcPr>
          <w:p w:rsidR="00D73CD7" w:rsidRPr="00157FE8" w:rsidRDefault="00D73CD7" w:rsidP="009C5DB4">
            <w:pPr>
              <w:contextualSpacing/>
              <w:jc w:val="center"/>
            </w:pPr>
            <w:r w:rsidRPr="00157FE8">
              <w:rPr>
                <w:bCs/>
              </w:rPr>
              <w:t>DOU 28/10/16</w:t>
            </w:r>
          </w:p>
        </w:tc>
        <w:tc>
          <w:tcPr>
            <w:tcW w:w="2209" w:type="pct"/>
            <w:shd w:val="clear" w:color="auto" w:fill="auto"/>
            <w:vAlign w:val="center"/>
            <w:hideMark/>
          </w:tcPr>
          <w:p w:rsidR="00D73CD7" w:rsidRPr="00157FE8" w:rsidRDefault="00D73CD7" w:rsidP="009C5DB4">
            <w:pPr>
              <w:contextualSpacing/>
              <w:jc w:val="center"/>
            </w:pPr>
            <w:r w:rsidRPr="00157FE8">
              <w:rPr>
                <w:bCs/>
              </w:rPr>
              <w:t>Receita de Transação sem Contraprestação</w:t>
            </w:r>
          </w:p>
        </w:tc>
        <w:tc>
          <w:tcPr>
            <w:tcW w:w="824" w:type="pct"/>
            <w:shd w:val="clear" w:color="auto" w:fill="auto"/>
            <w:vAlign w:val="center"/>
            <w:hideMark/>
          </w:tcPr>
          <w:p w:rsidR="00D73CD7" w:rsidRPr="00157FE8" w:rsidRDefault="00D73CD7" w:rsidP="009C5DB4">
            <w:pPr>
              <w:contextualSpacing/>
              <w:jc w:val="center"/>
            </w:pPr>
            <w:r w:rsidRPr="00157FE8">
              <w:t>IPSAS 9</w:t>
            </w:r>
          </w:p>
        </w:tc>
      </w:tr>
      <w:tr w:rsidR="00D73CD7" w:rsidRPr="00157FE8" w:rsidTr="0009752F">
        <w:trPr>
          <w:trHeight w:val="452"/>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02</w:t>
            </w:r>
          </w:p>
        </w:tc>
        <w:tc>
          <w:tcPr>
            <w:tcW w:w="717" w:type="pct"/>
            <w:shd w:val="clear" w:color="auto" w:fill="auto"/>
            <w:vAlign w:val="center"/>
            <w:hideMark/>
          </w:tcPr>
          <w:p w:rsidR="00D73CD7" w:rsidRPr="00157FE8" w:rsidRDefault="00D73CD7" w:rsidP="009C5DB4">
            <w:pPr>
              <w:contextualSpacing/>
              <w:jc w:val="center"/>
            </w:pPr>
            <w:r w:rsidRPr="00157FE8">
              <w:rPr>
                <w:bCs/>
              </w:rPr>
              <w:t>DOU 28/10/16</w:t>
            </w:r>
          </w:p>
        </w:tc>
        <w:tc>
          <w:tcPr>
            <w:tcW w:w="2209" w:type="pct"/>
            <w:shd w:val="clear" w:color="auto" w:fill="auto"/>
            <w:vAlign w:val="center"/>
            <w:hideMark/>
          </w:tcPr>
          <w:p w:rsidR="00D73CD7" w:rsidRPr="00157FE8" w:rsidRDefault="00D73CD7" w:rsidP="009C5DB4">
            <w:pPr>
              <w:contextualSpacing/>
              <w:jc w:val="center"/>
            </w:pPr>
            <w:r w:rsidRPr="00157FE8">
              <w:rPr>
                <w:bCs/>
              </w:rPr>
              <w:t>Receita de Transação com Contraprestação</w:t>
            </w:r>
          </w:p>
        </w:tc>
        <w:tc>
          <w:tcPr>
            <w:tcW w:w="824" w:type="pct"/>
            <w:shd w:val="clear" w:color="auto" w:fill="auto"/>
            <w:vAlign w:val="center"/>
            <w:hideMark/>
          </w:tcPr>
          <w:p w:rsidR="00D73CD7" w:rsidRPr="00157FE8" w:rsidRDefault="00D73CD7" w:rsidP="009C5DB4">
            <w:pPr>
              <w:contextualSpacing/>
              <w:jc w:val="center"/>
            </w:pPr>
            <w:r w:rsidRPr="00157FE8">
              <w:t>IPSAS 9</w:t>
            </w:r>
          </w:p>
        </w:tc>
      </w:tr>
      <w:tr w:rsidR="00D73CD7" w:rsidRPr="00157FE8" w:rsidTr="0009752F">
        <w:trPr>
          <w:trHeight w:val="4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03</w:t>
            </w:r>
          </w:p>
        </w:tc>
        <w:tc>
          <w:tcPr>
            <w:tcW w:w="717" w:type="pct"/>
            <w:shd w:val="clear" w:color="auto" w:fill="auto"/>
            <w:vAlign w:val="center"/>
            <w:hideMark/>
          </w:tcPr>
          <w:p w:rsidR="00D73CD7" w:rsidRPr="00157FE8" w:rsidRDefault="00D73CD7" w:rsidP="009C5DB4">
            <w:pPr>
              <w:contextualSpacing/>
              <w:jc w:val="center"/>
            </w:pPr>
            <w:r w:rsidRPr="00157FE8">
              <w:rPr>
                <w:bCs/>
              </w:rPr>
              <w:t>DOU 28/10/16</w:t>
            </w:r>
          </w:p>
        </w:tc>
        <w:tc>
          <w:tcPr>
            <w:tcW w:w="2209" w:type="pct"/>
            <w:shd w:val="clear" w:color="auto" w:fill="auto"/>
            <w:vAlign w:val="center"/>
            <w:hideMark/>
          </w:tcPr>
          <w:p w:rsidR="00D73CD7" w:rsidRPr="00157FE8" w:rsidRDefault="00D73CD7" w:rsidP="009C5DB4">
            <w:pPr>
              <w:contextualSpacing/>
              <w:jc w:val="center"/>
            </w:pPr>
            <w:r w:rsidRPr="00157FE8">
              <w:rPr>
                <w:bCs/>
              </w:rPr>
              <w:t>Provisões, Passivos Contingentes e Ativos Contingentes</w:t>
            </w:r>
          </w:p>
        </w:tc>
        <w:tc>
          <w:tcPr>
            <w:tcW w:w="824" w:type="pct"/>
            <w:shd w:val="clear" w:color="auto" w:fill="auto"/>
            <w:vAlign w:val="center"/>
            <w:hideMark/>
          </w:tcPr>
          <w:p w:rsidR="00D73CD7" w:rsidRPr="00157FE8" w:rsidRDefault="00D73CD7" w:rsidP="009C5DB4">
            <w:pPr>
              <w:contextualSpacing/>
              <w:jc w:val="center"/>
            </w:pPr>
            <w:r w:rsidRPr="00157FE8">
              <w:t>IPSAS 19</w:t>
            </w:r>
          </w:p>
        </w:tc>
      </w:tr>
      <w:tr w:rsidR="00D73CD7" w:rsidRPr="00157FE8" w:rsidTr="0009752F">
        <w:trPr>
          <w:trHeight w:val="244"/>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04</w:t>
            </w:r>
          </w:p>
        </w:tc>
        <w:tc>
          <w:tcPr>
            <w:tcW w:w="717" w:type="pct"/>
            <w:shd w:val="clear" w:color="auto" w:fill="auto"/>
            <w:vAlign w:val="center"/>
            <w:hideMark/>
          </w:tcPr>
          <w:p w:rsidR="00D73CD7" w:rsidRPr="00157FE8" w:rsidRDefault="00D73CD7" w:rsidP="009C5DB4">
            <w:pPr>
              <w:contextualSpacing/>
              <w:jc w:val="center"/>
            </w:pPr>
            <w:r w:rsidRPr="00157FE8">
              <w:rPr>
                <w:bCs/>
              </w:rPr>
              <w:t>DOU 06/12/16</w:t>
            </w:r>
          </w:p>
        </w:tc>
        <w:tc>
          <w:tcPr>
            <w:tcW w:w="2209" w:type="pct"/>
            <w:shd w:val="clear" w:color="auto" w:fill="auto"/>
            <w:vAlign w:val="center"/>
            <w:hideMark/>
          </w:tcPr>
          <w:p w:rsidR="00D73CD7" w:rsidRPr="00157FE8" w:rsidRDefault="00D73CD7" w:rsidP="009C5DB4">
            <w:pPr>
              <w:contextualSpacing/>
              <w:jc w:val="center"/>
            </w:pPr>
            <w:r w:rsidRPr="00157FE8">
              <w:rPr>
                <w:bCs/>
              </w:rPr>
              <w:t>Estoques</w:t>
            </w:r>
          </w:p>
        </w:tc>
        <w:tc>
          <w:tcPr>
            <w:tcW w:w="824" w:type="pct"/>
            <w:shd w:val="clear" w:color="auto" w:fill="auto"/>
            <w:vAlign w:val="center"/>
            <w:hideMark/>
          </w:tcPr>
          <w:p w:rsidR="00D73CD7" w:rsidRPr="00157FE8" w:rsidRDefault="00D73CD7" w:rsidP="009C5DB4">
            <w:pPr>
              <w:contextualSpacing/>
              <w:jc w:val="center"/>
            </w:pPr>
            <w:r w:rsidRPr="00157FE8">
              <w:t>IFAC</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TSP 05</w:t>
            </w:r>
          </w:p>
        </w:tc>
        <w:tc>
          <w:tcPr>
            <w:tcW w:w="717" w:type="pct"/>
            <w:shd w:val="clear" w:color="auto" w:fill="auto"/>
            <w:vAlign w:val="center"/>
            <w:hideMark/>
          </w:tcPr>
          <w:p w:rsidR="00D73CD7" w:rsidRPr="00157FE8" w:rsidRDefault="00D73CD7" w:rsidP="009C5DB4">
            <w:pPr>
              <w:contextualSpacing/>
              <w:jc w:val="center"/>
            </w:pPr>
            <w:r w:rsidRPr="00157FE8">
              <w:rPr>
                <w:bCs/>
              </w:rPr>
              <w:t>DOU 06/12/16</w:t>
            </w:r>
          </w:p>
        </w:tc>
        <w:tc>
          <w:tcPr>
            <w:tcW w:w="2209" w:type="pct"/>
            <w:shd w:val="clear" w:color="auto" w:fill="auto"/>
            <w:vAlign w:val="center"/>
            <w:hideMark/>
          </w:tcPr>
          <w:p w:rsidR="00D73CD7" w:rsidRPr="00157FE8" w:rsidRDefault="00D73CD7" w:rsidP="009C5DB4">
            <w:pPr>
              <w:contextualSpacing/>
              <w:jc w:val="center"/>
            </w:pPr>
            <w:r w:rsidRPr="00157FE8">
              <w:rPr>
                <w:bCs/>
              </w:rPr>
              <w:t>Contratos de Concessão de Serviços Públicos: Concedente</w:t>
            </w:r>
          </w:p>
        </w:tc>
        <w:tc>
          <w:tcPr>
            <w:tcW w:w="824" w:type="pct"/>
            <w:shd w:val="clear" w:color="auto" w:fill="auto"/>
            <w:vAlign w:val="center"/>
            <w:hideMark/>
          </w:tcPr>
          <w:p w:rsidR="00D73CD7" w:rsidRPr="00157FE8" w:rsidRDefault="00D73CD7" w:rsidP="009C5DB4">
            <w:pPr>
              <w:contextualSpacing/>
              <w:jc w:val="center"/>
            </w:pPr>
            <w:r w:rsidRPr="00157FE8">
              <w:t>IPSAS 32</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16.6 R1</w:t>
            </w:r>
          </w:p>
        </w:tc>
        <w:tc>
          <w:tcPr>
            <w:tcW w:w="717" w:type="pct"/>
            <w:shd w:val="clear" w:color="auto" w:fill="auto"/>
            <w:vAlign w:val="center"/>
            <w:hideMark/>
          </w:tcPr>
          <w:p w:rsidR="00D73CD7" w:rsidRPr="00157FE8" w:rsidRDefault="00D73CD7" w:rsidP="009C5DB4">
            <w:pPr>
              <w:contextualSpacing/>
              <w:jc w:val="center"/>
            </w:pPr>
            <w:r w:rsidRPr="00157FE8">
              <w:rPr>
                <w:bCs/>
              </w:rPr>
              <w:t>DOU 31/10/14</w:t>
            </w:r>
          </w:p>
        </w:tc>
        <w:tc>
          <w:tcPr>
            <w:tcW w:w="2209" w:type="pct"/>
            <w:shd w:val="clear" w:color="auto" w:fill="auto"/>
            <w:vAlign w:val="center"/>
            <w:hideMark/>
          </w:tcPr>
          <w:p w:rsidR="00D73CD7" w:rsidRPr="00157FE8" w:rsidRDefault="00D73CD7" w:rsidP="009C5DB4">
            <w:pPr>
              <w:contextualSpacing/>
              <w:jc w:val="center"/>
            </w:pPr>
            <w:r w:rsidRPr="00157FE8">
              <w:rPr>
                <w:bCs/>
              </w:rPr>
              <w:t>Demonstrações Contábeis</w:t>
            </w:r>
          </w:p>
        </w:tc>
        <w:tc>
          <w:tcPr>
            <w:tcW w:w="824" w:type="pct"/>
            <w:shd w:val="clear" w:color="auto" w:fill="auto"/>
            <w:vAlign w:val="center"/>
            <w:hideMark/>
          </w:tcPr>
          <w:p w:rsidR="00D73CD7" w:rsidRPr="00157FE8" w:rsidRDefault="00D73CD7" w:rsidP="009C5DB4">
            <w:pPr>
              <w:contextualSpacing/>
              <w:jc w:val="center"/>
            </w:pPr>
            <w:proofErr w:type="gramStart"/>
            <w:r w:rsidRPr="00157FE8">
              <w:t>não</w:t>
            </w:r>
            <w:proofErr w:type="gramEnd"/>
            <w:r w:rsidRPr="00157FE8">
              <w:t xml:space="preserve"> há</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16.7</w:t>
            </w:r>
          </w:p>
        </w:tc>
        <w:tc>
          <w:tcPr>
            <w:tcW w:w="717" w:type="pct"/>
            <w:shd w:val="clear" w:color="auto" w:fill="auto"/>
            <w:vAlign w:val="center"/>
            <w:hideMark/>
          </w:tcPr>
          <w:p w:rsidR="00D73CD7" w:rsidRPr="00157FE8" w:rsidRDefault="00F94E21" w:rsidP="009C5DB4">
            <w:pPr>
              <w:contextualSpacing/>
              <w:jc w:val="center"/>
            </w:pPr>
            <w:hyperlink r:id="rId8" w:history="1">
              <w:r w:rsidR="00D73CD7" w:rsidRPr="00157FE8">
                <w:rPr>
                  <w:bCs/>
                  <w:u w:val="single"/>
                </w:rPr>
                <w:t>1.134/08</w:t>
              </w:r>
            </w:hyperlink>
          </w:p>
        </w:tc>
        <w:tc>
          <w:tcPr>
            <w:tcW w:w="2209" w:type="pct"/>
            <w:shd w:val="clear" w:color="auto" w:fill="auto"/>
            <w:vAlign w:val="center"/>
            <w:hideMark/>
          </w:tcPr>
          <w:p w:rsidR="00D73CD7" w:rsidRPr="00157FE8" w:rsidRDefault="00D73CD7" w:rsidP="009C5DB4">
            <w:pPr>
              <w:contextualSpacing/>
              <w:jc w:val="center"/>
            </w:pPr>
            <w:r w:rsidRPr="00157FE8">
              <w:rPr>
                <w:bCs/>
              </w:rPr>
              <w:t>Consolidação das Demonstrações Contábeis</w:t>
            </w:r>
          </w:p>
        </w:tc>
        <w:tc>
          <w:tcPr>
            <w:tcW w:w="824" w:type="pct"/>
            <w:shd w:val="clear" w:color="auto" w:fill="auto"/>
            <w:vAlign w:val="center"/>
            <w:hideMark/>
          </w:tcPr>
          <w:p w:rsidR="00D73CD7" w:rsidRPr="00157FE8" w:rsidRDefault="00D73CD7" w:rsidP="009C5DB4">
            <w:pPr>
              <w:contextualSpacing/>
              <w:jc w:val="center"/>
            </w:pPr>
            <w:proofErr w:type="gramStart"/>
            <w:r w:rsidRPr="00157FE8">
              <w:t>não</w:t>
            </w:r>
            <w:proofErr w:type="gramEnd"/>
            <w:r w:rsidRPr="00157FE8">
              <w:t xml:space="preserve"> há</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16.8</w:t>
            </w:r>
          </w:p>
        </w:tc>
        <w:tc>
          <w:tcPr>
            <w:tcW w:w="717" w:type="pct"/>
            <w:shd w:val="clear" w:color="auto" w:fill="auto"/>
            <w:vAlign w:val="center"/>
            <w:hideMark/>
          </w:tcPr>
          <w:p w:rsidR="00D73CD7" w:rsidRPr="00157FE8" w:rsidRDefault="00F94E21" w:rsidP="009C5DB4">
            <w:pPr>
              <w:contextualSpacing/>
              <w:jc w:val="center"/>
            </w:pPr>
            <w:hyperlink r:id="rId9" w:history="1">
              <w:r w:rsidR="00D73CD7" w:rsidRPr="00157FE8">
                <w:rPr>
                  <w:bCs/>
                  <w:u w:val="single"/>
                </w:rPr>
                <w:t>1.135/08</w:t>
              </w:r>
            </w:hyperlink>
          </w:p>
        </w:tc>
        <w:tc>
          <w:tcPr>
            <w:tcW w:w="2209" w:type="pct"/>
            <w:shd w:val="clear" w:color="auto" w:fill="auto"/>
            <w:vAlign w:val="center"/>
            <w:hideMark/>
          </w:tcPr>
          <w:p w:rsidR="00D73CD7" w:rsidRPr="00157FE8" w:rsidRDefault="00D73CD7" w:rsidP="009C5DB4">
            <w:pPr>
              <w:contextualSpacing/>
              <w:jc w:val="center"/>
            </w:pPr>
            <w:r w:rsidRPr="00157FE8">
              <w:rPr>
                <w:bCs/>
              </w:rPr>
              <w:t>Controle Interno</w:t>
            </w:r>
          </w:p>
        </w:tc>
        <w:tc>
          <w:tcPr>
            <w:tcW w:w="824" w:type="pct"/>
            <w:shd w:val="clear" w:color="auto" w:fill="auto"/>
            <w:vAlign w:val="center"/>
            <w:hideMark/>
          </w:tcPr>
          <w:p w:rsidR="00D73CD7" w:rsidRPr="00157FE8" w:rsidRDefault="00D73CD7" w:rsidP="009C5DB4">
            <w:pPr>
              <w:contextualSpacing/>
              <w:jc w:val="center"/>
            </w:pPr>
            <w:proofErr w:type="gramStart"/>
            <w:r w:rsidRPr="00157FE8">
              <w:t>não</w:t>
            </w:r>
            <w:proofErr w:type="gramEnd"/>
            <w:r w:rsidRPr="00157FE8">
              <w:t xml:space="preserve"> há</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16.9</w:t>
            </w:r>
          </w:p>
        </w:tc>
        <w:tc>
          <w:tcPr>
            <w:tcW w:w="717" w:type="pct"/>
            <w:shd w:val="clear" w:color="auto" w:fill="auto"/>
            <w:vAlign w:val="center"/>
            <w:hideMark/>
          </w:tcPr>
          <w:p w:rsidR="00D73CD7" w:rsidRPr="00157FE8" w:rsidRDefault="00F94E21" w:rsidP="009C5DB4">
            <w:pPr>
              <w:contextualSpacing/>
              <w:jc w:val="center"/>
            </w:pPr>
            <w:hyperlink r:id="rId10" w:history="1">
              <w:r w:rsidR="00D73CD7" w:rsidRPr="00157FE8">
                <w:rPr>
                  <w:bCs/>
                  <w:u w:val="single"/>
                </w:rPr>
                <w:t>1.136/08</w:t>
              </w:r>
            </w:hyperlink>
          </w:p>
        </w:tc>
        <w:tc>
          <w:tcPr>
            <w:tcW w:w="2209" w:type="pct"/>
            <w:shd w:val="clear" w:color="auto" w:fill="auto"/>
            <w:vAlign w:val="center"/>
            <w:hideMark/>
          </w:tcPr>
          <w:p w:rsidR="00D73CD7" w:rsidRPr="00157FE8" w:rsidRDefault="00D73CD7" w:rsidP="009C5DB4">
            <w:pPr>
              <w:contextualSpacing/>
              <w:jc w:val="center"/>
            </w:pPr>
            <w:r w:rsidRPr="00157FE8">
              <w:rPr>
                <w:bCs/>
              </w:rPr>
              <w:t>Depreciação, Amortização e Exaustão</w:t>
            </w:r>
          </w:p>
        </w:tc>
        <w:tc>
          <w:tcPr>
            <w:tcW w:w="824" w:type="pct"/>
            <w:shd w:val="clear" w:color="auto" w:fill="auto"/>
            <w:vAlign w:val="center"/>
            <w:hideMark/>
          </w:tcPr>
          <w:p w:rsidR="00D73CD7" w:rsidRPr="00157FE8" w:rsidRDefault="00D73CD7" w:rsidP="009C5DB4">
            <w:pPr>
              <w:contextualSpacing/>
              <w:jc w:val="center"/>
            </w:pPr>
            <w:proofErr w:type="gramStart"/>
            <w:r w:rsidRPr="00157FE8">
              <w:t>não</w:t>
            </w:r>
            <w:proofErr w:type="gramEnd"/>
            <w:r w:rsidRPr="00157FE8">
              <w:t xml:space="preserve"> há</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16.10</w:t>
            </w:r>
          </w:p>
        </w:tc>
        <w:tc>
          <w:tcPr>
            <w:tcW w:w="717" w:type="pct"/>
            <w:shd w:val="clear" w:color="auto" w:fill="auto"/>
            <w:vAlign w:val="center"/>
            <w:hideMark/>
          </w:tcPr>
          <w:p w:rsidR="00D73CD7" w:rsidRPr="00157FE8" w:rsidRDefault="00F94E21" w:rsidP="009C5DB4">
            <w:pPr>
              <w:contextualSpacing/>
              <w:jc w:val="center"/>
            </w:pPr>
            <w:hyperlink r:id="rId11" w:tgtFrame="_blank" w:history="1">
              <w:r w:rsidR="00D73CD7" w:rsidRPr="00157FE8">
                <w:rPr>
                  <w:bCs/>
                  <w:u w:val="single"/>
                </w:rPr>
                <w:t>1.137/08</w:t>
              </w:r>
            </w:hyperlink>
          </w:p>
        </w:tc>
        <w:tc>
          <w:tcPr>
            <w:tcW w:w="2209" w:type="pct"/>
            <w:shd w:val="clear" w:color="auto" w:fill="auto"/>
            <w:vAlign w:val="center"/>
            <w:hideMark/>
          </w:tcPr>
          <w:p w:rsidR="00D73CD7" w:rsidRPr="00157FE8" w:rsidRDefault="00D73CD7" w:rsidP="009C5DB4">
            <w:pPr>
              <w:contextualSpacing/>
              <w:jc w:val="center"/>
            </w:pPr>
            <w:r w:rsidRPr="00157FE8">
              <w:rPr>
                <w:bCs/>
              </w:rPr>
              <w:t>Avaliação e Mensuração de Ativos e Passivos em Entidades do Setor Público</w:t>
            </w:r>
          </w:p>
        </w:tc>
        <w:tc>
          <w:tcPr>
            <w:tcW w:w="824" w:type="pct"/>
            <w:shd w:val="clear" w:color="auto" w:fill="auto"/>
            <w:vAlign w:val="center"/>
            <w:hideMark/>
          </w:tcPr>
          <w:p w:rsidR="00D73CD7" w:rsidRPr="00157FE8" w:rsidRDefault="00D73CD7" w:rsidP="009C5DB4">
            <w:pPr>
              <w:contextualSpacing/>
              <w:jc w:val="center"/>
            </w:pPr>
            <w:proofErr w:type="gramStart"/>
            <w:r w:rsidRPr="00157FE8">
              <w:t>não</w:t>
            </w:r>
            <w:proofErr w:type="gramEnd"/>
            <w:r w:rsidRPr="00157FE8">
              <w:t xml:space="preserve"> há</w:t>
            </w:r>
          </w:p>
        </w:tc>
      </w:tr>
      <w:tr w:rsidR="00D73CD7" w:rsidRPr="00157FE8" w:rsidTr="0009752F">
        <w:trPr>
          <w:trHeight w:val="140"/>
          <w:jc w:val="center"/>
        </w:trPr>
        <w:tc>
          <w:tcPr>
            <w:tcW w:w="1250" w:type="pct"/>
            <w:shd w:val="clear" w:color="auto" w:fill="auto"/>
            <w:vAlign w:val="center"/>
            <w:hideMark/>
          </w:tcPr>
          <w:p w:rsidR="00D73CD7" w:rsidRPr="00157FE8" w:rsidRDefault="00D73CD7" w:rsidP="009C5DB4">
            <w:pPr>
              <w:contextualSpacing/>
              <w:jc w:val="center"/>
            </w:pPr>
            <w:r w:rsidRPr="00157FE8">
              <w:rPr>
                <w:bCs/>
                <w:u w:val="single"/>
              </w:rPr>
              <w:t>NBC T 16.11</w:t>
            </w:r>
          </w:p>
        </w:tc>
        <w:tc>
          <w:tcPr>
            <w:tcW w:w="717" w:type="pct"/>
            <w:shd w:val="clear" w:color="auto" w:fill="auto"/>
            <w:vAlign w:val="center"/>
            <w:hideMark/>
          </w:tcPr>
          <w:p w:rsidR="00D73CD7" w:rsidRPr="00157FE8" w:rsidRDefault="00F94E21" w:rsidP="009C5DB4">
            <w:pPr>
              <w:contextualSpacing/>
              <w:jc w:val="center"/>
            </w:pPr>
            <w:hyperlink r:id="rId12" w:tgtFrame="_blank" w:history="1">
              <w:r w:rsidR="00D73CD7" w:rsidRPr="00157FE8">
                <w:rPr>
                  <w:bCs/>
                  <w:u w:val="single"/>
                </w:rPr>
                <w:t>1.366/11</w:t>
              </w:r>
            </w:hyperlink>
          </w:p>
        </w:tc>
        <w:tc>
          <w:tcPr>
            <w:tcW w:w="2209" w:type="pct"/>
            <w:shd w:val="clear" w:color="auto" w:fill="auto"/>
            <w:vAlign w:val="center"/>
            <w:hideMark/>
          </w:tcPr>
          <w:p w:rsidR="00D73CD7" w:rsidRPr="00157FE8" w:rsidRDefault="00D73CD7" w:rsidP="009C5DB4">
            <w:pPr>
              <w:contextualSpacing/>
              <w:jc w:val="center"/>
            </w:pPr>
            <w:r w:rsidRPr="00157FE8">
              <w:rPr>
                <w:bCs/>
              </w:rPr>
              <w:t>Sistema de Informação de Custos do Setor Público</w:t>
            </w:r>
          </w:p>
        </w:tc>
        <w:tc>
          <w:tcPr>
            <w:tcW w:w="824" w:type="pct"/>
            <w:shd w:val="clear" w:color="auto" w:fill="auto"/>
            <w:vAlign w:val="center"/>
            <w:hideMark/>
          </w:tcPr>
          <w:p w:rsidR="00D73CD7" w:rsidRPr="00157FE8" w:rsidRDefault="00D73CD7" w:rsidP="009C5DB4">
            <w:pPr>
              <w:keepNext/>
              <w:contextualSpacing/>
              <w:jc w:val="center"/>
            </w:pPr>
            <w:proofErr w:type="gramStart"/>
            <w:r w:rsidRPr="00157FE8">
              <w:t>não</w:t>
            </w:r>
            <w:proofErr w:type="gramEnd"/>
            <w:r w:rsidRPr="00157FE8">
              <w:t xml:space="preserve"> há</w:t>
            </w:r>
          </w:p>
        </w:tc>
      </w:tr>
    </w:tbl>
    <w:p w:rsidR="00D73CD7" w:rsidRPr="00A546A2" w:rsidRDefault="00D73CD7" w:rsidP="009C5DB4">
      <w:pPr>
        <w:pStyle w:val="Legenda"/>
        <w:ind w:left="426"/>
        <w:rPr>
          <w:b w:val="0"/>
          <w:color w:val="auto"/>
          <w:sz w:val="20"/>
          <w:lang w:val="pt-BR"/>
        </w:rPr>
      </w:pPr>
      <w:r w:rsidRPr="00A546A2">
        <w:rPr>
          <w:b w:val="0"/>
          <w:color w:val="auto"/>
          <w:sz w:val="20"/>
          <w:szCs w:val="20"/>
          <w:lang w:val="pt-BR"/>
        </w:rPr>
        <w:t>Fonte: Conselho Federal de Contabilidade 2017</w:t>
      </w:r>
      <w:r w:rsidRPr="00A546A2">
        <w:rPr>
          <w:b w:val="0"/>
          <w:color w:val="auto"/>
          <w:lang w:val="pt-BR"/>
        </w:rPr>
        <w:t>.</w:t>
      </w:r>
    </w:p>
    <w:p w:rsidR="00D73CD7" w:rsidRPr="00157FE8" w:rsidRDefault="00D73CD7" w:rsidP="009C5DB4">
      <w:pPr>
        <w:spacing w:after="240"/>
        <w:ind w:firstLine="709"/>
        <w:jc w:val="both"/>
        <w:rPr>
          <w:sz w:val="24"/>
          <w:szCs w:val="24"/>
        </w:rPr>
      </w:pPr>
      <w:r w:rsidRPr="00157FE8">
        <w:rPr>
          <w:sz w:val="24"/>
          <w:szCs w:val="24"/>
        </w:rPr>
        <w:t xml:space="preserve">A NBC TSP 16 já apresenta um número superior às onze primeiras normas aplicadas especificamente ao setor público e que inovaram ao estabelecer critérios de reconhecimento, mensuração e evidenciação de imobilizados, ao mesmo tempo exigir apuração de custos e do resultado das atividades realizadas na esfera pública, evidenciando para a população o quão eficiente está à gestão de recursos públicos </w:t>
      </w:r>
      <w:r w:rsidRPr="00C62FB2">
        <w:rPr>
          <w:sz w:val="24"/>
          <w:szCs w:val="24"/>
        </w:rPr>
        <w:t>(CARVALHO et</w:t>
      </w:r>
      <w:r w:rsidRPr="00157FE8">
        <w:rPr>
          <w:sz w:val="24"/>
          <w:szCs w:val="24"/>
        </w:rPr>
        <w:t xml:space="preserve"> al., 2013).</w:t>
      </w:r>
    </w:p>
    <w:p w:rsidR="00D73CD7" w:rsidRPr="0038317E" w:rsidRDefault="00D73CD7" w:rsidP="009C5DB4">
      <w:pPr>
        <w:pStyle w:val="PargrafodaLista"/>
        <w:widowControl w:val="0"/>
        <w:numPr>
          <w:ilvl w:val="1"/>
          <w:numId w:val="9"/>
        </w:numPr>
        <w:tabs>
          <w:tab w:val="left" w:pos="426"/>
        </w:tabs>
        <w:suppressAutoHyphens w:val="0"/>
        <w:spacing w:after="240"/>
        <w:ind w:left="426" w:hanging="426"/>
        <w:jc w:val="both"/>
        <w:rPr>
          <w:b/>
          <w:sz w:val="24"/>
          <w:szCs w:val="24"/>
        </w:rPr>
      </w:pPr>
      <w:r w:rsidRPr="0038317E">
        <w:rPr>
          <w:b/>
          <w:sz w:val="24"/>
          <w:szCs w:val="24"/>
        </w:rPr>
        <w:t xml:space="preserve">NBC T 16.9 – </w:t>
      </w:r>
      <w:r w:rsidR="009E0416" w:rsidRPr="0038317E">
        <w:rPr>
          <w:b/>
          <w:sz w:val="24"/>
          <w:szCs w:val="24"/>
        </w:rPr>
        <w:t xml:space="preserve">depreciação, amortização e exaustão </w:t>
      </w:r>
    </w:p>
    <w:p w:rsidR="00D73CD7" w:rsidRPr="00C62FB2" w:rsidRDefault="00D73CD7" w:rsidP="009C5DB4">
      <w:pPr>
        <w:ind w:firstLine="709"/>
        <w:jc w:val="both"/>
        <w:rPr>
          <w:sz w:val="24"/>
          <w:szCs w:val="24"/>
        </w:rPr>
      </w:pPr>
      <w:r w:rsidRPr="00157FE8">
        <w:rPr>
          <w:sz w:val="24"/>
          <w:szCs w:val="24"/>
        </w:rPr>
        <w:t>A NBC T 16.9: Depreciação, Amortização e Exaustão, traz aos profissionais da contabilidade pública uma nova visão contábil, agora sob o enfoque patrimonial, estabelecendo os procedimentos e formas para o registro de depreciação, amortização e cotas de exaustão, por meio de critérios para mensuração e registro do valor depreciado, amortizado ou exaurido que deve ser apurado mensalmente e registrado nas contas de resultado do exercício (</w:t>
      </w:r>
      <w:r w:rsidRPr="00C62FB2">
        <w:rPr>
          <w:sz w:val="24"/>
          <w:szCs w:val="24"/>
        </w:rPr>
        <w:t>CONSELHO FEDERAL DE CONTABILIDADE, 2008).</w:t>
      </w:r>
    </w:p>
    <w:p w:rsidR="00D73CD7" w:rsidRPr="00157FE8" w:rsidRDefault="00D73CD7" w:rsidP="009C5DB4">
      <w:pPr>
        <w:spacing w:after="240"/>
        <w:ind w:firstLine="709"/>
        <w:jc w:val="both"/>
        <w:rPr>
          <w:sz w:val="24"/>
          <w:szCs w:val="24"/>
        </w:rPr>
      </w:pPr>
      <w:r w:rsidRPr="00157FE8">
        <w:rPr>
          <w:sz w:val="24"/>
          <w:szCs w:val="24"/>
        </w:rPr>
        <w:t xml:space="preserve">A depreciação “é o processo de alocação do valor de entrada, geralmente o custo original </w:t>
      </w:r>
      <w:r w:rsidRPr="00C62FB2">
        <w:rPr>
          <w:sz w:val="24"/>
          <w:szCs w:val="24"/>
        </w:rPr>
        <w:t xml:space="preserve">ou corrigido, de instalações e equipamentos, aos vários períodos durante os quais se espera </w:t>
      </w:r>
      <w:r w:rsidRPr="00C62FB2">
        <w:rPr>
          <w:sz w:val="24"/>
          <w:szCs w:val="24"/>
        </w:rPr>
        <w:lastRenderedPageBreak/>
        <w:t>obter os benefícios decorrentes de sua aquisição e seu emprego”. (HENDRIKSEN e VAN BREDA, 1999</w:t>
      </w:r>
      <w:r w:rsidRPr="00157FE8">
        <w:rPr>
          <w:sz w:val="24"/>
          <w:szCs w:val="24"/>
        </w:rPr>
        <w:t>, p.325).</w:t>
      </w:r>
    </w:p>
    <w:p w:rsidR="00D73CD7" w:rsidRPr="00157FE8" w:rsidRDefault="00D73CD7" w:rsidP="009C5DB4">
      <w:pPr>
        <w:pStyle w:val="PargrafodaLista"/>
        <w:widowControl w:val="0"/>
        <w:numPr>
          <w:ilvl w:val="1"/>
          <w:numId w:val="9"/>
        </w:numPr>
        <w:tabs>
          <w:tab w:val="left" w:pos="426"/>
        </w:tabs>
        <w:suppressAutoHyphens w:val="0"/>
        <w:spacing w:after="240"/>
        <w:ind w:left="0" w:firstLine="0"/>
        <w:contextualSpacing w:val="0"/>
        <w:jc w:val="both"/>
        <w:rPr>
          <w:b/>
          <w:sz w:val="24"/>
          <w:szCs w:val="24"/>
        </w:rPr>
      </w:pPr>
      <w:r w:rsidRPr="00157FE8">
        <w:rPr>
          <w:b/>
          <w:sz w:val="24"/>
          <w:szCs w:val="24"/>
        </w:rPr>
        <w:t xml:space="preserve">NBC T 16.10 – </w:t>
      </w:r>
      <w:r w:rsidR="009E0416">
        <w:rPr>
          <w:b/>
          <w:sz w:val="24"/>
          <w:szCs w:val="24"/>
        </w:rPr>
        <w:t>avaliação e</w:t>
      </w:r>
      <w:r w:rsidR="009E0416" w:rsidRPr="00157FE8">
        <w:rPr>
          <w:b/>
          <w:sz w:val="24"/>
          <w:szCs w:val="24"/>
        </w:rPr>
        <w:t xml:space="preserve"> mensuração </w:t>
      </w:r>
      <w:r w:rsidR="009E0416">
        <w:rPr>
          <w:b/>
          <w:sz w:val="24"/>
          <w:szCs w:val="24"/>
        </w:rPr>
        <w:t>d</w:t>
      </w:r>
      <w:r w:rsidR="009E0416" w:rsidRPr="00157FE8">
        <w:rPr>
          <w:b/>
          <w:sz w:val="24"/>
          <w:szCs w:val="24"/>
        </w:rPr>
        <w:t xml:space="preserve">e ativos </w:t>
      </w:r>
      <w:r w:rsidR="009E0416">
        <w:rPr>
          <w:b/>
          <w:sz w:val="24"/>
          <w:szCs w:val="24"/>
        </w:rPr>
        <w:t>e</w:t>
      </w:r>
      <w:r w:rsidR="009E0416" w:rsidRPr="00157FE8">
        <w:rPr>
          <w:b/>
          <w:sz w:val="24"/>
          <w:szCs w:val="24"/>
        </w:rPr>
        <w:t xml:space="preserve"> passivos </w:t>
      </w:r>
      <w:r w:rsidR="009E0416">
        <w:rPr>
          <w:b/>
          <w:sz w:val="24"/>
          <w:szCs w:val="24"/>
        </w:rPr>
        <w:t>e</w:t>
      </w:r>
      <w:r w:rsidR="009E0416" w:rsidRPr="00157FE8">
        <w:rPr>
          <w:b/>
          <w:sz w:val="24"/>
          <w:szCs w:val="24"/>
        </w:rPr>
        <w:t xml:space="preserve">m entidades </w:t>
      </w:r>
      <w:r w:rsidR="009E0416">
        <w:rPr>
          <w:b/>
          <w:sz w:val="24"/>
          <w:szCs w:val="24"/>
        </w:rPr>
        <w:t>d</w:t>
      </w:r>
      <w:r w:rsidR="009E0416" w:rsidRPr="00157FE8">
        <w:rPr>
          <w:b/>
          <w:sz w:val="24"/>
          <w:szCs w:val="24"/>
        </w:rPr>
        <w:t>o setor público</w:t>
      </w:r>
    </w:p>
    <w:p w:rsidR="00D73CD7" w:rsidRPr="00C62FB2" w:rsidRDefault="00D73CD7" w:rsidP="009C5DB4">
      <w:pPr>
        <w:ind w:firstLine="709"/>
        <w:jc w:val="both"/>
        <w:rPr>
          <w:sz w:val="24"/>
          <w:szCs w:val="24"/>
        </w:rPr>
      </w:pPr>
      <w:r w:rsidRPr="00157FE8">
        <w:rPr>
          <w:sz w:val="24"/>
          <w:szCs w:val="24"/>
        </w:rPr>
        <w:t>Sob o enfoque patrimonial, a NBC T 16.10 se preocupou em definir critérios e procedimentos para realização da avaliação e da mensuração de ativos e passivos integrantes do patrimônio de entidades do setor público, destacando-se a previsão do registro na contabilização no ativo permanente dos bens de uso comum, aqueles construídos para servir de infraestrutura à sociedade como pontes, rodovias, viadutos, túneis e praças, que deverão ser mensurados ou avaliados “sempre que possível, ao valor de aquisição ou ao valor de produção e construção</w:t>
      </w:r>
      <w:r w:rsidRPr="00C62FB2">
        <w:rPr>
          <w:sz w:val="24"/>
          <w:szCs w:val="24"/>
        </w:rPr>
        <w:t>” (CONSELHO FEDERAL DE CONTABILIDADE, 2012).</w:t>
      </w:r>
    </w:p>
    <w:p w:rsidR="009C5DB4" w:rsidRDefault="00D73CD7" w:rsidP="009C5DB4">
      <w:pPr>
        <w:pStyle w:val="NormalWeb"/>
        <w:shd w:val="clear" w:color="auto" w:fill="FFFFFF"/>
        <w:spacing w:before="0" w:beforeAutospacing="0" w:after="75" w:afterAutospacing="0"/>
        <w:ind w:firstLine="709"/>
        <w:jc w:val="both"/>
        <w:rPr>
          <w:sz w:val="24"/>
          <w:szCs w:val="24"/>
        </w:rPr>
      </w:pPr>
      <w:r w:rsidRPr="00C62FB2">
        <w:rPr>
          <w:sz w:val="24"/>
          <w:szCs w:val="24"/>
        </w:rPr>
        <w:t>Segundo Passos</w:t>
      </w:r>
      <w:r w:rsidRPr="00157FE8">
        <w:rPr>
          <w:sz w:val="24"/>
          <w:szCs w:val="24"/>
        </w:rPr>
        <w:t xml:space="preserve"> (2012), a evidenciação dos atos e fatos administrativos correspondentes ao valor monetário dos itens do ativo e do passivo devem traduzir com razoabilidade a avaliação patrimonial realizada, em decorrência do julgamento fundamentado entre as partes, assim como a mensuração deve ser decorrente da aplicação de procedimentos técnicos que valoram monetariamente os itens do ativo e do passivo, suportados em análises qualitativas e quantitativas.</w:t>
      </w:r>
    </w:p>
    <w:p w:rsidR="00D73CD7" w:rsidRPr="00A546A2" w:rsidRDefault="00D73CD7" w:rsidP="009C5DB4">
      <w:pPr>
        <w:pStyle w:val="NormalWeb"/>
        <w:shd w:val="clear" w:color="auto" w:fill="FFFFFF"/>
        <w:spacing w:before="0" w:beforeAutospacing="0" w:after="75" w:afterAutospacing="0"/>
        <w:ind w:firstLine="709"/>
        <w:jc w:val="both"/>
      </w:pPr>
      <w:r w:rsidRPr="00157FE8">
        <w:rPr>
          <w:sz w:val="24"/>
          <w:szCs w:val="24"/>
        </w:rPr>
        <w:t>A NBC T 16.10, sob enfoque patrimonial, se preocupa em estabelecer procedimentos e critérios que permitam a avaliação e a mensuração de ativos e passivos que integram o patrimônio de entidades públicas, evidenciando conceitos importantes para o processo de avaliação dos ativos e passivos</w:t>
      </w:r>
    </w:p>
    <w:p w:rsidR="00D73CD7" w:rsidRPr="00C62FB2" w:rsidRDefault="00D73CD7" w:rsidP="009C5DB4">
      <w:pPr>
        <w:ind w:firstLine="709"/>
        <w:jc w:val="both"/>
        <w:rPr>
          <w:sz w:val="24"/>
          <w:szCs w:val="24"/>
        </w:rPr>
      </w:pPr>
      <w:r w:rsidRPr="00157FE8">
        <w:rPr>
          <w:sz w:val="24"/>
          <w:szCs w:val="24"/>
        </w:rPr>
        <w:t xml:space="preserve">Segundo </w:t>
      </w:r>
      <w:r w:rsidRPr="00C62FB2">
        <w:rPr>
          <w:sz w:val="24"/>
          <w:szCs w:val="24"/>
        </w:rPr>
        <w:t xml:space="preserve">Graciliano e Fialho (2012), observando a contribuição do registro da depreciação na contabilidade do governo, em relação à transparência das informações da gestão pública, verificaram que o registro da depreciação dos bens públicos tem sido uma prática irreversível desde 2008, contribuindo através de relatórios contábeis para o </w:t>
      </w:r>
      <w:proofErr w:type="spellStart"/>
      <w:r w:rsidRPr="00C62FB2">
        <w:rPr>
          <w:sz w:val="24"/>
          <w:szCs w:val="24"/>
        </w:rPr>
        <w:t>disclosure</w:t>
      </w:r>
      <w:proofErr w:type="spellEnd"/>
      <w:r w:rsidRPr="00C62FB2">
        <w:rPr>
          <w:sz w:val="24"/>
          <w:szCs w:val="24"/>
        </w:rPr>
        <w:t xml:space="preserve"> contábil da gestão do setor público.</w:t>
      </w:r>
      <w:r w:rsidR="00841028" w:rsidRPr="00C62FB2">
        <w:rPr>
          <w:sz w:val="24"/>
          <w:szCs w:val="24"/>
        </w:rPr>
        <w:t xml:space="preserve"> </w:t>
      </w:r>
    </w:p>
    <w:p w:rsidR="00D73CD7" w:rsidRPr="00C62FB2" w:rsidRDefault="00D73CD7" w:rsidP="009C5DB4">
      <w:pPr>
        <w:pStyle w:val="NormalWeb"/>
        <w:shd w:val="clear" w:color="auto" w:fill="FFFFFF"/>
        <w:spacing w:before="0" w:beforeAutospacing="0" w:after="75" w:afterAutospacing="0"/>
        <w:ind w:firstLine="709"/>
        <w:jc w:val="both"/>
        <w:rPr>
          <w:sz w:val="24"/>
          <w:szCs w:val="24"/>
        </w:rPr>
      </w:pPr>
      <w:r w:rsidRPr="00C62FB2">
        <w:rPr>
          <w:sz w:val="24"/>
          <w:szCs w:val="24"/>
        </w:rPr>
        <w:t>A NBC T 16.10, em seu item n° 10, orienta que ela deverá “ser definida com base em parâmetros e índices admitidos em norma ou laudo técnico específico” (CONSELHO FEDERAL DE CONTABILIDADE, 2011).</w:t>
      </w:r>
    </w:p>
    <w:p w:rsidR="00D73CD7" w:rsidRPr="00C62FB2" w:rsidRDefault="00D73CD7" w:rsidP="009C5DB4">
      <w:pPr>
        <w:pStyle w:val="NormalWeb"/>
        <w:shd w:val="clear" w:color="auto" w:fill="FFFFFF"/>
        <w:spacing w:before="0" w:beforeAutospacing="0" w:after="240" w:afterAutospacing="0"/>
        <w:ind w:firstLine="709"/>
        <w:jc w:val="both"/>
        <w:rPr>
          <w:sz w:val="24"/>
          <w:szCs w:val="24"/>
        </w:rPr>
      </w:pPr>
      <w:r w:rsidRPr="00C62FB2">
        <w:rPr>
          <w:sz w:val="24"/>
          <w:szCs w:val="24"/>
        </w:rPr>
        <w:t xml:space="preserve">Segundo o </w:t>
      </w:r>
      <w:r w:rsidR="00841028" w:rsidRPr="00C62FB2">
        <w:rPr>
          <w:sz w:val="24"/>
          <w:szCs w:val="24"/>
        </w:rPr>
        <w:t xml:space="preserve">item </w:t>
      </w:r>
      <w:r w:rsidRPr="00C62FB2">
        <w:rPr>
          <w:sz w:val="24"/>
          <w:szCs w:val="24"/>
        </w:rPr>
        <w:t>n</w:t>
      </w:r>
      <w:r w:rsidR="00841028" w:rsidRPr="00C62FB2">
        <w:rPr>
          <w:sz w:val="24"/>
          <w:szCs w:val="24"/>
        </w:rPr>
        <w:t>°</w:t>
      </w:r>
      <w:r w:rsidRPr="00C62FB2">
        <w:rPr>
          <w:sz w:val="24"/>
          <w:szCs w:val="24"/>
        </w:rPr>
        <w:t>. 13, da NBC T 16.10, estão dispensados do regime de depreciação os bens móveis de natureza cultural, os bens de uso comum do povo de vida útil indeterminada, os animais que se destinem à preservação e à exposição, e os terrenos rurais e urbanos (CONSELHO FEDERAL DE CONTABILIDADE, 2011).</w:t>
      </w:r>
    </w:p>
    <w:p w:rsidR="00D73CD7" w:rsidRPr="00C62FB2" w:rsidRDefault="00D73CD7" w:rsidP="009C5DB4">
      <w:pPr>
        <w:pStyle w:val="NormalWeb"/>
        <w:numPr>
          <w:ilvl w:val="1"/>
          <w:numId w:val="9"/>
        </w:numPr>
        <w:shd w:val="clear" w:color="auto" w:fill="FFFFFF"/>
        <w:suppressAutoHyphens w:val="0"/>
        <w:spacing w:before="0" w:beforeAutospacing="0" w:after="75" w:afterAutospacing="0"/>
        <w:ind w:left="426" w:hanging="426"/>
        <w:jc w:val="both"/>
        <w:rPr>
          <w:b/>
          <w:sz w:val="24"/>
          <w:szCs w:val="24"/>
        </w:rPr>
      </w:pPr>
      <w:r w:rsidRPr="00C62FB2">
        <w:rPr>
          <w:b/>
          <w:sz w:val="24"/>
          <w:szCs w:val="24"/>
        </w:rPr>
        <w:t xml:space="preserve"> A </w:t>
      </w:r>
      <w:r w:rsidR="00D72AC9" w:rsidRPr="00C62FB2">
        <w:rPr>
          <w:b/>
          <w:sz w:val="24"/>
          <w:szCs w:val="24"/>
        </w:rPr>
        <w:t>pesquisa on-line</w:t>
      </w:r>
    </w:p>
    <w:p w:rsidR="00D73CD7" w:rsidRPr="00157FE8" w:rsidRDefault="00D73CD7" w:rsidP="009C5DB4">
      <w:pPr>
        <w:ind w:firstLine="709"/>
        <w:jc w:val="both"/>
        <w:rPr>
          <w:sz w:val="24"/>
          <w:szCs w:val="24"/>
        </w:rPr>
      </w:pPr>
      <w:r w:rsidRPr="00C62FB2">
        <w:rPr>
          <w:sz w:val="24"/>
          <w:szCs w:val="24"/>
        </w:rPr>
        <w:t xml:space="preserve">Segundo </w:t>
      </w:r>
      <w:proofErr w:type="spellStart"/>
      <w:r w:rsidRPr="00C62FB2">
        <w:rPr>
          <w:sz w:val="24"/>
          <w:szCs w:val="24"/>
        </w:rPr>
        <w:t>Malhotra</w:t>
      </w:r>
      <w:proofErr w:type="spellEnd"/>
      <w:r w:rsidRPr="00157FE8">
        <w:rPr>
          <w:sz w:val="24"/>
          <w:szCs w:val="24"/>
        </w:rPr>
        <w:t xml:space="preserve"> (2006), as pesquisas executadas com ajuda da Internet estão ficando cada vez mais comuns entre os pesquisadores em razão das vantagens encontradas, como por exemplo, custos reduzidos, velocidade de respostas e o potencial de alcance de populações específicas, bem como, do ponto de vista do respondente, há a possibilidade de responder da forma, no tempo e local como convier.</w:t>
      </w:r>
    </w:p>
    <w:p w:rsidR="00D73CD7" w:rsidRDefault="00D73CD7" w:rsidP="009C5DB4">
      <w:pPr>
        <w:ind w:firstLine="709"/>
        <w:jc w:val="both"/>
        <w:rPr>
          <w:sz w:val="24"/>
          <w:szCs w:val="24"/>
        </w:rPr>
      </w:pPr>
      <w:r w:rsidRPr="00157FE8">
        <w:rPr>
          <w:sz w:val="24"/>
          <w:szCs w:val="24"/>
        </w:rPr>
        <w:t xml:space="preserve">O processo de pesquisa se classifica como um processo comunicativo entre o pesquisador e o pesquisado, a internet, como um meio de comunicação, oferece várias </w:t>
      </w:r>
      <w:r w:rsidRPr="00157FE8">
        <w:rPr>
          <w:sz w:val="24"/>
          <w:szCs w:val="24"/>
        </w:rPr>
        <w:lastRenderedPageBreak/>
        <w:t xml:space="preserve">oportunidades que permitem explorar as diversas funcionalidades para a realização de </w:t>
      </w:r>
      <w:r w:rsidRPr="00C62FB2">
        <w:rPr>
          <w:sz w:val="24"/>
          <w:szCs w:val="24"/>
        </w:rPr>
        <w:t>pesquisas (KOTLER, 2006</w:t>
      </w:r>
      <w:r w:rsidRPr="00157FE8">
        <w:rPr>
          <w:sz w:val="24"/>
          <w:szCs w:val="24"/>
        </w:rPr>
        <w:t>).</w:t>
      </w:r>
    </w:p>
    <w:p w:rsidR="00D56848" w:rsidRPr="00157FE8" w:rsidRDefault="00D56848" w:rsidP="009C5DB4">
      <w:pPr>
        <w:ind w:firstLine="709"/>
        <w:jc w:val="both"/>
        <w:rPr>
          <w:sz w:val="24"/>
          <w:szCs w:val="24"/>
        </w:rPr>
      </w:pPr>
    </w:p>
    <w:p w:rsidR="00D73CD7" w:rsidRPr="00157FE8" w:rsidRDefault="00D72AC9" w:rsidP="009C5DB4">
      <w:pPr>
        <w:pStyle w:val="Ttulo1"/>
        <w:numPr>
          <w:ilvl w:val="0"/>
          <w:numId w:val="9"/>
        </w:numPr>
        <w:spacing w:after="240"/>
        <w:ind w:left="284" w:hanging="284"/>
        <w:jc w:val="both"/>
        <w:rPr>
          <w:lang w:val="pt-BR"/>
        </w:rPr>
      </w:pPr>
      <w:r w:rsidRPr="00157FE8">
        <w:rPr>
          <w:lang w:val="pt-BR"/>
        </w:rPr>
        <w:t>Metodologia</w:t>
      </w:r>
    </w:p>
    <w:p w:rsidR="003D52F4" w:rsidRDefault="00D73CD7" w:rsidP="009C5DB4">
      <w:pPr>
        <w:pStyle w:val="Corpodetexto"/>
        <w:ind w:right="115" w:firstLine="709"/>
        <w:contextualSpacing/>
        <w:jc w:val="both"/>
        <w:rPr>
          <w:lang w:val="pt-BR"/>
        </w:rPr>
      </w:pPr>
      <w:r w:rsidRPr="00157FE8">
        <w:rPr>
          <w:lang w:val="pt-BR"/>
        </w:rPr>
        <w:t>Considerando a pesquisa proposta, ela se caracteriza do tipo descritiva por descrever a percepção dos contadores públicos na adoção das Normas Brasileiras de Contabilidade Técnicas Aplicadas ao Se</w:t>
      </w:r>
      <w:r w:rsidR="003D52F4">
        <w:rPr>
          <w:lang w:val="pt-BR"/>
        </w:rPr>
        <w:t>tor Público NBC T 16.9 e 16.10.</w:t>
      </w:r>
    </w:p>
    <w:p w:rsidR="00D73CD7" w:rsidRPr="00157FE8" w:rsidRDefault="00D73CD7" w:rsidP="009C5DB4">
      <w:pPr>
        <w:pStyle w:val="Corpodetexto"/>
        <w:ind w:right="115" w:firstLine="709"/>
        <w:contextualSpacing/>
        <w:jc w:val="both"/>
        <w:rPr>
          <w:lang w:val="pt-BR"/>
        </w:rPr>
      </w:pPr>
      <w:r w:rsidRPr="00157FE8">
        <w:rPr>
          <w:lang w:val="pt-BR"/>
        </w:rPr>
        <w:t>A pesquisa é descritiva por objetivar descrever características de determinada população, como também fenômeno</w:t>
      </w:r>
      <w:r w:rsidRPr="00157FE8">
        <w:rPr>
          <w:spacing w:val="-5"/>
          <w:lang w:val="pt-BR"/>
        </w:rPr>
        <w:t xml:space="preserve"> </w:t>
      </w:r>
      <w:r w:rsidRPr="00157FE8">
        <w:rPr>
          <w:lang w:val="pt-BR"/>
        </w:rPr>
        <w:t xml:space="preserve">ou o estabelecimento de relações entre variáveis, segundo </w:t>
      </w:r>
      <w:proofErr w:type="spellStart"/>
      <w:r w:rsidRPr="00157FE8">
        <w:rPr>
          <w:lang w:val="pt-BR"/>
        </w:rPr>
        <w:t>Beuren</w:t>
      </w:r>
      <w:proofErr w:type="spellEnd"/>
      <w:r w:rsidRPr="00157FE8">
        <w:rPr>
          <w:lang w:val="pt-BR"/>
        </w:rPr>
        <w:t xml:space="preserve"> (2009).</w:t>
      </w:r>
    </w:p>
    <w:p w:rsidR="003D52F4" w:rsidRDefault="00D73CD7" w:rsidP="009C5DB4">
      <w:pPr>
        <w:pStyle w:val="Corpodetexto"/>
        <w:spacing w:after="240"/>
        <w:ind w:right="115" w:firstLine="709"/>
        <w:contextualSpacing/>
        <w:jc w:val="both"/>
        <w:rPr>
          <w:lang w:val="pt-BR"/>
        </w:rPr>
      </w:pPr>
      <w:r w:rsidRPr="00157FE8">
        <w:rPr>
          <w:lang w:val="pt-BR"/>
        </w:rPr>
        <w:t>Em relação à abordagem do problema, a pesquisa caracteriza-se como quantitativa em razão das análises e</w:t>
      </w:r>
      <w:r w:rsidR="003D52F4">
        <w:rPr>
          <w:lang w:val="pt-BR"/>
        </w:rPr>
        <w:t>statísticas a serem realizadas.</w:t>
      </w:r>
    </w:p>
    <w:p w:rsidR="003D52F4" w:rsidRDefault="00C62FB2" w:rsidP="009C5DB4">
      <w:pPr>
        <w:pStyle w:val="Corpodetexto"/>
        <w:spacing w:after="240"/>
        <w:ind w:right="115" w:firstLine="709"/>
        <w:contextualSpacing/>
        <w:jc w:val="both"/>
        <w:rPr>
          <w:lang w:val="pt-BR"/>
        </w:rPr>
      </w:pPr>
      <w:r>
        <w:rPr>
          <w:lang w:val="pt-BR"/>
        </w:rPr>
        <w:t xml:space="preserve">Para a realização da </w:t>
      </w:r>
      <w:r w:rsidR="00D73CD7" w:rsidRPr="00157FE8">
        <w:rPr>
          <w:lang w:val="pt-BR"/>
        </w:rPr>
        <w:t xml:space="preserve">pesquisa, foi empregado um levantamento por meio de questionário, também denominado </w:t>
      </w:r>
      <w:proofErr w:type="spellStart"/>
      <w:r w:rsidR="00D73CD7" w:rsidRPr="00157FE8">
        <w:rPr>
          <w:i/>
          <w:lang w:val="pt-BR"/>
        </w:rPr>
        <w:t>survey</w:t>
      </w:r>
      <w:proofErr w:type="spellEnd"/>
      <w:r w:rsidR="00D73CD7" w:rsidRPr="00157FE8">
        <w:rPr>
          <w:lang w:val="pt-BR"/>
        </w:rPr>
        <w:t>, que “</w:t>
      </w:r>
      <w:r w:rsidR="00D73CD7" w:rsidRPr="00C62FB2">
        <w:rPr>
          <w:lang w:val="pt-BR"/>
        </w:rPr>
        <w:t>se caracteriza pela interrogação direta das pessoas cujo comportamento se deseja conhecer” (GIL, 2010).</w:t>
      </w:r>
    </w:p>
    <w:p w:rsidR="003D52F4" w:rsidRDefault="00D73CD7" w:rsidP="009C5DB4">
      <w:pPr>
        <w:pStyle w:val="Corpodetexto"/>
        <w:spacing w:after="240"/>
        <w:ind w:right="115" w:firstLine="709"/>
        <w:contextualSpacing/>
        <w:jc w:val="both"/>
        <w:rPr>
          <w:lang w:val="pt-BR"/>
        </w:rPr>
      </w:pPr>
      <w:r w:rsidRPr="00C62FB2">
        <w:rPr>
          <w:lang w:val="pt-BR"/>
        </w:rPr>
        <w:t xml:space="preserve">O questionário empregado foi baseado a partir do estudo realizado por </w:t>
      </w:r>
      <w:proofErr w:type="spellStart"/>
      <w:r w:rsidRPr="00C62FB2">
        <w:rPr>
          <w:lang w:val="pt-BR"/>
        </w:rPr>
        <w:t>Piccoli</w:t>
      </w:r>
      <w:proofErr w:type="spellEnd"/>
      <w:r w:rsidRPr="00C62FB2">
        <w:rPr>
          <w:lang w:val="pt-BR"/>
        </w:rPr>
        <w:t xml:space="preserve"> e </w:t>
      </w:r>
      <w:proofErr w:type="spellStart"/>
      <w:r w:rsidRPr="00C62FB2">
        <w:rPr>
          <w:lang w:val="pt-BR"/>
        </w:rPr>
        <w:t>Klan</w:t>
      </w:r>
      <w:proofErr w:type="spellEnd"/>
      <w:r w:rsidRPr="00C62FB2">
        <w:rPr>
          <w:lang w:val="pt-BR"/>
        </w:rPr>
        <w:t xml:space="preserve"> (2015), validado e publicado na Revista do Serviço Público, Brasília, v. 3, fascículo 66, em </w:t>
      </w:r>
      <w:proofErr w:type="spellStart"/>
      <w:r w:rsidRPr="00C62FB2">
        <w:rPr>
          <w:lang w:val="pt-BR"/>
        </w:rPr>
        <w:t>jul</w:t>
      </w:r>
      <w:proofErr w:type="spellEnd"/>
      <w:r w:rsidRPr="00C62FB2">
        <w:rPr>
          <w:lang w:val="pt-BR"/>
        </w:rPr>
        <w:t>/set 2015.</w:t>
      </w:r>
      <w:r w:rsidRPr="00157FE8">
        <w:rPr>
          <w:lang w:val="pt-BR"/>
        </w:rPr>
        <w:t xml:space="preserve"> </w:t>
      </w:r>
    </w:p>
    <w:p w:rsidR="00D73CD7" w:rsidRPr="00157FE8" w:rsidRDefault="00C62FB2" w:rsidP="009C5DB4">
      <w:pPr>
        <w:pStyle w:val="Corpodetexto"/>
        <w:spacing w:after="240"/>
        <w:ind w:right="115" w:firstLine="709"/>
        <w:contextualSpacing/>
        <w:jc w:val="both"/>
        <w:rPr>
          <w:lang w:val="pt-BR"/>
        </w:rPr>
      </w:pPr>
      <w:r>
        <w:rPr>
          <w:lang w:val="pt-BR"/>
        </w:rPr>
        <w:t>O</w:t>
      </w:r>
      <w:r w:rsidR="00D73CD7" w:rsidRPr="00157FE8">
        <w:rPr>
          <w:lang w:val="pt-BR"/>
        </w:rPr>
        <w:t xml:space="preserve"> questionário é “conjunto de questões, sistematicamente articuladas, que se destinam a levantar informações escritas por parte dos sujeitos pesquisados, com vistas a conhecer a opinião dos mesm</w:t>
      </w:r>
      <w:r>
        <w:rPr>
          <w:lang w:val="pt-BR"/>
        </w:rPr>
        <w:t>os sobre os assuntos em estudo”, (</w:t>
      </w:r>
      <w:r w:rsidRPr="00C62FB2">
        <w:rPr>
          <w:lang w:val="pt-BR"/>
        </w:rPr>
        <w:t>SEVERINO, 2007</w:t>
      </w:r>
      <w:r w:rsidRPr="00157FE8">
        <w:rPr>
          <w:lang w:val="pt-BR"/>
        </w:rPr>
        <w:t>)</w:t>
      </w:r>
      <w:r>
        <w:rPr>
          <w:lang w:val="pt-BR"/>
        </w:rPr>
        <w:t>.</w:t>
      </w:r>
    </w:p>
    <w:p w:rsidR="00D73CD7" w:rsidRPr="00157FE8" w:rsidRDefault="00D73CD7" w:rsidP="009C5DB4">
      <w:pPr>
        <w:pStyle w:val="Corpodetexto"/>
        <w:ind w:right="115" w:firstLine="709"/>
        <w:jc w:val="both"/>
        <w:rPr>
          <w:lang w:val="pt-BR"/>
        </w:rPr>
      </w:pPr>
      <w:r w:rsidRPr="00157FE8">
        <w:rPr>
          <w:lang w:val="pt-BR"/>
        </w:rPr>
        <w:t xml:space="preserve">O procedimento da coleta de dados foi realizado por meio de questionário estruturado, remetido de forma on-line, através da ferramenta </w:t>
      </w:r>
      <w:r w:rsidRPr="00157FE8">
        <w:rPr>
          <w:i/>
          <w:lang w:val="pt-BR"/>
        </w:rPr>
        <w:t xml:space="preserve">Google </w:t>
      </w:r>
      <w:proofErr w:type="spellStart"/>
      <w:r w:rsidRPr="00157FE8">
        <w:rPr>
          <w:i/>
          <w:lang w:val="pt-BR"/>
        </w:rPr>
        <w:t>Docs</w:t>
      </w:r>
      <w:proofErr w:type="spellEnd"/>
      <w:r w:rsidRPr="00157FE8">
        <w:rPr>
          <w:lang w:val="pt-BR"/>
        </w:rPr>
        <w:t xml:space="preserve"> para os contadores do Campus Recife da Universidade Federal de Pernambuco.</w:t>
      </w:r>
    </w:p>
    <w:p w:rsidR="009C5DB4" w:rsidRDefault="00D73CD7" w:rsidP="009C5DB4">
      <w:pPr>
        <w:pStyle w:val="Corpodetexto"/>
        <w:ind w:right="113" w:firstLine="709"/>
        <w:jc w:val="both"/>
        <w:rPr>
          <w:lang w:val="pt-BR"/>
        </w:rPr>
      </w:pPr>
      <w:r w:rsidRPr="00157FE8">
        <w:rPr>
          <w:lang w:val="pt-BR"/>
        </w:rPr>
        <w:t>O questionário foi dividido em três módulos com a finalidade de identificar os impactos e as dificuldades trazidos pelo novo m</w:t>
      </w:r>
      <w:r w:rsidR="009C5DB4">
        <w:rPr>
          <w:lang w:val="pt-BR"/>
        </w:rPr>
        <w:t>odelo de contabilidade pública.</w:t>
      </w:r>
    </w:p>
    <w:p w:rsidR="009C5DB4" w:rsidRDefault="00D73CD7" w:rsidP="009C5DB4">
      <w:pPr>
        <w:pStyle w:val="Corpodetexto"/>
        <w:ind w:right="113" w:firstLine="709"/>
        <w:jc w:val="both"/>
        <w:rPr>
          <w:lang w:val="pt-BR"/>
        </w:rPr>
      </w:pPr>
      <w:r w:rsidRPr="00157FE8">
        <w:rPr>
          <w:lang w:val="pt-BR"/>
        </w:rPr>
        <w:t>O primeiro módulo aborda o perfil do profissional contador do setor público.</w:t>
      </w:r>
    </w:p>
    <w:p w:rsidR="009C5DB4" w:rsidRDefault="001D00C9" w:rsidP="009C5DB4">
      <w:pPr>
        <w:pStyle w:val="Corpodetexto"/>
        <w:ind w:right="113" w:firstLine="709"/>
        <w:jc w:val="both"/>
        <w:rPr>
          <w:lang w:val="pt-BR"/>
        </w:rPr>
      </w:pPr>
      <w:r>
        <w:rPr>
          <w:lang w:val="pt-BR"/>
        </w:rPr>
        <w:t>O</w:t>
      </w:r>
      <w:r w:rsidR="00D73CD7" w:rsidRPr="00157FE8">
        <w:rPr>
          <w:lang w:val="pt-BR"/>
        </w:rPr>
        <w:t xml:space="preserve"> segundo módulo diz respeito às dificuldades enfrentadas pelos profissionais à compreensão das mudanças implementadas, desde a atualização do sistema contábil ao conhecimento intelectual e a percepção de responsabilidades.</w:t>
      </w:r>
    </w:p>
    <w:p w:rsidR="00D73CD7" w:rsidRPr="00157FE8" w:rsidRDefault="00D73CD7" w:rsidP="009C5DB4">
      <w:pPr>
        <w:pStyle w:val="Corpodetexto"/>
        <w:ind w:right="113" w:firstLine="709"/>
        <w:jc w:val="both"/>
        <w:rPr>
          <w:lang w:val="pt-BR"/>
        </w:rPr>
      </w:pPr>
      <w:r w:rsidRPr="00157FE8">
        <w:rPr>
          <w:lang w:val="pt-BR"/>
        </w:rPr>
        <w:t>No último módulo, a abordagem busca o entendimento das normativas, avaliando qual o entendimento do profissional contador em relação a suas atividades e o valor dado às normativas</w:t>
      </w:r>
      <w:r w:rsidR="00D56848">
        <w:rPr>
          <w:lang w:val="pt-BR"/>
        </w:rPr>
        <w:t>.</w:t>
      </w:r>
      <w:r w:rsidR="001D00C9">
        <w:rPr>
          <w:lang w:val="pt-BR"/>
        </w:rPr>
        <w:t xml:space="preserve"> </w:t>
      </w:r>
      <w:r w:rsidR="001D00C9" w:rsidRPr="00157FE8">
        <w:rPr>
          <w:lang w:val="pt-BR"/>
        </w:rPr>
        <w:t xml:space="preserve">As perguntas </w:t>
      </w:r>
      <w:r w:rsidR="001D00C9">
        <w:rPr>
          <w:lang w:val="pt-BR"/>
        </w:rPr>
        <w:t>foram</w:t>
      </w:r>
      <w:r w:rsidR="001D00C9" w:rsidRPr="00157FE8">
        <w:rPr>
          <w:lang w:val="pt-BR"/>
        </w:rPr>
        <w:t xml:space="preserve"> constituídas de forma que o profissional contador identifique, conforme uma escala </w:t>
      </w:r>
      <w:proofErr w:type="spellStart"/>
      <w:r w:rsidR="001D00C9" w:rsidRPr="00157FE8">
        <w:rPr>
          <w:lang w:val="pt-BR"/>
        </w:rPr>
        <w:t>Lickert</w:t>
      </w:r>
      <w:proofErr w:type="spellEnd"/>
      <w:r w:rsidR="001D00C9" w:rsidRPr="00157FE8">
        <w:rPr>
          <w:lang w:val="pt-BR"/>
        </w:rPr>
        <w:t xml:space="preserve"> de cinco pontos (discordo totalmente, discordo, indiferente, concordo e concordo totalmente)</w:t>
      </w:r>
      <w:r w:rsidR="001D00C9">
        <w:rPr>
          <w:lang w:val="pt-BR"/>
        </w:rPr>
        <w:t>.</w:t>
      </w:r>
    </w:p>
    <w:p w:rsidR="003D52F4" w:rsidRDefault="00D73CD7" w:rsidP="009C5DB4">
      <w:pPr>
        <w:ind w:firstLine="709"/>
        <w:jc w:val="both"/>
        <w:rPr>
          <w:sz w:val="24"/>
          <w:szCs w:val="24"/>
        </w:rPr>
      </w:pPr>
      <w:r w:rsidRPr="00D72AC9">
        <w:rPr>
          <w:sz w:val="24"/>
          <w:szCs w:val="24"/>
        </w:rPr>
        <w:t xml:space="preserve">Segundo </w:t>
      </w:r>
      <w:proofErr w:type="spellStart"/>
      <w:r w:rsidRPr="00D72AC9">
        <w:rPr>
          <w:sz w:val="24"/>
          <w:szCs w:val="24"/>
        </w:rPr>
        <w:t>Beuren</w:t>
      </w:r>
      <w:proofErr w:type="spellEnd"/>
      <w:r w:rsidRPr="00D72AC9">
        <w:rPr>
          <w:sz w:val="24"/>
          <w:szCs w:val="24"/>
        </w:rPr>
        <w:t xml:space="preserve"> (2009), </w:t>
      </w:r>
      <w:r w:rsidR="001D00C9">
        <w:rPr>
          <w:sz w:val="24"/>
          <w:szCs w:val="24"/>
        </w:rPr>
        <w:t xml:space="preserve">a </w:t>
      </w:r>
      <w:r w:rsidRPr="00D72AC9">
        <w:rPr>
          <w:sz w:val="24"/>
          <w:szCs w:val="24"/>
        </w:rPr>
        <w:t>população</w:t>
      </w:r>
      <w:r w:rsidRPr="00157FE8">
        <w:rPr>
          <w:sz w:val="24"/>
          <w:szCs w:val="24"/>
        </w:rPr>
        <w:t xml:space="preserve"> ou universo representa a totalidade dos elementos que possui características semelhantes definidas na realização de um estudo.</w:t>
      </w:r>
    </w:p>
    <w:p w:rsidR="00D73CD7" w:rsidRPr="00157FE8" w:rsidRDefault="00D73CD7" w:rsidP="009C5DB4">
      <w:pPr>
        <w:ind w:firstLine="709"/>
        <w:jc w:val="both"/>
        <w:rPr>
          <w:sz w:val="24"/>
          <w:szCs w:val="24"/>
        </w:rPr>
      </w:pPr>
      <w:r w:rsidRPr="00157FE8">
        <w:rPr>
          <w:sz w:val="24"/>
          <w:szCs w:val="24"/>
        </w:rPr>
        <w:t>A população para a realização do estudo foi composta por todos os contadores da Universidade Federal de Pernambuco, a partir do banco de dados disponibilizado pela Pró-Reitoria de Gestão de Pessoas e Qualidade de Vida – PROGEPE, contendo os endereços de e-mail dos profissionais. Totalizou o quantitativo de indivíduos da população pretendida, 33 servidores ativos, desempenhando o cargo de contador.</w:t>
      </w:r>
    </w:p>
    <w:p w:rsidR="00D73CD7" w:rsidRPr="00157FE8" w:rsidRDefault="00D73CD7" w:rsidP="009C5DB4">
      <w:pPr>
        <w:ind w:firstLine="709"/>
        <w:jc w:val="both"/>
        <w:rPr>
          <w:sz w:val="24"/>
          <w:szCs w:val="24"/>
        </w:rPr>
      </w:pPr>
      <w:r w:rsidRPr="00157FE8">
        <w:rPr>
          <w:sz w:val="24"/>
          <w:szCs w:val="24"/>
        </w:rPr>
        <w:t xml:space="preserve">Segundo </w:t>
      </w:r>
      <w:r w:rsidRPr="00B13C0C">
        <w:rPr>
          <w:sz w:val="24"/>
          <w:szCs w:val="24"/>
        </w:rPr>
        <w:t>Gonçalves (2008</w:t>
      </w:r>
      <w:r w:rsidRPr="00157FE8">
        <w:rPr>
          <w:sz w:val="24"/>
          <w:szCs w:val="24"/>
        </w:rPr>
        <w:t>), dentre as possíveis desvantagens das pesquisas on-line a baixa taxa de resposta aos questionários pode ser apontada como a principal.</w:t>
      </w:r>
      <w:r w:rsidR="00B13C0C">
        <w:rPr>
          <w:sz w:val="24"/>
          <w:szCs w:val="24"/>
        </w:rPr>
        <w:t xml:space="preserve"> </w:t>
      </w:r>
      <w:r w:rsidRPr="00157FE8">
        <w:rPr>
          <w:sz w:val="24"/>
          <w:szCs w:val="24"/>
        </w:rPr>
        <w:t xml:space="preserve">Em relação à </w:t>
      </w:r>
      <w:r w:rsidRPr="00157FE8">
        <w:rPr>
          <w:sz w:val="24"/>
          <w:szCs w:val="24"/>
        </w:rPr>
        <w:lastRenderedPageBreak/>
        <w:t>população levantada, 33 contadores, 05 contadores não dispõem de endereço eletrônico cadastrado junto à PROGEPE. Aos e-mails encaminhados para os 28 contadores, foram recebidos 16 respostas dos entrevistados, resultando em índice de retorno dos questionários de 48,4%.</w:t>
      </w:r>
    </w:p>
    <w:p w:rsidR="00D73CD7" w:rsidRPr="00157FE8" w:rsidRDefault="00D73CD7" w:rsidP="009C5DB4">
      <w:pPr>
        <w:ind w:firstLine="709"/>
        <w:jc w:val="both"/>
        <w:rPr>
          <w:sz w:val="24"/>
          <w:szCs w:val="24"/>
        </w:rPr>
      </w:pPr>
    </w:p>
    <w:p w:rsidR="00D73CD7" w:rsidRPr="00157FE8" w:rsidRDefault="00D72AC9" w:rsidP="009C5DB4">
      <w:pPr>
        <w:pStyle w:val="PargrafodaLista"/>
        <w:widowControl w:val="0"/>
        <w:numPr>
          <w:ilvl w:val="0"/>
          <w:numId w:val="9"/>
        </w:numPr>
        <w:suppressAutoHyphens w:val="0"/>
        <w:ind w:left="284" w:hanging="284"/>
        <w:contextualSpacing w:val="0"/>
        <w:jc w:val="both"/>
        <w:rPr>
          <w:b/>
          <w:sz w:val="24"/>
          <w:szCs w:val="24"/>
        </w:rPr>
      </w:pPr>
      <w:r w:rsidRPr="00157FE8">
        <w:rPr>
          <w:b/>
          <w:sz w:val="24"/>
          <w:szCs w:val="24"/>
        </w:rPr>
        <w:t>Resultados</w:t>
      </w:r>
    </w:p>
    <w:p w:rsidR="001D00C9" w:rsidRDefault="001D00C9" w:rsidP="009C5DB4">
      <w:pPr>
        <w:ind w:firstLine="709"/>
        <w:contextualSpacing/>
        <w:jc w:val="both"/>
        <w:rPr>
          <w:sz w:val="24"/>
          <w:szCs w:val="24"/>
        </w:rPr>
      </w:pPr>
    </w:p>
    <w:p w:rsidR="003D52F4" w:rsidRDefault="00D73CD7" w:rsidP="009C5DB4">
      <w:pPr>
        <w:ind w:firstLine="709"/>
        <w:contextualSpacing/>
        <w:jc w:val="both"/>
        <w:rPr>
          <w:sz w:val="24"/>
          <w:szCs w:val="24"/>
        </w:rPr>
      </w:pPr>
      <w:r w:rsidRPr="00157FE8">
        <w:rPr>
          <w:sz w:val="24"/>
          <w:szCs w:val="24"/>
        </w:rPr>
        <w:t>Os questionários foram enviados para os contadores no dia 06 de junho de 2017</w:t>
      </w:r>
      <w:r w:rsidR="001D00C9">
        <w:rPr>
          <w:sz w:val="24"/>
          <w:szCs w:val="24"/>
        </w:rPr>
        <w:t xml:space="preserve">, sendo </w:t>
      </w:r>
      <w:r w:rsidRPr="00157FE8">
        <w:rPr>
          <w:sz w:val="24"/>
          <w:szCs w:val="24"/>
        </w:rPr>
        <w:t>estipulado a data limite para recebimento de respostas até dia 30 de junho.</w:t>
      </w:r>
    </w:p>
    <w:p w:rsidR="003D52F4" w:rsidRDefault="00D73CD7" w:rsidP="009C5DB4">
      <w:pPr>
        <w:ind w:firstLine="709"/>
        <w:contextualSpacing/>
        <w:jc w:val="both"/>
        <w:rPr>
          <w:sz w:val="24"/>
          <w:szCs w:val="24"/>
        </w:rPr>
      </w:pPr>
      <w:r w:rsidRPr="00157FE8">
        <w:rPr>
          <w:sz w:val="24"/>
          <w:szCs w:val="24"/>
        </w:rPr>
        <w:t xml:space="preserve">Inicialmente, se procurou caracterizar o perfil dos contadores, conforme descrito na Tabela 2, identificando os dados sobre o gênero do respondente, sendo obtido nas respostas </w:t>
      </w:r>
      <w:r w:rsidR="003D52F4">
        <w:rPr>
          <w:sz w:val="24"/>
          <w:szCs w:val="24"/>
        </w:rPr>
        <w:t>que 75% são do gênero feminino.</w:t>
      </w:r>
    </w:p>
    <w:p w:rsidR="003D52F4" w:rsidRDefault="00D73CD7" w:rsidP="009C5DB4">
      <w:pPr>
        <w:ind w:firstLine="709"/>
        <w:contextualSpacing/>
        <w:jc w:val="both"/>
        <w:rPr>
          <w:sz w:val="24"/>
          <w:szCs w:val="24"/>
        </w:rPr>
      </w:pPr>
      <w:r w:rsidRPr="00157FE8">
        <w:rPr>
          <w:sz w:val="24"/>
          <w:szCs w:val="24"/>
        </w:rPr>
        <w:t>A maioria dos respondentes possui idade entre 18 a 50 anos, totalizando 14 contadores. Em relação a escolaridade, 81,3% possuem especializaç</w:t>
      </w:r>
      <w:r w:rsidR="003D52F4">
        <w:rPr>
          <w:sz w:val="24"/>
          <w:szCs w:val="24"/>
        </w:rPr>
        <w:t>ão, em número de 13 contadores.</w:t>
      </w:r>
    </w:p>
    <w:p w:rsidR="00D73CD7" w:rsidRPr="00157FE8" w:rsidRDefault="00D73CD7" w:rsidP="009C5DB4">
      <w:pPr>
        <w:ind w:firstLine="709"/>
        <w:contextualSpacing/>
        <w:jc w:val="both"/>
        <w:rPr>
          <w:sz w:val="24"/>
          <w:szCs w:val="24"/>
        </w:rPr>
      </w:pPr>
      <w:r w:rsidRPr="00157FE8">
        <w:rPr>
          <w:sz w:val="24"/>
          <w:szCs w:val="24"/>
        </w:rPr>
        <w:t>Já quanto ao tempo em que exerce o cargo de contador, 13 contadores apresentam tempo de experiência de até 20 anos, representando 81,25%.</w:t>
      </w:r>
    </w:p>
    <w:p w:rsidR="00D73CD7" w:rsidRDefault="00D73CD7" w:rsidP="009C5DB4">
      <w:pPr>
        <w:ind w:firstLine="709"/>
        <w:contextualSpacing/>
        <w:jc w:val="both"/>
      </w:pPr>
    </w:p>
    <w:p w:rsidR="00D73CD7" w:rsidRDefault="00D73CD7" w:rsidP="009C5DB4">
      <w:pPr>
        <w:pStyle w:val="Legenda"/>
        <w:keepNext/>
        <w:spacing w:after="0"/>
        <w:ind w:left="2410"/>
        <w:rPr>
          <w:b w:val="0"/>
          <w:color w:val="auto"/>
          <w:sz w:val="20"/>
          <w:szCs w:val="20"/>
        </w:rPr>
      </w:pPr>
      <w:r w:rsidRPr="00A546A2">
        <w:rPr>
          <w:b w:val="0"/>
          <w:color w:val="auto"/>
          <w:sz w:val="20"/>
          <w:szCs w:val="20"/>
        </w:rPr>
        <w:t xml:space="preserve">Tabela </w:t>
      </w:r>
      <w:r w:rsidRPr="00A546A2">
        <w:rPr>
          <w:b w:val="0"/>
          <w:color w:val="auto"/>
          <w:sz w:val="20"/>
          <w:szCs w:val="20"/>
        </w:rPr>
        <w:fldChar w:fldCharType="begin"/>
      </w:r>
      <w:r w:rsidRPr="00A546A2">
        <w:rPr>
          <w:b w:val="0"/>
          <w:color w:val="auto"/>
          <w:sz w:val="20"/>
          <w:szCs w:val="20"/>
        </w:rPr>
        <w:instrText xml:space="preserve"> SEQ Tabela \* ARABIC </w:instrText>
      </w:r>
      <w:r w:rsidRPr="00A546A2">
        <w:rPr>
          <w:b w:val="0"/>
          <w:color w:val="auto"/>
          <w:sz w:val="20"/>
          <w:szCs w:val="20"/>
        </w:rPr>
        <w:fldChar w:fldCharType="separate"/>
      </w:r>
      <w:r w:rsidR="00FF648D">
        <w:rPr>
          <w:b w:val="0"/>
          <w:noProof/>
          <w:color w:val="auto"/>
          <w:sz w:val="20"/>
          <w:szCs w:val="20"/>
        </w:rPr>
        <w:t>2</w:t>
      </w:r>
      <w:r w:rsidRPr="00A546A2">
        <w:rPr>
          <w:b w:val="0"/>
          <w:color w:val="auto"/>
          <w:sz w:val="20"/>
          <w:szCs w:val="20"/>
        </w:rPr>
        <w:fldChar w:fldCharType="end"/>
      </w:r>
      <w:r>
        <w:rPr>
          <w:b w:val="0"/>
          <w:color w:val="auto"/>
          <w:sz w:val="20"/>
          <w:szCs w:val="20"/>
        </w:rPr>
        <w:t>.</w:t>
      </w:r>
    </w:p>
    <w:p w:rsidR="00D73CD7" w:rsidRDefault="00D73CD7" w:rsidP="009C5DB4">
      <w:pPr>
        <w:pStyle w:val="Legenda"/>
        <w:keepNext/>
        <w:ind w:left="2410"/>
        <w:rPr>
          <w:b w:val="0"/>
          <w:color w:val="auto"/>
          <w:sz w:val="20"/>
          <w:szCs w:val="20"/>
        </w:rPr>
      </w:pPr>
      <w:r w:rsidRPr="00A546A2">
        <w:rPr>
          <w:b w:val="0"/>
          <w:color w:val="auto"/>
          <w:sz w:val="20"/>
          <w:szCs w:val="20"/>
        </w:rPr>
        <w:t xml:space="preserve">Perfil dos </w:t>
      </w:r>
      <w:r>
        <w:rPr>
          <w:b w:val="0"/>
          <w:color w:val="auto"/>
          <w:sz w:val="20"/>
          <w:szCs w:val="20"/>
        </w:rPr>
        <w:t>respondentes</w:t>
      </w:r>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835"/>
        <w:gridCol w:w="576"/>
        <w:gridCol w:w="876"/>
      </w:tblGrid>
      <w:tr w:rsidR="00D73CD7" w:rsidRPr="00A546A2" w:rsidTr="0009752F">
        <w:trPr>
          <w:jc w:val="center"/>
        </w:trPr>
        <w:tc>
          <w:tcPr>
            <w:tcW w:w="2835" w:type="dxa"/>
            <w:tcBorders>
              <w:bottom w:val="single" w:sz="4" w:space="0" w:color="auto"/>
              <w:right w:val="nil"/>
            </w:tcBorders>
          </w:tcPr>
          <w:p w:rsidR="00D73CD7" w:rsidRPr="00A546A2" w:rsidRDefault="00D73CD7" w:rsidP="009C5DB4">
            <w:pPr>
              <w:contextualSpacing/>
              <w:jc w:val="both"/>
              <w:rPr>
                <w:b/>
                <w:lang w:val="pt-BR"/>
              </w:rPr>
            </w:pPr>
            <w:r w:rsidRPr="00A546A2">
              <w:rPr>
                <w:b/>
                <w:lang w:val="pt-BR"/>
              </w:rPr>
              <w:t>Variáveis</w:t>
            </w:r>
          </w:p>
        </w:tc>
        <w:tc>
          <w:tcPr>
            <w:tcW w:w="576" w:type="dxa"/>
            <w:tcBorders>
              <w:left w:val="nil"/>
              <w:bottom w:val="single" w:sz="4" w:space="0" w:color="auto"/>
              <w:right w:val="nil"/>
            </w:tcBorders>
          </w:tcPr>
          <w:p w:rsidR="00D73CD7" w:rsidRPr="00A546A2" w:rsidRDefault="00D73CD7" w:rsidP="009C5DB4">
            <w:pPr>
              <w:contextualSpacing/>
              <w:jc w:val="center"/>
              <w:rPr>
                <w:b/>
                <w:lang w:val="pt-BR"/>
              </w:rPr>
            </w:pPr>
            <w:proofErr w:type="gramStart"/>
            <w:r w:rsidRPr="00A546A2">
              <w:rPr>
                <w:b/>
                <w:lang w:val="pt-BR"/>
              </w:rPr>
              <w:t>n</w:t>
            </w:r>
            <w:proofErr w:type="gramEnd"/>
          </w:p>
        </w:tc>
        <w:tc>
          <w:tcPr>
            <w:tcW w:w="876" w:type="dxa"/>
            <w:tcBorders>
              <w:left w:val="nil"/>
              <w:bottom w:val="single" w:sz="4" w:space="0" w:color="auto"/>
            </w:tcBorders>
          </w:tcPr>
          <w:p w:rsidR="00D73CD7" w:rsidRPr="00A546A2" w:rsidRDefault="00D73CD7" w:rsidP="009C5DB4">
            <w:pPr>
              <w:contextualSpacing/>
              <w:jc w:val="center"/>
              <w:rPr>
                <w:b/>
                <w:lang w:val="pt-BR"/>
              </w:rPr>
            </w:pPr>
            <w:r w:rsidRPr="00A546A2">
              <w:rPr>
                <w:b/>
                <w:lang w:val="pt-BR"/>
              </w:rPr>
              <w:t>%</w:t>
            </w:r>
          </w:p>
        </w:tc>
      </w:tr>
      <w:tr w:rsidR="00D73CD7" w:rsidRPr="00A546A2" w:rsidTr="0009752F">
        <w:trPr>
          <w:jc w:val="center"/>
        </w:trPr>
        <w:tc>
          <w:tcPr>
            <w:tcW w:w="2835" w:type="dxa"/>
            <w:tcBorders>
              <w:bottom w:val="nil"/>
              <w:right w:val="nil"/>
            </w:tcBorders>
          </w:tcPr>
          <w:p w:rsidR="00D73CD7" w:rsidRPr="00A546A2" w:rsidRDefault="00D73CD7" w:rsidP="009C5DB4">
            <w:pPr>
              <w:contextualSpacing/>
              <w:jc w:val="both"/>
              <w:rPr>
                <w:lang w:val="pt-BR"/>
              </w:rPr>
            </w:pPr>
            <w:r w:rsidRPr="00A546A2">
              <w:rPr>
                <w:lang w:val="pt-BR"/>
              </w:rPr>
              <w:t>Gênero</w:t>
            </w:r>
          </w:p>
        </w:tc>
        <w:tc>
          <w:tcPr>
            <w:tcW w:w="576" w:type="dxa"/>
            <w:tcBorders>
              <w:left w:val="nil"/>
              <w:bottom w:val="nil"/>
              <w:right w:val="nil"/>
            </w:tcBorders>
          </w:tcPr>
          <w:p w:rsidR="00D73CD7" w:rsidRPr="00A546A2" w:rsidRDefault="00D73CD7" w:rsidP="009C5DB4">
            <w:pPr>
              <w:contextualSpacing/>
              <w:jc w:val="center"/>
              <w:rPr>
                <w:lang w:val="pt-BR"/>
              </w:rPr>
            </w:pPr>
          </w:p>
        </w:tc>
        <w:tc>
          <w:tcPr>
            <w:tcW w:w="876" w:type="dxa"/>
            <w:tcBorders>
              <w:left w:val="nil"/>
              <w:bottom w:val="nil"/>
            </w:tcBorders>
          </w:tcPr>
          <w:p w:rsidR="00D73CD7" w:rsidRPr="00A546A2" w:rsidRDefault="00D73CD7" w:rsidP="009C5DB4">
            <w:pPr>
              <w:contextualSpacing/>
              <w:jc w:val="center"/>
              <w:rPr>
                <w:lang w:val="pt-BR"/>
              </w:rPr>
            </w:pP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Feminino</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12</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75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Masculino</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4</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25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b/>
                <w:lang w:val="pt-BR"/>
              </w:rPr>
            </w:pPr>
            <w:r w:rsidRPr="00A546A2">
              <w:rPr>
                <w:b/>
                <w:lang w:val="pt-BR"/>
              </w:rPr>
              <w:t>Total</w:t>
            </w:r>
          </w:p>
        </w:tc>
        <w:tc>
          <w:tcPr>
            <w:tcW w:w="576" w:type="dxa"/>
            <w:tcBorders>
              <w:top w:val="nil"/>
              <w:left w:val="nil"/>
              <w:bottom w:val="nil"/>
              <w:right w:val="nil"/>
            </w:tcBorders>
          </w:tcPr>
          <w:p w:rsidR="00D73CD7" w:rsidRPr="00A546A2" w:rsidRDefault="00D73CD7" w:rsidP="009C5DB4">
            <w:pPr>
              <w:contextualSpacing/>
              <w:jc w:val="center"/>
              <w:rPr>
                <w:b/>
                <w:lang w:val="pt-BR"/>
              </w:rPr>
            </w:pPr>
            <w:r w:rsidRPr="00A546A2">
              <w:rPr>
                <w:b/>
                <w:lang w:val="pt-BR"/>
              </w:rPr>
              <w:t>16</w:t>
            </w:r>
          </w:p>
        </w:tc>
        <w:tc>
          <w:tcPr>
            <w:tcW w:w="876" w:type="dxa"/>
            <w:tcBorders>
              <w:top w:val="nil"/>
              <w:left w:val="nil"/>
              <w:bottom w:val="nil"/>
            </w:tcBorders>
          </w:tcPr>
          <w:p w:rsidR="00D73CD7" w:rsidRPr="00A546A2" w:rsidRDefault="00D73CD7" w:rsidP="009C5DB4">
            <w:pPr>
              <w:contextualSpacing/>
              <w:jc w:val="center"/>
              <w:rPr>
                <w:b/>
                <w:lang w:val="pt-BR"/>
              </w:rPr>
            </w:pPr>
            <w:r w:rsidRPr="00A546A2">
              <w:rPr>
                <w:b/>
                <w:lang w:val="pt-BR"/>
              </w:rPr>
              <w:t>100</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Faixa etária</w:t>
            </w:r>
          </w:p>
        </w:tc>
        <w:tc>
          <w:tcPr>
            <w:tcW w:w="576" w:type="dxa"/>
            <w:tcBorders>
              <w:top w:val="nil"/>
              <w:left w:val="nil"/>
              <w:bottom w:val="nil"/>
              <w:right w:val="nil"/>
            </w:tcBorders>
          </w:tcPr>
          <w:p w:rsidR="00D73CD7" w:rsidRPr="00A546A2" w:rsidRDefault="00D73CD7" w:rsidP="009C5DB4">
            <w:pPr>
              <w:contextualSpacing/>
              <w:jc w:val="center"/>
              <w:rPr>
                <w:lang w:val="pt-BR"/>
              </w:rPr>
            </w:pPr>
          </w:p>
        </w:tc>
        <w:tc>
          <w:tcPr>
            <w:tcW w:w="876" w:type="dxa"/>
            <w:tcBorders>
              <w:top w:val="nil"/>
              <w:left w:val="nil"/>
              <w:bottom w:val="nil"/>
            </w:tcBorders>
          </w:tcPr>
          <w:p w:rsidR="00D73CD7" w:rsidRPr="00A546A2" w:rsidRDefault="00D73CD7" w:rsidP="009C5DB4">
            <w:pPr>
              <w:contextualSpacing/>
              <w:jc w:val="center"/>
              <w:rPr>
                <w:lang w:val="pt-BR"/>
              </w:rPr>
            </w:pP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18 – 50</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14</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87,5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&gt;50</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2</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12,5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b/>
                <w:lang w:val="pt-BR"/>
              </w:rPr>
            </w:pPr>
            <w:r w:rsidRPr="00A546A2">
              <w:rPr>
                <w:b/>
                <w:lang w:val="pt-BR"/>
              </w:rPr>
              <w:t>Total</w:t>
            </w:r>
          </w:p>
        </w:tc>
        <w:tc>
          <w:tcPr>
            <w:tcW w:w="576" w:type="dxa"/>
            <w:tcBorders>
              <w:top w:val="nil"/>
              <w:left w:val="nil"/>
              <w:bottom w:val="nil"/>
              <w:right w:val="nil"/>
            </w:tcBorders>
          </w:tcPr>
          <w:p w:rsidR="00D73CD7" w:rsidRPr="00A546A2" w:rsidRDefault="00D73CD7" w:rsidP="009C5DB4">
            <w:pPr>
              <w:contextualSpacing/>
              <w:jc w:val="center"/>
              <w:rPr>
                <w:b/>
                <w:lang w:val="pt-BR"/>
              </w:rPr>
            </w:pPr>
            <w:r w:rsidRPr="00A546A2">
              <w:rPr>
                <w:b/>
                <w:lang w:val="pt-BR"/>
              </w:rPr>
              <w:t>16</w:t>
            </w:r>
          </w:p>
        </w:tc>
        <w:tc>
          <w:tcPr>
            <w:tcW w:w="876" w:type="dxa"/>
            <w:tcBorders>
              <w:top w:val="nil"/>
              <w:left w:val="nil"/>
              <w:bottom w:val="nil"/>
            </w:tcBorders>
          </w:tcPr>
          <w:p w:rsidR="00D73CD7" w:rsidRPr="00A546A2" w:rsidRDefault="00D73CD7" w:rsidP="009C5DB4">
            <w:pPr>
              <w:contextualSpacing/>
              <w:jc w:val="center"/>
              <w:rPr>
                <w:b/>
                <w:lang w:val="pt-BR"/>
              </w:rPr>
            </w:pPr>
            <w:r w:rsidRPr="00A546A2">
              <w:rPr>
                <w:b/>
                <w:lang w:val="pt-BR"/>
              </w:rPr>
              <w:t>100</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Escolaridade</w:t>
            </w:r>
          </w:p>
        </w:tc>
        <w:tc>
          <w:tcPr>
            <w:tcW w:w="576" w:type="dxa"/>
            <w:tcBorders>
              <w:top w:val="nil"/>
              <w:left w:val="nil"/>
              <w:bottom w:val="nil"/>
              <w:right w:val="nil"/>
            </w:tcBorders>
          </w:tcPr>
          <w:p w:rsidR="00D73CD7" w:rsidRPr="00A546A2" w:rsidRDefault="00D73CD7" w:rsidP="009C5DB4">
            <w:pPr>
              <w:contextualSpacing/>
              <w:jc w:val="center"/>
              <w:rPr>
                <w:lang w:val="pt-BR"/>
              </w:rPr>
            </w:pPr>
          </w:p>
        </w:tc>
        <w:tc>
          <w:tcPr>
            <w:tcW w:w="876" w:type="dxa"/>
            <w:tcBorders>
              <w:top w:val="nil"/>
              <w:left w:val="nil"/>
              <w:bottom w:val="nil"/>
            </w:tcBorders>
          </w:tcPr>
          <w:p w:rsidR="00D73CD7" w:rsidRPr="00A546A2" w:rsidRDefault="00D73CD7" w:rsidP="009C5DB4">
            <w:pPr>
              <w:contextualSpacing/>
              <w:jc w:val="center"/>
              <w:rPr>
                <w:lang w:val="pt-BR"/>
              </w:rPr>
            </w:pP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Especialização</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13</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81,3</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Mestrado</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2</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12,5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Graduação</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1</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6,3</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b/>
                <w:lang w:val="pt-BR"/>
              </w:rPr>
            </w:pPr>
            <w:r w:rsidRPr="00A546A2">
              <w:rPr>
                <w:b/>
                <w:lang w:val="pt-BR"/>
              </w:rPr>
              <w:t>Total</w:t>
            </w:r>
          </w:p>
        </w:tc>
        <w:tc>
          <w:tcPr>
            <w:tcW w:w="576" w:type="dxa"/>
            <w:tcBorders>
              <w:top w:val="nil"/>
              <w:left w:val="nil"/>
              <w:bottom w:val="nil"/>
              <w:right w:val="nil"/>
            </w:tcBorders>
          </w:tcPr>
          <w:p w:rsidR="00D73CD7" w:rsidRPr="00A546A2" w:rsidRDefault="00D73CD7" w:rsidP="009C5DB4">
            <w:pPr>
              <w:contextualSpacing/>
              <w:jc w:val="center"/>
              <w:rPr>
                <w:b/>
                <w:lang w:val="pt-BR"/>
              </w:rPr>
            </w:pPr>
            <w:r w:rsidRPr="00A546A2">
              <w:rPr>
                <w:b/>
                <w:lang w:val="pt-BR"/>
              </w:rPr>
              <w:t>16</w:t>
            </w:r>
          </w:p>
        </w:tc>
        <w:tc>
          <w:tcPr>
            <w:tcW w:w="876" w:type="dxa"/>
            <w:tcBorders>
              <w:top w:val="nil"/>
              <w:left w:val="nil"/>
              <w:bottom w:val="nil"/>
            </w:tcBorders>
          </w:tcPr>
          <w:p w:rsidR="00D73CD7" w:rsidRPr="00A546A2" w:rsidRDefault="00D73CD7" w:rsidP="009C5DB4">
            <w:pPr>
              <w:contextualSpacing/>
              <w:jc w:val="center"/>
              <w:rPr>
                <w:b/>
                <w:lang w:val="pt-BR"/>
              </w:rPr>
            </w:pPr>
            <w:r w:rsidRPr="00A546A2">
              <w:rPr>
                <w:b/>
                <w:lang w:val="pt-BR"/>
              </w:rPr>
              <w:t>100</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Tempo exercendo o cargo</w:t>
            </w:r>
          </w:p>
        </w:tc>
        <w:tc>
          <w:tcPr>
            <w:tcW w:w="576" w:type="dxa"/>
            <w:tcBorders>
              <w:top w:val="nil"/>
              <w:left w:val="nil"/>
              <w:bottom w:val="nil"/>
              <w:right w:val="nil"/>
            </w:tcBorders>
          </w:tcPr>
          <w:p w:rsidR="00D73CD7" w:rsidRPr="00A546A2" w:rsidRDefault="00D73CD7" w:rsidP="009C5DB4">
            <w:pPr>
              <w:contextualSpacing/>
              <w:jc w:val="center"/>
              <w:rPr>
                <w:lang w:val="pt-BR"/>
              </w:rPr>
            </w:pPr>
          </w:p>
        </w:tc>
        <w:tc>
          <w:tcPr>
            <w:tcW w:w="876" w:type="dxa"/>
            <w:tcBorders>
              <w:top w:val="nil"/>
              <w:left w:val="nil"/>
              <w:bottom w:val="nil"/>
            </w:tcBorders>
          </w:tcPr>
          <w:p w:rsidR="00D73CD7" w:rsidRPr="00A546A2" w:rsidRDefault="00D73CD7" w:rsidP="009C5DB4">
            <w:pPr>
              <w:contextualSpacing/>
              <w:jc w:val="center"/>
              <w:rPr>
                <w:lang w:val="pt-BR"/>
              </w:rPr>
            </w:pP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0 – 20</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13</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81,25</w:t>
            </w:r>
          </w:p>
        </w:tc>
      </w:tr>
      <w:tr w:rsidR="00D73CD7" w:rsidRPr="00A546A2" w:rsidTr="0009752F">
        <w:trPr>
          <w:jc w:val="center"/>
        </w:trPr>
        <w:tc>
          <w:tcPr>
            <w:tcW w:w="2835" w:type="dxa"/>
            <w:tcBorders>
              <w:top w:val="nil"/>
              <w:bottom w:val="nil"/>
              <w:right w:val="nil"/>
            </w:tcBorders>
          </w:tcPr>
          <w:p w:rsidR="00D73CD7" w:rsidRPr="00A546A2" w:rsidRDefault="00D73CD7" w:rsidP="009C5DB4">
            <w:pPr>
              <w:contextualSpacing/>
              <w:jc w:val="both"/>
              <w:rPr>
                <w:lang w:val="pt-BR"/>
              </w:rPr>
            </w:pPr>
            <w:r w:rsidRPr="00A546A2">
              <w:rPr>
                <w:lang w:val="pt-BR"/>
              </w:rPr>
              <w:t>&gt;20</w:t>
            </w:r>
          </w:p>
        </w:tc>
        <w:tc>
          <w:tcPr>
            <w:tcW w:w="576" w:type="dxa"/>
            <w:tcBorders>
              <w:top w:val="nil"/>
              <w:left w:val="nil"/>
              <w:bottom w:val="nil"/>
              <w:right w:val="nil"/>
            </w:tcBorders>
          </w:tcPr>
          <w:p w:rsidR="00D73CD7" w:rsidRPr="00A546A2" w:rsidRDefault="00D73CD7" w:rsidP="009C5DB4">
            <w:pPr>
              <w:contextualSpacing/>
              <w:jc w:val="center"/>
              <w:rPr>
                <w:lang w:val="pt-BR"/>
              </w:rPr>
            </w:pPr>
            <w:r w:rsidRPr="00A546A2">
              <w:rPr>
                <w:lang w:val="pt-BR"/>
              </w:rPr>
              <w:t>3</w:t>
            </w:r>
          </w:p>
        </w:tc>
        <w:tc>
          <w:tcPr>
            <w:tcW w:w="876" w:type="dxa"/>
            <w:tcBorders>
              <w:top w:val="nil"/>
              <w:left w:val="nil"/>
              <w:bottom w:val="nil"/>
            </w:tcBorders>
          </w:tcPr>
          <w:p w:rsidR="00D73CD7" w:rsidRPr="00A546A2" w:rsidRDefault="00D73CD7" w:rsidP="009C5DB4">
            <w:pPr>
              <w:contextualSpacing/>
              <w:jc w:val="center"/>
              <w:rPr>
                <w:lang w:val="pt-BR"/>
              </w:rPr>
            </w:pPr>
            <w:r w:rsidRPr="00A546A2">
              <w:rPr>
                <w:lang w:val="pt-BR"/>
              </w:rPr>
              <w:t>18,75</w:t>
            </w:r>
          </w:p>
        </w:tc>
      </w:tr>
      <w:tr w:rsidR="00D73CD7" w:rsidRPr="00A546A2" w:rsidTr="0009752F">
        <w:trPr>
          <w:jc w:val="center"/>
        </w:trPr>
        <w:tc>
          <w:tcPr>
            <w:tcW w:w="2835" w:type="dxa"/>
            <w:tcBorders>
              <w:top w:val="nil"/>
              <w:right w:val="nil"/>
            </w:tcBorders>
          </w:tcPr>
          <w:p w:rsidR="00D73CD7" w:rsidRPr="00A546A2" w:rsidRDefault="00D73CD7" w:rsidP="009C5DB4">
            <w:pPr>
              <w:contextualSpacing/>
              <w:jc w:val="both"/>
              <w:rPr>
                <w:b/>
                <w:lang w:val="pt-BR"/>
              </w:rPr>
            </w:pPr>
            <w:r w:rsidRPr="00A546A2">
              <w:rPr>
                <w:b/>
                <w:lang w:val="pt-BR"/>
              </w:rPr>
              <w:t>Total</w:t>
            </w:r>
          </w:p>
        </w:tc>
        <w:tc>
          <w:tcPr>
            <w:tcW w:w="576" w:type="dxa"/>
            <w:tcBorders>
              <w:top w:val="nil"/>
              <w:left w:val="nil"/>
              <w:right w:val="nil"/>
            </w:tcBorders>
          </w:tcPr>
          <w:p w:rsidR="00D73CD7" w:rsidRPr="00A546A2" w:rsidRDefault="00D73CD7" w:rsidP="009C5DB4">
            <w:pPr>
              <w:contextualSpacing/>
              <w:jc w:val="center"/>
              <w:rPr>
                <w:b/>
                <w:lang w:val="pt-BR"/>
              </w:rPr>
            </w:pPr>
            <w:r w:rsidRPr="00A546A2">
              <w:rPr>
                <w:b/>
                <w:lang w:val="pt-BR"/>
              </w:rPr>
              <w:t>16</w:t>
            </w:r>
          </w:p>
        </w:tc>
        <w:tc>
          <w:tcPr>
            <w:tcW w:w="876" w:type="dxa"/>
            <w:tcBorders>
              <w:top w:val="nil"/>
              <w:left w:val="nil"/>
            </w:tcBorders>
          </w:tcPr>
          <w:p w:rsidR="00D73CD7" w:rsidRPr="00A546A2" w:rsidRDefault="00D73CD7" w:rsidP="009C5DB4">
            <w:pPr>
              <w:keepNext/>
              <w:contextualSpacing/>
              <w:jc w:val="center"/>
              <w:rPr>
                <w:b/>
                <w:lang w:val="pt-BR"/>
              </w:rPr>
            </w:pPr>
            <w:r w:rsidRPr="00A546A2">
              <w:rPr>
                <w:b/>
                <w:lang w:val="pt-BR"/>
              </w:rPr>
              <w:t>100</w:t>
            </w:r>
          </w:p>
        </w:tc>
      </w:tr>
    </w:tbl>
    <w:p w:rsidR="00D73CD7" w:rsidRPr="00A546A2" w:rsidRDefault="00D73CD7" w:rsidP="009C5DB4">
      <w:pPr>
        <w:pStyle w:val="Legenda"/>
        <w:ind w:left="2410"/>
        <w:rPr>
          <w:b w:val="0"/>
          <w:color w:val="auto"/>
          <w:sz w:val="20"/>
          <w:szCs w:val="20"/>
          <w:lang w:val="pt-BR"/>
        </w:rPr>
      </w:pPr>
      <w:proofErr w:type="spellStart"/>
      <w:r w:rsidRPr="00A546A2">
        <w:rPr>
          <w:b w:val="0"/>
          <w:color w:val="auto"/>
          <w:sz w:val="20"/>
          <w:szCs w:val="20"/>
        </w:rPr>
        <w:t>Fonte</w:t>
      </w:r>
      <w:proofErr w:type="spellEnd"/>
      <w:r w:rsidRPr="00A546A2">
        <w:rPr>
          <w:b w:val="0"/>
          <w:color w:val="auto"/>
          <w:sz w:val="20"/>
          <w:szCs w:val="20"/>
        </w:rPr>
        <w:t>. Dados da pesquisa</w:t>
      </w:r>
    </w:p>
    <w:p w:rsidR="003D52F4" w:rsidRDefault="00D73CD7" w:rsidP="009C5DB4">
      <w:pPr>
        <w:ind w:firstLine="709"/>
        <w:jc w:val="both"/>
        <w:rPr>
          <w:sz w:val="24"/>
          <w:szCs w:val="24"/>
        </w:rPr>
      </w:pPr>
      <w:r w:rsidRPr="00157FE8">
        <w:rPr>
          <w:sz w:val="24"/>
          <w:szCs w:val="24"/>
        </w:rPr>
        <w:t>Em relação ao módulo seguinte do estudo, objetivou-se identificar como o contador percebe as mudanças que se processaram na contabilidade pública, conforme descrito na Tabela 3.</w:t>
      </w:r>
    </w:p>
    <w:p w:rsidR="003D52F4" w:rsidRDefault="00D73CD7" w:rsidP="009C5DB4">
      <w:pPr>
        <w:ind w:firstLine="709"/>
        <w:jc w:val="both"/>
        <w:rPr>
          <w:sz w:val="24"/>
          <w:szCs w:val="24"/>
        </w:rPr>
      </w:pPr>
      <w:r w:rsidRPr="00157FE8">
        <w:rPr>
          <w:sz w:val="24"/>
          <w:szCs w:val="24"/>
        </w:rPr>
        <w:t xml:space="preserve">Verificou-se que, </w:t>
      </w:r>
      <w:r w:rsidR="00A43E44" w:rsidRPr="00157FE8">
        <w:rPr>
          <w:sz w:val="24"/>
          <w:szCs w:val="24"/>
        </w:rPr>
        <w:t xml:space="preserve">62,5% </w:t>
      </w:r>
      <w:r w:rsidR="00A43E44">
        <w:rPr>
          <w:sz w:val="24"/>
          <w:szCs w:val="24"/>
        </w:rPr>
        <w:t>d</w:t>
      </w:r>
      <w:r w:rsidRPr="00157FE8">
        <w:rPr>
          <w:sz w:val="24"/>
          <w:szCs w:val="24"/>
        </w:rPr>
        <w:t>iscordam da assertiva que o sistema/programa de contabilidade utilizado atende às mudanças da contabilidade pública</w:t>
      </w:r>
      <w:r w:rsidR="00A43E44">
        <w:rPr>
          <w:sz w:val="24"/>
          <w:szCs w:val="24"/>
        </w:rPr>
        <w:t>.</w:t>
      </w:r>
    </w:p>
    <w:p w:rsidR="003D52F4" w:rsidRDefault="00D73CD7" w:rsidP="009C5DB4">
      <w:pPr>
        <w:ind w:firstLine="709"/>
        <w:jc w:val="both"/>
        <w:rPr>
          <w:sz w:val="24"/>
          <w:szCs w:val="24"/>
        </w:rPr>
      </w:pPr>
      <w:r w:rsidRPr="00157FE8">
        <w:rPr>
          <w:sz w:val="24"/>
          <w:szCs w:val="24"/>
        </w:rPr>
        <w:t>Em relação ao posicionamento sobre o conhecimento das novas normas aplicadas ao setor público, 07 contadores concordam com o posicionamento apresentado na questão. Sobre o processo de mudança da contabilidade pública, aproximadamente 44% dos questionados concordaram que dificultou/dificultará o tr</w:t>
      </w:r>
      <w:r w:rsidR="003D52F4">
        <w:rPr>
          <w:sz w:val="24"/>
          <w:szCs w:val="24"/>
        </w:rPr>
        <w:t>abalho do contador.</w:t>
      </w:r>
    </w:p>
    <w:p w:rsidR="003D52F4" w:rsidRDefault="00A43E44" w:rsidP="009C5DB4">
      <w:pPr>
        <w:ind w:firstLine="709"/>
        <w:jc w:val="both"/>
        <w:rPr>
          <w:sz w:val="24"/>
          <w:szCs w:val="24"/>
        </w:rPr>
      </w:pPr>
      <w:r>
        <w:rPr>
          <w:sz w:val="24"/>
          <w:szCs w:val="24"/>
        </w:rPr>
        <w:lastRenderedPageBreak/>
        <w:t xml:space="preserve">Sobre a valorização do profissional, </w:t>
      </w:r>
      <w:r w:rsidRPr="00157FE8">
        <w:rPr>
          <w:sz w:val="24"/>
          <w:szCs w:val="24"/>
        </w:rPr>
        <w:t>44%</w:t>
      </w:r>
      <w:r w:rsidR="00D73CD7" w:rsidRPr="00157FE8">
        <w:rPr>
          <w:sz w:val="24"/>
          <w:szCs w:val="24"/>
        </w:rPr>
        <w:t xml:space="preserve"> concordaram com a afirmação </w:t>
      </w:r>
      <w:r>
        <w:rPr>
          <w:sz w:val="24"/>
          <w:szCs w:val="24"/>
        </w:rPr>
        <w:t xml:space="preserve">de </w:t>
      </w:r>
      <w:r w:rsidR="00D73CD7" w:rsidRPr="00157FE8">
        <w:rPr>
          <w:sz w:val="24"/>
          <w:szCs w:val="24"/>
        </w:rPr>
        <w:t xml:space="preserve">que </w:t>
      </w:r>
      <w:r>
        <w:rPr>
          <w:sz w:val="24"/>
          <w:szCs w:val="24"/>
        </w:rPr>
        <w:t>o</w:t>
      </w:r>
      <w:r w:rsidR="00D73CD7" w:rsidRPr="00157FE8">
        <w:rPr>
          <w:sz w:val="24"/>
          <w:szCs w:val="24"/>
        </w:rPr>
        <w:t xml:space="preserve"> processo valorizará </w:t>
      </w:r>
      <w:r w:rsidR="003D52F4">
        <w:rPr>
          <w:sz w:val="24"/>
          <w:szCs w:val="24"/>
        </w:rPr>
        <w:t>o profissional da contabilidade</w:t>
      </w:r>
    </w:p>
    <w:p w:rsidR="00D73CD7" w:rsidRPr="00157FE8" w:rsidRDefault="004C034C" w:rsidP="009C5DB4">
      <w:pPr>
        <w:ind w:firstLine="709"/>
        <w:jc w:val="both"/>
        <w:rPr>
          <w:sz w:val="24"/>
          <w:szCs w:val="24"/>
        </w:rPr>
      </w:pPr>
      <w:r w:rsidRPr="00157FE8">
        <w:rPr>
          <w:sz w:val="24"/>
          <w:szCs w:val="24"/>
        </w:rPr>
        <w:t>Sobre</w:t>
      </w:r>
      <w:r w:rsidR="00D73CD7" w:rsidRPr="00157FE8">
        <w:rPr>
          <w:sz w:val="24"/>
          <w:szCs w:val="24"/>
        </w:rPr>
        <w:t xml:space="preserve"> a afirmação de que as mudanças trouxeram mais responsabilidade ao profissional, 75% dos respondentes</w:t>
      </w:r>
      <w:r w:rsidR="00A43E44">
        <w:rPr>
          <w:sz w:val="24"/>
          <w:szCs w:val="24"/>
        </w:rPr>
        <w:t xml:space="preserve"> concordaram.</w:t>
      </w:r>
    </w:p>
    <w:p w:rsidR="00D73CD7" w:rsidRDefault="00D73CD7" w:rsidP="009C5DB4">
      <w:pPr>
        <w:ind w:firstLine="709"/>
        <w:jc w:val="both"/>
        <w:rPr>
          <w:rFonts w:ascii="Calibri" w:hAnsi="Calibri" w:cs="Calibri"/>
          <w:sz w:val="22"/>
          <w:szCs w:val="22"/>
        </w:rPr>
      </w:pPr>
    </w:p>
    <w:p w:rsidR="00D73CD7" w:rsidRDefault="00D73CD7" w:rsidP="009C5DB4">
      <w:pPr>
        <w:pStyle w:val="Legenda"/>
        <w:keepNext/>
        <w:spacing w:after="0"/>
        <w:jc w:val="both"/>
        <w:rPr>
          <w:b w:val="0"/>
          <w:color w:val="auto"/>
          <w:sz w:val="20"/>
          <w:szCs w:val="20"/>
          <w:lang w:val="pt-BR"/>
        </w:rPr>
      </w:pPr>
      <w:r w:rsidRPr="00A546A2">
        <w:rPr>
          <w:b w:val="0"/>
          <w:color w:val="auto"/>
          <w:sz w:val="20"/>
          <w:szCs w:val="20"/>
          <w:lang w:val="pt-BR"/>
        </w:rPr>
        <w:t xml:space="preserve">Tabela </w:t>
      </w:r>
      <w:r w:rsidRPr="00A546A2">
        <w:rPr>
          <w:b w:val="0"/>
          <w:color w:val="auto"/>
          <w:sz w:val="20"/>
          <w:szCs w:val="20"/>
        </w:rPr>
        <w:fldChar w:fldCharType="begin"/>
      </w:r>
      <w:r w:rsidRPr="00A546A2">
        <w:rPr>
          <w:b w:val="0"/>
          <w:color w:val="auto"/>
          <w:sz w:val="20"/>
          <w:szCs w:val="20"/>
          <w:lang w:val="pt-BR"/>
        </w:rPr>
        <w:instrText xml:space="preserve"> SEQ Tabela \* ARABIC </w:instrText>
      </w:r>
      <w:r w:rsidRPr="00A546A2">
        <w:rPr>
          <w:b w:val="0"/>
          <w:color w:val="auto"/>
          <w:sz w:val="20"/>
          <w:szCs w:val="20"/>
        </w:rPr>
        <w:fldChar w:fldCharType="separate"/>
      </w:r>
      <w:r w:rsidR="00FF648D">
        <w:rPr>
          <w:b w:val="0"/>
          <w:noProof/>
          <w:color w:val="auto"/>
          <w:sz w:val="20"/>
          <w:szCs w:val="20"/>
          <w:lang w:val="pt-BR"/>
        </w:rPr>
        <w:t>3</w:t>
      </w:r>
      <w:r w:rsidRPr="00A546A2">
        <w:rPr>
          <w:b w:val="0"/>
          <w:color w:val="auto"/>
          <w:sz w:val="20"/>
          <w:szCs w:val="20"/>
        </w:rPr>
        <w:fldChar w:fldCharType="end"/>
      </w:r>
      <w:r>
        <w:rPr>
          <w:b w:val="0"/>
          <w:color w:val="auto"/>
          <w:sz w:val="20"/>
          <w:szCs w:val="20"/>
          <w:lang w:val="pt-BR"/>
        </w:rPr>
        <w:t>.</w:t>
      </w:r>
    </w:p>
    <w:p w:rsidR="00D73CD7" w:rsidRPr="00A546A2" w:rsidRDefault="00D73CD7" w:rsidP="009C5DB4">
      <w:pPr>
        <w:pStyle w:val="Legenda"/>
        <w:keepNext/>
        <w:jc w:val="both"/>
        <w:rPr>
          <w:b w:val="0"/>
          <w:color w:val="auto"/>
          <w:sz w:val="20"/>
          <w:szCs w:val="20"/>
          <w:lang w:val="pt-BR"/>
        </w:rPr>
      </w:pPr>
      <w:r w:rsidRPr="00A546A2">
        <w:rPr>
          <w:b w:val="0"/>
          <w:color w:val="auto"/>
          <w:sz w:val="20"/>
          <w:szCs w:val="20"/>
          <w:lang w:val="pt-BR"/>
        </w:rPr>
        <w:t>Percepção do contador às mudanças na Contabilidade Pública</w:t>
      </w:r>
    </w:p>
    <w:tbl>
      <w:tblPr>
        <w:tblStyle w:val="Tabelacomgrade"/>
        <w:tblW w:w="8825" w:type="dxa"/>
        <w:tblLook w:val="04A0" w:firstRow="1" w:lastRow="0" w:firstColumn="1" w:lastColumn="0" w:noHBand="0" w:noVBand="1"/>
      </w:tblPr>
      <w:tblGrid>
        <w:gridCol w:w="2660"/>
        <w:gridCol w:w="1168"/>
        <w:gridCol w:w="992"/>
        <w:gridCol w:w="1134"/>
        <w:gridCol w:w="1005"/>
        <w:gridCol w:w="1127"/>
        <w:gridCol w:w="739"/>
      </w:tblGrid>
      <w:tr w:rsidR="00D73CD7" w:rsidRPr="00157FE8" w:rsidTr="009C5DB4">
        <w:tc>
          <w:tcPr>
            <w:tcW w:w="2660"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Assertiva</w:t>
            </w:r>
          </w:p>
        </w:tc>
        <w:tc>
          <w:tcPr>
            <w:tcW w:w="1168" w:type="dxa"/>
            <w:tcBorders>
              <w:left w:val="nil"/>
              <w:bottom w:val="single" w:sz="4" w:space="0" w:color="auto"/>
              <w:right w:val="nil"/>
            </w:tcBorders>
            <w:vAlign w:val="center"/>
          </w:tcPr>
          <w:p w:rsidR="00D73CD7" w:rsidRPr="00157FE8" w:rsidRDefault="00D73CD7" w:rsidP="009C5DB4">
            <w:pPr>
              <w:contextualSpacing/>
              <w:jc w:val="center"/>
            </w:pPr>
            <w:proofErr w:type="spellStart"/>
            <w:r w:rsidRPr="00157FE8">
              <w:t>Discordo</w:t>
            </w:r>
            <w:proofErr w:type="spellEnd"/>
          </w:p>
          <w:p w:rsidR="00D73CD7" w:rsidRPr="00157FE8" w:rsidRDefault="00D73CD7" w:rsidP="009C5DB4">
            <w:pPr>
              <w:contextualSpacing/>
              <w:jc w:val="center"/>
            </w:pPr>
            <w:proofErr w:type="spellStart"/>
            <w:r w:rsidRPr="00157FE8">
              <w:t>Totalmente</w:t>
            </w:r>
            <w:proofErr w:type="spellEnd"/>
          </w:p>
        </w:tc>
        <w:tc>
          <w:tcPr>
            <w:tcW w:w="992" w:type="dxa"/>
            <w:tcBorders>
              <w:left w:val="nil"/>
              <w:bottom w:val="single" w:sz="4" w:space="0" w:color="auto"/>
              <w:right w:val="nil"/>
            </w:tcBorders>
            <w:vAlign w:val="center"/>
          </w:tcPr>
          <w:p w:rsidR="00D73CD7" w:rsidRPr="00157FE8" w:rsidRDefault="00D73CD7" w:rsidP="009C5DB4">
            <w:pPr>
              <w:contextualSpacing/>
              <w:jc w:val="center"/>
            </w:pPr>
            <w:proofErr w:type="spellStart"/>
            <w:r w:rsidRPr="00157FE8">
              <w:t>Discordo</w:t>
            </w:r>
            <w:proofErr w:type="spellEnd"/>
          </w:p>
        </w:tc>
        <w:tc>
          <w:tcPr>
            <w:tcW w:w="1134" w:type="dxa"/>
            <w:tcBorders>
              <w:left w:val="nil"/>
              <w:bottom w:val="single" w:sz="4" w:space="0" w:color="auto"/>
              <w:right w:val="nil"/>
            </w:tcBorders>
            <w:vAlign w:val="center"/>
          </w:tcPr>
          <w:p w:rsidR="00D73CD7" w:rsidRPr="00157FE8" w:rsidRDefault="00D73CD7" w:rsidP="009C5DB4">
            <w:pPr>
              <w:contextualSpacing/>
              <w:jc w:val="center"/>
            </w:pPr>
            <w:proofErr w:type="spellStart"/>
            <w:r w:rsidRPr="00157FE8">
              <w:t>Indiferente</w:t>
            </w:r>
            <w:proofErr w:type="spellEnd"/>
          </w:p>
        </w:tc>
        <w:tc>
          <w:tcPr>
            <w:tcW w:w="1005" w:type="dxa"/>
            <w:tcBorders>
              <w:left w:val="nil"/>
              <w:bottom w:val="single" w:sz="4" w:space="0" w:color="auto"/>
              <w:right w:val="nil"/>
            </w:tcBorders>
            <w:vAlign w:val="center"/>
          </w:tcPr>
          <w:p w:rsidR="00D73CD7" w:rsidRPr="00157FE8" w:rsidRDefault="00D73CD7" w:rsidP="009C5DB4">
            <w:pPr>
              <w:contextualSpacing/>
              <w:jc w:val="center"/>
            </w:pPr>
            <w:proofErr w:type="spellStart"/>
            <w:r w:rsidRPr="00157FE8">
              <w:t>Concordo</w:t>
            </w:r>
            <w:proofErr w:type="spellEnd"/>
          </w:p>
        </w:tc>
        <w:tc>
          <w:tcPr>
            <w:tcW w:w="1127" w:type="dxa"/>
            <w:tcBorders>
              <w:left w:val="nil"/>
              <w:bottom w:val="single" w:sz="4" w:space="0" w:color="auto"/>
              <w:right w:val="nil"/>
            </w:tcBorders>
            <w:vAlign w:val="center"/>
          </w:tcPr>
          <w:p w:rsidR="00D73CD7" w:rsidRPr="00157FE8" w:rsidRDefault="00D73CD7" w:rsidP="009C5DB4">
            <w:pPr>
              <w:contextualSpacing/>
              <w:jc w:val="center"/>
            </w:pPr>
            <w:proofErr w:type="spellStart"/>
            <w:r w:rsidRPr="00157FE8">
              <w:t>Concordo</w:t>
            </w:r>
            <w:proofErr w:type="spellEnd"/>
          </w:p>
          <w:p w:rsidR="00D73CD7" w:rsidRPr="00157FE8" w:rsidRDefault="00D73CD7" w:rsidP="009C5DB4">
            <w:pPr>
              <w:contextualSpacing/>
              <w:jc w:val="center"/>
            </w:pPr>
            <w:proofErr w:type="spellStart"/>
            <w:r w:rsidRPr="00157FE8">
              <w:t>Totalmente</w:t>
            </w:r>
            <w:proofErr w:type="spellEnd"/>
          </w:p>
        </w:tc>
        <w:tc>
          <w:tcPr>
            <w:tcW w:w="739" w:type="dxa"/>
            <w:tcBorders>
              <w:left w:val="nil"/>
              <w:bottom w:val="single" w:sz="4" w:space="0" w:color="auto"/>
              <w:right w:val="nil"/>
            </w:tcBorders>
            <w:vAlign w:val="center"/>
          </w:tcPr>
          <w:p w:rsidR="00D73CD7" w:rsidRPr="00157FE8" w:rsidRDefault="00D73CD7" w:rsidP="009C5DB4">
            <w:pPr>
              <w:contextualSpacing/>
              <w:jc w:val="center"/>
            </w:pPr>
            <w:r w:rsidRPr="00157FE8">
              <w:t>Total</w:t>
            </w:r>
          </w:p>
        </w:tc>
      </w:tr>
      <w:tr w:rsidR="00D73CD7" w:rsidRPr="00157FE8" w:rsidTr="009C5DB4">
        <w:tc>
          <w:tcPr>
            <w:tcW w:w="2660" w:type="dxa"/>
            <w:tcBorders>
              <w:left w:val="nil"/>
              <w:bottom w:val="single" w:sz="4" w:space="0" w:color="auto"/>
              <w:right w:val="nil"/>
            </w:tcBorders>
          </w:tcPr>
          <w:p w:rsidR="00D73CD7" w:rsidRPr="00157FE8" w:rsidRDefault="00D73CD7" w:rsidP="009C5DB4">
            <w:pPr>
              <w:contextualSpacing/>
              <w:jc w:val="both"/>
              <w:rPr>
                <w:lang w:val="pt-BR"/>
              </w:rPr>
            </w:pPr>
            <w:r w:rsidRPr="00157FE8">
              <w:rPr>
                <w:lang w:val="pt-BR"/>
              </w:rPr>
              <w:t>5. O sistema/programa de contabilidade utilizado atende às atuais mudanças da contabilidade pública.</w:t>
            </w:r>
          </w:p>
        </w:tc>
        <w:tc>
          <w:tcPr>
            <w:tcW w:w="1168"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992"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10</w:t>
            </w:r>
          </w:p>
        </w:tc>
        <w:tc>
          <w:tcPr>
            <w:tcW w:w="1134"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5</w:t>
            </w:r>
          </w:p>
        </w:tc>
        <w:tc>
          <w:tcPr>
            <w:tcW w:w="1005"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w:t>
            </w:r>
          </w:p>
        </w:tc>
        <w:tc>
          <w:tcPr>
            <w:tcW w:w="1127"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739" w:type="dxa"/>
            <w:tcBorders>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16</w:t>
            </w:r>
          </w:p>
        </w:tc>
      </w:tr>
      <w:tr w:rsidR="00D73CD7" w:rsidRPr="00157FE8" w:rsidTr="009C5DB4">
        <w:tc>
          <w:tcPr>
            <w:tcW w:w="2660" w:type="dxa"/>
            <w:tcBorders>
              <w:top w:val="single" w:sz="4" w:space="0" w:color="auto"/>
              <w:left w:val="nil"/>
              <w:bottom w:val="single" w:sz="4" w:space="0" w:color="auto"/>
              <w:right w:val="nil"/>
            </w:tcBorders>
          </w:tcPr>
          <w:p w:rsidR="00D73CD7" w:rsidRPr="00157FE8" w:rsidRDefault="00D73CD7" w:rsidP="009C5DB4">
            <w:pPr>
              <w:contextualSpacing/>
              <w:jc w:val="both"/>
              <w:rPr>
                <w:lang w:val="pt-BR"/>
              </w:rPr>
            </w:pPr>
            <w:r w:rsidRPr="00157FE8">
              <w:rPr>
                <w:lang w:val="pt-BR"/>
              </w:rPr>
              <w:t>6. Tenho amplo conhecimento</w:t>
            </w:r>
          </w:p>
          <w:p w:rsidR="00D73CD7" w:rsidRPr="00157FE8" w:rsidRDefault="00D73CD7" w:rsidP="009C5DB4">
            <w:pPr>
              <w:contextualSpacing/>
              <w:jc w:val="both"/>
              <w:rPr>
                <w:lang w:val="pt-BR"/>
              </w:rPr>
            </w:pPr>
            <w:proofErr w:type="gramStart"/>
            <w:r w:rsidRPr="00157FE8">
              <w:rPr>
                <w:lang w:val="pt-BR"/>
              </w:rPr>
              <w:t>das</w:t>
            </w:r>
            <w:proofErr w:type="gramEnd"/>
            <w:r w:rsidRPr="00157FE8">
              <w:rPr>
                <w:lang w:val="pt-BR"/>
              </w:rPr>
              <w:t xml:space="preserve"> novas normas aplicadas ao setor público.</w:t>
            </w:r>
          </w:p>
        </w:tc>
        <w:tc>
          <w:tcPr>
            <w:tcW w:w="1168"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992"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4</w:t>
            </w:r>
          </w:p>
        </w:tc>
        <w:tc>
          <w:tcPr>
            <w:tcW w:w="1134"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5</w:t>
            </w:r>
          </w:p>
        </w:tc>
        <w:tc>
          <w:tcPr>
            <w:tcW w:w="1005"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7</w:t>
            </w:r>
          </w:p>
        </w:tc>
        <w:tc>
          <w:tcPr>
            <w:tcW w:w="1127"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739"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16</w:t>
            </w:r>
          </w:p>
        </w:tc>
      </w:tr>
      <w:tr w:rsidR="00D73CD7" w:rsidRPr="00157FE8" w:rsidTr="009C5DB4">
        <w:tc>
          <w:tcPr>
            <w:tcW w:w="2660" w:type="dxa"/>
            <w:tcBorders>
              <w:top w:val="single" w:sz="4" w:space="0" w:color="auto"/>
              <w:left w:val="nil"/>
              <w:bottom w:val="single" w:sz="4" w:space="0" w:color="auto"/>
              <w:right w:val="nil"/>
            </w:tcBorders>
          </w:tcPr>
          <w:p w:rsidR="00D73CD7" w:rsidRPr="00157FE8" w:rsidRDefault="00D73CD7" w:rsidP="009C5DB4">
            <w:pPr>
              <w:contextualSpacing/>
              <w:jc w:val="both"/>
              <w:rPr>
                <w:lang w:val="pt-BR"/>
              </w:rPr>
            </w:pPr>
            <w:r w:rsidRPr="00157FE8">
              <w:rPr>
                <w:lang w:val="pt-BR"/>
              </w:rPr>
              <w:t>7. O processo de mudança da contabilidade pública dificultou/dificultará o trabalho do contador.</w:t>
            </w:r>
          </w:p>
        </w:tc>
        <w:tc>
          <w:tcPr>
            <w:tcW w:w="1168"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w:t>
            </w:r>
          </w:p>
        </w:tc>
        <w:tc>
          <w:tcPr>
            <w:tcW w:w="992"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5</w:t>
            </w:r>
          </w:p>
        </w:tc>
        <w:tc>
          <w:tcPr>
            <w:tcW w:w="1134"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w:t>
            </w:r>
          </w:p>
        </w:tc>
        <w:tc>
          <w:tcPr>
            <w:tcW w:w="1005"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7</w:t>
            </w:r>
          </w:p>
        </w:tc>
        <w:tc>
          <w:tcPr>
            <w:tcW w:w="1127"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2</w:t>
            </w:r>
          </w:p>
        </w:tc>
        <w:tc>
          <w:tcPr>
            <w:tcW w:w="739"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16</w:t>
            </w:r>
          </w:p>
        </w:tc>
      </w:tr>
      <w:tr w:rsidR="00D73CD7" w:rsidRPr="00157FE8" w:rsidTr="009C5DB4">
        <w:tc>
          <w:tcPr>
            <w:tcW w:w="2660" w:type="dxa"/>
            <w:tcBorders>
              <w:top w:val="single" w:sz="4" w:space="0" w:color="auto"/>
              <w:left w:val="nil"/>
              <w:bottom w:val="single" w:sz="4" w:space="0" w:color="auto"/>
              <w:right w:val="nil"/>
            </w:tcBorders>
          </w:tcPr>
          <w:p w:rsidR="00D73CD7" w:rsidRPr="00157FE8" w:rsidRDefault="00D73CD7" w:rsidP="009C5DB4">
            <w:pPr>
              <w:contextualSpacing/>
              <w:jc w:val="both"/>
              <w:rPr>
                <w:lang w:val="pt-BR"/>
              </w:rPr>
            </w:pPr>
            <w:r w:rsidRPr="00157FE8">
              <w:rPr>
                <w:lang w:val="pt-BR"/>
              </w:rPr>
              <w:t>8. O processo de mudança valorizará o profissional da contabilidade pública.</w:t>
            </w:r>
          </w:p>
        </w:tc>
        <w:tc>
          <w:tcPr>
            <w:tcW w:w="1168"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w:t>
            </w:r>
          </w:p>
        </w:tc>
        <w:tc>
          <w:tcPr>
            <w:tcW w:w="992"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1134"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3</w:t>
            </w:r>
          </w:p>
        </w:tc>
        <w:tc>
          <w:tcPr>
            <w:tcW w:w="1005"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7</w:t>
            </w:r>
          </w:p>
        </w:tc>
        <w:tc>
          <w:tcPr>
            <w:tcW w:w="1127"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5</w:t>
            </w:r>
          </w:p>
        </w:tc>
        <w:tc>
          <w:tcPr>
            <w:tcW w:w="739"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16</w:t>
            </w:r>
          </w:p>
        </w:tc>
      </w:tr>
      <w:tr w:rsidR="00D73CD7" w:rsidRPr="00157FE8" w:rsidTr="009C5DB4">
        <w:tc>
          <w:tcPr>
            <w:tcW w:w="2660" w:type="dxa"/>
            <w:tcBorders>
              <w:top w:val="single" w:sz="4" w:space="0" w:color="auto"/>
              <w:left w:val="nil"/>
              <w:bottom w:val="single" w:sz="4" w:space="0" w:color="auto"/>
              <w:right w:val="nil"/>
            </w:tcBorders>
          </w:tcPr>
          <w:p w:rsidR="00D73CD7" w:rsidRPr="00157FE8" w:rsidRDefault="00D73CD7" w:rsidP="009C5DB4">
            <w:pPr>
              <w:contextualSpacing/>
              <w:jc w:val="both"/>
              <w:rPr>
                <w:lang w:val="pt-BR"/>
              </w:rPr>
            </w:pPr>
            <w:r w:rsidRPr="00157FE8">
              <w:rPr>
                <w:lang w:val="pt-BR"/>
              </w:rPr>
              <w:t>9. As mudanças trouxeram mais responsabilidades para o contador público.</w:t>
            </w:r>
          </w:p>
        </w:tc>
        <w:tc>
          <w:tcPr>
            <w:tcW w:w="1168"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992"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1134"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0</w:t>
            </w:r>
          </w:p>
        </w:tc>
        <w:tc>
          <w:tcPr>
            <w:tcW w:w="1005"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4</w:t>
            </w:r>
          </w:p>
        </w:tc>
        <w:tc>
          <w:tcPr>
            <w:tcW w:w="1127"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12</w:t>
            </w:r>
          </w:p>
        </w:tc>
        <w:tc>
          <w:tcPr>
            <w:tcW w:w="739" w:type="dxa"/>
            <w:tcBorders>
              <w:top w:val="single" w:sz="4" w:space="0" w:color="auto"/>
              <w:left w:val="nil"/>
              <w:bottom w:val="single" w:sz="4" w:space="0" w:color="auto"/>
              <w:right w:val="nil"/>
            </w:tcBorders>
            <w:vAlign w:val="center"/>
          </w:tcPr>
          <w:p w:rsidR="00D73CD7" w:rsidRPr="00157FE8" w:rsidRDefault="00D73CD7" w:rsidP="009C5DB4">
            <w:pPr>
              <w:contextualSpacing/>
              <w:jc w:val="center"/>
              <w:rPr>
                <w:lang w:val="pt-BR"/>
              </w:rPr>
            </w:pPr>
            <w:r w:rsidRPr="00157FE8">
              <w:rPr>
                <w:lang w:val="pt-BR"/>
              </w:rPr>
              <w:t>16</w:t>
            </w:r>
          </w:p>
        </w:tc>
      </w:tr>
      <w:tr w:rsidR="00D73CD7" w:rsidRPr="00157FE8" w:rsidTr="009C5DB4">
        <w:tc>
          <w:tcPr>
            <w:tcW w:w="2660" w:type="dxa"/>
            <w:tcBorders>
              <w:top w:val="single" w:sz="4" w:space="0" w:color="auto"/>
              <w:left w:val="nil"/>
              <w:right w:val="nil"/>
            </w:tcBorders>
          </w:tcPr>
          <w:p w:rsidR="00D73CD7" w:rsidRPr="00157FE8" w:rsidRDefault="00D73CD7" w:rsidP="009C5DB4">
            <w:pPr>
              <w:contextualSpacing/>
              <w:jc w:val="center"/>
              <w:rPr>
                <w:lang w:val="pt-BR"/>
              </w:rPr>
            </w:pPr>
            <w:r w:rsidRPr="00157FE8">
              <w:rPr>
                <w:lang w:val="pt-BR"/>
              </w:rPr>
              <w:t>Total</w:t>
            </w:r>
          </w:p>
        </w:tc>
        <w:tc>
          <w:tcPr>
            <w:tcW w:w="1168" w:type="dxa"/>
            <w:tcBorders>
              <w:top w:val="single" w:sz="4" w:space="0" w:color="auto"/>
              <w:left w:val="nil"/>
              <w:right w:val="nil"/>
            </w:tcBorders>
            <w:vAlign w:val="center"/>
          </w:tcPr>
          <w:p w:rsidR="00D73CD7" w:rsidRPr="00157FE8" w:rsidRDefault="00D73CD7" w:rsidP="009C5DB4">
            <w:pPr>
              <w:contextualSpacing/>
              <w:jc w:val="center"/>
              <w:rPr>
                <w:lang w:val="pt-BR"/>
              </w:rPr>
            </w:pPr>
            <w:r w:rsidRPr="00157FE8">
              <w:rPr>
                <w:lang w:val="pt-BR"/>
              </w:rPr>
              <w:t>2</w:t>
            </w:r>
          </w:p>
        </w:tc>
        <w:tc>
          <w:tcPr>
            <w:tcW w:w="992" w:type="dxa"/>
            <w:tcBorders>
              <w:top w:val="single" w:sz="4" w:space="0" w:color="auto"/>
              <w:left w:val="nil"/>
              <w:right w:val="nil"/>
            </w:tcBorders>
            <w:vAlign w:val="center"/>
          </w:tcPr>
          <w:p w:rsidR="00D73CD7" w:rsidRPr="00157FE8" w:rsidRDefault="00D73CD7" w:rsidP="009C5DB4">
            <w:pPr>
              <w:contextualSpacing/>
              <w:jc w:val="center"/>
              <w:rPr>
                <w:lang w:val="pt-BR"/>
              </w:rPr>
            </w:pPr>
            <w:r w:rsidRPr="00157FE8">
              <w:rPr>
                <w:lang w:val="pt-BR"/>
              </w:rPr>
              <w:t>19</w:t>
            </w:r>
          </w:p>
        </w:tc>
        <w:tc>
          <w:tcPr>
            <w:tcW w:w="1134" w:type="dxa"/>
            <w:tcBorders>
              <w:top w:val="single" w:sz="4" w:space="0" w:color="auto"/>
              <w:left w:val="nil"/>
              <w:right w:val="nil"/>
            </w:tcBorders>
            <w:vAlign w:val="center"/>
          </w:tcPr>
          <w:p w:rsidR="00D73CD7" w:rsidRPr="00157FE8" w:rsidRDefault="00D73CD7" w:rsidP="009C5DB4">
            <w:pPr>
              <w:contextualSpacing/>
              <w:jc w:val="center"/>
              <w:rPr>
                <w:lang w:val="pt-BR"/>
              </w:rPr>
            </w:pPr>
            <w:r w:rsidRPr="00157FE8">
              <w:rPr>
                <w:lang w:val="pt-BR"/>
              </w:rPr>
              <w:t>14</w:t>
            </w:r>
          </w:p>
        </w:tc>
        <w:tc>
          <w:tcPr>
            <w:tcW w:w="1005" w:type="dxa"/>
            <w:tcBorders>
              <w:top w:val="single" w:sz="4" w:space="0" w:color="auto"/>
              <w:left w:val="nil"/>
              <w:right w:val="nil"/>
            </w:tcBorders>
            <w:vAlign w:val="center"/>
          </w:tcPr>
          <w:p w:rsidR="00D73CD7" w:rsidRPr="00157FE8" w:rsidRDefault="00D73CD7" w:rsidP="009C5DB4">
            <w:pPr>
              <w:contextualSpacing/>
              <w:jc w:val="center"/>
              <w:rPr>
                <w:lang w:val="pt-BR"/>
              </w:rPr>
            </w:pPr>
            <w:r w:rsidRPr="00157FE8">
              <w:rPr>
                <w:lang w:val="pt-BR"/>
              </w:rPr>
              <w:t>26</w:t>
            </w:r>
          </w:p>
        </w:tc>
        <w:tc>
          <w:tcPr>
            <w:tcW w:w="1127" w:type="dxa"/>
            <w:tcBorders>
              <w:top w:val="single" w:sz="4" w:space="0" w:color="auto"/>
              <w:left w:val="nil"/>
              <w:right w:val="nil"/>
            </w:tcBorders>
            <w:vAlign w:val="center"/>
          </w:tcPr>
          <w:p w:rsidR="00D73CD7" w:rsidRPr="00157FE8" w:rsidRDefault="00D73CD7" w:rsidP="009C5DB4">
            <w:pPr>
              <w:contextualSpacing/>
              <w:jc w:val="center"/>
              <w:rPr>
                <w:lang w:val="pt-BR"/>
              </w:rPr>
            </w:pPr>
            <w:r w:rsidRPr="00157FE8">
              <w:rPr>
                <w:lang w:val="pt-BR"/>
              </w:rPr>
              <w:t>19</w:t>
            </w:r>
          </w:p>
        </w:tc>
        <w:tc>
          <w:tcPr>
            <w:tcW w:w="739" w:type="dxa"/>
            <w:tcBorders>
              <w:top w:val="single" w:sz="4" w:space="0" w:color="auto"/>
              <w:left w:val="nil"/>
              <w:right w:val="nil"/>
            </w:tcBorders>
            <w:vAlign w:val="center"/>
          </w:tcPr>
          <w:p w:rsidR="00D73CD7" w:rsidRPr="00157FE8" w:rsidRDefault="00D73CD7" w:rsidP="009C5DB4">
            <w:pPr>
              <w:keepNext/>
              <w:contextualSpacing/>
              <w:jc w:val="center"/>
              <w:rPr>
                <w:lang w:val="pt-BR"/>
              </w:rPr>
            </w:pPr>
          </w:p>
        </w:tc>
      </w:tr>
    </w:tbl>
    <w:p w:rsidR="00D73CD7" w:rsidRPr="00A546A2" w:rsidRDefault="00D73CD7" w:rsidP="009C5DB4">
      <w:pPr>
        <w:pStyle w:val="Legenda"/>
        <w:rPr>
          <w:rFonts w:ascii="Calibri" w:hAnsi="Calibri" w:cs="Calibri"/>
          <w:b w:val="0"/>
          <w:color w:val="auto"/>
          <w:sz w:val="20"/>
          <w:szCs w:val="20"/>
          <w:lang w:val="pt-BR"/>
        </w:rPr>
      </w:pPr>
      <w:r w:rsidRPr="00A546A2">
        <w:rPr>
          <w:b w:val="0"/>
          <w:color w:val="auto"/>
          <w:sz w:val="20"/>
          <w:szCs w:val="20"/>
          <w:lang w:val="pt-BR"/>
        </w:rPr>
        <w:t>Fonte. Dados da pesquisa</w:t>
      </w:r>
    </w:p>
    <w:p w:rsidR="009C5DB4" w:rsidRDefault="00D73CD7" w:rsidP="009C5DB4">
      <w:pPr>
        <w:tabs>
          <w:tab w:val="left" w:pos="709"/>
        </w:tabs>
        <w:ind w:firstLine="709"/>
        <w:jc w:val="both"/>
      </w:pPr>
      <w:r w:rsidRPr="00A546A2">
        <w:tab/>
      </w: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3D52F4" w:rsidRDefault="003D52F4" w:rsidP="009C5DB4">
      <w:pPr>
        <w:tabs>
          <w:tab w:val="left" w:pos="709"/>
        </w:tabs>
        <w:ind w:firstLine="709"/>
        <w:jc w:val="both"/>
        <w:rPr>
          <w:sz w:val="24"/>
          <w:szCs w:val="24"/>
        </w:rPr>
      </w:pPr>
    </w:p>
    <w:p w:rsidR="001D00C9" w:rsidRDefault="00D73CD7" w:rsidP="009C5DB4">
      <w:pPr>
        <w:tabs>
          <w:tab w:val="left" w:pos="709"/>
        </w:tabs>
        <w:ind w:firstLine="709"/>
        <w:jc w:val="both"/>
        <w:rPr>
          <w:sz w:val="24"/>
          <w:szCs w:val="24"/>
        </w:rPr>
      </w:pPr>
      <w:r w:rsidRPr="00157FE8">
        <w:rPr>
          <w:sz w:val="24"/>
          <w:szCs w:val="24"/>
        </w:rPr>
        <w:lastRenderedPageBreak/>
        <w:t>Os dados coletados do terceiro módulo, abordam a percepção do contador em relação às normas brasileiras de contabilidade, no âmbito de sua atuação, demostrado na Tabela 4.</w:t>
      </w:r>
    </w:p>
    <w:p w:rsidR="00D73CD7" w:rsidRDefault="00D73CD7" w:rsidP="009C5DB4">
      <w:pPr>
        <w:tabs>
          <w:tab w:val="left" w:pos="709"/>
        </w:tabs>
        <w:ind w:firstLine="709"/>
        <w:jc w:val="both"/>
        <w:rPr>
          <w:sz w:val="24"/>
          <w:szCs w:val="24"/>
        </w:rPr>
      </w:pPr>
      <w:r w:rsidRPr="00157FE8">
        <w:rPr>
          <w:sz w:val="24"/>
          <w:szCs w:val="24"/>
        </w:rPr>
        <w:t xml:space="preserve"> </w:t>
      </w:r>
    </w:p>
    <w:p w:rsidR="00D73CD7" w:rsidRDefault="00D73CD7" w:rsidP="009C5DB4">
      <w:pPr>
        <w:pStyle w:val="Legenda"/>
        <w:keepNext/>
        <w:spacing w:after="0"/>
        <w:rPr>
          <w:b w:val="0"/>
          <w:color w:val="auto"/>
          <w:sz w:val="20"/>
          <w:szCs w:val="20"/>
          <w:lang w:val="pt-BR"/>
        </w:rPr>
      </w:pPr>
      <w:r w:rsidRPr="00A546A2">
        <w:rPr>
          <w:b w:val="0"/>
          <w:color w:val="auto"/>
          <w:sz w:val="20"/>
          <w:szCs w:val="20"/>
          <w:lang w:val="pt-BR"/>
        </w:rPr>
        <w:t xml:space="preserve">Tabela </w:t>
      </w:r>
      <w:r w:rsidRPr="00A546A2">
        <w:rPr>
          <w:b w:val="0"/>
          <w:color w:val="auto"/>
          <w:sz w:val="20"/>
          <w:szCs w:val="20"/>
        </w:rPr>
        <w:fldChar w:fldCharType="begin"/>
      </w:r>
      <w:r w:rsidRPr="00A546A2">
        <w:rPr>
          <w:b w:val="0"/>
          <w:color w:val="auto"/>
          <w:sz w:val="20"/>
          <w:szCs w:val="20"/>
          <w:lang w:val="pt-BR"/>
        </w:rPr>
        <w:instrText xml:space="preserve"> SEQ Tabela \* ARABIC </w:instrText>
      </w:r>
      <w:r w:rsidRPr="00A546A2">
        <w:rPr>
          <w:b w:val="0"/>
          <w:color w:val="auto"/>
          <w:sz w:val="20"/>
          <w:szCs w:val="20"/>
        </w:rPr>
        <w:fldChar w:fldCharType="separate"/>
      </w:r>
      <w:r w:rsidR="00FF648D">
        <w:rPr>
          <w:b w:val="0"/>
          <w:noProof/>
          <w:color w:val="auto"/>
          <w:sz w:val="20"/>
          <w:szCs w:val="20"/>
          <w:lang w:val="pt-BR"/>
        </w:rPr>
        <w:t>4</w:t>
      </w:r>
      <w:r w:rsidRPr="00A546A2">
        <w:rPr>
          <w:b w:val="0"/>
          <w:color w:val="auto"/>
          <w:sz w:val="20"/>
          <w:szCs w:val="20"/>
        </w:rPr>
        <w:fldChar w:fldCharType="end"/>
      </w:r>
      <w:r w:rsidRPr="00A546A2">
        <w:rPr>
          <w:b w:val="0"/>
          <w:color w:val="auto"/>
          <w:sz w:val="20"/>
          <w:szCs w:val="20"/>
          <w:lang w:val="pt-BR"/>
        </w:rPr>
        <w:t>.</w:t>
      </w:r>
    </w:p>
    <w:p w:rsidR="00D73CD7" w:rsidRPr="00A546A2" w:rsidRDefault="00D73CD7" w:rsidP="009C5DB4">
      <w:pPr>
        <w:pStyle w:val="Legenda"/>
        <w:keepNext/>
        <w:rPr>
          <w:b w:val="0"/>
          <w:color w:val="auto"/>
          <w:sz w:val="20"/>
          <w:szCs w:val="20"/>
          <w:lang w:val="pt-BR"/>
        </w:rPr>
      </w:pPr>
      <w:r w:rsidRPr="00A546A2">
        <w:rPr>
          <w:b w:val="0"/>
          <w:color w:val="auto"/>
          <w:sz w:val="20"/>
          <w:szCs w:val="20"/>
          <w:lang w:val="pt-BR"/>
        </w:rPr>
        <w:t>Percepção do contador em relação às normas contábeis</w:t>
      </w:r>
    </w:p>
    <w:tbl>
      <w:tblPr>
        <w:tblStyle w:val="Tabelacomgrad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835"/>
        <w:gridCol w:w="1276"/>
        <w:gridCol w:w="992"/>
        <w:gridCol w:w="1122"/>
        <w:gridCol w:w="1005"/>
        <w:gridCol w:w="1134"/>
        <w:gridCol w:w="708"/>
      </w:tblGrid>
      <w:tr w:rsidR="00D73CD7" w:rsidRPr="00D73CD7" w:rsidTr="00A43E44">
        <w:tc>
          <w:tcPr>
            <w:tcW w:w="2835" w:type="dxa"/>
            <w:vAlign w:val="center"/>
          </w:tcPr>
          <w:p w:rsidR="00D73CD7" w:rsidRPr="00D73CD7" w:rsidRDefault="00D73CD7" w:rsidP="009C5DB4">
            <w:pPr>
              <w:contextualSpacing/>
              <w:jc w:val="center"/>
              <w:rPr>
                <w:lang w:val="pt-BR"/>
              </w:rPr>
            </w:pPr>
            <w:r w:rsidRPr="00D73CD7">
              <w:rPr>
                <w:lang w:val="pt-BR"/>
              </w:rPr>
              <w:t>Assertiva</w:t>
            </w:r>
          </w:p>
        </w:tc>
        <w:tc>
          <w:tcPr>
            <w:tcW w:w="1276" w:type="dxa"/>
            <w:vAlign w:val="center"/>
          </w:tcPr>
          <w:p w:rsidR="00D73CD7" w:rsidRPr="00D73CD7" w:rsidRDefault="00D73CD7" w:rsidP="009C5DB4">
            <w:pPr>
              <w:contextualSpacing/>
              <w:jc w:val="center"/>
            </w:pPr>
            <w:proofErr w:type="spellStart"/>
            <w:r w:rsidRPr="00D73CD7">
              <w:t>Discordo</w:t>
            </w:r>
            <w:proofErr w:type="spellEnd"/>
          </w:p>
          <w:p w:rsidR="00D73CD7" w:rsidRPr="00D73CD7" w:rsidRDefault="00D73CD7" w:rsidP="009C5DB4">
            <w:pPr>
              <w:contextualSpacing/>
              <w:jc w:val="center"/>
            </w:pPr>
            <w:proofErr w:type="spellStart"/>
            <w:r w:rsidRPr="00D73CD7">
              <w:t>Totalmente</w:t>
            </w:r>
            <w:proofErr w:type="spellEnd"/>
          </w:p>
        </w:tc>
        <w:tc>
          <w:tcPr>
            <w:tcW w:w="992" w:type="dxa"/>
            <w:vAlign w:val="center"/>
          </w:tcPr>
          <w:p w:rsidR="00D73CD7" w:rsidRPr="00D73CD7" w:rsidRDefault="00D73CD7" w:rsidP="009C5DB4">
            <w:pPr>
              <w:contextualSpacing/>
              <w:jc w:val="center"/>
            </w:pPr>
            <w:proofErr w:type="spellStart"/>
            <w:r w:rsidRPr="00D73CD7">
              <w:t>Discordo</w:t>
            </w:r>
            <w:proofErr w:type="spellEnd"/>
          </w:p>
        </w:tc>
        <w:tc>
          <w:tcPr>
            <w:tcW w:w="1122" w:type="dxa"/>
            <w:vAlign w:val="center"/>
          </w:tcPr>
          <w:p w:rsidR="00D73CD7" w:rsidRPr="00D73CD7" w:rsidRDefault="00D73CD7" w:rsidP="009C5DB4">
            <w:pPr>
              <w:contextualSpacing/>
              <w:jc w:val="center"/>
            </w:pPr>
            <w:proofErr w:type="spellStart"/>
            <w:r w:rsidRPr="00D73CD7">
              <w:t>Indiferente</w:t>
            </w:r>
            <w:proofErr w:type="spellEnd"/>
          </w:p>
        </w:tc>
        <w:tc>
          <w:tcPr>
            <w:tcW w:w="1005" w:type="dxa"/>
            <w:vAlign w:val="center"/>
          </w:tcPr>
          <w:p w:rsidR="00D73CD7" w:rsidRPr="00D73CD7" w:rsidRDefault="00D73CD7" w:rsidP="009C5DB4">
            <w:pPr>
              <w:contextualSpacing/>
              <w:jc w:val="center"/>
            </w:pPr>
            <w:proofErr w:type="spellStart"/>
            <w:r w:rsidRPr="00D73CD7">
              <w:t>Concordo</w:t>
            </w:r>
            <w:proofErr w:type="spellEnd"/>
          </w:p>
        </w:tc>
        <w:tc>
          <w:tcPr>
            <w:tcW w:w="1134" w:type="dxa"/>
            <w:vAlign w:val="center"/>
          </w:tcPr>
          <w:p w:rsidR="00D73CD7" w:rsidRPr="00D73CD7" w:rsidRDefault="00D73CD7" w:rsidP="009C5DB4">
            <w:pPr>
              <w:contextualSpacing/>
              <w:jc w:val="center"/>
            </w:pPr>
            <w:proofErr w:type="spellStart"/>
            <w:r w:rsidRPr="00D73CD7">
              <w:t>Concordo</w:t>
            </w:r>
            <w:proofErr w:type="spellEnd"/>
          </w:p>
          <w:p w:rsidR="00D73CD7" w:rsidRPr="00D73CD7" w:rsidRDefault="00D73CD7" w:rsidP="009C5DB4">
            <w:pPr>
              <w:contextualSpacing/>
              <w:jc w:val="center"/>
            </w:pPr>
            <w:proofErr w:type="spellStart"/>
            <w:r w:rsidRPr="00D73CD7">
              <w:t>Totalmente</w:t>
            </w:r>
            <w:proofErr w:type="spellEnd"/>
          </w:p>
        </w:tc>
        <w:tc>
          <w:tcPr>
            <w:tcW w:w="708" w:type="dxa"/>
            <w:vAlign w:val="center"/>
          </w:tcPr>
          <w:p w:rsidR="00D73CD7" w:rsidRPr="00D73CD7" w:rsidRDefault="00D73CD7" w:rsidP="009C5DB4">
            <w:pPr>
              <w:contextualSpacing/>
              <w:jc w:val="center"/>
            </w:pPr>
            <w:r w:rsidRPr="00D73CD7">
              <w:t>Total</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10. O foco principal da nova contabilidade pública é a gestão patrimonial.</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2</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10</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4</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11. As NBCASPs não fazem menção ao princípio da competência.</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5</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10</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12. Com o advento das NBCASPs, a Lei nº 4.320/64 foi revogada.</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9</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6</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13. Mesmo com as novas mudanças, continuaremos a contabilizar no exercício as receitas pela arrecadação e as despesas pelo empenho.</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5</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3</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7</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14. Estou apto a tomar decisões</w:t>
            </w:r>
          </w:p>
          <w:p w:rsidR="00D73CD7" w:rsidRPr="00D73CD7" w:rsidRDefault="00D73CD7" w:rsidP="009C5DB4">
            <w:pPr>
              <w:widowControl/>
              <w:autoSpaceDE w:val="0"/>
              <w:autoSpaceDN w:val="0"/>
              <w:adjustRightInd w:val="0"/>
              <w:contextualSpacing/>
              <w:jc w:val="both"/>
              <w:rPr>
                <w:lang w:val="pt-BR"/>
              </w:rPr>
            </w:pPr>
            <w:proofErr w:type="gramStart"/>
            <w:r w:rsidRPr="00D73CD7">
              <w:rPr>
                <w:lang w:val="pt-BR"/>
              </w:rPr>
              <w:t>referentes</w:t>
            </w:r>
            <w:proofErr w:type="gramEnd"/>
            <w:r w:rsidRPr="00D73CD7">
              <w:rPr>
                <w:lang w:val="pt-BR"/>
              </w:rPr>
              <w:t xml:space="preserve"> à vida útil e depreciação de ativos.</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6</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7</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1</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15. Estou apto para elaborar e analisar as demonstrações contábeis.</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2</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3</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6</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3</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2</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widowControl/>
              <w:autoSpaceDE w:val="0"/>
              <w:autoSpaceDN w:val="0"/>
              <w:adjustRightInd w:val="0"/>
              <w:contextualSpacing/>
              <w:jc w:val="both"/>
              <w:rPr>
                <w:lang w:val="pt-BR"/>
              </w:rPr>
            </w:pPr>
            <w:r w:rsidRPr="00D73CD7">
              <w:rPr>
                <w:lang w:val="pt-BR"/>
              </w:rPr>
              <w:t>16. NBC T 16.9 estabelece a adoção da prática do registro contábil de depreciação, amortização e exaustão no setor público. A prática desse registro</w:t>
            </w:r>
          </w:p>
          <w:p w:rsidR="00D73CD7" w:rsidRPr="00D73CD7" w:rsidRDefault="00D73CD7" w:rsidP="009C5DB4">
            <w:pPr>
              <w:tabs>
                <w:tab w:val="left" w:pos="709"/>
              </w:tabs>
              <w:contextualSpacing/>
              <w:jc w:val="both"/>
              <w:rPr>
                <w:lang w:val="pt-BR"/>
              </w:rPr>
            </w:pPr>
            <w:proofErr w:type="gramStart"/>
            <w:r w:rsidRPr="00D73CD7">
              <w:rPr>
                <w:lang w:val="pt-BR"/>
              </w:rPr>
              <w:t>é</w:t>
            </w:r>
            <w:proofErr w:type="gramEnd"/>
            <w:r w:rsidRPr="00D73CD7">
              <w:rPr>
                <w:lang w:val="pt-BR"/>
              </w:rPr>
              <w:t xml:space="preserve"> relevante para o setor público.</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3</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13</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tcPr>
          <w:p w:rsidR="00D73CD7" w:rsidRPr="00D73CD7" w:rsidRDefault="00D73CD7" w:rsidP="009C5DB4">
            <w:pPr>
              <w:contextualSpacing/>
              <w:jc w:val="both"/>
              <w:rPr>
                <w:lang w:val="pt-BR"/>
              </w:rPr>
            </w:pPr>
            <w:r w:rsidRPr="00D73CD7">
              <w:rPr>
                <w:lang w:val="pt-BR"/>
              </w:rPr>
              <w:t>17. A NBC T 16.10 trata da avaliação e mensuração de ativos e passivos, estabelecendo regras para reavaliações dos componentes patrimoniais, em</w:t>
            </w:r>
            <w:r w:rsidR="00CF063D">
              <w:rPr>
                <w:lang w:val="pt-BR"/>
              </w:rPr>
              <w:t xml:space="preserve"> </w:t>
            </w:r>
            <w:r w:rsidRPr="00D73CD7">
              <w:rPr>
                <w:lang w:val="pt-BR"/>
              </w:rPr>
              <w:t>que se deve utilizar o valor justo ou o valor de mercado na data de encerramento do balanço patrimonial. É estipulado prazo de reavaliação</w:t>
            </w:r>
            <w:r w:rsidR="00CF063D">
              <w:rPr>
                <w:lang w:val="pt-BR"/>
              </w:rPr>
              <w:t xml:space="preserve"> </w:t>
            </w:r>
            <w:r w:rsidRPr="00D73CD7">
              <w:rPr>
                <w:lang w:val="pt-BR"/>
              </w:rPr>
              <w:t>anual aos grupos de contas que podem variar significativamente, e a cada quatro anos para os demais grupos de conta. Essa posição é importante para aumentar a qualidade da informação contábil do ente público.</w:t>
            </w:r>
          </w:p>
        </w:tc>
        <w:tc>
          <w:tcPr>
            <w:tcW w:w="1276"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99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122" w:type="dxa"/>
            <w:vAlign w:val="center"/>
          </w:tcPr>
          <w:p w:rsidR="00D73CD7" w:rsidRPr="00D73CD7" w:rsidRDefault="00D73CD7" w:rsidP="009C5DB4">
            <w:pPr>
              <w:tabs>
                <w:tab w:val="left" w:pos="709"/>
              </w:tabs>
              <w:contextualSpacing/>
              <w:jc w:val="center"/>
              <w:rPr>
                <w:lang w:val="pt-BR"/>
              </w:rPr>
            </w:pPr>
            <w:r w:rsidRPr="00D73CD7">
              <w:rPr>
                <w:lang w:val="pt-BR"/>
              </w:rPr>
              <w:t>0</w:t>
            </w:r>
          </w:p>
        </w:tc>
        <w:tc>
          <w:tcPr>
            <w:tcW w:w="1005" w:type="dxa"/>
            <w:vAlign w:val="center"/>
          </w:tcPr>
          <w:p w:rsidR="00D73CD7" w:rsidRPr="00D73CD7" w:rsidRDefault="00D73CD7" w:rsidP="009C5DB4">
            <w:pPr>
              <w:tabs>
                <w:tab w:val="left" w:pos="709"/>
              </w:tabs>
              <w:contextualSpacing/>
              <w:jc w:val="center"/>
              <w:rPr>
                <w:lang w:val="pt-BR"/>
              </w:rPr>
            </w:pPr>
            <w:r w:rsidRPr="00D73CD7">
              <w:rPr>
                <w:lang w:val="pt-BR"/>
              </w:rPr>
              <w:t>6</w:t>
            </w:r>
          </w:p>
        </w:tc>
        <w:tc>
          <w:tcPr>
            <w:tcW w:w="1134" w:type="dxa"/>
            <w:vAlign w:val="center"/>
          </w:tcPr>
          <w:p w:rsidR="00D73CD7" w:rsidRPr="00D73CD7" w:rsidRDefault="00D73CD7" w:rsidP="009C5DB4">
            <w:pPr>
              <w:tabs>
                <w:tab w:val="left" w:pos="709"/>
              </w:tabs>
              <w:contextualSpacing/>
              <w:jc w:val="center"/>
              <w:rPr>
                <w:lang w:val="pt-BR"/>
              </w:rPr>
            </w:pPr>
            <w:r w:rsidRPr="00D73CD7">
              <w:rPr>
                <w:lang w:val="pt-BR"/>
              </w:rPr>
              <w:t>10</w:t>
            </w:r>
          </w:p>
        </w:tc>
        <w:tc>
          <w:tcPr>
            <w:tcW w:w="708" w:type="dxa"/>
            <w:vAlign w:val="center"/>
          </w:tcPr>
          <w:p w:rsidR="00D73CD7" w:rsidRPr="00D73CD7" w:rsidRDefault="00D73CD7" w:rsidP="009C5DB4">
            <w:pPr>
              <w:tabs>
                <w:tab w:val="left" w:pos="709"/>
              </w:tabs>
              <w:contextualSpacing/>
              <w:jc w:val="center"/>
              <w:rPr>
                <w:lang w:val="pt-BR"/>
              </w:rPr>
            </w:pPr>
            <w:r w:rsidRPr="00D73CD7">
              <w:rPr>
                <w:lang w:val="pt-BR"/>
              </w:rPr>
              <w:t>16</w:t>
            </w:r>
          </w:p>
        </w:tc>
      </w:tr>
      <w:tr w:rsidR="00D73CD7" w:rsidRPr="00D73CD7" w:rsidTr="00A43E44">
        <w:tc>
          <w:tcPr>
            <w:tcW w:w="2835" w:type="dxa"/>
            <w:vAlign w:val="center"/>
          </w:tcPr>
          <w:p w:rsidR="00D73CD7" w:rsidRPr="00D73CD7" w:rsidRDefault="00D73CD7" w:rsidP="009C5DB4">
            <w:pPr>
              <w:tabs>
                <w:tab w:val="left" w:pos="709"/>
              </w:tabs>
              <w:contextualSpacing/>
              <w:jc w:val="center"/>
              <w:rPr>
                <w:lang w:val="pt-BR"/>
              </w:rPr>
            </w:pPr>
            <w:r w:rsidRPr="00D73CD7">
              <w:rPr>
                <w:lang w:val="pt-BR"/>
              </w:rPr>
              <w:t>Total</w:t>
            </w:r>
          </w:p>
        </w:tc>
        <w:tc>
          <w:tcPr>
            <w:tcW w:w="1276" w:type="dxa"/>
            <w:vAlign w:val="center"/>
          </w:tcPr>
          <w:p w:rsidR="00D73CD7" w:rsidRPr="00D73CD7" w:rsidRDefault="00D73CD7" w:rsidP="009C5DB4">
            <w:pPr>
              <w:contextualSpacing/>
              <w:jc w:val="center"/>
            </w:pPr>
            <w:r w:rsidRPr="00D73CD7">
              <w:t>22</w:t>
            </w:r>
          </w:p>
        </w:tc>
        <w:tc>
          <w:tcPr>
            <w:tcW w:w="992" w:type="dxa"/>
            <w:vAlign w:val="center"/>
          </w:tcPr>
          <w:p w:rsidR="00D73CD7" w:rsidRPr="00D73CD7" w:rsidRDefault="00D73CD7" w:rsidP="009C5DB4">
            <w:pPr>
              <w:contextualSpacing/>
              <w:jc w:val="center"/>
            </w:pPr>
            <w:r w:rsidRPr="00D73CD7">
              <w:t>13</w:t>
            </w:r>
          </w:p>
        </w:tc>
        <w:tc>
          <w:tcPr>
            <w:tcW w:w="1122" w:type="dxa"/>
            <w:vAlign w:val="center"/>
          </w:tcPr>
          <w:p w:rsidR="00D73CD7" w:rsidRPr="00D73CD7" w:rsidRDefault="00D73CD7" w:rsidP="009C5DB4">
            <w:pPr>
              <w:contextualSpacing/>
              <w:jc w:val="center"/>
            </w:pPr>
            <w:r w:rsidRPr="00D73CD7">
              <w:t>38</w:t>
            </w:r>
          </w:p>
        </w:tc>
        <w:tc>
          <w:tcPr>
            <w:tcW w:w="1005" w:type="dxa"/>
            <w:vAlign w:val="center"/>
          </w:tcPr>
          <w:p w:rsidR="00D73CD7" w:rsidRPr="00D73CD7" w:rsidRDefault="00D73CD7" w:rsidP="009C5DB4">
            <w:pPr>
              <w:contextualSpacing/>
              <w:jc w:val="center"/>
            </w:pPr>
            <w:r w:rsidRPr="00D73CD7">
              <w:t>24</w:t>
            </w:r>
          </w:p>
        </w:tc>
        <w:tc>
          <w:tcPr>
            <w:tcW w:w="1134" w:type="dxa"/>
            <w:vAlign w:val="center"/>
          </w:tcPr>
          <w:p w:rsidR="00D73CD7" w:rsidRPr="00D73CD7" w:rsidRDefault="00D73CD7" w:rsidP="009C5DB4">
            <w:pPr>
              <w:contextualSpacing/>
              <w:jc w:val="center"/>
            </w:pPr>
            <w:r w:rsidRPr="00D73CD7">
              <w:t>31</w:t>
            </w:r>
          </w:p>
        </w:tc>
        <w:tc>
          <w:tcPr>
            <w:tcW w:w="708" w:type="dxa"/>
            <w:vAlign w:val="center"/>
          </w:tcPr>
          <w:p w:rsidR="00D73CD7" w:rsidRPr="00D73CD7" w:rsidRDefault="00D73CD7" w:rsidP="009C5DB4">
            <w:pPr>
              <w:keepNext/>
              <w:tabs>
                <w:tab w:val="left" w:pos="709"/>
              </w:tabs>
              <w:contextualSpacing/>
              <w:jc w:val="center"/>
              <w:rPr>
                <w:lang w:val="pt-BR"/>
              </w:rPr>
            </w:pPr>
          </w:p>
        </w:tc>
      </w:tr>
    </w:tbl>
    <w:p w:rsidR="00D73CD7" w:rsidRPr="00A546A2" w:rsidRDefault="00D73CD7" w:rsidP="009C5DB4">
      <w:pPr>
        <w:pStyle w:val="Legenda"/>
        <w:rPr>
          <w:b w:val="0"/>
          <w:color w:val="auto"/>
          <w:sz w:val="20"/>
          <w:szCs w:val="20"/>
        </w:rPr>
      </w:pPr>
      <w:proofErr w:type="spellStart"/>
      <w:r w:rsidRPr="00A546A2">
        <w:rPr>
          <w:b w:val="0"/>
          <w:color w:val="auto"/>
          <w:sz w:val="20"/>
          <w:szCs w:val="20"/>
        </w:rPr>
        <w:t>Fonte</w:t>
      </w:r>
      <w:proofErr w:type="spellEnd"/>
      <w:r w:rsidRPr="00A546A2">
        <w:rPr>
          <w:b w:val="0"/>
          <w:color w:val="auto"/>
          <w:sz w:val="20"/>
          <w:szCs w:val="20"/>
        </w:rPr>
        <w:t>. Dados da pesquisa.</w:t>
      </w:r>
    </w:p>
    <w:p w:rsidR="009C5DB4" w:rsidRDefault="00CF063D" w:rsidP="009C5DB4">
      <w:pPr>
        <w:tabs>
          <w:tab w:val="left" w:pos="709"/>
        </w:tabs>
        <w:ind w:firstLine="709"/>
        <w:jc w:val="both"/>
        <w:rPr>
          <w:sz w:val="24"/>
          <w:szCs w:val="24"/>
        </w:rPr>
      </w:pPr>
      <w:r>
        <w:rPr>
          <w:sz w:val="24"/>
          <w:szCs w:val="24"/>
        </w:rPr>
        <w:lastRenderedPageBreak/>
        <w:t xml:space="preserve">Na avaliação dos contadores, 62,5% concordam que </w:t>
      </w:r>
      <w:r w:rsidRPr="00157FE8">
        <w:rPr>
          <w:sz w:val="24"/>
          <w:szCs w:val="24"/>
        </w:rPr>
        <w:t xml:space="preserve">a gestão patrimonial </w:t>
      </w:r>
      <w:r>
        <w:rPr>
          <w:sz w:val="24"/>
          <w:szCs w:val="24"/>
        </w:rPr>
        <w:t>é o</w:t>
      </w:r>
      <w:r w:rsidRPr="00157FE8">
        <w:rPr>
          <w:sz w:val="24"/>
          <w:szCs w:val="24"/>
        </w:rPr>
        <w:t xml:space="preserve"> foco principal da nova contabi</w:t>
      </w:r>
      <w:r>
        <w:rPr>
          <w:sz w:val="24"/>
          <w:szCs w:val="24"/>
        </w:rPr>
        <w:t xml:space="preserve">lidade pública. </w:t>
      </w:r>
      <w:r w:rsidRPr="00157FE8">
        <w:rPr>
          <w:sz w:val="24"/>
          <w:szCs w:val="24"/>
        </w:rPr>
        <w:t>Sobre as Normas Brasileiras de Contabilidade Aplicada ao Setor Público não mencionar o princípio da competência, 62,5%, nem discordam ou não concordam, sendo que 31,25% discor</w:t>
      </w:r>
      <w:r w:rsidR="009C5DB4">
        <w:rPr>
          <w:sz w:val="24"/>
          <w:szCs w:val="24"/>
        </w:rPr>
        <w:t>dam totalmente desta assertiva.</w:t>
      </w:r>
    </w:p>
    <w:p w:rsidR="009C5DB4" w:rsidRDefault="00CF063D" w:rsidP="009C5DB4">
      <w:pPr>
        <w:tabs>
          <w:tab w:val="left" w:pos="709"/>
        </w:tabs>
        <w:ind w:firstLine="709"/>
        <w:jc w:val="both"/>
        <w:rPr>
          <w:sz w:val="24"/>
          <w:szCs w:val="24"/>
        </w:rPr>
      </w:pPr>
      <w:r w:rsidRPr="00157FE8">
        <w:rPr>
          <w:sz w:val="24"/>
          <w:szCs w:val="24"/>
        </w:rPr>
        <w:t>Em relação a ter sido revogada a Lei n° 4.320/1964, quando da adoção das mudanças nas normas, 09 contadores discordaram totalmente, desta forma entendendo que com a citada legislação não foi revogada. N</w:t>
      </w:r>
      <w:r>
        <w:rPr>
          <w:sz w:val="24"/>
          <w:szCs w:val="24"/>
        </w:rPr>
        <w:t>o</w:t>
      </w:r>
      <w:r w:rsidRPr="00157FE8">
        <w:rPr>
          <w:sz w:val="24"/>
          <w:szCs w:val="24"/>
        </w:rPr>
        <w:t xml:space="preserve"> exercício de suas atividades, em relação aos registros contábeis, 07 contadores não concordaram nem discordaram sobre manutenção dos registros das receitas pela arrecadação e as despesas pelo empenho. 31,25% discordaram totalmente desta assertiva. Sobre a capacidade de decidir sobre a depreciação de ativos, 43,75% mantiveram-se indiferente à assertiva. Em relação a capacidade de elaborar e analisar </w:t>
      </w:r>
      <w:r>
        <w:rPr>
          <w:sz w:val="24"/>
          <w:szCs w:val="24"/>
        </w:rPr>
        <w:t xml:space="preserve">demonstrações contábeis, 37,5% </w:t>
      </w:r>
      <w:r w:rsidR="009C5DB4">
        <w:rPr>
          <w:sz w:val="24"/>
          <w:szCs w:val="24"/>
        </w:rPr>
        <w:t>são indiferentes.</w:t>
      </w:r>
    </w:p>
    <w:p w:rsidR="009C5DB4" w:rsidRDefault="00CF063D" w:rsidP="009C5DB4">
      <w:pPr>
        <w:tabs>
          <w:tab w:val="left" w:pos="709"/>
        </w:tabs>
        <w:ind w:firstLine="709"/>
        <w:jc w:val="both"/>
        <w:rPr>
          <w:sz w:val="24"/>
          <w:szCs w:val="24"/>
        </w:rPr>
      </w:pPr>
      <w:r w:rsidRPr="00157FE8">
        <w:rPr>
          <w:sz w:val="24"/>
          <w:szCs w:val="24"/>
        </w:rPr>
        <w:t>Em relação à NBC T 16.9, os contadores foram provocados a avaliarem se a adoção do registro da depreciação, amortização e exaustão na contabilidade pública seria relevante, sendo observado nas respostas que 81,25% concordam totalme</w:t>
      </w:r>
      <w:r w:rsidR="009C5DB4">
        <w:rPr>
          <w:sz w:val="24"/>
          <w:szCs w:val="24"/>
        </w:rPr>
        <w:t>nte com a relevância da adoção.</w:t>
      </w:r>
    </w:p>
    <w:p w:rsidR="00D73CD7" w:rsidRDefault="00CF063D" w:rsidP="009C5DB4">
      <w:pPr>
        <w:tabs>
          <w:tab w:val="left" w:pos="709"/>
        </w:tabs>
        <w:ind w:firstLine="709"/>
        <w:jc w:val="both"/>
        <w:rPr>
          <w:sz w:val="24"/>
          <w:szCs w:val="24"/>
        </w:rPr>
      </w:pPr>
      <w:r w:rsidRPr="00157FE8">
        <w:rPr>
          <w:sz w:val="24"/>
          <w:szCs w:val="24"/>
        </w:rPr>
        <w:t>Sobre a NBC T 16.10, sobre avaliação e mensuração de ativos e passivos, que estabelecido regras para reavaliações dos componentes patrimoniais, em que se deve utilizar o valor justo ou o valor de mercado na data de encerramento do balanço patrimonial, os contadores foram confrontados sobre a assertiva se estes registros são importantes para aumentar a qualidade das informações contábil do ente público, sendo constatado que 62,5% concordam totalmente.</w:t>
      </w:r>
    </w:p>
    <w:p w:rsidR="00CF063D" w:rsidRPr="00A546A2" w:rsidRDefault="00CF063D" w:rsidP="009C5DB4">
      <w:pPr>
        <w:tabs>
          <w:tab w:val="left" w:pos="709"/>
        </w:tabs>
        <w:jc w:val="both"/>
      </w:pPr>
    </w:p>
    <w:p w:rsidR="00D73CD7" w:rsidRPr="00D73CD7" w:rsidRDefault="00D73CD7" w:rsidP="009C5DB4">
      <w:pPr>
        <w:pStyle w:val="PargrafodaLista"/>
        <w:widowControl w:val="0"/>
        <w:numPr>
          <w:ilvl w:val="0"/>
          <w:numId w:val="8"/>
        </w:numPr>
        <w:suppressAutoHyphens w:val="0"/>
        <w:spacing w:after="240"/>
        <w:ind w:left="284" w:hanging="284"/>
        <w:jc w:val="both"/>
        <w:rPr>
          <w:b/>
          <w:sz w:val="24"/>
          <w:szCs w:val="24"/>
        </w:rPr>
      </w:pPr>
      <w:r w:rsidRPr="00D73CD7">
        <w:rPr>
          <w:b/>
          <w:sz w:val="24"/>
          <w:szCs w:val="24"/>
        </w:rPr>
        <w:t>C</w:t>
      </w:r>
      <w:r w:rsidR="00D72AC9">
        <w:rPr>
          <w:b/>
          <w:sz w:val="24"/>
          <w:szCs w:val="24"/>
        </w:rPr>
        <w:t>onclusão</w:t>
      </w:r>
    </w:p>
    <w:p w:rsidR="00D73CD7" w:rsidRPr="00D73CD7" w:rsidRDefault="00D73CD7" w:rsidP="009C5DB4">
      <w:pPr>
        <w:ind w:firstLine="709"/>
        <w:jc w:val="both"/>
        <w:rPr>
          <w:sz w:val="24"/>
          <w:szCs w:val="24"/>
        </w:rPr>
      </w:pPr>
      <w:r w:rsidRPr="00D73CD7">
        <w:rPr>
          <w:sz w:val="24"/>
          <w:szCs w:val="24"/>
        </w:rPr>
        <w:t>A pesquisa realizada teve como objetivo estudar a percepção dos servidores da Universidade Federal de Pernambuco, que exercem o cargo de contador, sobre as mudanças trazidas pelas normas brasileiras de contabilidade aplicadas ao setor público, abordando um levantamento descritivo.</w:t>
      </w:r>
      <w:r w:rsidR="00A43E44">
        <w:rPr>
          <w:sz w:val="24"/>
          <w:szCs w:val="24"/>
        </w:rPr>
        <w:t xml:space="preserve"> </w:t>
      </w:r>
      <w:r w:rsidRPr="00D73CD7">
        <w:rPr>
          <w:sz w:val="24"/>
          <w:szCs w:val="24"/>
        </w:rPr>
        <w:t>Inicialmente, a partir da abordagem feita com 16 contadores da Universidade, identificou-se o perfil do profissional que desempenha as atividades na contabilidade do órgão, sendo composta por contadores predominantemente do sexo feminino, com idade entre 18 e 50 anos e que a maioria exercem o cargo há menos de 20 anos.</w:t>
      </w:r>
    </w:p>
    <w:p w:rsidR="00D73CD7" w:rsidRPr="00D73CD7" w:rsidRDefault="00D73CD7" w:rsidP="009C5DB4">
      <w:pPr>
        <w:tabs>
          <w:tab w:val="left" w:pos="709"/>
        </w:tabs>
        <w:ind w:firstLine="709"/>
        <w:jc w:val="both"/>
        <w:rPr>
          <w:sz w:val="24"/>
          <w:szCs w:val="24"/>
        </w:rPr>
      </w:pPr>
      <w:r w:rsidRPr="00D73CD7">
        <w:rPr>
          <w:sz w:val="24"/>
          <w:szCs w:val="24"/>
        </w:rPr>
        <w:t xml:space="preserve">Em relação ao conhecimento das normas, menos da metade afirmou conhecer e quase a metade, 44% concordaram que as mudanças implementadas dificultam/dificultará as atividades do contador no desempenho de suas funções, sendo constatado no mesmo </w:t>
      </w:r>
      <w:proofErr w:type="gramStart"/>
      <w:r w:rsidRPr="00D73CD7">
        <w:rPr>
          <w:sz w:val="24"/>
          <w:szCs w:val="24"/>
        </w:rPr>
        <w:t>patamar,  que</w:t>
      </w:r>
      <w:proofErr w:type="gramEnd"/>
      <w:r w:rsidRPr="00D73CD7">
        <w:rPr>
          <w:sz w:val="24"/>
          <w:szCs w:val="24"/>
        </w:rPr>
        <w:t xml:space="preserve"> o processo proporcionará maior valorização e responsabilidade ao profissional de contabilidade.</w:t>
      </w:r>
      <w:r w:rsidR="00624A03">
        <w:rPr>
          <w:sz w:val="24"/>
          <w:szCs w:val="24"/>
        </w:rPr>
        <w:t xml:space="preserve"> </w:t>
      </w:r>
      <w:r w:rsidRPr="00D73CD7">
        <w:rPr>
          <w:sz w:val="24"/>
          <w:szCs w:val="24"/>
        </w:rPr>
        <w:t>A avaliação da percepção às normas contábeis, o estudo apontou que mais da metade dos contadores públicos concordam com a mudança do foco orçamentário para a patrimonial, pela contabilidade pública, no entanto o estudo aponta que se faz necessário uma abordagem junto aos profissionais sobre a visão mudança do regime contábil na contabilidade pública, uma vez que mais da metade se avaliaram indiferente e a outra parcela se posicionou indiferente a esta alteração.</w:t>
      </w:r>
    </w:p>
    <w:p w:rsidR="009C5DB4" w:rsidRDefault="00D73CD7" w:rsidP="009C5DB4">
      <w:pPr>
        <w:tabs>
          <w:tab w:val="left" w:pos="709"/>
        </w:tabs>
        <w:ind w:firstLine="709"/>
        <w:jc w:val="both"/>
        <w:rPr>
          <w:sz w:val="24"/>
          <w:szCs w:val="24"/>
        </w:rPr>
      </w:pPr>
      <w:r w:rsidRPr="00D73CD7">
        <w:rPr>
          <w:sz w:val="24"/>
          <w:szCs w:val="24"/>
        </w:rPr>
        <w:t xml:space="preserve">Outro ponto importante do estudo foi a constatação da percepção quanto a revogação da Lei n° 4.320/1964, que estabeleceu, inicialmente o tratamento da contabilidade pública, e que face às mudanças impetradas pelas NBCASP, havia sido este regramento legal revogado, identificando que mais da metade dos contadores discordaram da assertiva. No entanto, 37,5% </w:t>
      </w:r>
      <w:r w:rsidRPr="00D73CD7">
        <w:rPr>
          <w:sz w:val="24"/>
          <w:szCs w:val="24"/>
        </w:rPr>
        <w:lastRenderedPageBreak/>
        <w:t>se apresentaram indiferentes a afirmação, denotando haver uma necessidade de atualização do profissional</w:t>
      </w:r>
      <w:r w:rsidR="009C5DB4">
        <w:rPr>
          <w:sz w:val="24"/>
          <w:szCs w:val="24"/>
        </w:rPr>
        <w:t>.</w:t>
      </w:r>
    </w:p>
    <w:p w:rsidR="00D73CD7" w:rsidRPr="00D73CD7" w:rsidRDefault="00D73CD7" w:rsidP="009C5DB4">
      <w:pPr>
        <w:tabs>
          <w:tab w:val="left" w:pos="709"/>
        </w:tabs>
        <w:ind w:firstLine="709"/>
        <w:jc w:val="both"/>
        <w:rPr>
          <w:sz w:val="24"/>
          <w:szCs w:val="24"/>
        </w:rPr>
      </w:pPr>
      <w:r w:rsidRPr="00D73CD7">
        <w:rPr>
          <w:sz w:val="24"/>
          <w:szCs w:val="24"/>
        </w:rPr>
        <w:t>Na percepção dos contadores, observou-se em relação às mudanças nos procedimentos contábeis, sobre a atividade relacionada aos registros contábeis que os contadores necessitam aprofundar o conhecimento das normas, em razão de quase 44% dos profissionais abordados se colocarem indiferentes às mudanças.</w:t>
      </w:r>
    </w:p>
    <w:p w:rsidR="00D73CD7" w:rsidRPr="00D73CD7" w:rsidRDefault="00D73CD7" w:rsidP="009C5DB4">
      <w:pPr>
        <w:tabs>
          <w:tab w:val="left" w:pos="709"/>
        </w:tabs>
        <w:ind w:firstLine="709"/>
        <w:jc w:val="both"/>
        <w:rPr>
          <w:sz w:val="24"/>
          <w:szCs w:val="24"/>
        </w:rPr>
      </w:pPr>
      <w:r w:rsidRPr="00D73CD7">
        <w:rPr>
          <w:sz w:val="24"/>
          <w:szCs w:val="24"/>
        </w:rPr>
        <w:t>Em relação à percepção dos contadores sobre sua capacidade em proceder às depreciações de ativos e elaborar e analisar as demonstrações contábeis constatou-se que os profissionais não se encontram seguros para desenvolver estes procedimentos.</w:t>
      </w:r>
    </w:p>
    <w:p w:rsidR="009C5DB4" w:rsidRDefault="00D73CD7" w:rsidP="009C5DB4">
      <w:pPr>
        <w:tabs>
          <w:tab w:val="left" w:pos="709"/>
        </w:tabs>
        <w:ind w:firstLine="709"/>
        <w:jc w:val="both"/>
        <w:rPr>
          <w:sz w:val="24"/>
          <w:szCs w:val="24"/>
        </w:rPr>
      </w:pPr>
      <w:r w:rsidRPr="00D73CD7">
        <w:rPr>
          <w:sz w:val="24"/>
          <w:szCs w:val="24"/>
        </w:rPr>
        <w:t>A avaliação que se obteve da percepção dos contadores sobre a relevância dos registros da depreciação, amortização e exaustão, conforme a NBC T 16.9, foi de que a maioria entende ser relevante para os registros na contabilidade, contribuindo assim para a correta demonstração contábil da entidade.</w:t>
      </w:r>
    </w:p>
    <w:p w:rsidR="00D73CD7" w:rsidRPr="00D73CD7" w:rsidRDefault="00D73CD7" w:rsidP="009C5DB4">
      <w:pPr>
        <w:tabs>
          <w:tab w:val="left" w:pos="709"/>
        </w:tabs>
        <w:ind w:firstLine="709"/>
        <w:jc w:val="both"/>
        <w:rPr>
          <w:sz w:val="24"/>
          <w:szCs w:val="24"/>
        </w:rPr>
      </w:pPr>
      <w:r w:rsidRPr="00D73CD7">
        <w:rPr>
          <w:sz w:val="24"/>
          <w:szCs w:val="24"/>
        </w:rPr>
        <w:t>Sobre a NBC T 16.10, sobre avaliação e mensuração de ativos e passivos, que estabelecido regras para reavaliações dos componentes patrimoniais, em que se deve utilizar o valor justo ou o valor de mercado na data de encerramento do balanço patrimonial, os contadores foram confrontados sobre a assertiva se estes registros são importantes para aumentar a qualidade das informações contábil do ente público, sendo constatado que 62,5% concordam totalmente com esta afirmação.</w:t>
      </w:r>
    </w:p>
    <w:p w:rsidR="009C5DB4" w:rsidRDefault="00D73CD7" w:rsidP="009C5DB4">
      <w:pPr>
        <w:ind w:firstLine="709"/>
        <w:jc w:val="both"/>
        <w:rPr>
          <w:sz w:val="24"/>
          <w:szCs w:val="24"/>
        </w:rPr>
      </w:pPr>
      <w:r w:rsidRPr="00D73CD7">
        <w:rPr>
          <w:sz w:val="24"/>
          <w:szCs w:val="24"/>
        </w:rPr>
        <w:t xml:space="preserve">Desta forma, em relação ao questionamento do presente estudo, sobre qual a percepção dos contadores de uma Instituição Federal de Ensino Público sobre as Normas Brasileiras de Contabilidade Aplicadas ao Setor Público (NBCASP), conclui-se que os contadores públicos da Universidade Federal de Pernambuco, abordados na pesquisa, </w:t>
      </w:r>
      <w:r w:rsidRPr="00624A03">
        <w:rPr>
          <w:sz w:val="24"/>
          <w:szCs w:val="24"/>
        </w:rPr>
        <w:t>identificam a relevância das novas normas contábeis aplicáveis ao setor público e que trará maior valorização do profissional, havendo, no entanto, uma necessidade de atualização sobre os normativos que são basilares para o desenvolvimento das atividades do contador.</w:t>
      </w:r>
    </w:p>
    <w:p w:rsidR="00D73CD7" w:rsidRPr="00624A03" w:rsidRDefault="00D73CD7" w:rsidP="009C5DB4">
      <w:pPr>
        <w:ind w:firstLine="709"/>
        <w:jc w:val="both"/>
        <w:rPr>
          <w:sz w:val="24"/>
          <w:szCs w:val="24"/>
        </w:rPr>
      </w:pPr>
      <w:r w:rsidRPr="00624A03">
        <w:rPr>
          <w:sz w:val="24"/>
          <w:szCs w:val="24"/>
        </w:rPr>
        <w:t xml:space="preserve">Assim como abordado por </w:t>
      </w:r>
      <w:proofErr w:type="spellStart"/>
      <w:r w:rsidRPr="00624A03">
        <w:rPr>
          <w:sz w:val="24"/>
          <w:szCs w:val="24"/>
        </w:rPr>
        <w:t>Piccoli</w:t>
      </w:r>
      <w:proofErr w:type="spellEnd"/>
      <w:r w:rsidRPr="00624A03">
        <w:rPr>
          <w:sz w:val="24"/>
          <w:szCs w:val="24"/>
        </w:rPr>
        <w:t xml:space="preserve"> e </w:t>
      </w:r>
      <w:proofErr w:type="spellStart"/>
      <w:r w:rsidRPr="00624A03">
        <w:rPr>
          <w:sz w:val="24"/>
          <w:szCs w:val="24"/>
        </w:rPr>
        <w:t>Klann</w:t>
      </w:r>
      <w:proofErr w:type="spellEnd"/>
      <w:r w:rsidRPr="00624A03">
        <w:rPr>
          <w:sz w:val="24"/>
          <w:szCs w:val="24"/>
        </w:rPr>
        <w:t xml:space="preserve"> em seu trabalho, abordando os contadores na esfera municipal, os contadores no âmbito de uma universidade federal, abordados nesta pesquisa, também admitem que ainda não estão totalmente preparados para empregar as normas brasileiras de contabilidade aplicadas ao setor público. Isto denota um quadro impactante sobre a atualização profissional constante dos contadores</w:t>
      </w:r>
    </w:p>
    <w:p w:rsidR="00D73CD7" w:rsidRPr="00624A03" w:rsidRDefault="00D73CD7" w:rsidP="00D73CD7">
      <w:pPr>
        <w:ind w:firstLine="709"/>
        <w:jc w:val="both"/>
      </w:pPr>
    </w:p>
    <w:p w:rsidR="00D73CD7" w:rsidRPr="00624A03" w:rsidRDefault="00D73CD7" w:rsidP="00D73CD7">
      <w:pPr>
        <w:jc w:val="center"/>
        <w:rPr>
          <w:b/>
          <w:sz w:val="24"/>
          <w:szCs w:val="24"/>
          <w:shd w:val="clear" w:color="auto" w:fill="FFFFFF"/>
        </w:rPr>
      </w:pPr>
      <w:r w:rsidRPr="00624A03">
        <w:rPr>
          <w:b/>
          <w:sz w:val="24"/>
          <w:szCs w:val="24"/>
          <w:shd w:val="clear" w:color="auto" w:fill="FFFFFF"/>
        </w:rPr>
        <w:t>Referências</w:t>
      </w:r>
    </w:p>
    <w:p w:rsidR="00D73CD7" w:rsidRPr="00624A03" w:rsidRDefault="00D73CD7" w:rsidP="00D73CD7">
      <w:pPr>
        <w:jc w:val="both"/>
        <w:rPr>
          <w:b/>
          <w:shd w:val="clear" w:color="auto" w:fill="FFFFFF"/>
        </w:rPr>
      </w:pPr>
    </w:p>
    <w:p w:rsidR="00D73CD7" w:rsidRPr="00624A03" w:rsidRDefault="00D73CD7" w:rsidP="00D73CD7">
      <w:pPr>
        <w:spacing w:after="240"/>
        <w:ind w:left="425" w:hanging="425"/>
        <w:jc w:val="both"/>
        <w:rPr>
          <w:sz w:val="24"/>
          <w:szCs w:val="24"/>
          <w:shd w:val="clear" w:color="auto" w:fill="FFFFFF"/>
        </w:rPr>
      </w:pPr>
      <w:r w:rsidRPr="00624A03">
        <w:rPr>
          <w:sz w:val="24"/>
          <w:szCs w:val="24"/>
          <w:shd w:val="clear" w:color="auto" w:fill="FFFFFF"/>
        </w:rPr>
        <w:t xml:space="preserve">Araújo, H. L. A. de; Martins, Vidigal Fernandes. </w:t>
      </w:r>
      <w:r w:rsidRPr="00624A03">
        <w:rPr>
          <w:b/>
          <w:sz w:val="24"/>
          <w:szCs w:val="24"/>
          <w:shd w:val="clear" w:color="auto" w:fill="FFFFFF"/>
        </w:rPr>
        <w:t>Normas brasileiras de contabilidade aplicadas ao setor público</w:t>
      </w:r>
      <w:r w:rsidRPr="00624A03">
        <w:rPr>
          <w:sz w:val="24"/>
          <w:szCs w:val="24"/>
          <w:shd w:val="clear" w:color="auto" w:fill="FFFFFF"/>
        </w:rPr>
        <w:t>: uma análise do estágio de implementação nos municípios da Associação dos Municípios da Microrregião do Vale do Paranaíba AMVAP.</w:t>
      </w:r>
      <w:r w:rsidRPr="00624A03">
        <w:rPr>
          <w:sz w:val="24"/>
          <w:szCs w:val="24"/>
        </w:rPr>
        <w:t> </w:t>
      </w:r>
      <w:r w:rsidRPr="00624A03">
        <w:rPr>
          <w:bCs/>
          <w:sz w:val="24"/>
          <w:szCs w:val="24"/>
        </w:rPr>
        <w:t xml:space="preserve">Revista de Auditoria, Governança e Contabilidade - RAGC - </w:t>
      </w:r>
      <w:proofErr w:type="spellStart"/>
      <w:r w:rsidRPr="00624A03">
        <w:rPr>
          <w:bCs/>
          <w:sz w:val="24"/>
          <w:szCs w:val="24"/>
        </w:rPr>
        <w:t>Fucamp</w:t>
      </w:r>
      <w:proofErr w:type="spellEnd"/>
      <w:r w:rsidRPr="00624A03">
        <w:rPr>
          <w:bCs/>
          <w:sz w:val="24"/>
          <w:szCs w:val="24"/>
        </w:rPr>
        <w:t>,</w:t>
      </w:r>
      <w:r w:rsidRPr="00624A03">
        <w:rPr>
          <w:sz w:val="24"/>
          <w:szCs w:val="24"/>
        </w:rPr>
        <w:t> </w:t>
      </w:r>
      <w:r w:rsidRPr="00624A03">
        <w:rPr>
          <w:sz w:val="24"/>
          <w:szCs w:val="24"/>
          <w:shd w:val="clear" w:color="auto" w:fill="FFFFFF"/>
        </w:rPr>
        <w:t>Monte Carmelo, v. 4, n. 11, p.41-59, dez. 2016.</w:t>
      </w:r>
    </w:p>
    <w:p w:rsidR="00D73CD7" w:rsidRPr="00624A03" w:rsidRDefault="00D73CD7" w:rsidP="00D73CD7">
      <w:pPr>
        <w:spacing w:after="240"/>
        <w:ind w:left="425" w:hanging="425"/>
        <w:jc w:val="both"/>
        <w:rPr>
          <w:sz w:val="24"/>
          <w:szCs w:val="24"/>
          <w:shd w:val="clear" w:color="auto" w:fill="FFFFFF"/>
        </w:rPr>
      </w:pPr>
      <w:proofErr w:type="spellStart"/>
      <w:r w:rsidRPr="00624A03">
        <w:rPr>
          <w:sz w:val="24"/>
          <w:szCs w:val="24"/>
          <w:shd w:val="clear" w:color="auto" w:fill="FFFFFF"/>
        </w:rPr>
        <w:t>Beuren</w:t>
      </w:r>
      <w:proofErr w:type="spellEnd"/>
      <w:r w:rsidRPr="00624A03">
        <w:rPr>
          <w:sz w:val="24"/>
          <w:szCs w:val="24"/>
          <w:shd w:val="clear" w:color="auto" w:fill="FFFFFF"/>
        </w:rPr>
        <w:t xml:space="preserve">, </w:t>
      </w:r>
      <w:proofErr w:type="spellStart"/>
      <w:r w:rsidRPr="00624A03">
        <w:rPr>
          <w:sz w:val="24"/>
          <w:szCs w:val="24"/>
          <w:shd w:val="clear" w:color="auto" w:fill="FFFFFF"/>
        </w:rPr>
        <w:t>Ilse</w:t>
      </w:r>
      <w:proofErr w:type="spellEnd"/>
      <w:r w:rsidRPr="00624A03">
        <w:rPr>
          <w:sz w:val="24"/>
          <w:szCs w:val="24"/>
          <w:shd w:val="clear" w:color="auto" w:fill="FFFFFF"/>
        </w:rPr>
        <w:t xml:space="preserve"> Maria et al (Org.).</w:t>
      </w:r>
      <w:r w:rsidRPr="00624A03">
        <w:rPr>
          <w:sz w:val="24"/>
          <w:szCs w:val="24"/>
        </w:rPr>
        <w:t> </w:t>
      </w:r>
      <w:r w:rsidRPr="00624A03">
        <w:rPr>
          <w:b/>
          <w:sz w:val="24"/>
          <w:szCs w:val="24"/>
        </w:rPr>
        <w:t>Como elaborar trabalhos monográficos em contabilidade</w:t>
      </w:r>
      <w:r w:rsidRPr="00624A03">
        <w:rPr>
          <w:bCs/>
          <w:sz w:val="24"/>
          <w:szCs w:val="24"/>
        </w:rPr>
        <w:t>:</w:t>
      </w:r>
      <w:r w:rsidRPr="00624A03">
        <w:rPr>
          <w:sz w:val="24"/>
          <w:szCs w:val="24"/>
        </w:rPr>
        <w:t> t</w:t>
      </w:r>
      <w:r w:rsidRPr="00624A03">
        <w:rPr>
          <w:sz w:val="24"/>
          <w:szCs w:val="24"/>
          <w:shd w:val="clear" w:color="auto" w:fill="FFFFFF"/>
        </w:rPr>
        <w:t>eoria e prática. 3. ed. São Paulo: Atlas, 2009. 200 p.</w:t>
      </w:r>
    </w:p>
    <w:p w:rsidR="00D73CD7" w:rsidRPr="00624A03" w:rsidRDefault="00D73CD7" w:rsidP="00D73CD7">
      <w:pPr>
        <w:spacing w:after="240"/>
        <w:ind w:left="425" w:hanging="425"/>
        <w:jc w:val="both"/>
        <w:rPr>
          <w:sz w:val="24"/>
          <w:szCs w:val="24"/>
        </w:rPr>
      </w:pPr>
      <w:r w:rsidRPr="00624A03">
        <w:rPr>
          <w:sz w:val="24"/>
          <w:szCs w:val="24"/>
        </w:rPr>
        <w:t xml:space="preserve">Bezerra Filho, João Eudes; Feijó, Paulo Henrique. </w:t>
      </w:r>
      <w:r w:rsidRPr="00624A03">
        <w:rPr>
          <w:b/>
          <w:sz w:val="24"/>
          <w:szCs w:val="24"/>
        </w:rPr>
        <w:t>A nova contabilidade aplicada ao setor público</w:t>
      </w:r>
      <w:r w:rsidRPr="00624A03">
        <w:rPr>
          <w:sz w:val="24"/>
          <w:szCs w:val="24"/>
        </w:rPr>
        <w:t>: o futuro chegou! Revista TCE-PE, Recife, v. 19, n. 19, p.28-61, dez. 2012.</w:t>
      </w:r>
    </w:p>
    <w:p w:rsidR="00D73CD7" w:rsidRPr="00624A03" w:rsidRDefault="00D73CD7" w:rsidP="00D73CD7">
      <w:pPr>
        <w:spacing w:after="240"/>
        <w:ind w:left="425" w:hanging="425"/>
        <w:jc w:val="both"/>
        <w:rPr>
          <w:sz w:val="24"/>
          <w:szCs w:val="24"/>
          <w:shd w:val="clear" w:color="auto" w:fill="FFFFFF"/>
        </w:rPr>
      </w:pPr>
      <w:r w:rsidRPr="00624A03">
        <w:rPr>
          <w:sz w:val="24"/>
          <w:szCs w:val="24"/>
          <w:shd w:val="clear" w:color="auto" w:fill="FFFFFF"/>
        </w:rPr>
        <w:lastRenderedPageBreak/>
        <w:t>Brasil.</w:t>
      </w:r>
      <w:r w:rsidRPr="00624A03">
        <w:rPr>
          <w:rStyle w:val="apple-converted-space"/>
          <w:sz w:val="24"/>
          <w:szCs w:val="24"/>
          <w:shd w:val="clear" w:color="auto" w:fill="FFFFFF"/>
        </w:rPr>
        <w:t> </w:t>
      </w:r>
      <w:r w:rsidRPr="00624A03">
        <w:rPr>
          <w:rStyle w:val="Forte"/>
          <w:b w:val="0"/>
          <w:sz w:val="24"/>
          <w:szCs w:val="24"/>
          <w:shd w:val="clear" w:color="auto" w:fill="FFFFFF"/>
        </w:rPr>
        <w:t>Lei n° 4.320, de 17 de março de 1964</w:t>
      </w:r>
      <w:r w:rsidRPr="00624A03">
        <w:rPr>
          <w:sz w:val="24"/>
          <w:szCs w:val="24"/>
          <w:shd w:val="clear" w:color="auto" w:fill="FFFFFF"/>
        </w:rPr>
        <w:t>: Estatui Normas Gerais de Direito Financeiro para elaboração e controle dos orçamentos e balanços da União, dos Estados, dos Municípios e do Distrito Federal. Brasília, 04 maio 1964. Disponível em: &lt;http://www.planalto.gov.br/ccivil_03/leis/L4320.htm&gt;. Acesso em 17/05/2017.</w:t>
      </w:r>
    </w:p>
    <w:p w:rsidR="00D73CD7" w:rsidRPr="00624A03" w:rsidRDefault="00D73CD7" w:rsidP="00D73CD7">
      <w:pPr>
        <w:spacing w:after="240"/>
        <w:ind w:left="425" w:hanging="425"/>
        <w:jc w:val="both"/>
        <w:rPr>
          <w:sz w:val="24"/>
          <w:szCs w:val="24"/>
          <w:shd w:val="clear" w:color="auto" w:fill="FFFFFF"/>
        </w:rPr>
      </w:pPr>
      <w:r w:rsidRPr="00624A03">
        <w:rPr>
          <w:sz w:val="24"/>
          <w:szCs w:val="24"/>
          <w:shd w:val="clear" w:color="auto" w:fill="FFFFFF"/>
        </w:rPr>
        <w:t>_______. Portaria MF nº 184, de 25 de agosto de 2008. Dispõe sobre as diretrizes a serem observadas no setor público (pelos entes públicos) quanto aos procedimentos, práticas, elaboração e divulgação das demonstrações contábeis, de forma a torná-los convergentes com as Normas Internacionais de Contabilidade Aplicadas ao Setor Público. Diário Oficial [da] República Federativa do Brasil, Poder Executivo, Brasília, DF, 25 de agosto 2008, Seção 1.</w:t>
      </w:r>
    </w:p>
    <w:p w:rsidR="00D73CD7" w:rsidRPr="00624A03" w:rsidRDefault="00D73CD7" w:rsidP="00D73CD7">
      <w:pPr>
        <w:spacing w:after="240"/>
        <w:ind w:left="425" w:hanging="425"/>
        <w:jc w:val="both"/>
        <w:rPr>
          <w:sz w:val="24"/>
          <w:szCs w:val="24"/>
        </w:rPr>
      </w:pPr>
      <w:r w:rsidRPr="00624A03">
        <w:rPr>
          <w:sz w:val="24"/>
          <w:szCs w:val="24"/>
          <w:shd w:val="clear" w:color="auto" w:fill="FFFFFF"/>
        </w:rPr>
        <w:t>______.</w:t>
      </w:r>
      <w:r w:rsidRPr="00624A03">
        <w:rPr>
          <w:rStyle w:val="apple-converted-space"/>
          <w:sz w:val="24"/>
          <w:szCs w:val="24"/>
          <w:shd w:val="clear" w:color="auto" w:fill="FFFFFF"/>
        </w:rPr>
        <w:t> </w:t>
      </w:r>
      <w:r w:rsidRPr="00624A03">
        <w:rPr>
          <w:rStyle w:val="Forte"/>
          <w:b w:val="0"/>
          <w:sz w:val="24"/>
          <w:szCs w:val="24"/>
          <w:shd w:val="clear" w:color="auto" w:fill="FFFFFF"/>
        </w:rPr>
        <w:t>Lei n° 6.404, de 15 de dezembro de 1976</w:t>
      </w:r>
      <w:r w:rsidRPr="00624A03">
        <w:rPr>
          <w:sz w:val="24"/>
          <w:szCs w:val="24"/>
          <w:shd w:val="clear" w:color="auto" w:fill="FFFFFF"/>
        </w:rPr>
        <w:t>: Dispõe sobre as Sociedades por Ações. Brasília, 17 dez. 1976. Disponível em: &lt;</w:t>
      </w:r>
      <w:r w:rsidRPr="00624A03">
        <w:rPr>
          <w:sz w:val="24"/>
          <w:szCs w:val="24"/>
        </w:rPr>
        <w:t>http://www.planalto.gov.br/ccivil_03/leis/L6404compilada.htm&gt;. Acesso em 17/05/2017.</w:t>
      </w:r>
    </w:p>
    <w:p w:rsidR="00D73CD7" w:rsidRDefault="00D73CD7" w:rsidP="00D73CD7">
      <w:pPr>
        <w:spacing w:after="240"/>
        <w:ind w:left="425" w:hanging="425"/>
        <w:jc w:val="both"/>
        <w:rPr>
          <w:sz w:val="24"/>
          <w:szCs w:val="24"/>
          <w:shd w:val="clear" w:color="auto" w:fill="FFFFFF"/>
        </w:rPr>
      </w:pPr>
      <w:r w:rsidRPr="00624A03">
        <w:rPr>
          <w:sz w:val="24"/>
          <w:szCs w:val="24"/>
          <w:shd w:val="clear" w:color="auto" w:fill="FFFFFF"/>
        </w:rPr>
        <w:t xml:space="preserve">______. </w:t>
      </w:r>
      <w:r w:rsidR="00EF41F4" w:rsidRPr="00624A03">
        <w:rPr>
          <w:sz w:val="24"/>
          <w:szCs w:val="24"/>
          <w:shd w:val="clear" w:color="auto" w:fill="FFFFFF"/>
        </w:rPr>
        <w:t xml:space="preserve">Conselho Federal </w:t>
      </w:r>
      <w:r w:rsidR="00EF41F4">
        <w:rPr>
          <w:sz w:val="24"/>
          <w:szCs w:val="24"/>
          <w:shd w:val="clear" w:color="auto" w:fill="FFFFFF"/>
        </w:rPr>
        <w:t>d</w:t>
      </w:r>
      <w:r w:rsidR="00EF41F4" w:rsidRPr="00624A03">
        <w:rPr>
          <w:sz w:val="24"/>
          <w:szCs w:val="24"/>
          <w:shd w:val="clear" w:color="auto" w:fill="FFFFFF"/>
        </w:rPr>
        <w:t>e Contabilidade</w:t>
      </w:r>
      <w:r w:rsidRPr="00624A03">
        <w:rPr>
          <w:sz w:val="24"/>
          <w:szCs w:val="24"/>
          <w:shd w:val="clear" w:color="auto" w:fill="FFFFFF"/>
        </w:rPr>
        <w:t>. (Ed.). </w:t>
      </w:r>
      <w:r w:rsidRPr="00624A03">
        <w:rPr>
          <w:rStyle w:val="Forte"/>
          <w:sz w:val="24"/>
          <w:szCs w:val="24"/>
          <w:shd w:val="clear" w:color="auto" w:fill="FFFFFF"/>
        </w:rPr>
        <w:t>Normas Brasileiras de Contabilidade: </w:t>
      </w:r>
      <w:r w:rsidRPr="00624A03">
        <w:rPr>
          <w:sz w:val="24"/>
          <w:szCs w:val="24"/>
          <w:shd w:val="clear" w:color="auto" w:fill="FFFFFF"/>
        </w:rPr>
        <w:t xml:space="preserve">Contabilidade Aplicada ao Setor Público: </w:t>
      </w:r>
      <w:proofErr w:type="spellStart"/>
      <w:r w:rsidRPr="00624A03">
        <w:rPr>
          <w:sz w:val="24"/>
          <w:szCs w:val="24"/>
          <w:shd w:val="clear" w:color="auto" w:fill="FFFFFF"/>
        </w:rPr>
        <w:t>NBCs</w:t>
      </w:r>
      <w:proofErr w:type="spellEnd"/>
      <w:r w:rsidRPr="00624A03">
        <w:rPr>
          <w:sz w:val="24"/>
          <w:szCs w:val="24"/>
          <w:shd w:val="clear" w:color="auto" w:fill="FFFFFF"/>
        </w:rPr>
        <w:t xml:space="preserve"> T 16.1 a 16.11. Brasília: CFC, 2013. 56 p. Disponível em: &lt;http://portalcfc.org.br/wordpress/wp-content/uploads/2013/11/setor_publico.pdf&gt;. Acesso em: 17 jun. 2017.</w:t>
      </w:r>
    </w:p>
    <w:p w:rsidR="00EF41F4" w:rsidRPr="00624A03" w:rsidRDefault="00EF41F4" w:rsidP="00EF41F4">
      <w:pPr>
        <w:spacing w:after="240"/>
        <w:ind w:left="425" w:hanging="425"/>
        <w:jc w:val="both"/>
        <w:rPr>
          <w:sz w:val="24"/>
          <w:szCs w:val="24"/>
          <w:shd w:val="clear" w:color="auto" w:fill="FFFFFF"/>
        </w:rPr>
      </w:pPr>
      <w:r>
        <w:rPr>
          <w:sz w:val="24"/>
          <w:szCs w:val="24"/>
          <w:shd w:val="clear" w:color="auto" w:fill="FFFFFF"/>
        </w:rPr>
        <w:t xml:space="preserve">______. </w:t>
      </w:r>
      <w:r w:rsidRPr="00624A03">
        <w:rPr>
          <w:sz w:val="24"/>
          <w:szCs w:val="24"/>
          <w:shd w:val="clear" w:color="auto" w:fill="FFFFFF"/>
        </w:rPr>
        <w:t>Conselho Federal de Contabilidade. Resolução nº 1.055, de 07 de outubro de 2005: Cria o comitê de pronunciamentos contábeis – (CPC), e dá outras providências. Brasília, 07 out.2005.</w:t>
      </w:r>
    </w:p>
    <w:p w:rsidR="00EF41F4" w:rsidRPr="00624A03" w:rsidRDefault="00EF41F4" w:rsidP="00EF41F4">
      <w:pPr>
        <w:spacing w:after="240"/>
        <w:ind w:left="425" w:hanging="425"/>
        <w:jc w:val="both"/>
        <w:rPr>
          <w:sz w:val="24"/>
          <w:szCs w:val="24"/>
          <w:shd w:val="clear" w:color="auto" w:fill="FFFFFF"/>
        </w:rPr>
      </w:pPr>
      <w:r>
        <w:rPr>
          <w:sz w:val="24"/>
          <w:szCs w:val="24"/>
          <w:shd w:val="clear" w:color="auto" w:fill="FFFFFF"/>
        </w:rPr>
        <w:t xml:space="preserve">______. </w:t>
      </w:r>
      <w:r w:rsidRPr="00624A03">
        <w:rPr>
          <w:sz w:val="24"/>
          <w:szCs w:val="24"/>
          <w:shd w:val="clear" w:color="auto" w:fill="FFFFFF"/>
        </w:rPr>
        <w:t>Conselho Federal de Contabilidade. Resolução nº 1.136, de 21 de novembro de 2008.</w:t>
      </w:r>
      <w:r w:rsidRPr="00624A03">
        <w:rPr>
          <w:rStyle w:val="apple-converted-space"/>
          <w:sz w:val="24"/>
          <w:szCs w:val="24"/>
          <w:shd w:val="clear" w:color="auto" w:fill="FFFFFF"/>
        </w:rPr>
        <w:t> </w:t>
      </w:r>
      <w:r w:rsidRPr="00624A03">
        <w:rPr>
          <w:rStyle w:val="Forte"/>
          <w:b w:val="0"/>
          <w:sz w:val="24"/>
          <w:szCs w:val="24"/>
          <w:shd w:val="clear" w:color="auto" w:fill="FFFFFF"/>
        </w:rPr>
        <w:t>Aprova a NBC T 16.9 – depreciação, amortização e exaustão</w:t>
      </w:r>
      <w:r w:rsidRPr="00624A03">
        <w:rPr>
          <w:sz w:val="24"/>
          <w:szCs w:val="24"/>
          <w:shd w:val="clear" w:color="auto" w:fill="FFFFFF"/>
        </w:rPr>
        <w:t>. Brasília, 21 nov. 2008.</w:t>
      </w:r>
    </w:p>
    <w:p w:rsidR="00EF41F4" w:rsidRPr="00624A03" w:rsidRDefault="00EF41F4" w:rsidP="00EF41F4">
      <w:pPr>
        <w:spacing w:after="240"/>
        <w:ind w:left="425" w:hanging="425"/>
        <w:jc w:val="both"/>
        <w:rPr>
          <w:sz w:val="24"/>
          <w:szCs w:val="24"/>
          <w:shd w:val="clear" w:color="auto" w:fill="FFFFFF"/>
        </w:rPr>
      </w:pPr>
      <w:r>
        <w:rPr>
          <w:sz w:val="24"/>
          <w:szCs w:val="24"/>
          <w:shd w:val="clear" w:color="auto" w:fill="FFFFFF"/>
        </w:rPr>
        <w:t xml:space="preserve">______. </w:t>
      </w:r>
      <w:r w:rsidRPr="00624A03">
        <w:rPr>
          <w:sz w:val="24"/>
          <w:szCs w:val="24"/>
          <w:shd w:val="clear" w:color="auto" w:fill="FFFFFF"/>
        </w:rPr>
        <w:t>Conselho Federal de Contabilidade. Resolução nº 1.137, de 21 de novembro de 2008.</w:t>
      </w:r>
      <w:r w:rsidRPr="00624A03">
        <w:rPr>
          <w:sz w:val="24"/>
          <w:szCs w:val="24"/>
        </w:rPr>
        <w:t> </w:t>
      </w:r>
      <w:r w:rsidRPr="00624A03">
        <w:rPr>
          <w:bCs/>
          <w:sz w:val="24"/>
          <w:szCs w:val="24"/>
        </w:rPr>
        <w:t>Aprova A NBC T 16.10 – avaliação e mensuração de ativos e passivos em entidades do setor público</w:t>
      </w:r>
      <w:r w:rsidRPr="00624A03">
        <w:rPr>
          <w:sz w:val="24"/>
          <w:szCs w:val="24"/>
          <w:shd w:val="clear" w:color="auto" w:fill="FFFFFF"/>
        </w:rPr>
        <w:t>. Brasília, 21 nov. 2008.</w:t>
      </w:r>
    </w:p>
    <w:p w:rsidR="00EF41F4" w:rsidRPr="00624A03" w:rsidRDefault="00EF41F4" w:rsidP="00EF41F4">
      <w:pPr>
        <w:spacing w:after="240"/>
        <w:ind w:left="425" w:hanging="425"/>
        <w:jc w:val="both"/>
        <w:rPr>
          <w:sz w:val="24"/>
          <w:szCs w:val="24"/>
          <w:shd w:val="clear" w:color="auto" w:fill="FFFFFF"/>
        </w:rPr>
      </w:pPr>
      <w:r>
        <w:rPr>
          <w:sz w:val="24"/>
          <w:szCs w:val="24"/>
          <w:shd w:val="clear" w:color="auto" w:fill="FFFFFF"/>
        </w:rPr>
        <w:t xml:space="preserve">______. </w:t>
      </w:r>
      <w:r w:rsidRPr="00624A03">
        <w:rPr>
          <w:sz w:val="24"/>
          <w:szCs w:val="24"/>
          <w:shd w:val="clear" w:color="auto" w:fill="FFFFFF"/>
        </w:rPr>
        <w:t xml:space="preserve">Conselho Federal de Contabilidade. Normas brasileiras de contabilidade: contabilidade aplicada ao setor público: </w:t>
      </w:r>
      <w:proofErr w:type="spellStart"/>
      <w:r w:rsidRPr="00624A03">
        <w:rPr>
          <w:sz w:val="24"/>
          <w:szCs w:val="24"/>
          <w:shd w:val="clear" w:color="auto" w:fill="FFFFFF"/>
        </w:rPr>
        <w:t>NBCs</w:t>
      </w:r>
      <w:proofErr w:type="spellEnd"/>
      <w:r w:rsidRPr="00624A03">
        <w:rPr>
          <w:sz w:val="24"/>
          <w:szCs w:val="24"/>
          <w:shd w:val="clear" w:color="auto" w:fill="FFFFFF"/>
        </w:rPr>
        <w:t xml:space="preserve"> T 16.1 a 16.11. Conselho Federal de Contabilidade. Brasília: Conselho Federal de Contabilidade, 2012.</w:t>
      </w:r>
    </w:p>
    <w:p w:rsidR="00D73CD7" w:rsidRDefault="00D73CD7" w:rsidP="00D73CD7">
      <w:pPr>
        <w:spacing w:after="240"/>
        <w:ind w:left="425" w:hanging="425"/>
        <w:jc w:val="both"/>
        <w:rPr>
          <w:sz w:val="24"/>
          <w:szCs w:val="24"/>
          <w:shd w:val="clear" w:color="auto" w:fill="FFFFFF"/>
        </w:rPr>
      </w:pPr>
      <w:r w:rsidRPr="00624A03">
        <w:rPr>
          <w:sz w:val="24"/>
          <w:szCs w:val="24"/>
          <w:shd w:val="clear" w:color="auto" w:fill="FFFFFF"/>
        </w:rPr>
        <w:t xml:space="preserve">Carneiro, Alexandre de Freitas et al. </w:t>
      </w:r>
      <w:r w:rsidRPr="00624A03">
        <w:rPr>
          <w:b/>
          <w:sz w:val="24"/>
          <w:szCs w:val="24"/>
        </w:rPr>
        <w:t>Custos na administração pública</w:t>
      </w:r>
      <w:r w:rsidRPr="00624A03">
        <w:rPr>
          <w:sz w:val="24"/>
          <w:szCs w:val="24"/>
          <w:shd w:val="clear" w:color="auto" w:fill="FFFFFF"/>
        </w:rPr>
        <w:t>: revisão focada na publicação de artigos científicos a partir da promulgação da Lei de Responsabilidade Fiscal.</w:t>
      </w:r>
      <w:r w:rsidRPr="00624A03">
        <w:rPr>
          <w:sz w:val="24"/>
          <w:szCs w:val="24"/>
        </w:rPr>
        <w:t> </w:t>
      </w:r>
      <w:r w:rsidRPr="00624A03">
        <w:rPr>
          <w:bCs/>
          <w:sz w:val="24"/>
          <w:szCs w:val="24"/>
        </w:rPr>
        <w:t>Revista Contemporânea de Contabilidade,</w:t>
      </w:r>
      <w:r w:rsidRPr="00624A03">
        <w:rPr>
          <w:sz w:val="24"/>
          <w:szCs w:val="24"/>
        </w:rPr>
        <w:t> </w:t>
      </w:r>
      <w:r w:rsidRPr="00624A03">
        <w:rPr>
          <w:sz w:val="24"/>
          <w:szCs w:val="24"/>
          <w:shd w:val="clear" w:color="auto" w:fill="FFFFFF"/>
        </w:rPr>
        <w:t>[</w:t>
      </w:r>
      <w:proofErr w:type="spellStart"/>
      <w:r w:rsidRPr="00624A03">
        <w:rPr>
          <w:sz w:val="24"/>
          <w:szCs w:val="24"/>
          <w:shd w:val="clear" w:color="auto" w:fill="FFFFFF"/>
        </w:rPr>
        <w:t>s.l</w:t>
      </w:r>
      <w:proofErr w:type="spellEnd"/>
      <w:r w:rsidRPr="00624A03">
        <w:rPr>
          <w:sz w:val="24"/>
          <w:szCs w:val="24"/>
          <w:shd w:val="clear" w:color="auto" w:fill="FFFFFF"/>
        </w:rPr>
        <w:t>.], v. 9, n. 18, p.03-22, 14 dez. 2012. Universidade Federal de Santa Catarina (UFSC). &lt;</w:t>
      </w:r>
      <w:proofErr w:type="gramStart"/>
      <w:r w:rsidRPr="00624A03">
        <w:rPr>
          <w:sz w:val="24"/>
          <w:szCs w:val="24"/>
          <w:shd w:val="clear" w:color="auto" w:fill="FFFFFF"/>
        </w:rPr>
        <w:t>http://dx.doi.org/10.5007/2175-8069.2012v9n18p3</w:t>
      </w:r>
      <w:proofErr w:type="gramEnd"/>
      <w:r w:rsidRPr="00624A03">
        <w:rPr>
          <w:sz w:val="24"/>
          <w:szCs w:val="24"/>
          <w:shd w:val="clear" w:color="auto" w:fill="FFFFFF"/>
        </w:rPr>
        <w:t>&gt;.</w:t>
      </w:r>
    </w:p>
    <w:p w:rsidR="00D73CD7" w:rsidRPr="00624A03" w:rsidRDefault="00D73CD7" w:rsidP="00D73CD7">
      <w:pPr>
        <w:spacing w:after="240"/>
        <w:ind w:left="425" w:hanging="425"/>
        <w:jc w:val="both"/>
        <w:rPr>
          <w:sz w:val="24"/>
          <w:szCs w:val="24"/>
        </w:rPr>
      </w:pPr>
      <w:r w:rsidRPr="00624A03">
        <w:rPr>
          <w:sz w:val="24"/>
          <w:szCs w:val="24"/>
        </w:rPr>
        <w:t xml:space="preserve">Carvalho, Tatiana de Araújo; Maia, Ana Maria; Matias, Marcia Athayde; Pereira, Carolina Moreira; Resende, Cintia Carneiro; Santos, </w:t>
      </w:r>
      <w:proofErr w:type="spellStart"/>
      <w:r w:rsidRPr="00624A03">
        <w:rPr>
          <w:sz w:val="24"/>
          <w:szCs w:val="24"/>
        </w:rPr>
        <w:t>Thatiana</w:t>
      </w:r>
      <w:proofErr w:type="spellEnd"/>
      <w:r w:rsidRPr="00624A03">
        <w:rPr>
          <w:sz w:val="24"/>
          <w:szCs w:val="24"/>
        </w:rPr>
        <w:t xml:space="preserve"> Marques dos. </w:t>
      </w:r>
      <w:r w:rsidRPr="00624A03">
        <w:rPr>
          <w:b/>
          <w:sz w:val="24"/>
          <w:szCs w:val="24"/>
        </w:rPr>
        <w:t>Eficiência na utilização de ativos imobilizados</w:t>
      </w:r>
      <w:r w:rsidRPr="00624A03">
        <w:rPr>
          <w:sz w:val="24"/>
          <w:szCs w:val="24"/>
        </w:rPr>
        <w:t xml:space="preserve">: estudo comparativo entre os polos de ensino a distância </w:t>
      </w:r>
      <w:r w:rsidRPr="00624A03">
        <w:rPr>
          <w:sz w:val="24"/>
          <w:szCs w:val="24"/>
        </w:rPr>
        <w:lastRenderedPageBreak/>
        <w:t xml:space="preserve">do CAED/UFMG. In: Congresso Brasileiro de Ensino Superior a Distância, </w:t>
      </w:r>
      <w:proofErr w:type="gramStart"/>
      <w:r w:rsidRPr="00624A03">
        <w:rPr>
          <w:sz w:val="24"/>
          <w:szCs w:val="24"/>
        </w:rPr>
        <w:t>10.,</w:t>
      </w:r>
      <w:proofErr w:type="gramEnd"/>
      <w:r w:rsidRPr="00624A03">
        <w:rPr>
          <w:sz w:val="24"/>
          <w:szCs w:val="24"/>
        </w:rPr>
        <w:t xml:space="preserve"> 2013, Belém, PA. </w:t>
      </w:r>
      <w:r w:rsidRPr="00624A03">
        <w:rPr>
          <w:bCs/>
          <w:sz w:val="24"/>
          <w:szCs w:val="24"/>
        </w:rPr>
        <w:t xml:space="preserve">Anais Eletrônicos. </w:t>
      </w:r>
      <w:r w:rsidRPr="00624A03">
        <w:rPr>
          <w:sz w:val="24"/>
          <w:szCs w:val="24"/>
        </w:rPr>
        <w:t>Minas Gerais, ESUD, 2013.</w:t>
      </w:r>
    </w:p>
    <w:p w:rsidR="00D73CD7" w:rsidRPr="00624A03" w:rsidRDefault="00D73CD7" w:rsidP="00D73CD7">
      <w:pPr>
        <w:spacing w:after="240"/>
        <w:ind w:left="425" w:hanging="425"/>
        <w:jc w:val="both"/>
        <w:rPr>
          <w:sz w:val="24"/>
          <w:szCs w:val="24"/>
          <w:shd w:val="clear" w:color="auto" w:fill="FFFFFF"/>
        </w:rPr>
      </w:pPr>
      <w:proofErr w:type="spellStart"/>
      <w:r w:rsidRPr="00624A03">
        <w:rPr>
          <w:sz w:val="24"/>
          <w:szCs w:val="24"/>
          <w:shd w:val="clear" w:color="auto" w:fill="FFFFFF"/>
        </w:rPr>
        <w:t>Darós</w:t>
      </w:r>
      <w:proofErr w:type="spellEnd"/>
      <w:r w:rsidRPr="00624A03">
        <w:rPr>
          <w:sz w:val="24"/>
          <w:szCs w:val="24"/>
          <w:shd w:val="clear" w:color="auto" w:fill="FFFFFF"/>
        </w:rPr>
        <w:t xml:space="preserve">, L. L.; Pereira, A. S. Análise das normas brasileiras de contabilidade aplicadas ao setor público - NBCASP: mudanças e desafios para a Contabilidade pública. In: Congresso USP de Controladoria e Contabilidade, </w:t>
      </w:r>
      <w:proofErr w:type="gramStart"/>
      <w:r w:rsidRPr="00624A03">
        <w:rPr>
          <w:sz w:val="24"/>
          <w:szCs w:val="24"/>
          <w:shd w:val="clear" w:color="auto" w:fill="FFFFFF"/>
        </w:rPr>
        <w:t>10.,</w:t>
      </w:r>
      <w:proofErr w:type="gramEnd"/>
      <w:r w:rsidRPr="00624A03">
        <w:rPr>
          <w:sz w:val="24"/>
          <w:szCs w:val="24"/>
          <w:shd w:val="clear" w:color="auto" w:fill="FFFFFF"/>
        </w:rPr>
        <w:t xml:space="preserve"> 2009, São Paulo. </w:t>
      </w:r>
      <w:r w:rsidRPr="00624A03">
        <w:rPr>
          <w:b/>
          <w:sz w:val="24"/>
          <w:szCs w:val="24"/>
          <w:shd w:val="clear" w:color="auto" w:fill="FFFFFF"/>
        </w:rPr>
        <w:t>Anais</w:t>
      </w:r>
      <w:r w:rsidRPr="00624A03">
        <w:rPr>
          <w:sz w:val="24"/>
          <w:szCs w:val="24"/>
          <w:shd w:val="clear" w:color="auto" w:fill="FFFFFF"/>
        </w:rPr>
        <w:t>... São Paulo: USP, 2009. p. 1-12.</w:t>
      </w:r>
    </w:p>
    <w:p w:rsidR="00D73CD7" w:rsidRPr="00624A03" w:rsidRDefault="00D73CD7" w:rsidP="00D73CD7">
      <w:pPr>
        <w:spacing w:after="240"/>
        <w:ind w:left="425" w:hanging="425"/>
        <w:jc w:val="both"/>
        <w:rPr>
          <w:sz w:val="24"/>
          <w:szCs w:val="24"/>
          <w:shd w:val="clear" w:color="auto" w:fill="FFFFFF"/>
        </w:rPr>
      </w:pPr>
      <w:proofErr w:type="spellStart"/>
      <w:r w:rsidRPr="009C5DB4">
        <w:rPr>
          <w:sz w:val="24"/>
          <w:szCs w:val="24"/>
          <w:shd w:val="clear" w:color="auto" w:fill="FFFFFF"/>
          <w:lang w:val="en-US"/>
        </w:rPr>
        <w:t>Galante</w:t>
      </w:r>
      <w:proofErr w:type="spellEnd"/>
      <w:r w:rsidRPr="009C5DB4">
        <w:rPr>
          <w:sz w:val="24"/>
          <w:szCs w:val="24"/>
          <w:shd w:val="clear" w:color="auto" w:fill="FFFFFF"/>
          <w:lang w:val="en-US"/>
        </w:rPr>
        <w:t xml:space="preserve">, </w:t>
      </w:r>
      <w:proofErr w:type="spellStart"/>
      <w:r w:rsidRPr="009C5DB4">
        <w:rPr>
          <w:sz w:val="24"/>
          <w:szCs w:val="24"/>
          <w:shd w:val="clear" w:color="auto" w:fill="FFFFFF"/>
          <w:lang w:val="en-US"/>
        </w:rPr>
        <w:t>Celso</w:t>
      </w:r>
      <w:proofErr w:type="spellEnd"/>
      <w:r w:rsidRPr="009C5DB4">
        <w:rPr>
          <w:sz w:val="24"/>
          <w:szCs w:val="24"/>
          <w:shd w:val="clear" w:color="auto" w:fill="FFFFFF"/>
          <w:lang w:val="en-US"/>
        </w:rPr>
        <w:t xml:space="preserve">; </w:t>
      </w:r>
      <w:proofErr w:type="spellStart"/>
      <w:r w:rsidRPr="009C5DB4">
        <w:rPr>
          <w:sz w:val="24"/>
          <w:szCs w:val="24"/>
          <w:shd w:val="clear" w:color="auto" w:fill="FFFFFF"/>
          <w:lang w:val="en-US"/>
        </w:rPr>
        <w:t>Oenning</w:t>
      </w:r>
      <w:proofErr w:type="spellEnd"/>
      <w:r w:rsidRPr="009C5DB4">
        <w:rPr>
          <w:sz w:val="24"/>
          <w:szCs w:val="24"/>
          <w:shd w:val="clear" w:color="auto" w:fill="FFFFFF"/>
          <w:lang w:val="en-US"/>
        </w:rPr>
        <w:t xml:space="preserve">, </w:t>
      </w:r>
      <w:proofErr w:type="spellStart"/>
      <w:r w:rsidRPr="009C5DB4">
        <w:rPr>
          <w:sz w:val="24"/>
          <w:szCs w:val="24"/>
          <w:shd w:val="clear" w:color="auto" w:fill="FFFFFF"/>
          <w:lang w:val="en-US"/>
        </w:rPr>
        <w:t>Vilmar</w:t>
      </w:r>
      <w:proofErr w:type="spellEnd"/>
      <w:r w:rsidRPr="009C5DB4">
        <w:rPr>
          <w:sz w:val="24"/>
          <w:szCs w:val="24"/>
          <w:shd w:val="clear" w:color="auto" w:fill="FFFFFF"/>
          <w:lang w:val="en-US"/>
        </w:rPr>
        <w:t xml:space="preserve">; Land, </w:t>
      </w:r>
      <w:proofErr w:type="spellStart"/>
      <w:r w:rsidRPr="009C5DB4">
        <w:rPr>
          <w:sz w:val="24"/>
          <w:szCs w:val="24"/>
          <w:shd w:val="clear" w:color="auto" w:fill="FFFFFF"/>
          <w:lang w:val="en-US"/>
        </w:rPr>
        <w:t>Alexandre</w:t>
      </w:r>
      <w:proofErr w:type="spellEnd"/>
      <w:r w:rsidRPr="009C5DB4">
        <w:rPr>
          <w:sz w:val="24"/>
          <w:szCs w:val="24"/>
          <w:shd w:val="clear" w:color="auto" w:fill="FFFFFF"/>
          <w:lang w:val="en-US"/>
        </w:rPr>
        <w:t xml:space="preserve"> Klein. </w:t>
      </w:r>
      <w:r w:rsidRPr="00624A03">
        <w:rPr>
          <w:sz w:val="24"/>
          <w:szCs w:val="24"/>
          <w:shd w:val="clear" w:color="auto" w:fill="FFFFFF"/>
        </w:rPr>
        <w:t xml:space="preserve">Reconhecimento e mensuração do ativo imobilizado no setor público. In: Congresso Brasileiro de Custos, </w:t>
      </w:r>
      <w:proofErr w:type="gramStart"/>
      <w:r w:rsidRPr="00624A03">
        <w:rPr>
          <w:sz w:val="24"/>
          <w:szCs w:val="24"/>
          <w:shd w:val="clear" w:color="auto" w:fill="FFFFFF"/>
        </w:rPr>
        <w:t>23.,</w:t>
      </w:r>
      <w:proofErr w:type="gramEnd"/>
      <w:r w:rsidRPr="00624A03">
        <w:rPr>
          <w:sz w:val="24"/>
          <w:szCs w:val="24"/>
          <w:shd w:val="clear" w:color="auto" w:fill="FFFFFF"/>
        </w:rPr>
        <w:t xml:space="preserve"> 2016, Porto de Galinhas. </w:t>
      </w:r>
      <w:r w:rsidRPr="00624A03">
        <w:rPr>
          <w:b/>
          <w:bCs/>
          <w:sz w:val="24"/>
          <w:szCs w:val="24"/>
        </w:rPr>
        <w:t>Anais</w:t>
      </w:r>
      <w:proofErr w:type="gramStart"/>
      <w:r w:rsidRPr="00624A03">
        <w:rPr>
          <w:b/>
          <w:bCs/>
          <w:sz w:val="24"/>
          <w:szCs w:val="24"/>
        </w:rPr>
        <w:t>... .</w:t>
      </w:r>
      <w:proofErr w:type="gramEnd"/>
      <w:r w:rsidRPr="00624A03">
        <w:rPr>
          <w:b/>
          <w:bCs/>
          <w:sz w:val="24"/>
          <w:szCs w:val="24"/>
        </w:rPr>
        <w:t> </w:t>
      </w:r>
      <w:r w:rsidRPr="00624A03">
        <w:rPr>
          <w:sz w:val="24"/>
          <w:szCs w:val="24"/>
          <w:shd w:val="clear" w:color="auto" w:fill="FFFFFF"/>
        </w:rPr>
        <w:t>São Leopoldo: Associação Brasileira de Custos, 2016. p. 1 - 16.</w:t>
      </w:r>
    </w:p>
    <w:p w:rsidR="00D73CD7" w:rsidRPr="00624A03" w:rsidRDefault="00D73CD7" w:rsidP="00D73CD7">
      <w:pPr>
        <w:spacing w:after="240"/>
        <w:ind w:left="425" w:hanging="425"/>
        <w:jc w:val="both"/>
        <w:rPr>
          <w:bCs/>
          <w:sz w:val="24"/>
          <w:szCs w:val="24"/>
        </w:rPr>
      </w:pPr>
      <w:r w:rsidRPr="00624A03">
        <w:rPr>
          <w:sz w:val="24"/>
          <w:szCs w:val="24"/>
          <w:shd w:val="clear" w:color="auto" w:fill="FFFFFF"/>
        </w:rPr>
        <w:t xml:space="preserve">Gil, </w:t>
      </w:r>
      <w:proofErr w:type="spellStart"/>
      <w:r w:rsidRPr="00624A03">
        <w:rPr>
          <w:sz w:val="24"/>
          <w:szCs w:val="24"/>
          <w:shd w:val="clear" w:color="auto" w:fill="FFFFFF"/>
        </w:rPr>
        <w:t>Antonio</w:t>
      </w:r>
      <w:proofErr w:type="spellEnd"/>
      <w:r w:rsidRPr="00624A03">
        <w:rPr>
          <w:sz w:val="24"/>
          <w:szCs w:val="24"/>
          <w:shd w:val="clear" w:color="auto" w:fill="FFFFFF"/>
        </w:rPr>
        <w:t xml:space="preserve"> Carlos.</w:t>
      </w:r>
      <w:r w:rsidRPr="00624A03">
        <w:rPr>
          <w:rStyle w:val="apple-converted-space"/>
          <w:sz w:val="24"/>
          <w:szCs w:val="24"/>
          <w:shd w:val="clear" w:color="auto" w:fill="FFFFFF"/>
        </w:rPr>
        <w:t> </w:t>
      </w:r>
      <w:r w:rsidRPr="00624A03">
        <w:rPr>
          <w:rStyle w:val="Forte"/>
          <w:sz w:val="24"/>
          <w:szCs w:val="24"/>
          <w:shd w:val="clear" w:color="auto" w:fill="FFFFFF"/>
        </w:rPr>
        <w:t>Como elaborar projetos de pesquisa</w:t>
      </w:r>
      <w:r w:rsidRPr="00624A03">
        <w:rPr>
          <w:rStyle w:val="Forte"/>
          <w:b w:val="0"/>
          <w:sz w:val="24"/>
          <w:szCs w:val="24"/>
          <w:shd w:val="clear" w:color="auto" w:fill="FFFFFF"/>
        </w:rPr>
        <w:t>.</w:t>
      </w:r>
      <w:r w:rsidRPr="00624A03">
        <w:rPr>
          <w:rStyle w:val="apple-converted-space"/>
          <w:b/>
          <w:bCs/>
          <w:sz w:val="24"/>
          <w:szCs w:val="24"/>
          <w:shd w:val="clear" w:color="auto" w:fill="FFFFFF"/>
        </w:rPr>
        <w:t> </w:t>
      </w:r>
      <w:r w:rsidRPr="00624A03">
        <w:rPr>
          <w:sz w:val="24"/>
          <w:szCs w:val="24"/>
          <w:shd w:val="clear" w:color="auto" w:fill="FFFFFF"/>
        </w:rPr>
        <w:t>5. ed. São Paulo: Atlas, 2010. 200 p.</w:t>
      </w:r>
    </w:p>
    <w:p w:rsidR="00D73CD7" w:rsidRPr="00624A03" w:rsidRDefault="00D73CD7" w:rsidP="00D73CD7">
      <w:pPr>
        <w:autoSpaceDE w:val="0"/>
        <w:autoSpaceDN w:val="0"/>
        <w:adjustRightInd w:val="0"/>
        <w:spacing w:after="240"/>
        <w:ind w:left="425" w:hanging="425"/>
        <w:jc w:val="both"/>
        <w:rPr>
          <w:bCs/>
          <w:sz w:val="24"/>
          <w:szCs w:val="24"/>
        </w:rPr>
      </w:pPr>
      <w:r w:rsidRPr="00624A03">
        <w:rPr>
          <w:sz w:val="24"/>
          <w:szCs w:val="24"/>
          <w:shd w:val="clear" w:color="auto" w:fill="FFFFFF"/>
        </w:rPr>
        <w:t xml:space="preserve">Gonçalves, D. I. F. </w:t>
      </w:r>
      <w:r w:rsidRPr="00624A03">
        <w:rPr>
          <w:b/>
          <w:sz w:val="24"/>
          <w:szCs w:val="24"/>
          <w:shd w:val="clear" w:color="auto" w:fill="FFFFFF"/>
        </w:rPr>
        <w:t>Pesquisas de marketing pela internet</w:t>
      </w:r>
      <w:r w:rsidRPr="00624A03">
        <w:rPr>
          <w:sz w:val="24"/>
          <w:szCs w:val="24"/>
          <w:shd w:val="clear" w:color="auto" w:fill="FFFFFF"/>
        </w:rPr>
        <w:t>: as percepções sob a ótica dos entrevistados. Revista de Administração Mackenzie, V. 9, N. 7, dez 2008.</w:t>
      </w:r>
    </w:p>
    <w:p w:rsidR="00D73CD7" w:rsidRPr="00624A03" w:rsidRDefault="00D73CD7" w:rsidP="00D73CD7">
      <w:pPr>
        <w:spacing w:after="240"/>
        <w:ind w:left="425" w:hanging="425"/>
        <w:jc w:val="both"/>
        <w:rPr>
          <w:rStyle w:val="Forte"/>
          <w:b w:val="0"/>
          <w:sz w:val="24"/>
          <w:szCs w:val="24"/>
          <w:shd w:val="clear" w:color="auto" w:fill="FFFFFF"/>
        </w:rPr>
      </w:pPr>
      <w:r w:rsidRPr="00624A03">
        <w:rPr>
          <w:rStyle w:val="Forte"/>
          <w:b w:val="0"/>
          <w:sz w:val="24"/>
          <w:szCs w:val="24"/>
          <w:shd w:val="clear" w:color="auto" w:fill="FFFFFF"/>
        </w:rPr>
        <w:t xml:space="preserve">Gonçalves, Débora Fernanda; MENDONÇA, Fabiano Santana; CARVALHO, Iara Medeiros de. </w:t>
      </w:r>
      <w:r w:rsidRPr="00624A03">
        <w:rPr>
          <w:rStyle w:val="Forte"/>
          <w:sz w:val="24"/>
          <w:szCs w:val="24"/>
          <w:shd w:val="clear" w:color="auto" w:fill="FFFFFF"/>
        </w:rPr>
        <w:t>O advento da globalização e o efeito na contabilidade</w:t>
      </w:r>
      <w:r w:rsidRPr="00624A03">
        <w:rPr>
          <w:rStyle w:val="Forte"/>
          <w:sz w:val="24"/>
          <w:szCs w:val="24"/>
        </w:rPr>
        <w:t xml:space="preserve"> </w:t>
      </w:r>
      <w:r w:rsidRPr="00624A03">
        <w:rPr>
          <w:rStyle w:val="Forte"/>
          <w:sz w:val="24"/>
          <w:szCs w:val="24"/>
          <w:shd w:val="clear" w:color="auto" w:fill="FFFFFF"/>
        </w:rPr>
        <w:t>brasileira</w:t>
      </w:r>
      <w:r w:rsidRPr="00624A03">
        <w:rPr>
          <w:rStyle w:val="Forte"/>
          <w:b w:val="0"/>
          <w:sz w:val="24"/>
          <w:szCs w:val="24"/>
          <w:shd w:val="clear" w:color="auto" w:fill="FFFFFF"/>
        </w:rPr>
        <w:t>. Revista Interatividade, Andradina, v. 2, n. 1, p.155-164, jun. 2014.</w:t>
      </w:r>
    </w:p>
    <w:p w:rsidR="00D73CD7" w:rsidRPr="00624A03" w:rsidRDefault="00D73CD7" w:rsidP="00D73CD7">
      <w:pPr>
        <w:spacing w:after="240"/>
        <w:ind w:left="425" w:hanging="425"/>
        <w:jc w:val="both"/>
        <w:rPr>
          <w:rStyle w:val="Forte"/>
          <w:b w:val="0"/>
          <w:sz w:val="24"/>
          <w:szCs w:val="24"/>
          <w:shd w:val="clear" w:color="auto" w:fill="FFFFFF"/>
        </w:rPr>
      </w:pPr>
      <w:r w:rsidRPr="00624A03">
        <w:rPr>
          <w:sz w:val="24"/>
          <w:szCs w:val="24"/>
        </w:rPr>
        <w:t xml:space="preserve">Graciliano, E.A.; Fialho, W.C.D. </w:t>
      </w:r>
      <w:r w:rsidRPr="00624A03">
        <w:rPr>
          <w:b/>
          <w:sz w:val="24"/>
          <w:szCs w:val="24"/>
        </w:rPr>
        <w:t>Registro da depreciação na contabilidade pública</w:t>
      </w:r>
      <w:r w:rsidRPr="00624A03">
        <w:rPr>
          <w:sz w:val="24"/>
          <w:szCs w:val="24"/>
        </w:rPr>
        <w:t xml:space="preserve">: uma contribuição para o </w:t>
      </w:r>
      <w:proofErr w:type="spellStart"/>
      <w:r w:rsidRPr="00EF41F4">
        <w:rPr>
          <w:i/>
          <w:sz w:val="24"/>
          <w:szCs w:val="24"/>
        </w:rPr>
        <w:t>disclosure</w:t>
      </w:r>
      <w:proofErr w:type="spellEnd"/>
      <w:r w:rsidRPr="00624A03">
        <w:rPr>
          <w:sz w:val="24"/>
          <w:szCs w:val="24"/>
        </w:rPr>
        <w:t xml:space="preserve"> de gestão. Revista Pensar Contábil, v. 15, n. 56, p. 14- 21, 2013</w:t>
      </w:r>
    </w:p>
    <w:p w:rsidR="00D73CD7" w:rsidRPr="00624A03" w:rsidRDefault="00D73CD7" w:rsidP="00D73CD7">
      <w:pPr>
        <w:spacing w:after="240"/>
        <w:ind w:left="425" w:hanging="425"/>
        <w:jc w:val="both"/>
        <w:rPr>
          <w:rStyle w:val="Forte"/>
          <w:b w:val="0"/>
          <w:sz w:val="24"/>
          <w:szCs w:val="24"/>
          <w:shd w:val="clear" w:color="auto" w:fill="FFFFFF"/>
        </w:rPr>
      </w:pPr>
      <w:proofErr w:type="spellStart"/>
      <w:r w:rsidRPr="00624A03">
        <w:rPr>
          <w:rStyle w:val="Forte"/>
          <w:b w:val="0"/>
          <w:sz w:val="24"/>
          <w:szCs w:val="24"/>
          <w:shd w:val="clear" w:color="auto" w:fill="FFFFFF"/>
        </w:rPr>
        <w:t>Hendriksen</w:t>
      </w:r>
      <w:proofErr w:type="spellEnd"/>
      <w:r w:rsidRPr="00624A03">
        <w:rPr>
          <w:rStyle w:val="Forte"/>
          <w:b w:val="0"/>
          <w:sz w:val="24"/>
          <w:szCs w:val="24"/>
          <w:shd w:val="clear" w:color="auto" w:fill="FFFFFF"/>
        </w:rPr>
        <w:t xml:space="preserve">, </w:t>
      </w:r>
      <w:proofErr w:type="spellStart"/>
      <w:r w:rsidRPr="00624A03">
        <w:rPr>
          <w:rStyle w:val="Forte"/>
          <w:b w:val="0"/>
          <w:sz w:val="24"/>
          <w:szCs w:val="24"/>
          <w:shd w:val="clear" w:color="auto" w:fill="FFFFFF"/>
        </w:rPr>
        <w:t>Eldon</w:t>
      </w:r>
      <w:proofErr w:type="spellEnd"/>
      <w:r w:rsidRPr="00624A03">
        <w:rPr>
          <w:rStyle w:val="Forte"/>
          <w:b w:val="0"/>
          <w:sz w:val="24"/>
          <w:szCs w:val="24"/>
          <w:shd w:val="clear" w:color="auto" w:fill="FFFFFF"/>
        </w:rPr>
        <w:t xml:space="preserve"> S.; Van Breda, Michael F. </w:t>
      </w:r>
      <w:r w:rsidRPr="00624A03">
        <w:rPr>
          <w:rStyle w:val="Forte"/>
          <w:sz w:val="24"/>
          <w:szCs w:val="24"/>
          <w:shd w:val="clear" w:color="auto" w:fill="FFFFFF"/>
        </w:rPr>
        <w:t>Teoria da contabilidade</w:t>
      </w:r>
      <w:r w:rsidRPr="00624A03">
        <w:rPr>
          <w:rStyle w:val="Forte"/>
          <w:b w:val="0"/>
          <w:sz w:val="24"/>
          <w:szCs w:val="24"/>
          <w:shd w:val="clear" w:color="auto" w:fill="FFFFFF"/>
        </w:rPr>
        <w:t>. 5 ed. São Paulo: Atlas, 1999.</w:t>
      </w:r>
    </w:p>
    <w:p w:rsidR="00D73CD7" w:rsidRPr="00624A03" w:rsidRDefault="00D73CD7" w:rsidP="00D73CD7">
      <w:pPr>
        <w:spacing w:after="240"/>
        <w:ind w:left="425" w:hanging="425"/>
        <w:jc w:val="both"/>
        <w:rPr>
          <w:rStyle w:val="Forte"/>
          <w:b w:val="0"/>
          <w:sz w:val="24"/>
          <w:szCs w:val="24"/>
          <w:shd w:val="clear" w:color="auto" w:fill="FFFFFF"/>
        </w:rPr>
      </w:pPr>
      <w:proofErr w:type="spellStart"/>
      <w:r w:rsidRPr="00624A03">
        <w:rPr>
          <w:rStyle w:val="Forte"/>
          <w:b w:val="0"/>
          <w:sz w:val="24"/>
          <w:szCs w:val="24"/>
          <w:shd w:val="clear" w:color="auto" w:fill="FFFFFF"/>
        </w:rPr>
        <w:t>Iudícibus</w:t>
      </w:r>
      <w:proofErr w:type="spellEnd"/>
      <w:r w:rsidRPr="00624A03">
        <w:rPr>
          <w:rStyle w:val="Forte"/>
          <w:b w:val="0"/>
          <w:sz w:val="24"/>
          <w:szCs w:val="24"/>
          <w:shd w:val="clear" w:color="auto" w:fill="FFFFFF"/>
        </w:rPr>
        <w:t xml:space="preserve">, Sérgio de. </w:t>
      </w:r>
      <w:r w:rsidRPr="00624A03">
        <w:rPr>
          <w:rStyle w:val="Forte"/>
          <w:sz w:val="24"/>
          <w:szCs w:val="24"/>
          <w:shd w:val="clear" w:color="auto" w:fill="FFFFFF"/>
        </w:rPr>
        <w:t>Teoria da contabilidade</w:t>
      </w:r>
      <w:r w:rsidRPr="00624A03">
        <w:rPr>
          <w:rStyle w:val="Forte"/>
          <w:b w:val="0"/>
          <w:sz w:val="24"/>
          <w:szCs w:val="24"/>
          <w:shd w:val="clear" w:color="auto" w:fill="FFFFFF"/>
        </w:rPr>
        <w:t>. 10. ed. São Paulo: Atlas, 2010.</w:t>
      </w:r>
    </w:p>
    <w:p w:rsidR="00D73CD7" w:rsidRPr="009C5DB4" w:rsidRDefault="00D73CD7" w:rsidP="00D73CD7">
      <w:pPr>
        <w:spacing w:after="240"/>
        <w:ind w:left="425" w:hanging="425"/>
        <w:jc w:val="both"/>
        <w:rPr>
          <w:sz w:val="24"/>
          <w:szCs w:val="24"/>
          <w:lang w:val="en-US"/>
        </w:rPr>
      </w:pPr>
      <w:r w:rsidRPr="00624A03">
        <w:rPr>
          <w:sz w:val="24"/>
          <w:szCs w:val="24"/>
        </w:rPr>
        <w:t xml:space="preserve">Kotler, P.; Keller, K. L. Administração de marketing. </w:t>
      </w:r>
      <w:r w:rsidRPr="009C5DB4">
        <w:rPr>
          <w:sz w:val="24"/>
          <w:szCs w:val="24"/>
          <w:lang w:val="en-US"/>
        </w:rPr>
        <w:t>12ª Ed. São Paulo: Pearson Prentice Hall, 2006.</w:t>
      </w:r>
    </w:p>
    <w:p w:rsidR="00D73CD7" w:rsidRPr="00624A03" w:rsidRDefault="00D73CD7" w:rsidP="00D73CD7">
      <w:pPr>
        <w:spacing w:after="240"/>
        <w:ind w:left="425" w:hanging="425"/>
        <w:jc w:val="both"/>
        <w:rPr>
          <w:rStyle w:val="Forte"/>
          <w:b w:val="0"/>
          <w:sz w:val="24"/>
          <w:szCs w:val="24"/>
          <w:shd w:val="clear" w:color="auto" w:fill="FFFFFF"/>
        </w:rPr>
      </w:pPr>
      <w:proofErr w:type="spellStart"/>
      <w:r w:rsidRPr="00624A03">
        <w:rPr>
          <w:rStyle w:val="Forte"/>
          <w:b w:val="0"/>
          <w:sz w:val="24"/>
          <w:szCs w:val="24"/>
          <w:shd w:val="clear" w:color="auto" w:fill="FFFFFF"/>
        </w:rPr>
        <w:t>Malhotra</w:t>
      </w:r>
      <w:proofErr w:type="spellEnd"/>
      <w:r w:rsidRPr="00624A03">
        <w:rPr>
          <w:rStyle w:val="Forte"/>
          <w:b w:val="0"/>
          <w:sz w:val="24"/>
          <w:szCs w:val="24"/>
          <w:shd w:val="clear" w:color="auto" w:fill="FFFFFF"/>
        </w:rPr>
        <w:t xml:space="preserve">, N. </w:t>
      </w:r>
      <w:r w:rsidRPr="00624A03">
        <w:rPr>
          <w:rStyle w:val="Forte"/>
          <w:sz w:val="24"/>
          <w:szCs w:val="24"/>
          <w:shd w:val="clear" w:color="auto" w:fill="FFFFFF"/>
        </w:rPr>
        <w:t>Pesquisa de marketing</w:t>
      </w:r>
      <w:r w:rsidRPr="00624A03">
        <w:rPr>
          <w:rStyle w:val="Forte"/>
          <w:b w:val="0"/>
          <w:sz w:val="24"/>
          <w:szCs w:val="24"/>
          <w:shd w:val="clear" w:color="auto" w:fill="FFFFFF"/>
        </w:rPr>
        <w:t xml:space="preserve">: uma orientação aplicada. 4ª Ed. Porto Alegre: </w:t>
      </w:r>
      <w:proofErr w:type="spellStart"/>
      <w:r w:rsidRPr="00624A03">
        <w:rPr>
          <w:rStyle w:val="Forte"/>
          <w:b w:val="0"/>
          <w:sz w:val="24"/>
          <w:szCs w:val="24"/>
          <w:shd w:val="clear" w:color="auto" w:fill="FFFFFF"/>
        </w:rPr>
        <w:t>Bookman</w:t>
      </w:r>
      <w:proofErr w:type="spellEnd"/>
      <w:r w:rsidRPr="00624A03">
        <w:rPr>
          <w:rStyle w:val="Forte"/>
          <w:b w:val="0"/>
          <w:sz w:val="24"/>
          <w:szCs w:val="24"/>
          <w:shd w:val="clear" w:color="auto" w:fill="FFFFFF"/>
        </w:rPr>
        <w:t>, 2006.</w:t>
      </w:r>
    </w:p>
    <w:p w:rsidR="00D73CD7" w:rsidRPr="00624A03" w:rsidRDefault="00D73CD7" w:rsidP="00D73CD7">
      <w:pPr>
        <w:spacing w:after="240"/>
        <w:ind w:left="425" w:hanging="425"/>
        <w:jc w:val="both"/>
        <w:rPr>
          <w:rStyle w:val="Forte"/>
          <w:b w:val="0"/>
          <w:sz w:val="24"/>
          <w:szCs w:val="24"/>
        </w:rPr>
      </w:pPr>
      <w:r w:rsidRPr="00624A03">
        <w:rPr>
          <w:rStyle w:val="Forte"/>
          <w:b w:val="0"/>
          <w:sz w:val="24"/>
          <w:szCs w:val="24"/>
        </w:rPr>
        <w:t>Ministério da Fazenda. </w:t>
      </w:r>
      <w:r w:rsidRPr="00624A03">
        <w:rPr>
          <w:rStyle w:val="Forte"/>
          <w:sz w:val="24"/>
          <w:szCs w:val="24"/>
        </w:rPr>
        <w:t>Manual de contabilidade aplicada ao setor público (MCASP)</w:t>
      </w:r>
      <w:r w:rsidRPr="00624A03">
        <w:rPr>
          <w:rStyle w:val="Forte"/>
          <w:b w:val="0"/>
          <w:sz w:val="24"/>
          <w:szCs w:val="24"/>
        </w:rPr>
        <w:t>: Parte: Geral, I, II, III, IV e V. 7 ed. Brasília: Secretaria do Tesouro Nacional, 2017. 416 p. Disponível em: &lt;http://www.tesouro.fazenda.gov.br/manuais-contabilidade&gt;. Acesso em: 17 maio 2017.</w:t>
      </w:r>
    </w:p>
    <w:p w:rsidR="00D73CD7" w:rsidRPr="00624A03" w:rsidRDefault="00D73CD7" w:rsidP="00D73CD7">
      <w:pPr>
        <w:spacing w:after="240"/>
        <w:ind w:left="425" w:hanging="425"/>
        <w:jc w:val="both"/>
        <w:rPr>
          <w:rStyle w:val="Forte"/>
          <w:b w:val="0"/>
          <w:sz w:val="24"/>
          <w:szCs w:val="24"/>
          <w:shd w:val="clear" w:color="auto" w:fill="FFFFFF"/>
        </w:rPr>
      </w:pPr>
      <w:r w:rsidRPr="00624A03">
        <w:rPr>
          <w:rStyle w:val="Forte"/>
          <w:b w:val="0"/>
          <w:sz w:val="24"/>
          <w:szCs w:val="24"/>
          <w:shd w:val="clear" w:color="auto" w:fill="FFFFFF"/>
        </w:rPr>
        <w:t xml:space="preserve">Penna, Antônio Gomes. </w:t>
      </w:r>
      <w:r w:rsidRPr="00624A03">
        <w:rPr>
          <w:rStyle w:val="Forte"/>
          <w:sz w:val="24"/>
          <w:szCs w:val="24"/>
          <w:shd w:val="clear" w:color="auto" w:fill="FFFFFF"/>
        </w:rPr>
        <w:t>Percepção e realidade</w:t>
      </w:r>
      <w:r w:rsidRPr="00624A03">
        <w:rPr>
          <w:rStyle w:val="Forte"/>
          <w:b w:val="0"/>
          <w:sz w:val="24"/>
          <w:szCs w:val="24"/>
          <w:shd w:val="clear" w:color="auto" w:fill="FFFFFF"/>
        </w:rPr>
        <w:t>: introdução ao estudo da atividade perceptiva. Rio de Janeiro, Imago, 1997.</w:t>
      </w:r>
    </w:p>
    <w:p w:rsidR="00D73CD7" w:rsidRPr="00624A03" w:rsidRDefault="00D73CD7" w:rsidP="00D73CD7">
      <w:pPr>
        <w:spacing w:after="240"/>
        <w:ind w:left="425" w:hanging="425"/>
        <w:jc w:val="both"/>
        <w:rPr>
          <w:rStyle w:val="Forte"/>
          <w:b w:val="0"/>
          <w:sz w:val="24"/>
          <w:szCs w:val="24"/>
        </w:rPr>
      </w:pPr>
      <w:proofErr w:type="spellStart"/>
      <w:r w:rsidRPr="00624A03">
        <w:rPr>
          <w:rStyle w:val="Forte"/>
          <w:b w:val="0"/>
          <w:sz w:val="24"/>
          <w:szCs w:val="24"/>
        </w:rPr>
        <w:lastRenderedPageBreak/>
        <w:t>Piccoli</w:t>
      </w:r>
      <w:proofErr w:type="spellEnd"/>
      <w:r w:rsidRPr="00624A03">
        <w:rPr>
          <w:rStyle w:val="Forte"/>
          <w:b w:val="0"/>
          <w:sz w:val="24"/>
          <w:szCs w:val="24"/>
        </w:rPr>
        <w:t xml:space="preserve">, Marcio Roberto; </w:t>
      </w:r>
      <w:proofErr w:type="spellStart"/>
      <w:r w:rsidRPr="00624A03">
        <w:rPr>
          <w:rStyle w:val="Forte"/>
          <w:b w:val="0"/>
          <w:sz w:val="24"/>
          <w:szCs w:val="24"/>
        </w:rPr>
        <w:t>Klann</w:t>
      </w:r>
      <w:proofErr w:type="spellEnd"/>
      <w:r w:rsidRPr="00624A03">
        <w:rPr>
          <w:rStyle w:val="Forte"/>
          <w:b w:val="0"/>
          <w:sz w:val="24"/>
          <w:szCs w:val="24"/>
        </w:rPr>
        <w:t xml:space="preserve">, Roberto Carlos. </w:t>
      </w:r>
      <w:r w:rsidRPr="00624A03">
        <w:rPr>
          <w:rStyle w:val="Forte"/>
          <w:sz w:val="24"/>
          <w:szCs w:val="24"/>
        </w:rPr>
        <w:t>A percepção dos contadores públicos em relação às Normas Brasileiras de Contabilidade Aplicadas ao Setor Público (NBCASP)</w:t>
      </w:r>
      <w:r w:rsidRPr="00624A03">
        <w:rPr>
          <w:rStyle w:val="Forte"/>
          <w:b w:val="0"/>
          <w:sz w:val="24"/>
          <w:szCs w:val="24"/>
        </w:rPr>
        <w:t>. </w:t>
      </w:r>
      <w:r w:rsidRPr="00624A03">
        <w:rPr>
          <w:rStyle w:val="Forte"/>
          <w:b w:val="0"/>
          <w:sz w:val="24"/>
          <w:szCs w:val="24"/>
          <w:shd w:val="clear" w:color="auto" w:fill="FFFFFF"/>
        </w:rPr>
        <w:t>Revista do Serviço Público,</w:t>
      </w:r>
      <w:r w:rsidRPr="00624A03">
        <w:rPr>
          <w:rStyle w:val="Forte"/>
          <w:b w:val="0"/>
          <w:bCs w:val="0"/>
          <w:sz w:val="24"/>
          <w:szCs w:val="24"/>
        </w:rPr>
        <w:t> </w:t>
      </w:r>
      <w:r w:rsidRPr="00624A03">
        <w:rPr>
          <w:rStyle w:val="Forte"/>
          <w:b w:val="0"/>
          <w:sz w:val="24"/>
          <w:szCs w:val="24"/>
        </w:rPr>
        <w:t>Brasília, v. 3, n. 66, p.425-447, fev. 2015.</w:t>
      </w:r>
    </w:p>
    <w:p w:rsidR="00D73CD7" w:rsidRPr="00624A03" w:rsidRDefault="00D73CD7" w:rsidP="00D73CD7">
      <w:pPr>
        <w:spacing w:after="240"/>
        <w:ind w:left="425" w:hanging="425"/>
        <w:jc w:val="both"/>
        <w:rPr>
          <w:rStyle w:val="Forte"/>
          <w:b w:val="0"/>
          <w:sz w:val="24"/>
          <w:szCs w:val="24"/>
          <w:shd w:val="clear" w:color="auto" w:fill="FFFFFF"/>
        </w:rPr>
      </w:pPr>
      <w:r w:rsidRPr="00624A03">
        <w:rPr>
          <w:rStyle w:val="Forte"/>
          <w:b w:val="0"/>
          <w:sz w:val="24"/>
          <w:szCs w:val="24"/>
          <w:shd w:val="clear" w:color="auto" w:fill="FFFFFF"/>
        </w:rPr>
        <w:t xml:space="preserve">Santos, C. B.; Almeida, K. K. N. </w:t>
      </w:r>
      <w:r w:rsidRPr="00624A03">
        <w:rPr>
          <w:rStyle w:val="Forte"/>
          <w:sz w:val="24"/>
          <w:szCs w:val="24"/>
          <w:shd w:val="clear" w:color="auto" w:fill="FFFFFF"/>
        </w:rPr>
        <w:t>Análise introdutória das mudanças provocadas na contabilidade pública pelas normas brasileiras de contabilidade aplicadas ao setor público</w:t>
      </w:r>
      <w:r w:rsidRPr="00624A03">
        <w:rPr>
          <w:rStyle w:val="Forte"/>
          <w:b w:val="0"/>
          <w:sz w:val="24"/>
          <w:szCs w:val="24"/>
          <w:shd w:val="clear" w:color="auto" w:fill="FFFFFF"/>
        </w:rPr>
        <w:t>. Revista de Administração, Contabilidade e Sustentabilidade. v. 1, n. 1, p. 21-38, jan./abr., 2012.</w:t>
      </w:r>
    </w:p>
    <w:p w:rsidR="00D73CD7" w:rsidRPr="00624A03" w:rsidRDefault="00D73CD7" w:rsidP="00D73CD7">
      <w:pPr>
        <w:spacing w:after="240"/>
        <w:ind w:left="425" w:hanging="425"/>
        <w:jc w:val="both"/>
        <w:rPr>
          <w:rStyle w:val="Forte"/>
          <w:b w:val="0"/>
          <w:sz w:val="24"/>
          <w:szCs w:val="24"/>
          <w:shd w:val="clear" w:color="auto" w:fill="FFFFFF"/>
        </w:rPr>
      </w:pPr>
      <w:r w:rsidRPr="00624A03">
        <w:rPr>
          <w:rStyle w:val="Forte"/>
          <w:b w:val="0"/>
          <w:sz w:val="24"/>
          <w:szCs w:val="24"/>
          <w:shd w:val="clear" w:color="auto" w:fill="FFFFFF"/>
        </w:rPr>
        <w:t xml:space="preserve">Severino, Antônio Joaquim. </w:t>
      </w:r>
      <w:r w:rsidRPr="00624A03">
        <w:rPr>
          <w:rStyle w:val="Forte"/>
          <w:bCs w:val="0"/>
          <w:sz w:val="24"/>
          <w:szCs w:val="24"/>
          <w:shd w:val="clear" w:color="auto" w:fill="FFFFFF"/>
        </w:rPr>
        <w:t>Metodologia do trabalho científico</w:t>
      </w:r>
      <w:r w:rsidRPr="00624A03">
        <w:rPr>
          <w:rStyle w:val="Forte"/>
          <w:b w:val="0"/>
          <w:sz w:val="24"/>
          <w:szCs w:val="24"/>
          <w:shd w:val="clear" w:color="auto" w:fill="FFFFFF"/>
        </w:rPr>
        <w:t>. 23. ed. rev. e atual. São Paulo: Cortez, 2007.</w:t>
      </w:r>
    </w:p>
    <w:p w:rsidR="00D73CD7" w:rsidRPr="00D73CD7" w:rsidRDefault="00D73CD7" w:rsidP="00D73CD7">
      <w:pPr>
        <w:spacing w:after="240"/>
        <w:ind w:left="425" w:hanging="425"/>
        <w:jc w:val="both"/>
        <w:rPr>
          <w:rStyle w:val="Forte"/>
          <w:b w:val="0"/>
          <w:sz w:val="24"/>
          <w:szCs w:val="24"/>
          <w:shd w:val="clear" w:color="auto" w:fill="FFFFFF"/>
        </w:rPr>
      </w:pPr>
      <w:r w:rsidRPr="00624A03">
        <w:rPr>
          <w:rStyle w:val="Forte"/>
          <w:b w:val="0"/>
          <w:sz w:val="24"/>
          <w:szCs w:val="24"/>
          <w:shd w:val="clear" w:color="auto" w:fill="FFFFFF"/>
        </w:rPr>
        <w:t xml:space="preserve">Silva, L. M. da. </w:t>
      </w:r>
      <w:r w:rsidRPr="00624A03">
        <w:rPr>
          <w:rStyle w:val="Forte"/>
          <w:sz w:val="24"/>
          <w:szCs w:val="24"/>
          <w:shd w:val="clear" w:color="auto" w:fill="FFFFFF"/>
        </w:rPr>
        <w:t>Contabilidade governamental</w:t>
      </w:r>
      <w:r w:rsidRPr="00624A03">
        <w:rPr>
          <w:rStyle w:val="Forte"/>
          <w:b w:val="0"/>
          <w:sz w:val="24"/>
          <w:szCs w:val="24"/>
          <w:shd w:val="clear" w:color="auto" w:fill="FFFFFF"/>
        </w:rPr>
        <w:t>: um enfoque administrativo. 6. ed. São Paulo: Atlas, 2003.</w:t>
      </w:r>
    </w:p>
    <w:sectPr w:rsidR="00D73CD7" w:rsidRPr="00D73CD7" w:rsidSect="00C04F45">
      <w:headerReference w:type="default" r:id="rId13"/>
      <w:footerReference w:type="default" r:id="rId14"/>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E21" w:rsidRDefault="00F94E21" w:rsidP="008A5824">
      <w:r>
        <w:separator/>
      </w:r>
    </w:p>
  </w:endnote>
  <w:endnote w:type="continuationSeparator" w:id="0">
    <w:p w:rsidR="00F94E21" w:rsidRDefault="00F94E21"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3D52F4">
          <w:rPr>
            <w:rFonts w:ascii="Times New Roman" w:hAnsi="Times New Roman" w:cs="Times New Roman"/>
            <w:noProof/>
          </w:rPr>
          <w:t>15</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E21" w:rsidRDefault="00F94E21" w:rsidP="008A5824">
      <w:r>
        <w:separator/>
      </w:r>
    </w:p>
  </w:footnote>
  <w:footnote w:type="continuationSeparator" w:id="0">
    <w:p w:rsidR="00F94E21" w:rsidRDefault="00F94E21"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E70"/>
    <w:multiLevelType w:val="hybridMultilevel"/>
    <w:tmpl w:val="F7E21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C05923"/>
    <w:multiLevelType w:val="multilevel"/>
    <w:tmpl w:val="DA069C4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8DD7B11"/>
    <w:multiLevelType w:val="hybridMultilevel"/>
    <w:tmpl w:val="0C7063C4"/>
    <w:lvl w:ilvl="0" w:tplc="8F4A9D8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900AF0"/>
    <w:multiLevelType w:val="hybridMultilevel"/>
    <w:tmpl w:val="9BC42D74"/>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7">
    <w:nsid w:val="71867EE2"/>
    <w:multiLevelType w:val="multilevel"/>
    <w:tmpl w:val="ABAEC44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E075B0"/>
    <w:multiLevelType w:val="hybridMultilevel"/>
    <w:tmpl w:val="36608514"/>
    <w:lvl w:ilvl="0" w:tplc="2912E7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3"/>
  </w:num>
  <w:num w:numId="6">
    <w:abstractNumId w:val="0"/>
  </w:num>
  <w:num w:numId="7">
    <w:abstractNumId w:val="4"/>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67126"/>
    <w:rsid w:val="00157FE8"/>
    <w:rsid w:val="0016220D"/>
    <w:rsid w:val="00175350"/>
    <w:rsid w:val="00194BA9"/>
    <w:rsid w:val="001A4423"/>
    <w:rsid w:val="001C328B"/>
    <w:rsid w:val="001D00C9"/>
    <w:rsid w:val="001D4F18"/>
    <w:rsid w:val="001F6A6D"/>
    <w:rsid w:val="0023395F"/>
    <w:rsid w:val="00240390"/>
    <w:rsid w:val="002B0015"/>
    <w:rsid w:val="002B2B78"/>
    <w:rsid w:val="0036377D"/>
    <w:rsid w:val="0038317E"/>
    <w:rsid w:val="0038579D"/>
    <w:rsid w:val="003D52F4"/>
    <w:rsid w:val="003E2989"/>
    <w:rsid w:val="004020EB"/>
    <w:rsid w:val="00431441"/>
    <w:rsid w:val="00473887"/>
    <w:rsid w:val="00491708"/>
    <w:rsid w:val="004C034C"/>
    <w:rsid w:val="006064A3"/>
    <w:rsid w:val="00624A03"/>
    <w:rsid w:val="00631DCF"/>
    <w:rsid w:val="00686527"/>
    <w:rsid w:val="0072578D"/>
    <w:rsid w:val="00760C73"/>
    <w:rsid w:val="007B7755"/>
    <w:rsid w:val="007E5E12"/>
    <w:rsid w:val="008330A7"/>
    <w:rsid w:val="00841028"/>
    <w:rsid w:val="00860B20"/>
    <w:rsid w:val="008A5824"/>
    <w:rsid w:val="008D4F05"/>
    <w:rsid w:val="009571C9"/>
    <w:rsid w:val="009833D5"/>
    <w:rsid w:val="009C5DB4"/>
    <w:rsid w:val="009E0416"/>
    <w:rsid w:val="00A43E44"/>
    <w:rsid w:val="00A86ECF"/>
    <w:rsid w:val="00B13C0C"/>
    <w:rsid w:val="00B32719"/>
    <w:rsid w:val="00B41CAF"/>
    <w:rsid w:val="00BD0F13"/>
    <w:rsid w:val="00C04F45"/>
    <w:rsid w:val="00C30374"/>
    <w:rsid w:val="00C62FB2"/>
    <w:rsid w:val="00CA2367"/>
    <w:rsid w:val="00CA25AA"/>
    <w:rsid w:val="00CE5296"/>
    <w:rsid w:val="00CF063D"/>
    <w:rsid w:val="00CF645C"/>
    <w:rsid w:val="00D56848"/>
    <w:rsid w:val="00D72AC9"/>
    <w:rsid w:val="00D73CD7"/>
    <w:rsid w:val="00D91EAD"/>
    <w:rsid w:val="00DA07FE"/>
    <w:rsid w:val="00E037C6"/>
    <w:rsid w:val="00E361F4"/>
    <w:rsid w:val="00E6136F"/>
    <w:rsid w:val="00ED7A83"/>
    <w:rsid w:val="00EF41F4"/>
    <w:rsid w:val="00F94E21"/>
    <w:rsid w:val="00FA7D82"/>
    <w:rsid w:val="00FE1CF2"/>
    <w:rsid w:val="00FF07B7"/>
    <w:rsid w:val="00FF64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099B827-E9AF-4506-946B-B43E7FA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uiPriority w:val="1"/>
    <w:qFormat/>
    <w:rsid w:val="00D73CD7"/>
    <w:pPr>
      <w:widowControl w:val="0"/>
      <w:suppressAutoHyphens w:val="0"/>
      <w:ind w:left="437"/>
      <w:outlineLvl w:val="0"/>
    </w:pPr>
    <w:rPr>
      <w:rFonts w:eastAsiaTheme="minorHAnsi"/>
      <w:b/>
      <w:bCs/>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1"/>
    <w:rsid w:val="00D73CD7"/>
    <w:rPr>
      <w:rFonts w:ascii="Times New Roman" w:hAnsi="Times New Roman" w:cs="Times New Roman"/>
      <w:b/>
      <w:bCs/>
      <w:lang w:val="en-US"/>
    </w:rPr>
  </w:style>
  <w:style w:type="paragraph" w:styleId="Corpodetexto">
    <w:name w:val="Body Text"/>
    <w:basedOn w:val="Normal"/>
    <w:link w:val="CorpodetextoChar"/>
    <w:uiPriority w:val="1"/>
    <w:qFormat/>
    <w:rsid w:val="00D73CD7"/>
    <w:pPr>
      <w:widowControl w:val="0"/>
      <w:suppressAutoHyphens w:val="0"/>
    </w:pPr>
    <w:rPr>
      <w:rFonts w:eastAsiaTheme="minorHAnsi"/>
      <w:sz w:val="24"/>
      <w:szCs w:val="24"/>
      <w:lang w:val="en-US" w:eastAsia="en-US"/>
    </w:rPr>
  </w:style>
  <w:style w:type="character" w:customStyle="1" w:styleId="CorpodetextoChar">
    <w:name w:val="Corpo de texto Char"/>
    <w:basedOn w:val="Fontepargpadro"/>
    <w:link w:val="Corpodetexto"/>
    <w:uiPriority w:val="1"/>
    <w:rsid w:val="00D73CD7"/>
    <w:rPr>
      <w:rFonts w:ascii="Times New Roman" w:hAnsi="Times New Roman" w:cs="Times New Roman"/>
      <w:lang w:val="en-US"/>
    </w:rPr>
  </w:style>
  <w:style w:type="character" w:customStyle="1" w:styleId="apple-converted-space">
    <w:name w:val="apple-converted-space"/>
    <w:basedOn w:val="Fontepargpadro"/>
    <w:rsid w:val="00D73CD7"/>
  </w:style>
  <w:style w:type="character" w:styleId="Forte">
    <w:name w:val="Strong"/>
    <w:basedOn w:val="Fontepargpadro"/>
    <w:uiPriority w:val="22"/>
    <w:qFormat/>
    <w:rsid w:val="00D73CD7"/>
    <w:rPr>
      <w:b/>
      <w:bCs/>
    </w:rPr>
  </w:style>
  <w:style w:type="paragraph" w:styleId="Legenda">
    <w:name w:val="caption"/>
    <w:basedOn w:val="Normal"/>
    <w:next w:val="Normal"/>
    <w:uiPriority w:val="35"/>
    <w:unhideWhenUsed/>
    <w:qFormat/>
    <w:rsid w:val="00D73CD7"/>
    <w:pPr>
      <w:widowControl w:val="0"/>
      <w:suppressAutoHyphens w:val="0"/>
      <w:spacing w:after="200"/>
    </w:pPr>
    <w:rPr>
      <w:rFonts w:eastAsiaTheme="minorHAnsi"/>
      <w:b/>
      <w:bCs/>
      <w:color w:val="4472C4" w:themeColor="accent1"/>
      <w:sz w:val="18"/>
      <w:szCs w:val="18"/>
      <w:lang w:val="en-US" w:eastAsia="en-US"/>
    </w:rPr>
  </w:style>
  <w:style w:type="table" w:styleId="Tabelacomgrade">
    <w:name w:val="Table Grid"/>
    <w:basedOn w:val="Tabelanormal"/>
    <w:uiPriority w:val="59"/>
    <w:rsid w:val="00D73CD7"/>
    <w:pPr>
      <w:widowControl w:val="0"/>
    </w:pPr>
    <w:rPr>
      <w:rFonts w:ascii="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c.org.br/sisweb/sre/detalhes_sre.aspx?Codigo=2008/00113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correia_neves@hotmail.com" TargetMode="External"/><Relationship Id="rId12" Type="http://schemas.openxmlformats.org/officeDocument/2006/relationships/hyperlink" Target="http://www.cfc.org.br/sisweb/sre/detalhes_sre.aspx?Codigo=2011/0013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fc.org.br/sisweb/sre/detalhes_sre.aspx?Codigo=2008/00113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fc.org.br/sisweb/sre/detalhes_sre.aspx?Codigo=2008/001136" TargetMode="External"/><Relationship Id="rId4" Type="http://schemas.openxmlformats.org/officeDocument/2006/relationships/webSettings" Target="webSettings.xml"/><Relationship Id="rId9" Type="http://schemas.openxmlformats.org/officeDocument/2006/relationships/hyperlink" Target="http://www.cfc.org.br/sisweb/sre/detalhes_sre.aspx?Codigo=2008/00113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5759</Words>
  <Characters>31100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Acacio</cp:lastModifiedBy>
  <cp:revision>5</cp:revision>
  <cp:lastPrinted>2018-04-29T02:15:00Z</cp:lastPrinted>
  <dcterms:created xsi:type="dcterms:W3CDTF">2018-04-29T02:11:00Z</dcterms:created>
  <dcterms:modified xsi:type="dcterms:W3CDTF">2018-04-29T23:17:00Z</dcterms:modified>
</cp:coreProperties>
</file>