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9029" w14:textId="77777777" w:rsidR="0036377D" w:rsidRDefault="0036377D" w:rsidP="0036377D">
      <w:pPr>
        <w:jc w:val="center"/>
        <w:rPr>
          <w:b/>
          <w:sz w:val="24"/>
        </w:rPr>
      </w:pPr>
    </w:p>
    <w:p w14:paraId="128FABC8" w14:textId="1F337E01" w:rsidR="00E54627" w:rsidRDefault="00E54627" w:rsidP="00761592">
      <w:pPr>
        <w:widowControl w:val="0"/>
        <w:jc w:val="center"/>
        <w:rPr>
          <w:color w:val="999999"/>
        </w:rPr>
      </w:pPr>
      <w:r w:rsidRPr="00E54627">
        <w:rPr>
          <w:b/>
          <w:sz w:val="24"/>
        </w:rPr>
        <w:t>Desempenho Operacional e a Situação Econômico-Financeira de Hospitais</w:t>
      </w:r>
    </w:p>
    <w:p w14:paraId="79201D25" w14:textId="77777777" w:rsidR="00270EC2" w:rsidRDefault="00270EC2" w:rsidP="00270EC2">
      <w:pPr>
        <w:rPr>
          <w:b/>
          <w:sz w:val="24"/>
          <w:szCs w:val="24"/>
        </w:rPr>
      </w:pPr>
    </w:p>
    <w:p w14:paraId="600B18D7" w14:textId="77777777" w:rsidR="00270EC2" w:rsidRDefault="00270EC2" w:rsidP="00270EC2">
      <w:pPr>
        <w:widowControl w:val="0"/>
        <w:jc w:val="right"/>
        <w:rPr>
          <w:b/>
          <w:sz w:val="24"/>
          <w:szCs w:val="24"/>
        </w:rPr>
      </w:pPr>
      <w:r>
        <w:rPr>
          <w:b/>
          <w:sz w:val="24"/>
          <w:szCs w:val="24"/>
        </w:rPr>
        <w:t>Mara Vogt</w:t>
      </w:r>
    </w:p>
    <w:p w14:paraId="24C4C873" w14:textId="77777777" w:rsidR="00270EC2" w:rsidRDefault="00270EC2" w:rsidP="00270EC2">
      <w:pPr>
        <w:jc w:val="right"/>
        <w:rPr>
          <w:b/>
          <w:i/>
          <w:sz w:val="24"/>
          <w:szCs w:val="24"/>
        </w:rPr>
      </w:pPr>
      <w:r>
        <w:rPr>
          <w:b/>
          <w:sz w:val="24"/>
          <w:szCs w:val="24"/>
        </w:rPr>
        <w:t>Universidade Regional de Blumenau (FURB)</w:t>
      </w:r>
    </w:p>
    <w:p w14:paraId="2C4A9D2D" w14:textId="77777777" w:rsidR="00270EC2" w:rsidRDefault="00270EC2" w:rsidP="00270EC2">
      <w:pPr>
        <w:widowControl w:val="0"/>
        <w:jc w:val="right"/>
        <w:rPr>
          <w:b/>
          <w:i/>
          <w:sz w:val="24"/>
          <w:szCs w:val="24"/>
        </w:rPr>
      </w:pPr>
      <w:r>
        <w:rPr>
          <w:b/>
          <w:i/>
          <w:sz w:val="24"/>
          <w:szCs w:val="24"/>
        </w:rPr>
        <w:t>E-mail: maravogtcco@gmail.com</w:t>
      </w:r>
    </w:p>
    <w:p w14:paraId="457C8012" w14:textId="77777777" w:rsidR="00270EC2" w:rsidRDefault="00270EC2" w:rsidP="00270EC2">
      <w:pPr>
        <w:widowControl w:val="0"/>
        <w:jc w:val="right"/>
        <w:rPr>
          <w:b/>
          <w:sz w:val="24"/>
          <w:szCs w:val="24"/>
        </w:rPr>
      </w:pPr>
    </w:p>
    <w:p w14:paraId="5449F945" w14:textId="77777777" w:rsidR="00270EC2" w:rsidRDefault="00270EC2" w:rsidP="00270EC2">
      <w:pPr>
        <w:widowControl w:val="0"/>
        <w:jc w:val="right"/>
        <w:rPr>
          <w:b/>
          <w:sz w:val="24"/>
          <w:szCs w:val="24"/>
        </w:rPr>
      </w:pPr>
      <w:r w:rsidRPr="00E54627">
        <w:rPr>
          <w:b/>
          <w:sz w:val="24"/>
          <w:szCs w:val="24"/>
        </w:rPr>
        <w:t>Crisiane Teixeira da Silva</w:t>
      </w:r>
    </w:p>
    <w:p w14:paraId="34ECB7E4" w14:textId="77777777" w:rsidR="00270EC2" w:rsidRDefault="00270EC2" w:rsidP="00270EC2">
      <w:pPr>
        <w:jc w:val="right"/>
        <w:rPr>
          <w:b/>
          <w:i/>
          <w:sz w:val="24"/>
          <w:szCs w:val="24"/>
        </w:rPr>
      </w:pPr>
      <w:r>
        <w:rPr>
          <w:b/>
          <w:sz w:val="24"/>
          <w:szCs w:val="24"/>
        </w:rPr>
        <w:t>Universidade Regional de Blumenau (FURB)</w:t>
      </w:r>
    </w:p>
    <w:p w14:paraId="785767E9" w14:textId="77777777" w:rsidR="00270EC2" w:rsidRDefault="00270EC2" w:rsidP="00270EC2">
      <w:pPr>
        <w:widowControl w:val="0"/>
        <w:jc w:val="right"/>
        <w:rPr>
          <w:b/>
          <w:i/>
          <w:sz w:val="24"/>
          <w:szCs w:val="24"/>
        </w:rPr>
      </w:pPr>
      <w:r>
        <w:rPr>
          <w:b/>
          <w:i/>
          <w:sz w:val="24"/>
          <w:szCs w:val="24"/>
        </w:rPr>
        <w:t xml:space="preserve">E-mail: </w:t>
      </w:r>
      <w:r w:rsidRPr="008A74FE">
        <w:rPr>
          <w:b/>
          <w:i/>
          <w:sz w:val="24"/>
          <w:szCs w:val="24"/>
        </w:rPr>
        <w:t>crisiane.silva26@gmail.com</w:t>
      </w:r>
    </w:p>
    <w:p w14:paraId="4C3A5DCA" w14:textId="77777777" w:rsidR="00270EC2" w:rsidRDefault="00270EC2" w:rsidP="00270EC2">
      <w:pPr>
        <w:widowControl w:val="0"/>
        <w:jc w:val="right"/>
        <w:rPr>
          <w:b/>
          <w:sz w:val="24"/>
          <w:szCs w:val="24"/>
        </w:rPr>
      </w:pPr>
    </w:p>
    <w:p w14:paraId="762CE9DE" w14:textId="77777777" w:rsidR="00270EC2" w:rsidRDefault="00270EC2" w:rsidP="00270EC2">
      <w:pPr>
        <w:jc w:val="right"/>
        <w:rPr>
          <w:b/>
          <w:sz w:val="24"/>
          <w:szCs w:val="24"/>
        </w:rPr>
      </w:pPr>
      <w:r>
        <w:rPr>
          <w:b/>
          <w:sz w:val="24"/>
          <w:szCs w:val="24"/>
        </w:rPr>
        <w:t>Samuel Haag</w:t>
      </w:r>
    </w:p>
    <w:p w14:paraId="3414E189" w14:textId="77777777" w:rsidR="00270EC2" w:rsidRDefault="00270EC2" w:rsidP="00270EC2">
      <w:pPr>
        <w:jc w:val="right"/>
        <w:rPr>
          <w:b/>
          <w:i/>
          <w:sz w:val="24"/>
          <w:szCs w:val="24"/>
        </w:rPr>
      </w:pPr>
      <w:r>
        <w:rPr>
          <w:b/>
          <w:sz w:val="24"/>
          <w:szCs w:val="24"/>
        </w:rPr>
        <w:t>Universidade Regional de Blumenau (FURB)</w:t>
      </w:r>
    </w:p>
    <w:p w14:paraId="201D1039" w14:textId="77777777" w:rsidR="00270EC2" w:rsidRDefault="00270EC2" w:rsidP="00270EC2">
      <w:pPr>
        <w:jc w:val="right"/>
        <w:rPr>
          <w:b/>
          <w:sz w:val="24"/>
          <w:szCs w:val="24"/>
        </w:rPr>
      </w:pPr>
      <w:r>
        <w:rPr>
          <w:b/>
          <w:i/>
          <w:sz w:val="24"/>
          <w:szCs w:val="24"/>
        </w:rPr>
        <w:t xml:space="preserve">E-mail: </w:t>
      </w:r>
      <w:r w:rsidRPr="008A74FE">
        <w:rPr>
          <w:b/>
          <w:i/>
          <w:sz w:val="24"/>
          <w:szCs w:val="24"/>
        </w:rPr>
        <w:t>samuelhaag@hotmail.com</w:t>
      </w:r>
    </w:p>
    <w:p w14:paraId="1604312D" w14:textId="77777777" w:rsidR="00270EC2" w:rsidRDefault="00270EC2" w:rsidP="00270EC2">
      <w:pPr>
        <w:widowControl w:val="0"/>
        <w:jc w:val="right"/>
        <w:rPr>
          <w:b/>
          <w:sz w:val="24"/>
          <w:szCs w:val="24"/>
        </w:rPr>
      </w:pPr>
    </w:p>
    <w:p w14:paraId="39DF565A" w14:textId="77777777" w:rsidR="00270EC2" w:rsidRDefault="00270EC2" w:rsidP="00270EC2">
      <w:pPr>
        <w:widowControl w:val="0"/>
        <w:jc w:val="right"/>
        <w:rPr>
          <w:b/>
          <w:sz w:val="24"/>
          <w:szCs w:val="24"/>
        </w:rPr>
      </w:pPr>
      <w:r w:rsidRPr="00E54627">
        <w:rPr>
          <w:b/>
          <w:sz w:val="24"/>
          <w:szCs w:val="24"/>
        </w:rPr>
        <w:t>Marcia Zanievicz da Silva</w:t>
      </w:r>
    </w:p>
    <w:p w14:paraId="48008DB7" w14:textId="77777777" w:rsidR="00270EC2" w:rsidRDefault="00270EC2" w:rsidP="00270EC2">
      <w:pPr>
        <w:jc w:val="right"/>
        <w:rPr>
          <w:b/>
          <w:i/>
          <w:sz w:val="24"/>
          <w:szCs w:val="24"/>
        </w:rPr>
      </w:pPr>
      <w:r>
        <w:rPr>
          <w:b/>
          <w:sz w:val="24"/>
          <w:szCs w:val="24"/>
        </w:rPr>
        <w:t>Universidade Regional de Blumenau (FURB)</w:t>
      </w:r>
    </w:p>
    <w:p w14:paraId="58498935" w14:textId="77777777" w:rsidR="00270EC2" w:rsidRPr="00E54627" w:rsidRDefault="00270EC2" w:rsidP="00270EC2">
      <w:pPr>
        <w:widowControl w:val="0"/>
        <w:jc w:val="right"/>
        <w:rPr>
          <w:b/>
          <w:i/>
          <w:sz w:val="24"/>
          <w:szCs w:val="24"/>
        </w:rPr>
      </w:pPr>
      <w:r>
        <w:rPr>
          <w:b/>
          <w:i/>
          <w:sz w:val="24"/>
          <w:szCs w:val="24"/>
        </w:rPr>
        <w:t>E-mail: marciaza@gmail.com</w:t>
      </w:r>
    </w:p>
    <w:p w14:paraId="1575BB91" w14:textId="77777777" w:rsidR="00761592" w:rsidRPr="00761592" w:rsidRDefault="00761592" w:rsidP="00270EC2">
      <w:pPr>
        <w:widowControl w:val="0"/>
        <w:rPr>
          <w:color w:val="999999"/>
        </w:rPr>
      </w:pPr>
    </w:p>
    <w:p w14:paraId="2CBDDB78" w14:textId="77777777" w:rsidR="0036377D" w:rsidRDefault="0036377D" w:rsidP="00067126">
      <w:pPr>
        <w:widowControl w:val="0"/>
        <w:jc w:val="center"/>
        <w:rPr>
          <w:b/>
          <w:color w:val="999999"/>
        </w:rPr>
      </w:pPr>
    </w:p>
    <w:p w14:paraId="0A994CD5" w14:textId="77777777" w:rsidR="00C04F45" w:rsidRDefault="0036377D" w:rsidP="00067126">
      <w:pPr>
        <w:widowControl w:val="0"/>
        <w:jc w:val="both"/>
        <w:rPr>
          <w:b/>
          <w:sz w:val="24"/>
          <w:szCs w:val="24"/>
        </w:rPr>
      </w:pPr>
      <w:r>
        <w:rPr>
          <w:b/>
          <w:sz w:val="24"/>
          <w:szCs w:val="24"/>
        </w:rPr>
        <w:t xml:space="preserve">Resumo </w:t>
      </w:r>
    </w:p>
    <w:p w14:paraId="5E618625" w14:textId="1765933E" w:rsidR="008A74FE" w:rsidRPr="008A74FE" w:rsidRDefault="00440E92" w:rsidP="008A74FE">
      <w:pPr>
        <w:widowControl w:val="0"/>
        <w:jc w:val="both"/>
        <w:rPr>
          <w:sz w:val="24"/>
          <w:szCs w:val="24"/>
        </w:rPr>
      </w:pPr>
      <w:r w:rsidRPr="008A74FE">
        <w:rPr>
          <w:sz w:val="24"/>
          <w:szCs w:val="24"/>
        </w:rPr>
        <w:t>Com o objetivo de analisar a relação entre o desempenho operacional e a situação econômico-financeira das organizações hospitalares, realizou-se um estudo</w:t>
      </w:r>
      <w:r w:rsidR="008A74FE" w:rsidRPr="008A74FE">
        <w:rPr>
          <w:sz w:val="24"/>
          <w:szCs w:val="24"/>
        </w:rPr>
        <w:t xml:space="preserve"> descritivo, documental e quantitativo. A população da pesquisa correspondeu a 234 hospitais da região Sul do Brasil</w:t>
      </w:r>
      <w:r w:rsidR="007D5F77">
        <w:rPr>
          <w:sz w:val="24"/>
          <w:szCs w:val="24"/>
        </w:rPr>
        <w:t xml:space="preserve">, </w:t>
      </w:r>
      <w:r w:rsidR="008A74FE" w:rsidRPr="008A74FE">
        <w:rPr>
          <w:sz w:val="24"/>
          <w:szCs w:val="24"/>
        </w:rPr>
        <w:t xml:space="preserve">classificados pelo Ministério da Justiça como unidade de Utilidade Pública Federal (UPF), sendo a amostra composta por </w:t>
      </w:r>
      <w:r w:rsidR="007D5F77">
        <w:rPr>
          <w:sz w:val="24"/>
          <w:szCs w:val="24"/>
        </w:rPr>
        <w:t>1</w:t>
      </w:r>
      <w:r w:rsidR="008A74FE" w:rsidRPr="008A74FE">
        <w:rPr>
          <w:sz w:val="24"/>
          <w:szCs w:val="24"/>
        </w:rPr>
        <w:t>21 hospitais e 605 observações. O período foi de 2010 a 2014 (5 anos), não sendo mais atual</w:t>
      </w:r>
      <w:r w:rsidR="007D5F77">
        <w:rPr>
          <w:sz w:val="24"/>
          <w:szCs w:val="24"/>
        </w:rPr>
        <w:t xml:space="preserve">, </w:t>
      </w:r>
      <w:r w:rsidR="008A74FE" w:rsidRPr="008A74FE">
        <w:rPr>
          <w:sz w:val="24"/>
          <w:szCs w:val="24"/>
        </w:rPr>
        <w:t xml:space="preserve">pois devido a Lei 13.204 de 2015, houve a extinção da prestação de contas das UPF’s. </w:t>
      </w:r>
      <w:r w:rsidR="008A74FE">
        <w:rPr>
          <w:sz w:val="24"/>
          <w:szCs w:val="24"/>
        </w:rPr>
        <w:t>Vale ressaltar que os dados foram coletados em duas bases públicas: variáveis para mensurar o desempenho operacional na base de dados</w:t>
      </w:r>
      <w:r w:rsidR="008A74FE">
        <w:t xml:space="preserve"> </w:t>
      </w:r>
      <w:r w:rsidR="008A74FE">
        <w:rPr>
          <w:sz w:val="24"/>
          <w:szCs w:val="24"/>
        </w:rPr>
        <w:t xml:space="preserve">DATASUS e variáveis </w:t>
      </w:r>
      <w:r w:rsidR="008A74FE" w:rsidRPr="00354CD5">
        <w:rPr>
          <w:sz w:val="24"/>
          <w:szCs w:val="24"/>
        </w:rPr>
        <w:t>econômico-financeira</w:t>
      </w:r>
      <w:r w:rsidR="008A74FE">
        <w:rPr>
          <w:sz w:val="24"/>
          <w:szCs w:val="24"/>
        </w:rPr>
        <w:t xml:space="preserve">s a partir do </w:t>
      </w:r>
      <w:r w:rsidR="008A74FE" w:rsidRPr="003C5206">
        <w:rPr>
          <w:sz w:val="24"/>
          <w:szCs w:val="24"/>
        </w:rPr>
        <w:t>Cadastro Nacional de Entidades de Utilidade Pública</w:t>
      </w:r>
      <w:r w:rsidR="008A74FE">
        <w:rPr>
          <w:sz w:val="24"/>
          <w:szCs w:val="24"/>
        </w:rPr>
        <w:t xml:space="preserve"> (CNEs)</w:t>
      </w:r>
      <w:r w:rsidR="008A74FE">
        <w:t xml:space="preserve">. </w:t>
      </w:r>
      <w:r w:rsidR="008A74FE">
        <w:rPr>
          <w:sz w:val="24"/>
          <w:szCs w:val="24"/>
        </w:rPr>
        <w:t>Para realizar a análise dos dados utilizou-se a c</w:t>
      </w:r>
      <w:r w:rsidR="008A74FE" w:rsidRPr="008D1143">
        <w:rPr>
          <w:sz w:val="24"/>
          <w:szCs w:val="24"/>
        </w:rPr>
        <w:t xml:space="preserve">orrelação </w:t>
      </w:r>
      <w:r w:rsidR="008A74FE">
        <w:rPr>
          <w:sz w:val="24"/>
          <w:szCs w:val="24"/>
        </w:rPr>
        <w:t>c</w:t>
      </w:r>
      <w:r w:rsidR="008A74FE" w:rsidRPr="008D1143">
        <w:rPr>
          <w:sz w:val="24"/>
          <w:szCs w:val="24"/>
        </w:rPr>
        <w:t xml:space="preserve">anônica, </w:t>
      </w:r>
      <w:r w:rsidR="008A74FE">
        <w:rPr>
          <w:sz w:val="24"/>
          <w:szCs w:val="24"/>
        </w:rPr>
        <w:t>a partir do</w:t>
      </w:r>
      <w:r w:rsidR="008A74FE" w:rsidRPr="00844EE3">
        <w:rPr>
          <w:sz w:val="24"/>
          <w:szCs w:val="24"/>
        </w:rPr>
        <w:t xml:space="preserve"> software</w:t>
      </w:r>
      <w:r w:rsidR="008A74FE">
        <w:rPr>
          <w:sz w:val="24"/>
          <w:szCs w:val="24"/>
        </w:rPr>
        <w:t xml:space="preserve"> estatístico</w:t>
      </w:r>
      <w:r w:rsidR="008A74FE" w:rsidRPr="00844EE3">
        <w:rPr>
          <w:sz w:val="24"/>
          <w:szCs w:val="24"/>
        </w:rPr>
        <w:t xml:space="preserve"> </w:t>
      </w:r>
      <w:r w:rsidR="008A74FE" w:rsidRPr="00844EE3">
        <w:rPr>
          <w:i/>
          <w:sz w:val="24"/>
          <w:szCs w:val="24"/>
        </w:rPr>
        <w:t>Statgraphics Centurion</w:t>
      </w:r>
      <w:r w:rsidR="008A74FE" w:rsidRPr="00844EE3">
        <w:rPr>
          <w:sz w:val="24"/>
          <w:szCs w:val="24"/>
        </w:rPr>
        <w:t xml:space="preserve"> 16</w:t>
      </w:r>
      <w:r w:rsidR="008A74FE" w:rsidRPr="0050799D">
        <w:rPr>
          <w:sz w:val="24"/>
          <w:szCs w:val="24"/>
          <w:vertAlign w:val="superscript"/>
        </w:rPr>
        <w:t>®</w:t>
      </w:r>
      <w:r w:rsidR="008A74FE">
        <w:rPr>
          <w:sz w:val="24"/>
          <w:szCs w:val="24"/>
        </w:rPr>
        <w:t xml:space="preserve">. Por meio dos resultados verificou-se que as variáveis com maior correlação (associação muito forte) foram Liquidez Corrente e Liquidez Geral do grupo de variáveis de situação econômico-financeira e a Taxa de Valores Hospitalares do grupo de variáveis de desempenho operacional. Entretanto, a variável Liquidez Geral de forma inversa, isto é, negativa. Além disso, foram consideradas as variáveis Margem Líquida e Autorização de Internação Hospitalar por terem apresentado uma força de associação </w:t>
      </w:r>
      <w:r w:rsidR="007D5F77">
        <w:rPr>
          <w:sz w:val="24"/>
          <w:szCs w:val="24"/>
        </w:rPr>
        <w:t>pequena,</w:t>
      </w:r>
      <w:r w:rsidR="008A74FE">
        <w:rPr>
          <w:sz w:val="24"/>
          <w:szCs w:val="24"/>
        </w:rPr>
        <w:t xml:space="preserve"> mas definida. Diante desses achados, conclui-se que, quanto maior for a margem líquida e liquidez corrente e menor for a liquidez geral, maior será a taxa de valores hospitalares e autorização de internação hospitalar.</w:t>
      </w:r>
    </w:p>
    <w:p w14:paraId="50970F77" w14:textId="77777777" w:rsidR="0036377D" w:rsidRDefault="0036377D" w:rsidP="00067126">
      <w:pPr>
        <w:widowControl w:val="0"/>
        <w:rPr>
          <w:b/>
          <w:sz w:val="24"/>
          <w:szCs w:val="24"/>
        </w:rPr>
      </w:pPr>
    </w:p>
    <w:p w14:paraId="4E3939E5" w14:textId="77777777" w:rsidR="0036377D" w:rsidRDefault="0036377D" w:rsidP="00067126">
      <w:pPr>
        <w:widowControl w:val="0"/>
        <w:rPr>
          <w:sz w:val="24"/>
          <w:szCs w:val="24"/>
        </w:rPr>
      </w:pPr>
      <w:r>
        <w:rPr>
          <w:b/>
          <w:sz w:val="24"/>
          <w:szCs w:val="24"/>
        </w:rPr>
        <w:t xml:space="preserve">Palavras-chave: </w:t>
      </w:r>
      <w:r w:rsidR="00E54627">
        <w:rPr>
          <w:sz w:val="24"/>
          <w:szCs w:val="24"/>
        </w:rPr>
        <w:t>Desempenho Operacional; Situação Econômico-Financeira; Hospitais.</w:t>
      </w:r>
    </w:p>
    <w:p w14:paraId="046EF517" w14:textId="77777777" w:rsidR="0036377D" w:rsidRDefault="0036377D" w:rsidP="00067126">
      <w:pPr>
        <w:widowControl w:val="0"/>
        <w:rPr>
          <w:sz w:val="24"/>
          <w:szCs w:val="24"/>
        </w:rPr>
      </w:pPr>
    </w:p>
    <w:p w14:paraId="2FBD203D" w14:textId="4E5B7D09" w:rsidR="0036377D" w:rsidRPr="0036377D" w:rsidRDefault="0036377D" w:rsidP="00067126">
      <w:pPr>
        <w:widowControl w:val="0"/>
        <w:rPr>
          <w:sz w:val="24"/>
          <w:szCs w:val="24"/>
        </w:rPr>
      </w:pPr>
      <w:r>
        <w:rPr>
          <w:b/>
          <w:sz w:val="24"/>
          <w:szCs w:val="24"/>
        </w:rPr>
        <w:t xml:space="preserve">Linha Temática: </w:t>
      </w:r>
      <w:r w:rsidR="008A74FE" w:rsidRPr="008A74FE">
        <w:rPr>
          <w:sz w:val="24"/>
          <w:szCs w:val="24"/>
        </w:rPr>
        <w:t>j)</w:t>
      </w:r>
      <w:r w:rsidR="008A74FE">
        <w:rPr>
          <w:b/>
          <w:sz w:val="24"/>
          <w:szCs w:val="24"/>
        </w:rPr>
        <w:t xml:space="preserve"> </w:t>
      </w:r>
      <w:r w:rsidR="00E54627" w:rsidRPr="008A74FE">
        <w:rPr>
          <w:sz w:val="24"/>
          <w:szCs w:val="24"/>
        </w:rPr>
        <w:t xml:space="preserve">Indicadores de </w:t>
      </w:r>
      <w:r w:rsidR="008A74FE" w:rsidRPr="008A74FE">
        <w:rPr>
          <w:sz w:val="24"/>
          <w:szCs w:val="24"/>
        </w:rPr>
        <w:t>D</w:t>
      </w:r>
      <w:r w:rsidR="00E54627" w:rsidRPr="008A74FE">
        <w:rPr>
          <w:sz w:val="24"/>
          <w:szCs w:val="24"/>
        </w:rPr>
        <w:t>esempenho</w:t>
      </w:r>
    </w:p>
    <w:p w14:paraId="058A966F" w14:textId="77777777" w:rsidR="00E54627" w:rsidRDefault="00E54627" w:rsidP="00067126">
      <w:pPr>
        <w:widowControl w:val="0"/>
      </w:pPr>
    </w:p>
    <w:p w14:paraId="30B9E4BC" w14:textId="77777777" w:rsidR="0036377D" w:rsidRDefault="0036377D" w:rsidP="00067126">
      <w:pPr>
        <w:widowControl w:val="0"/>
      </w:pPr>
    </w:p>
    <w:p w14:paraId="6769C148" w14:textId="60A95CED" w:rsidR="00E54627" w:rsidRPr="000179CE" w:rsidRDefault="00E54627" w:rsidP="00E54627">
      <w:pPr>
        <w:rPr>
          <w:b/>
          <w:sz w:val="24"/>
          <w:szCs w:val="24"/>
        </w:rPr>
      </w:pPr>
      <w:bookmarkStart w:id="0" w:name="_Hlk512843408"/>
      <w:bookmarkStart w:id="1" w:name="_GoBack"/>
      <w:bookmarkEnd w:id="1"/>
      <w:r w:rsidRPr="000179CE">
        <w:rPr>
          <w:b/>
          <w:sz w:val="24"/>
          <w:szCs w:val="24"/>
        </w:rPr>
        <w:lastRenderedPageBreak/>
        <w:t>1 Introdução</w:t>
      </w:r>
    </w:p>
    <w:p w14:paraId="5F28C27E" w14:textId="4368B755" w:rsidR="00E54627" w:rsidRDefault="00E54627" w:rsidP="00E54627">
      <w:pPr>
        <w:ind w:firstLine="708"/>
        <w:jc w:val="both"/>
        <w:rPr>
          <w:sz w:val="24"/>
          <w:szCs w:val="24"/>
        </w:rPr>
      </w:pPr>
      <w:r>
        <w:rPr>
          <w:sz w:val="24"/>
          <w:szCs w:val="24"/>
        </w:rPr>
        <w:t xml:space="preserve">O bem-estar </w:t>
      </w:r>
      <w:r w:rsidRPr="00EE7D8D">
        <w:rPr>
          <w:sz w:val="24"/>
          <w:szCs w:val="24"/>
        </w:rPr>
        <w:t>organizacional d</w:t>
      </w:r>
      <w:r>
        <w:rPr>
          <w:sz w:val="24"/>
          <w:szCs w:val="24"/>
        </w:rPr>
        <w:t xml:space="preserve">os </w:t>
      </w:r>
      <w:r w:rsidRPr="00EE7D8D">
        <w:rPr>
          <w:sz w:val="24"/>
          <w:szCs w:val="24"/>
        </w:rPr>
        <w:t>hospita</w:t>
      </w:r>
      <w:r>
        <w:rPr>
          <w:sz w:val="24"/>
          <w:szCs w:val="24"/>
        </w:rPr>
        <w:t>is</w:t>
      </w:r>
      <w:r w:rsidRPr="00EE7D8D">
        <w:rPr>
          <w:sz w:val="24"/>
          <w:szCs w:val="24"/>
        </w:rPr>
        <w:t xml:space="preserve"> é fundamental para que este</w:t>
      </w:r>
      <w:r>
        <w:rPr>
          <w:sz w:val="24"/>
          <w:szCs w:val="24"/>
        </w:rPr>
        <w:t>s</w:t>
      </w:r>
      <w:r w:rsidRPr="00EE7D8D">
        <w:rPr>
          <w:sz w:val="24"/>
          <w:szCs w:val="24"/>
        </w:rPr>
        <w:t xml:space="preserve"> possa</w:t>
      </w:r>
      <w:r>
        <w:rPr>
          <w:sz w:val="24"/>
          <w:szCs w:val="24"/>
        </w:rPr>
        <w:t>m</w:t>
      </w:r>
      <w:r w:rsidRPr="00EE7D8D">
        <w:rPr>
          <w:sz w:val="24"/>
          <w:szCs w:val="24"/>
        </w:rPr>
        <w:t xml:space="preserve"> prover serviços de saúde adequados à população</w:t>
      </w:r>
      <w:r>
        <w:rPr>
          <w:sz w:val="24"/>
          <w:szCs w:val="24"/>
        </w:rPr>
        <w:t xml:space="preserve"> (</w:t>
      </w:r>
      <w:r w:rsidR="00DE5747">
        <w:rPr>
          <w:sz w:val="24"/>
          <w:szCs w:val="24"/>
        </w:rPr>
        <w:t>Lima Neto</w:t>
      </w:r>
      <w:r>
        <w:rPr>
          <w:sz w:val="24"/>
          <w:szCs w:val="24"/>
        </w:rPr>
        <w:t>, 2011)</w:t>
      </w:r>
      <w:r w:rsidRPr="00EE7D8D">
        <w:rPr>
          <w:sz w:val="24"/>
          <w:szCs w:val="24"/>
        </w:rPr>
        <w:t xml:space="preserve">. </w:t>
      </w:r>
      <w:r>
        <w:rPr>
          <w:sz w:val="24"/>
          <w:szCs w:val="24"/>
        </w:rPr>
        <w:t xml:space="preserve">Avaliar o desempenho operacional e a situação econômico-financeiro é primordial para qualquer tipo de organização, visando sempre o alcance de melhores resultados </w:t>
      </w:r>
      <w:r w:rsidRPr="001F24ED">
        <w:rPr>
          <w:sz w:val="24"/>
          <w:szCs w:val="24"/>
        </w:rPr>
        <w:t>(</w:t>
      </w:r>
      <w:r w:rsidR="001F24ED" w:rsidRPr="001F24ED">
        <w:rPr>
          <w:sz w:val="24"/>
          <w:szCs w:val="24"/>
        </w:rPr>
        <w:t>Li, Benton &amp; Leong</w:t>
      </w:r>
      <w:r w:rsidRPr="001F24ED">
        <w:rPr>
          <w:sz w:val="24"/>
          <w:szCs w:val="24"/>
        </w:rPr>
        <w:t>, 2002</w:t>
      </w:r>
      <w:r>
        <w:rPr>
          <w:sz w:val="24"/>
          <w:szCs w:val="24"/>
        </w:rPr>
        <w:t xml:space="preserve">; </w:t>
      </w:r>
      <w:r w:rsidR="001F24ED" w:rsidRPr="001F24ED">
        <w:rPr>
          <w:sz w:val="24"/>
          <w:szCs w:val="24"/>
        </w:rPr>
        <w:t>Aiken, Clarke &amp; Sloane</w:t>
      </w:r>
      <w:r>
        <w:rPr>
          <w:sz w:val="24"/>
          <w:szCs w:val="24"/>
        </w:rPr>
        <w:t xml:space="preserve">, </w:t>
      </w:r>
      <w:r w:rsidRPr="00EE1EA9">
        <w:rPr>
          <w:sz w:val="24"/>
          <w:szCs w:val="24"/>
        </w:rPr>
        <w:t xml:space="preserve">2002; </w:t>
      </w:r>
      <w:r w:rsidR="00727685" w:rsidRPr="00EE1EA9">
        <w:rPr>
          <w:sz w:val="24"/>
          <w:szCs w:val="24"/>
        </w:rPr>
        <w:t>Miller</w:t>
      </w:r>
      <w:r w:rsidR="00727685">
        <w:rPr>
          <w:sz w:val="24"/>
          <w:szCs w:val="24"/>
        </w:rPr>
        <w:t xml:space="preserve">, </w:t>
      </w:r>
      <w:r w:rsidR="00727685" w:rsidRPr="00727685">
        <w:rPr>
          <w:sz w:val="24"/>
          <w:szCs w:val="24"/>
        </w:rPr>
        <w:t>Novost, Donithan, Zeger, Zhan, Morlock</w:t>
      </w:r>
      <w:r w:rsidR="00727685">
        <w:rPr>
          <w:sz w:val="24"/>
          <w:szCs w:val="24"/>
        </w:rPr>
        <w:t xml:space="preserve"> &amp;</w:t>
      </w:r>
      <w:r w:rsidR="00727685" w:rsidRPr="00727685">
        <w:rPr>
          <w:sz w:val="24"/>
          <w:szCs w:val="24"/>
        </w:rPr>
        <w:t xml:space="preserve"> Meyer</w:t>
      </w:r>
      <w:r w:rsidR="00727685">
        <w:rPr>
          <w:sz w:val="24"/>
          <w:szCs w:val="24"/>
        </w:rPr>
        <w:t xml:space="preserve">, </w:t>
      </w:r>
      <w:r w:rsidRPr="00EE1EA9">
        <w:rPr>
          <w:sz w:val="24"/>
          <w:szCs w:val="24"/>
        </w:rPr>
        <w:t>2005</w:t>
      </w:r>
      <w:r>
        <w:rPr>
          <w:sz w:val="24"/>
          <w:szCs w:val="24"/>
        </w:rPr>
        <w:t xml:space="preserve">; </w:t>
      </w:r>
      <w:r w:rsidR="00727685" w:rsidRPr="00EE1EA9">
        <w:rPr>
          <w:sz w:val="24"/>
          <w:szCs w:val="24"/>
        </w:rPr>
        <w:t>Souza</w:t>
      </w:r>
      <w:r w:rsidR="00727685">
        <w:rPr>
          <w:sz w:val="24"/>
          <w:szCs w:val="24"/>
        </w:rPr>
        <w:t xml:space="preserve">, </w:t>
      </w:r>
      <w:r w:rsidR="00727685" w:rsidRPr="00485206">
        <w:rPr>
          <w:sz w:val="24"/>
          <w:szCs w:val="24"/>
        </w:rPr>
        <w:t>Guerra, Lara, Gomide, Pereira</w:t>
      </w:r>
      <w:r w:rsidR="00727685">
        <w:rPr>
          <w:sz w:val="24"/>
          <w:szCs w:val="24"/>
        </w:rPr>
        <w:t xml:space="preserve"> &amp;</w:t>
      </w:r>
      <w:r w:rsidR="00727685" w:rsidRPr="00485206">
        <w:rPr>
          <w:sz w:val="24"/>
          <w:szCs w:val="24"/>
        </w:rPr>
        <w:t xml:space="preserve"> Freitas</w:t>
      </w:r>
      <w:r w:rsidR="00727685">
        <w:rPr>
          <w:sz w:val="24"/>
          <w:szCs w:val="24"/>
        </w:rPr>
        <w:t xml:space="preserve">, </w:t>
      </w:r>
      <w:r w:rsidRPr="00EE1EA9">
        <w:rPr>
          <w:sz w:val="24"/>
          <w:szCs w:val="24"/>
        </w:rPr>
        <w:t>2009</w:t>
      </w:r>
      <w:r>
        <w:rPr>
          <w:sz w:val="24"/>
          <w:szCs w:val="24"/>
        </w:rPr>
        <w:t xml:space="preserve">; </w:t>
      </w:r>
      <w:r w:rsidR="00727685" w:rsidRPr="00EE1EA9">
        <w:rPr>
          <w:sz w:val="24"/>
          <w:szCs w:val="24"/>
        </w:rPr>
        <w:t>Bonacim</w:t>
      </w:r>
      <w:r w:rsidR="00727685">
        <w:rPr>
          <w:sz w:val="24"/>
          <w:szCs w:val="24"/>
        </w:rPr>
        <w:t xml:space="preserve"> &amp;</w:t>
      </w:r>
      <w:r w:rsidR="00727685" w:rsidRPr="00EE1EA9">
        <w:rPr>
          <w:sz w:val="24"/>
          <w:szCs w:val="24"/>
        </w:rPr>
        <w:t xml:space="preserve"> Araújo</w:t>
      </w:r>
      <w:r>
        <w:rPr>
          <w:sz w:val="24"/>
          <w:szCs w:val="24"/>
        </w:rPr>
        <w:t xml:space="preserve">, </w:t>
      </w:r>
      <w:r w:rsidRPr="00EE1EA9">
        <w:rPr>
          <w:sz w:val="24"/>
          <w:szCs w:val="24"/>
        </w:rPr>
        <w:t>2011</w:t>
      </w:r>
      <w:r>
        <w:rPr>
          <w:sz w:val="24"/>
          <w:szCs w:val="24"/>
        </w:rPr>
        <w:t xml:space="preserve">; </w:t>
      </w:r>
      <w:r w:rsidR="00727685" w:rsidRPr="00EE1EA9">
        <w:rPr>
          <w:sz w:val="24"/>
          <w:szCs w:val="24"/>
        </w:rPr>
        <w:t>Guerra</w:t>
      </w:r>
      <w:r w:rsidR="00727685">
        <w:rPr>
          <w:sz w:val="24"/>
          <w:szCs w:val="24"/>
        </w:rPr>
        <w:t>,</w:t>
      </w:r>
      <w:r>
        <w:rPr>
          <w:sz w:val="24"/>
          <w:szCs w:val="24"/>
        </w:rPr>
        <w:t xml:space="preserve"> </w:t>
      </w:r>
      <w:r w:rsidRPr="00EE1EA9">
        <w:rPr>
          <w:sz w:val="24"/>
          <w:szCs w:val="24"/>
        </w:rPr>
        <w:t>2011</w:t>
      </w:r>
      <w:r>
        <w:rPr>
          <w:sz w:val="24"/>
          <w:szCs w:val="24"/>
        </w:rPr>
        <w:t xml:space="preserve">; </w:t>
      </w:r>
      <w:r w:rsidR="00727685" w:rsidRPr="00EE1EA9">
        <w:rPr>
          <w:sz w:val="24"/>
          <w:szCs w:val="24"/>
        </w:rPr>
        <w:t>Lima Neto</w:t>
      </w:r>
      <w:r w:rsidR="00727685">
        <w:rPr>
          <w:sz w:val="24"/>
          <w:szCs w:val="24"/>
        </w:rPr>
        <w:t xml:space="preserve">, </w:t>
      </w:r>
      <w:r w:rsidRPr="00EE1EA9">
        <w:rPr>
          <w:sz w:val="24"/>
          <w:szCs w:val="24"/>
        </w:rPr>
        <w:t>2011</w:t>
      </w:r>
      <w:r>
        <w:rPr>
          <w:sz w:val="24"/>
          <w:szCs w:val="24"/>
        </w:rPr>
        <w:t xml:space="preserve">; </w:t>
      </w:r>
      <w:r w:rsidR="00727685" w:rsidRPr="00EE1EA9">
        <w:rPr>
          <w:sz w:val="24"/>
          <w:szCs w:val="24"/>
        </w:rPr>
        <w:t>Crowe</w:t>
      </w:r>
      <w:r w:rsidR="00727685">
        <w:rPr>
          <w:sz w:val="24"/>
          <w:szCs w:val="24"/>
        </w:rPr>
        <w:t xml:space="preserve">, </w:t>
      </w:r>
      <w:r w:rsidR="00727685" w:rsidRPr="00727685">
        <w:rPr>
          <w:sz w:val="24"/>
          <w:szCs w:val="24"/>
        </w:rPr>
        <w:t>Garman, Li, Helton, Anderson</w:t>
      </w:r>
      <w:r w:rsidR="00727685">
        <w:rPr>
          <w:sz w:val="24"/>
          <w:szCs w:val="24"/>
        </w:rPr>
        <w:t xml:space="preserve"> &amp; </w:t>
      </w:r>
      <w:r w:rsidR="00727685" w:rsidRPr="00727685">
        <w:rPr>
          <w:sz w:val="24"/>
          <w:szCs w:val="24"/>
        </w:rPr>
        <w:t>Butle</w:t>
      </w:r>
      <w:r w:rsidR="00727685">
        <w:rPr>
          <w:sz w:val="24"/>
          <w:szCs w:val="24"/>
        </w:rPr>
        <w:t xml:space="preserve">, </w:t>
      </w:r>
      <w:r w:rsidRPr="00EE1EA9">
        <w:rPr>
          <w:sz w:val="24"/>
          <w:szCs w:val="24"/>
        </w:rPr>
        <w:t>2017</w:t>
      </w:r>
      <w:r>
        <w:rPr>
          <w:sz w:val="24"/>
          <w:szCs w:val="24"/>
        </w:rPr>
        <w:t xml:space="preserve">; </w:t>
      </w:r>
      <w:r w:rsidR="00727685" w:rsidRPr="00EE1EA9">
        <w:rPr>
          <w:sz w:val="24"/>
          <w:szCs w:val="24"/>
        </w:rPr>
        <w:t>Creixans</w:t>
      </w:r>
      <w:r w:rsidR="00727685">
        <w:rPr>
          <w:sz w:val="24"/>
          <w:szCs w:val="24"/>
        </w:rPr>
        <w:t xml:space="preserve">-Tenas &amp; </w:t>
      </w:r>
      <w:r w:rsidR="00727685" w:rsidRPr="00EE1EA9">
        <w:rPr>
          <w:sz w:val="24"/>
          <w:szCs w:val="24"/>
        </w:rPr>
        <w:t>Arimany-Serrat</w:t>
      </w:r>
      <w:r>
        <w:rPr>
          <w:sz w:val="24"/>
          <w:szCs w:val="24"/>
        </w:rPr>
        <w:t xml:space="preserve">, </w:t>
      </w:r>
      <w:r w:rsidRPr="00EE1EA9">
        <w:rPr>
          <w:sz w:val="24"/>
          <w:szCs w:val="24"/>
        </w:rPr>
        <w:t>2018</w:t>
      </w:r>
      <w:r>
        <w:rPr>
          <w:sz w:val="24"/>
          <w:szCs w:val="24"/>
        </w:rPr>
        <w:t xml:space="preserve">). </w:t>
      </w:r>
    </w:p>
    <w:p w14:paraId="39BA45B9" w14:textId="18DF0D65" w:rsidR="00E54627" w:rsidRDefault="00E54627" w:rsidP="00E54627">
      <w:pPr>
        <w:ind w:firstLine="708"/>
        <w:jc w:val="both"/>
        <w:rPr>
          <w:sz w:val="24"/>
          <w:szCs w:val="24"/>
          <w:shd w:val="clear" w:color="auto" w:fill="FFFFFF"/>
        </w:rPr>
      </w:pPr>
      <w:r>
        <w:rPr>
          <w:sz w:val="24"/>
          <w:szCs w:val="24"/>
        </w:rPr>
        <w:t xml:space="preserve">No caso de hospitais, sabe-se que sua principal </w:t>
      </w:r>
      <w:r w:rsidRPr="00C7700B">
        <w:rPr>
          <w:sz w:val="24"/>
          <w:szCs w:val="24"/>
        </w:rPr>
        <w:t>função é de fornecer c</w:t>
      </w:r>
      <w:r>
        <w:rPr>
          <w:sz w:val="24"/>
          <w:szCs w:val="24"/>
        </w:rPr>
        <w:t xml:space="preserve">uidados relativos a saúde para a população. Diante disso, boa parte dos hospitais brasileiros distancia a gestão do foco econômico-financeiro e direciona-o para a atenção aos pacientes. Contudo, de acordo com Aiken </w:t>
      </w:r>
      <w:r w:rsidR="00761592" w:rsidRPr="00761592">
        <w:rPr>
          <w:i/>
          <w:sz w:val="24"/>
          <w:szCs w:val="24"/>
          <w:shd w:val="clear" w:color="auto" w:fill="FFFFFF"/>
        </w:rPr>
        <w:t>et al.</w:t>
      </w:r>
      <w:r w:rsidR="001F24ED">
        <w:rPr>
          <w:sz w:val="24"/>
          <w:szCs w:val="24"/>
        </w:rPr>
        <w:t xml:space="preserve"> </w:t>
      </w:r>
      <w:r>
        <w:rPr>
          <w:sz w:val="24"/>
          <w:szCs w:val="24"/>
        </w:rPr>
        <w:t xml:space="preserve">(2002) esse distanciamento faz com que essas organizações enfrentem desafios na tomada de decisões gerenciais e financeiras. Outro desafio é a </w:t>
      </w:r>
      <w:r>
        <w:rPr>
          <w:sz w:val="24"/>
          <w:szCs w:val="24"/>
          <w:shd w:val="clear" w:color="auto" w:fill="FFFFFF"/>
        </w:rPr>
        <w:t xml:space="preserve">busca pelo equilíbrio entre a satisfação dos pacientes, os recursos limitados para manter os custos e o hospital em funcionamento, </w:t>
      </w:r>
      <w:r>
        <w:rPr>
          <w:sz w:val="24"/>
          <w:szCs w:val="24"/>
        </w:rPr>
        <w:t>a</w:t>
      </w:r>
      <w:r>
        <w:rPr>
          <w:sz w:val="24"/>
          <w:szCs w:val="24"/>
          <w:shd w:val="clear" w:color="auto" w:fill="FFFFFF"/>
        </w:rPr>
        <w:t>lém das dificuldades inerentes à segregação de funções e autoridade (</w:t>
      </w:r>
      <w:r w:rsidRPr="00727685">
        <w:rPr>
          <w:sz w:val="24"/>
          <w:szCs w:val="24"/>
          <w:shd w:val="clear" w:color="auto" w:fill="FFFFFF"/>
        </w:rPr>
        <w:t>A</w:t>
      </w:r>
      <w:r w:rsidR="00727685" w:rsidRPr="00727685">
        <w:rPr>
          <w:sz w:val="24"/>
          <w:szCs w:val="24"/>
          <w:shd w:val="clear" w:color="auto" w:fill="FFFFFF"/>
        </w:rPr>
        <w:t>iken</w:t>
      </w:r>
      <w:r w:rsidR="001F24ED" w:rsidRPr="00727685">
        <w:rPr>
          <w:sz w:val="24"/>
          <w:szCs w:val="24"/>
          <w:shd w:val="clear" w:color="auto" w:fill="FFFFFF"/>
        </w:rPr>
        <w:t xml:space="preserve"> </w:t>
      </w:r>
      <w:r w:rsidR="00761592" w:rsidRPr="00761592">
        <w:rPr>
          <w:i/>
          <w:sz w:val="24"/>
          <w:szCs w:val="24"/>
          <w:shd w:val="clear" w:color="auto" w:fill="FFFFFF"/>
        </w:rPr>
        <w:t>et al.</w:t>
      </w:r>
      <w:r>
        <w:rPr>
          <w:sz w:val="24"/>
          <w:szCs w:val="24"/>
          <w:shd w:val="clear" w:color="auto" w:fill="FFFFFF"/>
        </w:rPr>
        <w:t>, 2002).</w:t>
      </w:r>
    </w:p>
    <w:p w14:paraId="3A119DE7" w14:textId="7CE7B3B4" w:rsidR="00E54627" w:rsidRPr="00963112" w:rsidRDefault="00E54627" w:rsidP="00E54627">
      <w:pPr>
        <w:ind w:firstLine="709"/>
        <w:jc w:val="both"/>
        <w:rPr>
          <w:sz w:val="24"/>
          <w:szCs w:val="24"/>
          <w:shd w:val="clear" w:color="auto" w:fill="FFFFFF"/>
        </w:rPr>
      </w:pPr>
      <w:r>
        <w:rPr>
          <w:sz w:val="24"/>
          <w:szCs w:val="24"/>
        </w:rPr>
        <w:t xml:space="preserve">Avaliar o </w:t>
      </w:r>
      <w:r w:rsidRPr="00C7700B">
        <w:rPr>
          <w:sz w:val="24"/>
          <w:szCs w:val="24"/>
        </w:rPr>
        <w:t>desempenho operacional fornece lacuna para vários tipos de pesquisas e, no caso dos hospitais, está associado aos procedimentos, quantidade de atendimentos e taxa de ocupação e envolvem a mensuração sobre os gastos do atendimento à saúde (</w:t>
      </w:r>
      <w:r w:rsidR="00727685" w:rsidRPr="00C7700B">
        <w:rPr>
          <w:sz w:val="24"/>
          <w:szCs w:val="24"/>
          <w:shd w:val="clear" w:color="auto" w:fill="FFFFFF"/>
        </w:rPr>
        <w:t>Bonacim</w:t>
      </w:r>
      <w:r w:rsidR="00727685">
        <w:rPr>
          <w:sz w:val="24"/>
          <w:szCs w:val="24"/>
          <w:shd w:val="clear" w:color="auto" w:fill="FFFFFF"/>
        </w:rPr>
        <w:t xml:space="preserve"> &amp;</w:t>
      </w:r>
      <w:r w:rsidR="00727685" w:rsidRPr="00C7700B">
        <w:rPr>
          <w:sz w:val="24"/>
          <w:szCs w:val="24"/>
          <w:shd w:val="clear" w:color="auto" w:fill="FFFFFF"/>
        </w:rPr>
        <w:t xml:space="preserve"> Araujo, </w:t>
      </w:r>
      <w:r w:rsidRPr="00C7700B">
        <w:rPr>
          <w:sz w:val="24"/>
          <w:szCs w:val="24"/>
          <w:shd w:val="clear" w:color="auto" w:fill="FFFFFF"/>
        </w:rPr>
        <w:t>2011).</w:t>
      </w:r>
      <w:r>
        <w:rPr>
          <w:sz w:val="24"/>
          <w:szCs w:val="24"/>
          <w:shd w:val="clear" w:color="auto" w:fill="FFFFFF"/>
        </w:rPr>
        <w:t xml:space="preserve"> </w:t>
      </w:r>
      <w:r>
        <w:rPr>
          <w:sz w:val="24"/>
          <w:szCs w:val="24"/>
        </w:rPr>
        <w:t xml:space="preserve">Na visão de Miller </w:t>
      </w:r>
      <w:r w:rsidR="00761592" w:rsidRPr="00761592">
        <w:rPr>
          <w:i/>
          <w:sz w:val="24"/>
          <w:szCs w:val="24"/>
        </w:rPr>
        <w:t>et al.</w:t>
      </w:r>
      <w:r w:rsidRPr="00727685">
        <w:rPr>
          <w:sz w:val="24"/>
          <w:szCs w:val="24"/>
        </w:rPr>
        <w:t xml:space="preserve"> </w:t>
      </w:r>
      <w:r>
        <w:rPr>
          <w:sz w:val="24"/>
          <w:szCs w:val="24"/>
        </w:rPr>
        <w:t xml:space="preserve">(2005), quando os tomadores de decisão dedicam pouca atenção à </w:t>
      </w:r>
      <w:r w:rsidRPr="00C7700B">
        <w:rPr>
          <w:sz w:val="24"/>
          <w:szCs w:val="24"/>
        </w:rPr>
        <w:t>situação econômico-financeira dos hospitais, surgem dificuldades para a administração,</w:t>
      </w:r>
      <w:r>
        <w:rPr>
          <w:sz w:val="24"/>
          <w:szCs w:val="24"/>
        </w:rPr>
        <w:t xml:space="preserve"> que refletem no seu crescimento e na sua continuidade.</w:t>
      </w:r>
    </w:p>
    <w:p w14:paraId="50E37CA3" w14:textId="633EB7D5" w:rsidR="00E54627" w:rsidRPr="00C7700B" w:rsidRDefault="00E54627" w:rsidP="00E54627">
      <w:pPr>
        <w:ind w:firstLine="709"/>
        <w:jc w:val="both"/>
        <w:rPr>
          <w:sz w:val="24"/>
          <w:szCs w:val="24"/>
          <w:shd w:val="clear" w:color="auto" w:fill="FFFFFF"/>
        </w:rPr>
      </w:pPr>
      <w:r>
        <w:rPr>
          <w:sz w:val="24"/>
          <w:szCs w:val="24"/>
        </w:rPr>
        <w:t>Mesmo que algumas dessas organizações sejam filantrópicas, se faz necessário a avaliação desses indicadores de desempenho, pois irá auxiliar o gestor na tomada de deci</w:t>
      </w:r>
      <w:r w:rsidRPr="00C7700B">
        <w:rPr>
          <w:sz w:val="24"/>
          <w:szCs w:val="24"/>
        </w:rPr>
        <w:t>são (S</w:t>
      </w:r>
      <w:r w:rsidR="00727685" w:rsidRPr="00C7700B">
        <w:rPr>
          <w:sz w:val="24"/>
          <w:szCs w:val="24"/>
        </w:rPr>
        <w:t>ouza</w:t>
      </w:r>
      <w:r w:rsidRPr="00C7700B">
        <w:rPr>
          <w:sz w:val="24"/>
          <w:szCs w:val="24"/>
        </w:rPr>
        <w:t xml:space="preserve"> </w:t>
      </w:r>
      <w:r w:rsidR="00761592" w:rsidRPr="00761592">
        <w:rPr>
          <w:i/>
          <w:sz w:val="24"/>
          <w:szCs w:val="24"/>
        </w:rPr>
        <w:t>et al.</w:t>
      </w:r>
      <w:r w:rsidRPr="00727685">
        <w:rPr>
          <w:i/>
          <w:sz w:val="24"/>
          <w:szCs w:val="24"/>
        </w:rPr>
        <w:t>,</w:t>
      </w:r>
      <w:r w:rsidRPr="00727685">
        <w:rPr>
          <w:sz w:val="24"/>
          <w:szCs w:val="24"/>
        </w:rPr>
        <w:t xml:space="preserve"> </w:t>
      </w:r>
      <w:r w:rsidRPr="00C7700B">
        <w:rPr>
          <w:sz w:val="24"/>
          <w:szCs w:val="24"/>
        </w:rPr>
        <w:t>2009). N</w:t>
      </w:r>
      <w:r w:rsidRPr="00C7700B">
        <w:rPr>
          <w:sz w:val="24"/>
          <w:szCs w:val="24"/>
          <w:shd w:val="clear" w:color="auto" w:fill="FFFFFF"/>
        </w:rPr>
        <w:t xml:space="preserve">esse sentido, alguns estudos relatam os efeitos do desempenho econômico-financeiro da gestão dessas entidades nos Estados Unidos, observando as ligações entre as variáveis de gerenciamento com as de funcionamento </w:t>
      </w:r>
      <w:r w:rsidRPr="001F24ED">
        <w:rPr>
          <w:sz w:val="24"/>
          <w:szCs w:val="24"/>
          <w:shd w:val="clear" w:color="auto" w:fill="FFFFFF"/>
        </w:rPr>
        <w:t>(L</w:t>
      </w:r>
      <w:r w:rsidR="00727685">
        <w:rPr>
          <w:sz w:val="24"/>
          <w:szCs w:val="24"/>
          <w:shd w:val="clear" w:color="auto" w:fill="FFFFFF"/>
        </w:rPr>
        <w:t>i</w:t>
      </w:r>
      <w:r w:rsidR="001F24ED" w:rsidRPr="001F24ED">
        <w:rPr>
          <w:sz w:val="24"/>
          <w:szCs w:val="24"/>
          <w:shd w:val="clear" w:color="auto" w:fill="FFFFFF"/>
        </w:rPr>
        <w:t xml:space="preserve"> </w:t>
      </w:r>
      <w:r w:rsidR="00761592" w:rsidRPr="00761592">
        <w:rPr>
          <w:i/>
          <w:sz w:val="24"/>
          <w:szCs w:val="24"/>
          <w:shd w:val="clear" w:color="auto" w:fill="FFFFFF"/>
        </w:rPr>
        <w:t>et al.</w:t>
      </w:r>
      <w:r w:rsidRPr="001F24ED">
        <w:rPr>
          <w:i/>
          <w:sz w:val="24"/>
          <w:szCs w:val="24"/>
          <w:shd w:val="clear" w:color="auto" w:fill="FFFFFF"/>
        </w:rPr>
        <w:t>,</w:t>
      </w:r>
      <w:r w:rsidRPr="00C7700B">
        <w:rPr>
          <w:sz w:val="24"/>
          <w:szCs w:val="24"/>
          <w:shd w:val="clear" w:color="auto" w:fill="FFFFFF"/>
        </w:rPr>
        <w:t xml:space="preserve"> 2002).</w:t>
      </w:r>
    </w:p>
    <w:p w14:paraId="42314B43" w14:textId="62E98AC3" w:rsidR="00E54627" w:rsidRPr="00005469" w:rsidRDefault="00E54627" w:rsidP="00E54627">
      <w:pPr>
        <w:ind w:firstLine="709"/>
        <w:jc w:val="both"/>
        <w:rPr>
          <w:sz w:val="24"/>
          <w:szCs w:val="24"/>
          <w:shd w:val="clear" w:color="auto" w:fill="FFFFFF"/>
        </w:rPr>
      </w:pPr>
      <w:r>
        <w:rPr>
          <w:sz w:val="24"/>
          <w:szCs w:val="24"/>
        </w:rPr>
        <w:t>Por meio</w:t>
      </w:r>
      <w:r w:rsidRPr="00C7700B">
        <w:rPr>
          <w:sz w:val="24"/>
          <w:szCs w:val="24"/>
        </w:rPr>
        <w:t xml:space="preserve"> da análise desses indicadores, os gestores podem avaliar quais são as principais fragilidades e pontos fortes dessas organizações</w:t>
      </w:r>
      <w:r>
        <w:rPr>
          <w:sz w:val="24"/>
          <w:szCs w:val="24"/>
        </w:rPr>
        <w:t>. E</w:t>
      </w:r>
      <w:r w:rsidRPr="00C7700B">
        <w:rPr>
          <w:sz w:val="24"/>
          <w:szCs w:val="24"/>
        </w:rPr>
        <w:t xml:space="preserve">studos internacionais como Crowe </w:t>
      </w:r>
      <w:r w:rsidR="00761592" w:rsidRPr="00761592">
        <w:rPr>
          <w:i/>
          <w:sz w:val="24"/>
          <w:szCs w:val="24"/>
        </w:rPr>
        <w:t>et al.</w:t>
      </w:r>
      <w:r w:rsidRPr="00C7700B">
        <w:rPr>
          <w:sz w:val="24"/>
          <w:szCs w:val="24"/>
        </w:rPr>
        <w:t xml:space="preserve"> (2017) buscaram analisar as práticas de liderança e resultados financeiros, sendo que com bons resultados operacionais gestores tendem lidar melhor com indicadores financeiros. A partir dos resultados, os autores sugeriram que novas pesquisas fossem </w:t>
      </w:r>
      <w:r w:rsidRPr="00005469">
        <w:rPr>
          <w:sz w:val="24"/>
          <w:szCs w:val="24"/>
        </w:rPr>
        <w:t>investigar como o desempenho operacional impacta no financeiro</w:t>
      </w:r>
      <w:r>
        <w:rPr>
          <w:sz w:val="24"/>
          <w:szCs w:val="24"/>
        </w:rPr>
        <w:t xml:space="preserve"> ou vice-versa</w:t>
      </w:r>
      <w:r w:rsidRPr="00005469">
        <w:rPr>
          <w:sz w:val="24"/>
          <w:szCs w:val="24"/>
        </w:rPr>
        <w:t>.</w:t>
      </w:r>
    </w:p>
    <w:p w14:paraId="78211F34" w14:textId="460F5E35" w:rsidR="00E54627" w:rsidRPr="00005469" w:rsidRDefault="00E54627" w:rsidP="00E54627">
      <w:pPr>
        <w:ind w:firstLine="709"/>
        <w:jc w:val="both"/>
        <w:rPr>
          <w:sz w:val="24"/>
          <w:szCs w:val="24"/>
        </w:rPr>
      </w:pPr>
      <w:r w:rsidRPr="00005469">
        <w:rPr>
          <w:sz w:val="24"/>
          <w:szCs w:val="24"/>
          <w:shd w:val="clear" w:color="auto" w:fill="FFFFFF"/>
        </w:rPr>
        <w:t xml:space="preserve">Souza </w:t>
      </w:r>
      <w:r w:rsidR="00761592" w:rsidRPr="00761592">
        <w:rPr>
          <w:i/>
          <w:sz w:val="24"/>
          <w:szCs w:val="24"/>
          <w:shd w:val="clear" w:color="auto" w:fill="FFFFFF"/>
        </w:rPr>
        <w:t>et al.</w:t>
      </w:r>
      <w:r w:rsidRPr="00005469">
        <w:rPr>
          <w:sz w:val="24"/>
          <w:szCs w:val="24"/>
          <w:shd w:val="clear" w:color="auto" w:fill="FFFFFF"/>
        </w:rPr>
        <w:t xml:space="preserve"> (2009) destacam </w:t>
      </w:r>
      <w:r w:rsidRPr="00005469">
        <w:rPr>
          <w:sz w:val="24"/>
          <w:szCs w:val="24"/>
        </w:rPr>
        <w:t xml:space="preserve">grupos de indicadores econômico-financeiros e sugerem que pesquisadores acessem o banco de dados do Sistema Único de Saúde (DATASUS) e demais demonstrações hospitalares. Para Bonacim e Araujo (2011), Lima Neto (2011), </w:t>
      </w:r>
      <w:r w:rsidRPr="00005469">
        <w:rPr>
          <w:spacing w:val="5"/>
          <w:sz w:val="24"/>
          <w:szCs w:val="24"/>
          <w:shd w:val="clear" w:color="auto" w:fill="FFFFFF"/>
        </w:rPr>
        <w:t>Creixans-Tenas e Arimany-Serrat (2018</w:t>
      </w:r>
      <w:r w:rsidRPr="00005469">
        <w:rPr>
          <w:sz w:val="24"/>
          <w:szCs w:val="24"/>
        </w:rPr>
        <w:t>), avaliar esses resultados pode implicar em melhores políticas econômicas para a saúde.</w:t>
      </w:r>
    </w:p>
    <w:p w14:paraId="29B7143D" w14:textId="77777777" w:rsidR="00E54627" w:rsidRDefault="00E54627" w:rsidP="00E54627">
      <w:pPr>
        <w:ind w:firstLine="709"/>
        <w:jc w:val="both"/>
        <w:rPr>
          <w:sz w:val="24"/>
          <w:szCs w:val="24"/>
        </w:rPr>
      </w:pPr>
      <w:r>
        <w:rPr>
          <w:sz w:val="24"/>
          <w:szCs w:val="24"/>
          <w:shd w:val="clear" w:color="auto" w:fill="FFFFFF"/>
        </w:rPr>
        <w:t xml:space="preserve">Mesmo que haja </w:t>
      </w:r>
      <w:r w:rsidRPr="004E0FF6">
        <w:rPr>
          <w:sz w:val="24"/>
          <w:szCs w:val="24"/>
          <w:shd w:val="clear" w:color="auto" w:fill="FFFFFF"/>
        </w:rPr>
        <w:t>no contexto nacional</w:t>
      </w:r>
      <w:r w:rsidRPr="005275A1">
        <w:rPr>
          <w:sz w:val="24"/>
          <w:szCs w:val="24"/>
          <w:shd w:val="clear" w:color="auto" w:fill="FFFFFF"/>
        </w:rPr>
        <w:t xml:space="preserve"> </w:t>
      </w:r>
      <w:r>
        <w:rPr>
          <w:sz w:val="24"/>
          <w:szCs w:val="24"/>
          <w:shd w:val="clear" w:color="auto" w:fill="FFFFFF"/>
        </w:rPr>
        <w:t>uma preocupação com a situação econômico-financeira dessas organizações, pouca ênfase tem sido dada para o desempenho operacional. Guerra (2011) explana sobre a eficácia de uma boa gestão hospitalar e nota que não é apenas medida por indicadores financeiros, mas também com o desempenho operacional de seus usuários, ou seja, com os pacientes, o que exige uma gestão adequada.</w:t>
      </w:r>
    </w:p>
    <w:p w14:paraId="6F9035DC" w14:textId="5F9A2A67" w:rsidR="00E54627" w:rsidRDefault="00E54627" w:rsidP="00E54627">
      <w:pPr>
        <w:ind w:firstLine="709"/>
        <w:jc w:val="both"/>
        <w:rPr>
          <w:sz w:val="24"/>
          <w:szCs w:val="24"/>
        </w:rPr>
      </w:pPr>
      <w:r>
        <w:rPr>
          <w:sz w:val="24"/>
          <w:szCs w:val="24"/>
        </w:rPr>
        <w:lastRenderedPageBreak/>
        <w:t xml:space="preserve">Os resultados supracitados, tanto no contexto nacional quanto internacional, chamam </w:t>
      </w:r>
      <w:r w:rsidRPr="00DD329D">
        <w:rPr>
          <w:sz w:val="24"/>
          <w:szCs w:val="24"/>
        </w:rPr>
        <w:t>a atenção e</w:t>
      </w:r>
      <w:r>
        <w:rPr>
          <w:sz w:val="24"/>
          <w:szCs w:val="24"/>
        </w:rPr>
        <w:t>,</w:t>
      </w:r>
      <w:r w:rsidRPr="00DD329D">
        <w:rPr>
          <w:sz w:val="24"/>
          <w:szCs w:val="24"/>
        </w:rPr>
        <w:t xml:space="preserve"> </w:t>
      </w:r>
      <w:r>
        <w:rPr>
          <w:sz w:val="24"/>
          <w:szCs w:val="24"/>
        </w:rPr>
        <w:t xml:space="preserve">demonstram que </w:t>
      </w:r>
      <w:r w:rsidRPr="00DD329D">
        <w:rPr>
          <w:sz w:val="24"/>
          <w:szCs w:val="24"/>
        </w:rPr>
        <w:t>a gestão financeira de instituições hospitalares possui</w:t>
      </w:r>
      <w:r>
        <w:rPr>
          <w:sz w:val="24"/>
          <w:szCs w:val="24"/>
        </w:rPr>
        <w:t xml:space="preserve"> </w:t>
      </w:r>
      <w:r w:rsidRPr="00DD329D">
        <w:rPr>
          <w:sz w:val="24"/>
          <w:szCs w:val="24"/>
        </w:rPr>
        <w:t>peculiaridades</w:t>
      </w:r>
      <w:r>
        <w:rPr>
          <w:sz w:val="24"/>
          <w:szCs w:val="24"/>
        </w:rPr>
        <w:t xml:space="preserve"> que merecem ser investigadas de forma mais </w:t>
      </w:r>
      <w:r w:rsidRPr="00DD329D">
        <w:rPr>
          <w:sz w:val="24"/>
          <w:szCs w:val="24"/>
        </w:rPr>
        <w:t xml:space="preserve">profunda, buscando identificar </w:t>
      </w:r>
      <w:r>
        <w:rPr>
          <w:sz w:val="24"/>
          <w:szCs w:val="24"/>
        </w:rPr>
        <w:t>analisar o desempenho econômico-financeiro</w:t>
      </w:r>
      <w:r w:rsidR="008A74FE">
        <w:rPr>
          <w:sz w:val="24"/>
          <w:szCs w:val="24"/>
        </w:rPr>
        <w:t xml:space="preserve"> e </w:t>
      </w:r>
      <w:r>
        <w:rPr>
          <w:sz w:val="24"/>
          <w:szCs w:val="24"/>
        </w:rPr>
        <w:t xml:space="preserve">o </w:t>
      </w:r>
      <w:r w:rsidRPr="00DD329D">
        <w:rPr>
          <w:sz w:val="24"/>
          <w:szCs w:val="24"/>
        </w:rPr>
        <w:t xml:space="preserve">desempenho </w:t>
      </w:r>
      <w:r>
        <w:rPr>
          <w:sz w:val="24"/>
          <w:szCs w:val="24"/>
        </w:rPr>
        <w:t>organizacional das mesmas</w:t>
      </w:r>
      <w:r w:rsidRPr="00DD329D">
        <w:rPr>
          <w:sz w:val="24"/>
          <w:szCs w:val="24"/>
        </w:rPr>
        <w:t>.</w:t>
      </w:r>
    </w:p>
    <w:p w14:paraId="0A6F20A0" w14:textId="77777777" w:rsidR="00E54627" w:rsidRDefault="00E54627" w:rsidP="00E54627">
      <w:pPr>
        <w:ind w:firstLine="709"/>
        <w:jc w:val="both"/>
        <w:rPr>
          <w:sz w:val="24"/>
          <w:szCs w:val="24"/>
        </w:rPr>
      </w:pPr>
      <w:r>
        <w:rPr>
          <w:sz w:val="24"/>
          <w:szCs w:val="24"/>
        </w:rPr>
        <w:t>Frente as lacunas de pesquisa indicadas nos estudos supracitados o estudo tem como questão de pesquisa: qual é a relação entre o desempenho operacional e a situação econômico-financeira das organizações hospitalares? Diante dessa problemática, o estudo tem por objetivo: analisar a relação entre o desempenho operacional e a situação econômico-financeira das organizações hospitalares.</w:t>
      </w:r>
    </w:p>
    <w:p w14:paraId="64435C96" w14:textId="019095EA" w:rsidR="00E54627" w:rsidRDefault="00E54627" w:rsidP="00E54627">
      <w:pPr>
        <w:ind w:firstLine="709"/>
        <w:jc w:val="both"/>
        <w:rPr>
          <w:sz w:val="24"/>
          <w:szCs w:val="24"/>
        </w:rPr>
      </w:pPr>
      <w:r>
        <w:rPr>
          <w:sz w:val="24"/>
          <w:szCs w:val="24"/>
        </w:rPr>
        <w:t xml:space="preserve">O estudo justifica-se pois, quando </w:t>
      </w:r>
      <w:r w:rsidRPr="00E14D06">
        <w:rPr>
          <w:sz w:val="24"/>
          <w:szCs w:val="24"/>
        </w:rPr>
        <w:t>se trata d</w:t>
      </w:r>
      <w:r>
        <w:rPr>
          <w:sz w:val="24"/>
          <w:szCs w:val="24"/>
        </w:rPr>
        <w:t>a</w:t>
      </w:r>
      <w:r w:rsidRPr="00E14D06">
        <w:rPr>
          <w:sz w:val="24"/>
          <w:szCs w:val="24"/>
        </w:rPr>
        <w:t xml:space="preserve"> qualidade </w:t>
      </w:r>
      <w:r>
        <w:rPr>
          <w:sz w:val="24"/>
          <w:szCs w:val="24"/>
        </w:rPr>
        <w:t xml:space="preserve">dos </w:t>
      </w:r>
      <w:r w:rsidRPr="00E14D06">
        <w:rPr>
          <w:sz w:val="24"/>
          <w:szCs w:val="24"/>
        </w:rPr>
        <w:t xml:space="preserve">serviços </w:t>
      </w:r>
      <w:r>
        <w:rPr>
          <w:sz w:val="24"/>
          <w:szCs w:val="24"/>
        </w:rPr>
        <w:t xml:space="preserve">na </w:t>
      </w:r>
      <w:r w:rsidRPr="00E14D06">
        <w:rPr>
          <w:sz w:val="24"/>
          <w:szCs w:val="24"/>
        </w:rPr>
        <w:t>saúde</w:t>
      </w:r>
      <w:r>
        <w:rPr>
          <w:sz w:val="24"/>
          <w:szCs w:val="24"/>
        </w:rPr>
        <w:t>, em hospitais</w:t>
      </w:r>
      <w:r w:rsidRPr="00E14D06">
        <w:rPr>
          <w:sz w:val="24"/>
          <w:szCs w:val="24"/>
        </w:rPr>
        <w:t xml:space="preserve">, o controle de gestão é </w:t>
      </w:r>
      <w:r>
        <w:rPr>
          <w:sz w:val="24"/>
          <w:szCs w:val="24"/>
        </w:rPr>
        <w:t>imprescindível</w:t>
      </w:r>
      <w:r w:rsidRPr="00E14D06">
        <w:rPr>
          <w:sz w:val="24"/>
          <w:szCs w:val="24"/>
        </w:rPr>
        <w:t xml:space="preserve">. </w:t>
      </w:r>
      <w:r>
        <w:rPr>
          <w:sz w:val="24"/>
          <w:szCs w:val="24"/>
        </w:rPr>
        <w:t>Sendo assim</w:t>
      </w:r>
      <w:r w:rsidRPr="00E14D06">
        <w:rPr>
          <w:sz w:val="24"/>
          <w:szCs w:val="24"/>
        </w:rPr>
        <w:t xml:space="preserve">, </w:t>
      </w:r>
      <w:r>
        <w:rPr>
          <w:sz w:val="24"/>
          <w:szCs w:val="24"/>
        </w:rPr>
        <w:t>se faz</w:t>
      </w:r>
      <w:r w:rsidRPr="00E14D06">
        <w:rPr>
          <w:sz w:val="24"/>
          <w:szCs w:val="24"/>
        </w:rPr>
        <w:t xml:space="preserve"> necessári</w:t>
      </w:r>
      <w:r>
        <w:rPr>
          <w:sz w:val="24"/>
          <w:szCs w:val="24"/>
        </w:rPr>
        <w:t>a</w:t>
      </w:r>
      <w:r w:rsidRPr="00E14D06">
        <w:rPr>
          <w:sz w:val="24"/>
          <w:szCs w:val="24"/>
        </w:rPr>
        <w:t xml:space="preserve"> </w:t>
      </w:r>
      <w:r>
        <w:rPr>
          <w:sz w:val="24"/>
          <w:szCs w:val="24"/>
        </w:rPr>
        <w:t xml:space="preserve">a </w:t>
      </w:r>
      <w:r w:rsidRPr="00E14D06">
        <w:rPr>
          <w:sz w:val="24"/>
          <w:szCs w:val="24"/>
        </w:rPr>
        <w:t xml:space="preserve">avaliação do </w:t>
      </w:r>
      <w:r w:rsidRPr="00E43C82">
        <w:rPr>
          <w:sz w:val="24"/>
          <w:szCs w:val="24"/>
        </w:rPr>
        <w:t xml:space="preserve">desempenho </w:t>
      </w:r>
      <w:r>
        <w:rPr>
          <w:sz w:val="24"/>
          <w:szCs w:val="24"/>
        </w:rPr>
        <w:t>operacional</w:t>
      </w:r>
      <w:r w:rsidRPr="00E43C82">
        <w:rPr>
          <w:sz w:val="24"/>
          <w:szCs w:val="24"/>
        </w:rPr>
        <w:t xml:space="preserve">, </w:t>
      </w:r>
      <w:r>
        <w:rPr>
          <w:sz w:val="24"/>
          <w:szCs w:val="24"/>
        </w:rPr>
        <w:t xml:space="preserve">para </w:t>
      </w:r>
      <w:r w:rsidRPr="00E14D06">
        <w:rPr>
          <w:sz w:val="24"/>
          <w:szCs w:val="24"/>
        </w:rPr>
        <w:t>mensurar a eficiência da gestão.</w:t>
      </w:r>
      <w:r>
        <w:rPr>
          <w:sz w:val="24"/>
          <w:szCs w:val="24"/>
        </w:rPr>
        <w:t xml:space="preserve"> Além disso, utilizar </w:t>
      </w:r>
      <w:r w:rsidRPr="00E14D06">
        <w:rPr>
          <w:sz w:val="24"/>
          <w:szCs w:val="24"/>
        </w:rPr>
        <w:t>ferramentas de gestão e</w:t>
      </w:r>
      <w:r>
        <w:rPr>
          <w:sz w:val="24"/>
          <w:szCs w:val="24"/>
        </w:rPr>
        <w:t xml:space="preserve"> </w:t>
      </w:r>
      <w:r w:rsidRPr="00E14D06">
        <w:rPr>
          <w:sz w:val="24"/>
          <w:szCs w:val="24"/>
        </w:rPr>
        <w:t xml:space="preserve">de avaliação adequadas </w:t>
      </w:r>
      <w:r>
        <w:rPr>
          <w:sz w:val="24"/>
          <w:szCs w:val="24"/>
        </w:rPr>
        <w:t xml:space="preserve">pode representar uma </w:t>
      </w:r>
      <w:r w:rsidRPr="00E14D06">
        <w:rPr>
          <w:sz w:val="24"/>
          <w:szCs w:val="24"/>
        </w:rPr>
        <w:t>economia de recursos reconhecidamente escassos</w:t>
      </w:r>
      <w:r>
        <w:rPr>
          <w:sz w:val="24"/>
          <w:szCs w:val="24"/>
        </w:rPr>
        <w:t xml:space="preserve">, melhorando consequentemente o </w:t>
      </w:r>
      <w:r w:rsidRPr="00E43C82">
        <w:rPr>
          <w:sz w:val="24"/>
          <w:szCs w:val="24"/>
        </w:rPr>
        <w:t>resultado financeiro</w:t>
      </w:r>
      <w:r>
        <w:rPr>
          <w:sz w:val="24"/>
          <w:szCs w:val="24"/>
        </w:rPr>
        <w:t xml:space="preserve"> (</w:t>
      </w:r>
      <w:r w:rsidR="00727685">
        <w:rPr>
          <w:sz w:val="24"/>
          <w:szCs w:val="24"/>
        </w:rPr>
        <w:t xml:space="preserve">Souza </w:t>
      </w:r>
      <w:r w:rsidR="00761592" w:rsidRPr="00761592">
        <w:rPr>
          <w:i/>
          <w:sz w:val="24"/>
          <w:szCs w:val="24"/>
        </w:rPr>
        <w:t>et al.</w:t>
      </w:r>
      <w:r w:rsidRPr="00727685">
        <w:rPr>
          <w:sz w:val="24"/>
          <w:szCs w:val="24"/>
        </w:rPr>
        <w:t>,</w:t>
      </w:r>
      <w:r w:rsidRPr="00727685">
        <w:rPr>
          <w:i/>
          <w:sz w:val="24"/>
          <w:szCs w:val="24"/>
        </w:rPr>
        <w:t xml:space="preserve"> </w:t>
      </w:r>
      <w:r>
        <w:rPr>
          <w:sz w:val="24"/>
          <w:szCs w:val="24"/>
        </w:rPr>
        <w:t xml:space="preserve">2009). </w:t>
      </w:r>
    </w:p>
    <w:p w14:paraId="0743C4C1" w14:textId="380BC138" w:rsidR="00E54627" w:rsidRPr="00727685" w:rsidRDefault="00E54627" w:rsidP="00E54627">
      <w:pPr>
        <w:ind w:firstLine="709"/>
        <w:jc w:val="both"/>
        <w:rPr>
          <w:sz w:val="24"/>
          <w:szCs w:val="24"/>
        </w:rPr>
      </w:pPr>
      <w:r>
        <w:rPr>
          <w:sz w:val="24"/>
          <w:szCs w:val="24"/>
        </w:rPr>
        <w:t xml:space="preserve">Vale ressaltar que, dados relacionados ao desempenho dos hospitais, tornam-se cada vez mais públicos e são usados para influenciar as escolhas dos consumidores, fazendo com que, haja um maior inquérito sobre como medir, avaliar e melhorar o desempenho </w:t>
      </w:r>
      <w:r w:rsidR="008A74FE">
        <w:rPr>
          <w:sz w:val="24"/>
          <w:szCs w:val="24"/>
        </w:rPr>
        <w:t xml:space="preserve">das </w:t>
      </w:r>
      <w:r>
        <w:rPr>
          <w:sz w:val="24"/>
          <w:szCs w:val="24"/>
        </w:rPr>
        <w:t xml:space="preserve">organizações. Para tanto, será </w:t>
      </w:r>
      <w:r w:rsidRPr="00727685">
        <w:rPr>
          <w:sz w:val="24"/>
          <w:szCs w:val="24"/>
        </w:rPr>
        <w:t xml:space="preserve">necessário que as estratégias sejam reavaliadas de maneira contínua, o que irá refletir em níveis mais elevados de qualidade (MILLER </w:t>
      </w:r>
      <w:r w:rsidR="00761592" w:rsidRPr="00761592">
        <w:rPr>
          <w:i/>
          <w:sz w:val="24"/>
          <w:szCs w:val="24"/>
        </w:rPr>
        <w:t>et al.</w:t>
      </w:r>
      <w:r w:rsidRPr="00727685">
        <w:rPr>
          <w:sz w:val="24"/>
          <w:szCs w:val="24"/>
        </w:rPr>
        <w:t>, 2005).</w:t>
      </w:r>
    </w:p>
    <w:p w14:paraId="4DDFE6EC" w14:textId="4465567D" w:rsidR="00E54627" w:rsidRPr="00727685" w:rsidRDefault="00E54627" w:rsidP="00E54627">
      <w:pPr>
        <w:jc w:val="both"/>
        <w:rPr>
          <w:sz w:val="24"/>
          <w:szCs w:val="24"/>
        </w:rPr>
      </w:pPr>
      <w:r w:rsidRPr="00727685">
        <w:rPr>
          <w:sz w:val="24"/>
          <w:szCs w:val="24"/>
        </w:rPr>
        <w:tab/>
        <w:t xml:space="preserve">Bonacim e Araújo (2011) enfatizam que a avaliação econômica da saúde é um tema de destaque a nível mundial e um desafio aos gestores na busca contínua pela eficiência e eficácia das atividades. Guerra (2011) ressalta que por mais que hajam estudos sobre o sistema de saúde no Brasil, poucos avaliaram os hospitais, principalmente no que se refere a análise de indicadores financeiros, questão considerada primordial. Nesse sentido, Crowe </w:t>
      </w:r>
      <w:r w:rsidR="00761592" w:rsidRPr="00761592">
        <w:rPr>
          <w:i/>
          <w:sz w:val="24"/>
          <w:szCs w:val="24"/>
        </w:rPr>
        <w:t>et al.</w:t>
      </w:r>
      <w:r w:rsidRPr="00727685">
        <w:rPr>
          <w:sz w:val="24"/>
          <w:szCs w:val="24"/>
        </w:rPr>
        <w:t xml:space="preserve"> (2017) salientam que, com o desafio de melhorar cada vez mais o desempenho financeiro, é preciso preparar líderes para gerenciar de forma eficiente e efetiva.</w:t>
      </w:r>
    </w:p>
    <w:p w14:paraId="21AAB82A" w14:textId="246C5706" w:rsidR="00E54627" w:rsidRDefault="00E54627" w:rsidP="00E54627">
      <w:pPr>
        <w:autoSpaceDE w:val="0"/>
        <w:autoSpaceDN w:val="0"/>
        <w:adjustRightInd w:val="0"/>
        <w:jc w:val="both"/>
        <w:rPr>
          <w:sz w:val="24"/>
          <w:szCs w:val="24"/>
        </w:rPr>
      </w:pPr>
      <w:r w:rsidRPr="00727685">
        <w:rPr>
          <w:sz w:val="24"/>
          <w:szCs w:val="24"/>
        </w:rPr>
        <w:tab/>
        <w:t>Justifica-se ainda a pesquisa em organizações hospitalares pois, tais organizações enfrentam diversos desafios, como por exemplo, reformas gerenciais para melhorar a sua produtividade (</w:t>
      </w:r>
      <w:r w:rsidR="00727685" w:rsidRPr="00727685">
        <w:rPr>
          <w:sz w:val="24"/>
          <w:szCs w:val="24"/>
        </w:rPr>
        <w:t>Aiken</w:t>
      </w:r>
      <w:r w:rsidR="001F24ED" w:rsidRPr="00727685">
        <w:rPr>
          <w:sz w:val="24"/>
          <w:szCs w:val="24"/>
        </w:rPr>
        <w:t xml:space="preserve"> </w:t>
      </w:r>
      <w:r w:rsidR="00761592" w:rsidRPr="00761592">
        <w:rPr>
          <w:i/>
          <w:sz w:val="24"/>
          <w:szCs w:val="24"/>
          <w:shd w:val="clear" w:color="auto" w:fill="FFFFFF"/>
        </w:rPr>
        <w:t>et al.</w:t>
      </w:r>
      <w:r w:rsidRPr="00727685">
        <w:rPr>
          <w:sz w:val="24"/>
          <w:szCs w:val="24"/>
        </w:rPr>
        <w:t>, 2002). Em âmbito</w:t>
      </w:r>
      <w:r>
        <w:rPr>
          <w:sz w:val="24"/>
          <w:szCs w:val="24"/>
        </w:rPr>
        <w:t xml:space="preserve"> nacional e internacional, a gestão destas organizações assume importância devido à excelência, eficiência e qualidade exigida (</w:t>
      </w:r>
      <w:r w:rsidR="00727685">
        <w:rPr>
          <w:sz w:val="24"/>
          <w:szCs w:val="24"/>
        </w:rPr>
        <w:t xml:space="preserve">Azevedo, </w:t>
      </w:r>
      <w:r w:rsidR="00727685" w:rsidRPr="00485206">
        <w:rPr>
          <w:sz w:val="24"/>
          <w:szCs w:val="24"/>
        </w:rPr>
        <w:t>Sá, Cunha, Matta, Miranda</w:t>
      </w:r>
      <w:r w:rsidR="00727685">
        <w:rPr>
          <w:sz w:val="24"/>
          <w:szCs w:val="24"/>
        </w:rPr>
        <w:t xml:space="preserve"> &amp; </w:t>
      </w:r>
      <w:r w:rsidR="00727685" w:rsidRPr="00485206">
        <w:rPr>
          <w:sz w:val="24"/>
          <w:szCs w:val="24"/>
        </w:rPr>
        <w:t>Grabois</w:t>
      </w:r>
      <w:r>
        <w:rPr>
          <w:sz w:val="24"/>
          <w:szCs w:val="24"/>
        </w:rPr>
        <w:t xml:space="preserve">, </w:t>
      </w:r>
      <w:r w:rsidRPr="00727685">
        <w:rPr>
          <w:sz w:val="24"/>
          <w:szCs w:val="24"/>
        </w:rPr>
        <w:t>2017). Além disso, o serviço hospitalar está no centro das atividades econômicas de qualquer sociedade, sendo assim, saber administrar efetivamente esse tipo de organização tornou-se uma prioridade (L</w:t>
      </w:r>
      <w:r w:rsidR="00727685" w:rsidRPr="00727685">
        <w:rPr>
          <w:sz w:val="24"/>
          <w:szCs w:val="24"/>
        </w:rPr>
        <w:t>i</w:t>
      </w:r>
      <w:r w:rsidR="001F24ED" w:rsidRPr="00727685">
        <w:rPr>
          <w:sz w:val="24"/>
          <w:szCs w:val="24"/>
        </w:rPr>
        <w:t xml:space="preserve"> </w:t>
      </w:r>
      <w:r w:rsidR="00761592" w:rsidRPr="00761592">
        <w:rPr>
          <w:i/>
          <w:sz w:val="24"/>
          <w:szCs w:val="24"/>
          <w:shd w:val="clear" w:color="auto" w:fill="FFFFFF"/>
        </w:rPr>
        <w:t>et al.</w:t>
      </w:r>
      <w:r>
        <w:rPr>
          <w:sz w:val="24"/>
          <w:szCs w:val="24"/>
        </w:rPr>
        <w:t>, 2002).</w:t>
      </w:r>
    </w:p>
    <w:p w14:paraId="2D67E13A" w14:textId="77777777" w:rsidR="00E54627" w:rsidRDefault="00E54627" w:rsidP="00E54627">
      <w:pPr>
        <w:jc w:val="both"/>
        <w:rPr>
          <w:sz w:val="24"/>
          <w:szCs w:val="24"/>
        </w:rPr>
      </w:pPr>
      <w:r w:rsidRPr="00AD42DF">
        <w:rPr>
          <w:sz w:val="24"/>
          <w:szCs w:val="24"/>
        </w:rPr>
        <w:tab/>
      </w:r>
      <w:r>
        <w:rPr>
          <w:sz w:val="24"/>
          <w:szCs w:val="24"/>
        </w:rPr>
        <w:t>Diante do que foi supracitado, o estudo avança por centrar atenção à relação entre o desempenho operacional e a</w:t>
      </w:r>
      <w:r w:rsidRPr="00C22A9A">
        <w:rPr>
          <w:sz w:val="24"/>
          <w:szCs w:val="24"/>
        </w:rPr>
        <w:t xml:space="preserve"> situação econômico-financeira das organizações hospitalares</w:t>
      </w:r>
      <w:r>
        <w:rPr>
          <w:sz w:val="24"/>
          <w:szCs w:val="24"/>
        </w:rPr>
        <w:t xml:space="preserve"> brasileiras, relação esta não verificada até então nos estudos localizados.  Contribui para a literatura da área, ao ampliar a compreensão do porquê é necessário voltar a atenção para estas variáveis e como estas estão relacionadas com tais organizações, facilitando a gestão e tomada de decisão operacional e situação econômico-financeira, fazendo com que os hospitais cresçam cada vez mais e se desenvolvam, o que terá reflexos na qualidade dos serviços oferecidos e consequentemente, na excelência dos mesmos. </w:t>
      </w:r>
    </w:p>
    <w:p w14:paraId="053829DE" w14:textId="7F9D1605" w:rsidR="00E54627" w:rsidRDefault="00E54627" w:rsidP="00E54627">
      <w:pPr>
        <w:jc w:val="both"/>
        <w:rPr>
          <w:sz w:val="24"/>
          <w:szCs w:val="24"/>
        </w:rPr>
      </w:pPr>
    </w:p>
    <w:p w14:paraId="4862B387" w14:textId="0D8E29AC" w:rsidR="00847F0E" w:rsidRDefault="00847F0E" w:rsidP="00E54627">
      <w:pPr>
        <w:jc w:val="both"/>
        <w:rPr>
          <w:sz w:val="24"/>
          <w:szCs w:val="24"/>
        </w:rPr>
      </w:pPr>
    </w:p>
    <w:p w14:paraId="21E166FB" w14:textId="77777777" w:rsidR="00847F0E" w:rsidRPr="00CB35E2" w:rsidRDefault="00847F0E" w:rsidP="00E54627">
      <w:pPr>
        <w:jc w:val="both"/>
        <w:rPr>
          <w:sz w:val="24"/>
          <w:szCs w:val="24"/>
        </w:rPr>
      </w:pPr>
    </w:p>
    <w:p w14:paraId="56AADB2D" w14:textId="77777777" w:rsidR="00E54627" w:rsidRDefault="00E54627" w:rsidP="00E54627">
      <w:pPr>
        <w:jc w:val="both"/>
        <w:rPr>
          <w:b/>
          <w:sz w:val="24"/>
          <w:szCs w:val="24"/>
        </w:rPr>
      </w:pPr>
      <w:r>
        <w:rPr>
          <w:b/>
          <w:sz w:val="24"/>
          <w:szCs w:val="24"/>
        </w:rPr>
        <w:lastRenderedPageBreak/>
        <w:t>2</w:t>
      </w:r>
      <w:r w:rsidRPr="000179CE">
        <w:rPr>
          <w:b/>
          <w:sz w:val="24"/>
          <w:szCs w:val="24"/>
        </w:rPr>
        <w:t xml:space="preserve"> </w:t>
      </w:r>
      <w:r>
        <w:rPr>
          <w:b/>
          <w:sz w:val="24"/>
          <w:szCs w:val="24"/>
        </w:rPr>
        <w:t>Referencial Teórico</w:t>
      </w:r>
    </w:p>
    <w:p w14:paraId="73A729A8" w14:textId="77777777" w:rsidR="00E54627" w:rsidRPr="00884514" w:rsidRDefault="00E54627" w:rsidP="00E54627">
      <w:pPr>
        <w:ind w:firstLine="708"/>
        <w:jc w:val="both"/>
        <w:rPr>
          <w:sz w:val="24"/>
          <w:szCs w:val="24"/>
        </w:rPr>
      </w:pPr>
      <w:r>
        <w:rPr>
          <w:sz w:val="24"/>
          <w:szCs w:val="24"/>
        </w:rPr>
        <w:t>O referencial teórico inicialmente aborda sobre as organizações hospitalares e suas características</w:t>
      </w:r>
      <w:r w:rsidRPr="00884514">
        <w:rPr>
          <w:sz w:val="24"/>
          <w:szCs w:val="24"/>
        </w:rPr>
        <w:t>. Na sequência, descreve-se o desempenho operacional e por fim, o referencial contempla a situação econômico-financeira.</w:t>
      </w:r>
    </w:p>
    <w:p w14:paraId="11DBFC54" w14:textId="77777777" w:rsidR="00847F0E" w:rsidRDefault="00847F0E" w:rsidP="00E54627">
      <w:pPr>
        <w:jc w:val="both"/>
        <w:rPr>
          <w:sz w:val="24"/>
          <w:szCs w:val="24"/>
        </w:rPr>
      </w:pPr>
    </w:p>
    <w:p w14:paraId="6FE46807" w14:textId="5F386733" w:rsidR="00E54627" w:rsidRPr="00E54627" w:rsidRDefault="00E54627" w:rsidP="00E54627">
      <w:pPr>
        <w:jc w:val="both"/>
        <w:rPr>
          <w:sz w:val="24"/>
          <w:szCs w:val="24"/>
        </w:rPr>
      </w:pPr>
      <w:r w:rsidRPr="00E54627">
        <w:rPr>
          <w:sz w:val="24"/>
          <w:szCs w:val="24"/>
        </w:rPr>
        <w:t>2.1 Organizações Hospitalares</w:t>
      </w:r>
    </w:p>
    <w:p w14:paraId="2877B62D" w14:textId="0C6F1AAF" w:rsidR="00E54627" w:rsidRPr="00884514" w:rsidRDefault="00E54627" w:rsidP="00E54627">
      <w:pPr>
        <w:ind w:firstLine="709"/>
        <w:jc w:val="both"/>
        <w:rPr>
          <w:sz w:val="24"/>
          <w:szCs w:val="24"/>
          <w:shd w:val="clear" w:color="auto" w:fill="FFFFFF"/>
        </w:rPr>
      </w:pPr>
      <w:r w:rsidRPr="00884514">
        <w:rPr>
          <w:sz w:val="24"/>
          <w:szCs w:val="24"/>
          <w:shd w:val="clear" w:color="auto" w:fill="FFFFFF"/>
        </w:rPr>
        <w:t xml:space="preserve">Hospitais são organizações dedicadas à prestação de serviços de diagnóstico, hospedagem, prevenção, tratamento, pesquisa, educação, entre outros. Para executar os serviços, estes necessitam de investimentos em instalações físicas, aquisição de materiais, equipamentos e o </w:t>
      </w:r>
      <w:r w:rsidRPr="00847F0E">
        <w:rPr>
          <w:sz w:val="24"/>
          <w:szCs w:val="24"/>
          <w:shd w:val="clear" w:color="auto" w:fill="FFFFFF"/>
        </w:rPr>
        <w:t>emprego de profissionais de diversas áreas do conhecimento (</w:t>
      </w:r>
      <w:r w:rsidR="00847F0E" w:rsidRPr="00847F0E">
        <w:rPr>
          <w:sz w:val="24"/>
          <w:szCs w:val="24"/>
          <w:shd w:val="clear" w:color="auto" w:fill="FFFFFF"/>
        </w:rPr>
        <w:t>Silva, Borget &amp; Schultz</w:t>
      </w:r>
      <w:r w:rsidRPr="00847F0E">
        <w:rPr>
          <w:sz w:val="24"/>
          <w:szCs w:val="24"/>
          <w:shd w:val="clear" w:color="auto" w:fill="FFFFFF"/>
        </w:rPr>
        <w:t>, 2009). Em vários países, representam mais de 60% dos gastos no setor da saúde, demonstrando ser o principal componente desse setor. Logo, existe uma busca por melhores formas de mensurar o desempenho geral e maximizar os resultados, a satisfação dos pacientes e a sua eficiência operacional</w:t>
      </w:r>
      <w:r w:rsidRPr="00884514">
        <w:rPr>
          <w:sz w:val="24"/>
          <w:szCs w:val="24"/>
          <w:shd w:val="clear" w:color="auto" w:fill="FFFFFF"/>
        </w:rPr>
        <w:t xml:space="preserve"> (</w:t>
      </w:r>
      <w:r w:rsidR="00847F0E" w:rsidRPr="00884514">
        <w:rPr>
          <w:sz w:val="24"/>
          <w:szCs w:val="24"/>
          <w:shd w:val="clear" w:color="auto" w:fill="FFFFFF"/>
        </w:rPr>
        <w:t>Murray</w:t>
      </w:r>
      <w:r w:rsidR="00847F0E">
        <w:rPr>
          <w:sz w:val="24"/>
          <w:szCs w:val="24"/>
          <w:shd w:val="clear" w:color="auto" w:fill="FFFFFF"/>
        </w:rPr>
        <w:t xml:space="preserve"> &amp;</w:t>
      </w:r>
      <w:r w:rsidR="00847F0E" w:rsidRPr="00884514">
        <w:rPr>
          <w:sz w:val="24"/>
          <w:szCs w:val="24"/>
          <w:shd w:val="clear" w:color="auto" w:fill="FFFFFF"/>
        </w:rPr>
        <w:t xml:space="preserve"> Medici</w:t>
      </w:r>
      <w:r w:rsidRPr="00884514">
        <w:rPr>
          <w:sz w:val="24"/>
          <w:szCs w:val="24"/>
          <w:shd w:val="clear" w:color="auto" w:fill="FFFFFF"/>
        </w:rPr>
        <w:t>, 2010).</w:t>
      </w:r>
    </w:p>
    <w:p w14:paraId="4946B652" w14:textId="74008CB7" w:rsidR="00E54627" w:rsidRPr="00884514" w:rsidRDefault="00E54627" w:rsidP="00E54627">
      <w:pPr>
        <w:ind w:firstLine="709"/>
        <w:jc w:val="both"/>
        <w:rPr>
          <w:sz w:val="24"/>
          <w:szCs w:val="24"/>
        </w:rPr>
      </w:pPr>
      <w:r w:rsidRPr="00884514">
        <w:rPr>
          <w:sz w:val="24"/>
          <w:szCs w:val="24"/>
        </w:rPr>
        <w:t xml:space="preserve">Além disso, essas organizações são consideradas complexas devido aos interesses que surgem na busca pela construção de identidades profissionais, reconhecimento, o que acaba se tornando crítico para a prestação de serviços de saúde (FEUERWERKER; CECÍLIO, 2007), bem como, devido aos </w:t>
      </w:r>
      <w:r w:rsidRPr="00847F0E">
        <w:rPr>
          <w:sz w:val="24"/>
          <w:szCs w:val="24"/>
        </w:rPr>
        <w:t>conhecimentos específicos de cada área dentro do hospital, tornando a relação ainda mais difícil (</w:t>
      </w:r>
      <w:r w:rsidR="00847F0E" w:rsidRPr="00847F0E">
        <w:rPr>
          <w:sz w:val="24"/>
          <w:szCs w:val="24"/>
        </w:rPr>
        <w:t>Ferreira, Coutinho &amp; Vieira</w:t>
      </w:r>
      <w:r w:rsidRPr="00847F0E">
        <w:rPr>
          <w:sz w:val="24"/>
          <w:szCs w:val="24"/>
        </w:rPr>
        <w:t>, 2010).</w:t>
      </w:r>
      <w:r w:rsidR="008A74FE" w:rsidRPr="00847F0E">
        <w:rPr>
          <w:sz w:val="24"/>
          <w:szCs w:val="24"/>
        </w:rPr>
        <w:t xml:space="preserve"> </w:t>
      </w:r>
      <w:r w:rsidRPr="00847F0E">
        <w:rPr>
          <w:sz w:val="24"/>
          <w:szCs w:val="24"/>
        </w:rPr>
        <w:t>Ferreira</w:t>
      </w:r>
      <w:r w:rsidR="00847F0E" w:rsidRPr="00847F0E">
        <w:rPr>
          <w:sz w:val="24"/>
          <w:szCs w:val="24"/>
        </w:rPr>
        <w:t xml:space="preserve"> </w:t>
      </w:r>
      <w:r w:rsidR="00761592" w:rsidRPr="00761592">
        <w:rPr>
          <w:i/>
          <w:sz w:val="24"/>
          <w:szCs w:val="24"/>
        </w:rPr>
        <w:t>et al.</w:t>
      </w:r>
      <w:r w:rsidR="00847F0E" w:rsidRPr="00847F0E">
        <w:rPr>
          <w:sz w:val="24"/>
          <w:szCs w:val="24"/>
        </w:rPr>
        <w:t xml:space="preserve"> </w:t>
      </w:r>
      <w:r w:rsidRPr="00847F0E">
        <w:rPr>
          <w:sz w:val="24"/>
          <w:szCs w:val="24"/>
        </w:rPr>
        <w:t>(2010) complementam que os hospitais abrigam tensões de natureza grupal e profissional, no qual, o corpo diretivo e clínico, composto pelas áreas assistencial</w:t>
      </w:r>
      <w:r w:rsidRPr="00884514">
        <w:rPr>
          <w:sz w:val="24"/>
          <w:szCs w:val="24"/>
        </w:rPr>
        <w:t xml:space="preserve"> (médicos, enfermeiras), têm dificuldade de aceitar as normas disciplinares e ouvir recomendações, principalmente quando as mesmas são advindas da área administrativa do hospital.</w:t>
      </w:r>
    </w:p>
    <w:p w14:paraId="38CD327E" w14:textId="6715C56D" w:rsidR="00E54627" w:rsidRPr="00884514" w:rsidRDefault="00E54627" w:rsidP="00E54627">
      <w:pPr>
        <w:ind w:firstLine="709"/>
        <w:jc w:val="both"/>
        <w:rPr>
          <w:sz w:val="24"/>
          <w:szCs w:val="24"/>
        </w:rPr>
      </w:pPr>
      <w:r w:rsidRPr="00884514">
        <w:rPr>
          <w:sz w:val="24"/>
          <w:szCs w:val="24"/>
        </w:rPr>
        <w:t xml:space="preserve"> Essas tensões são também explicadas por Vendemiatti</w:t>
      </w:r>
      <w:r w:rsidR="00847F0E">
        <w:rPr>
          <w:sz w:val="24"/>
          <w:szCs w:val="24"/>
        </w:rPr>
        <w:t>,</w:t>
      </w:r>
      <w:r w:rsidR="00847F0E" w:rsidRPr="00847F0E">
        <w:t xml:space="preserve"> </w:t>
      </w:r>
      <w:r w:rsidR="00847F0E" w:rsidRPr="00847F0E">
        <w:rPr>
          <w:sz w:val="24"/>
          <w:szCs w:val="24"/>
        </w:rPr>
        <w:t>Siqueira, Filardi, Binotto</w:t>
      </w:r>
      <w:r w:rsidR="00847F0E">
        <w:rPr>
          <w:sz w:val="24"/>
          <w:szCs w:val="24"/>
        </w:rPr>
        <w:t xml:space="preserve"> e</w:t>
      </w:r>
      <w:r w:rsidR="00847F0E" w:rsidRPr="00847F0E">
        <w:rPr>
          <w:sz w:val="24"/>
          <w:szCs w:val="24"/>
        </w:rPr>
        <w:t xml:space="preserve"> Simioni</w:t>
      </w:r>
      <w:r w:rsidR="00847F0E" w:rsidRPr="00884514">
        <w:rPr>
          <w:sz w:val="24"/>
          <w:szCs w:val="24"/>
        </w:rPr>
        <w:t xml:space="preserve"> </w:t>
      </w:r>
      <w:r w:rsidRPr="00884514">
        <w:rPr>
          <w:sz w:val="24"/>
          <w:szCs w:val="24"/>
        </w:rPr>
        <w:t xml:space="preserve">(2010). Os autores complementam que essa </w:t>
      </w:r>
      <w:r w:rsidRPr="00847F0E">
        <w:rPr>
          <w:sz w:val="24"/>
          <w:szCs w:val="24"/>
        </w:rPr>
        <w:t>dualidade é orientada por vetores que em alguns momentos, acabam se colocando em posições antagônicas. Até por que, os especialistas são tomadores de decisões e envolvem a dimensão administrativa, devido ao uso de recursos. Já os gestores, estão envolvidos no processo de adesão de colaboradores, controle e direcionamento das atividades diárias. Diante dessa relação direta entre as diferentes áreas possuem, acontecem os conflitos e dificuldades na gestão (V</w:t>
      </w:r>
      <w:r w:rsidR="00847F0E" w:rsidRPr="00847F0E">
        <w:rPr>
          <w:sz w:val="24"/>
          <w:szCs w:val="24"/>
        </w:rPr>
        <w:t>endemiatti</w:t>
      </w:r>
      <w:r w:rsidRPr="00847F0E">
        <w:rPr>
          <w:sz w:val="24"/>
          <w:szCs w:val="24"/>
        </w:rPr>
        <w:t xml:space="preserve"> </w:t>
      </w:r>
      <w:r w:rsidR="00761592" w:rsidRPr="00761592">
        <w:rPr>
          <w:i/>
          <w:sz w:val="24"/>
          <w:szCs w:val="24"/>
        </w:rPr>
        <w:t>et al.</w:t>
      </w:r>
      <w:r w:rsidRPr="00847F0E">
        <w:rPr>
          <w:sz w:val="24"/>
          <w:szCs w:val="24"/>
        </w:rPr>
        <w:t>, 2010</w:t>
      </w:r>
      <w:r w:rsidRPr="00884514">
        <w:rPr>
          <w:sz w:val="24"/>
          <w:szCs w:val="24"/>
        </w:rPr>
        <w:t>).</w:t>
      </w:r>
    </w:p>
    <w:p w14:paraId="3316E949" w14:textId="486DEC85" w:rsidR="00E54627" w:rsidRPr="00884514" w:rsidRDefault="00E54627" w:rsidP="00E54627">
      <w:pPr>
        <w:ind w:firstLine="709"/>
        <w:jc w:val="both"/>
        <w:rPr>
          <w:sz w:val="24"/>
          <w:szCs w:val="24"/>
          <w:shd w:val="clear" w:color="auto" w:fill="FFFFFF"/>
        </w:rPr>
      </w:pPr>
      <w:r w:rsidRPr="00884514">
        <w:rPr>
          <w:sz w:val="24"/>
          <w:szCs w:val="24"/>
          <w:shd w:val="clear" w:color="auto" w:fill="FFFFFF"/>
        </w:rPr>
        <w:t>Além das dificuldades inerentes à segregação de funções e de liderança, os hospitais enfrentam outros desafios na tomada de decisão, como a busca pelo equilíbrio entre a satisfação dos pacientes, os limitados recursos disponíveis para manter os custos e, consequentemente, o hospital em funcionamento (</w:t>
      </w:r>
      <w:r w:rsidR="00847F0E" w:rsidRPr="00884514">
        <w:rPr>
          <w:sz w:val="24"/>
          <w:szCs w:val="24"/>
          <w:shd w:val="clear" w:color="auto" w:fill="FFFFFF"/>
        </w:rPr>
        <w:t xml:space="preserve">Aiken </w:t>
      </w:r>
      <w:r w:rsidR="00761592" w:rsidRPr="00761592">
        <w:rPr>
          <w:i/>
          <w:sz w:val="24"/>
          <w:szCs w:val="24"/>
          <w:shd w:val="clear" w:color="auto" w:fill="FFFFFF"/>
        </w:rPr>
        <w:t>et al.</w:t>
      </w:r>
      <w:r w:rsidR="001F24ED" w:rsidRPr="001F24ED">
        <w:rPr>
          <w:sz w:val="24"/>
          <w:szCs w:val="24"/>
          <w:shd w:val="clear" w:color="auto" w:fill="FFFFFF"/>
        </w:rPr>
        <w:t>,</w:t>
      </w:r>
      <w:r w:rsidR="001F24ED">
        <w:rPr>
          <w:i/>
          <w:sz w:val="24"/>
          <w:szCs w:val="24"/>
          <w:shd w:val="clear" w:color="auto" w:fill="FFFFFF"/>
        </w:rPr>
        <w:t xml:space="preserve"> </w:t>
      </w:r>
      <w:r w:rsidRPr="00884514">
        <w:rPr>
          <w:sz w:val="24"/>
          <w:szCs w:val="24"/>
          <w:shd w:val="clear" w:color="auto" w:fill="FFFFFF"/>
        </w:rPr>
        <w:t>2002) e a necessidade constate de adequação à novas tecnologias de diagnóstico e tratamento.</w:t>
      </w:r>
    </w:p>
    <w:p w14:paraId="11006360" w14:textId="32ADB7D0" w:rsidR="00E54627" w:rsidRPr="00884514" w:rsidRDefault="00E54627" w:rsidP="00E54627">
      <w:pPr>
        <w:ind w:firstLine="709"/>
        <w:jc w:val="both"/>
        <w:rPr>
          <w:sz w:val="24"/>
          <w:szCs w:val="24"/>
        </w:rPr>
      </w:pPr>
      <w:r w:rsidRPr="001F3BB1">
        <w:rPr>
          <w:bCs/>
          <w:sz w:val="24"/>
          <w:szCs w:val="24"/>
        </w:rPr>
        <w:t>Vignochi</w:t>
      </w:r>
      <w:r w:rsidR="001F3BB1" w:rsidRPr="001F3BB1">
        <w:rPr>
          <w:bCs/>
          <w:sz w:val="24"/>
          <w:szCs w:val="24"/>
        </w:rPr>
        <w:t xml:space="preserve">, </w:t>
      </w:r>
      <w:r w:rsidR="001F3BB1" w:rsidRPr="001F3BB1">
        <w:rPr>
          <w:sz w:val="24"/>
          <w:szCs w:val="24"/>
          <w:shd w:val="clear" w:color="auto" w:fill="FFFFFF"/>
        </w:rPr>
        <w:t>Gonçalo e Lezana</w:t>
      </w:r>
      <w:r w:rsidRPr="00884514">
        <w:rPr>
          <w:bCs/>
          <w:sz w:val="24"/>
          <w:szCs w:val="24"/>
        </w:rPr>
        <w:t xml:space="preserve"> (2014)</w:t>
      </w:r>
      <w:r w:rsidRPr="00884514">
        <w:rPr>
          <w:sz w:val="24"/>
          <w:szCs w:val="24"/>
        </w:rPr>
        <w:t>, verificou como os gestores utilizam indicadores de desempenho em hospitais públicos e filantrópicos. Em hospitais públicos, estes são utilizados para avaliar recursos escassos e em filantrópicos para análise econômica e assistencial. Por conseguinte, os autores avaliaram a importância dos indicadores na qualidade do serviço prestado, com a probabilidade de evitar problemas na organização, sendo que, os campos assistencial e gerencial, considerados como as mais importantes áreas de atuação em hospitais, prezam pela eficiência organizacional e a satisfação de seus usuários.</w:t>
      </w:r>
    </w:p>
    <w:p w14:paraId="56F102C9" w14:textId="2D28639B" w:rsidR="00E54627" w:rsidRPr="00884514" w:rsidRDefault="00E54627" w:rsidP="00E54627">
      <w:pPr>
        <w:ind w:firstLine="709"/>
        <w:jc w:val="both"/>
        <w:rPr>
          <w:sz w:val="24"/>
        </w:rPr>
      </w:pPr>
      <w:r w:rsidRPr="00884514">
        <w:rPr>
          <w:sz w:val="24"/>
        </w:rPr>
        <w:t>No Brasil, os hospitais são classificados como públicos, privados ou filantrópicos, todos submetidos as normas do Ministério da Saúde, diferenciando-se pela finalidade de lucro, bem como na forma de administrar (</w:t>
      </w:r>
      <w:r w:rsidRPr="00884514">
        <w:rPr>
          <w:sz w:val="24"/>
          <w:szCs w:val="24"/>
          <w:shd w:val="clear" w:color="auto" w:fill="FFFFFF"/>
        </w:rPr>
        <w:t>Silva</w:t>
      </w:r>
      <w:r w:rsidR="001F3BB1">
        <w:rPr>
          <w:sz w:val="24"/>
          <w:szCs w:val="24"/>
          <w:shd w:val="clear" w:color="auto" w:fill="FFFFFF"/>
        </w:rPr>
        <w:t>,</w:t>
      </w:r>
      <w:r w:rsidRPr="00884514">
        <w:rPr>
          <w:sz w:val="24"/>
          <w:szCs w:val="24"/>
          <w:shd w:val="clear" w:color="auto" w:fill="FFFFFF"/>
        </w:rPr>
        <w:t xml:space="preserve"> </w:t>
      </w:r>
      <w:r w:rsidR="001F3BB1" w:rsidRPr="001F3BB1">
        <w:rPr>
          <w:sz w:val="24"/>
          <w:szCs w:val="24"/>
          <w:shd w:val="clear" w:color="auto" w:fill="FFFFFF"/>
        </w:rPr>
        <w:t xml:space="preserve">Gonçalves, Siqueira &amp; Silveira, </w:t>
      </w:r>
      <w:r w:rsidRPr="00884514">
        <w:rPr>
          <w:sz w:val="24"/>
          <w:szCs w:val="24"/>
          <w:shd w:val="clear" w:color="auto" w:fill="FFFFFF"/>
        </w:rPr>
        <w:t>2008; Veloso</w:t>
      </w:r>
      <w:r w:rsidR="001F3BB1">
        <w:rPr>
          <w:sz w:val="24"/>
          <w:szCs w:val="24"/>
          <w:shd w:val="clear" w:color="auto" w:fill="FFFFFF"/>
        </w:rPr>
        <w:t xml:space="preserve"> &amp;</w:t>
      </w:r>
      <w:r w:rsidRPr="00884514">
        <w:rPr>
          <w:sz w:val="24"/>
          <w:szCs w:val="24"/>
          <w:shd w:val="clear" w:color="auto" w:fill="FFFFFF"/>
        </w:rPr>
        <w:t xml:space="preserve"> Malik, </w:t>
      </w:r>
      <w:r w:rsidRPr="00884514">
        <w:rPr>
          <w:sz w:val="24"/>
          <w:szCs w:val="24"/>
          <w:shd w:val="clear" w:color="auto" w:fill="FFFFFF"/>
        </w:rPr>
        <w:lastRenderedPageBreak/>
        <w:t>2010</w:t>
      </w:r>
      <w:r w:rsidRPr="00884514">
        <w:rPr>
          <w:sz w:val="24"/>
          <w:szCs w:val="24"/>
        </w:rPr>
        <w:t xml:space="preserve">). Dentro destas categorias, os hospitais </w:t>
      </w:r>
      <w:r w:rsidRPr="00884514">
        <w:rPr>
          <w:sz w:val="24"/>
        </w:rPr>
        <w:t xml:space="preserve">públicos são os que mais recebem recursos do governo, porém, conforme </w:t>
      </w:r>
      <w:r w:rsidRPr="001F3BB1">
        <w:rPr>
          <w:sz w:val="24"/>
        </w:rPr>
        <w:t>Souza</w:t>
      </w:r>
      <w:r w:rsidR="001F3BB1" w:rsidRPr="001F3BB1">
        <w:rPr>
          <w:sz w:val="24"/>
        </w:rPr>
        <w:t xml:space="preserve">, </w:t>
      </w:r>
      <w:r w:rsidR="001F3BB1" w:rsidRPr="001F3BB1">
        <w:rPr>
          <w:sz w:val="24"/>
          <w:szCs w:val="24"/>
          <w:shd w:val="clear" w:color="auto" w:fill="FFFFFF"/>
        </w:rPr>
        <w:t>Avelar, Tormin e Silva</w:t>
      </w:r>
      <w:r w:rsidRPr="001F3BB1">
        <w:rPr>
          <w:sz w:val="24"/>
        </w:rPr>
        <w:t xml:space="preserve"> (</w:t>
      </w:r>
      <w:r w:rsidRPr="00884514">
        <w:rPr>
          <w:sz w:val="24"/>
        </w:rPr>
        <w:t>2014), os hospitais filantrópicos destacam-se em relação a lucratividade, pois os objetivos destes é para se obter uma melhor alavancagem financeira</w:t>
      </w:r>
      <w:r w:rsidRPr="00884514">
        <w:t>.</w:t>
      </w:r>
      <w:r w:rsidRPr="00884514">
        <w:rPr>
          <w:sz w:val="24"/>
        </w:rPr>
        <w:t xml:space="preserve"> </w:t>
      </w:r>
    </w:p>
    <w:p w14:paraId="7704B999" w14:textId="5ADD80A5" w:rsidR="00E54627" w:rsidRPr="00884514" w:rsidRDefault="00E54627" w:rsidP="00E54627">
      <w:pPr>
        <w:ind w:firstLine="709"/>
        <w:jc w:val="both"/>
        <w:rPr>
          <w:sz w:val="24"/>
          <w:szCs w:val="24"/>
          <w:shd w:val="clear" w:color="auto" w:fill="FFFFFF"/>
        </w:rPr>
      </w:pPr>
      <w:r w:rsidRPr="00884514">
        <w:rPr>
          <w:sz w:val="24"/>
          <w:szCs w:val="24"/>
          <w:shd w:val="clear" w:color="auto" w:fill="FFFFFF"/>
        </w:rPr>
        <w:t>Nesse sentido, a existência de hospitais com e sem finalidade lucrativa implica em cautela ao proceder-se a análise comparativa dos indicadores econômico-financeiros entre hospitais, pois os indicadores por si, não incorporam os objetivos da missão estratégica das organizações (</w:t>
      </w:r>
      <w:r w:rsidR="001F3BB1" w:rsidRPr="00884514">
        <w:rPr>
          <w:sz w:val="24"/>
          <w:szCs w:val="24"/>
          <w:shd w:val="clear" w:color="auto" w:fill="FFFFFF"/>
        </w:rPr>
        <w:t>Smet, 2002; Veloso</w:t>
      </w:r>
      <w:r w:rsidR="001F3BB1">
        <w:rPr>
          <w:sz w:val="24"/>
          <w:szCs w:val="24"/>
          <w:shd w:val="clear" w:color="auto" w:fill="FFFFFF"/>
        </w:rPr>
        <w:t xml:space="preserve"> &amp;</w:t>
      </w:r>
      <w:r w:rsidR="001F3BB1" w:rsidRPr="00884514">
        <w:rPr>
          <w:sz w:val="24"/>
          <w:szCs w:val="24"/>
          <w:shd w:val="clear" w:color="auto" w:fill="FFFFFF"/>
        </w:rPr>
        <w:t xml:space="preserve"> Malik</w:t>
      </w:r>
      <w:r w:rsidRPr="00884514">
        <w:rPr>
          <w:sz w:val="24"/>
          <w:szCs w:val="24"/>
          <w:shd w:val="clear" w:color="auto" w:fill="FFFFFF"/>
        </w:rPr>
        <w:t>, 2010).</w:t>
      </w:r>
    </w:p>
    <w:p w14:paraId="0B5127F5" w14:textId="700D037B" w:rsidR="00E54627" w:rsidRPr="00884514" w:rsidRDefault="00E54627" w:rsidP="00E54627">
      <w:pPr>
        <w:ind w:firstLine="709"/>
        <w:jc w:val="both"/>
        <w:rPr>
          <w:sz w:val="24"/>
          <w:szCs w:val="24"/>
          <w:shd w:val="clear" w:color="auto" w:fill="FFFFFF"/>
        </w:rPr>
      </w:pPr>
      <w:r w:rsidRPr="00884514">
        <w:rPr>
          <w:sz w:val="24"/>
          <w:szCs w:val="24"/>
          <w:shd w:val="clear" w:color="auto" w:fill="FFFFFF"/>
        </w:rPr>
        <w:t>O governo interage com o setor da saúde e controla diversas organizações hospitalares, tendo o orçamento público como principal fator interligando essas áreas. Assim, os indicadores de desempenho são detentores de informações relevantes que podem ser utilizados na tomada de decisão das partes interessadas (</w:t>
      </w:r>
      <w:r w:rsidR="001F3BB1" w:rsidRPr="001F3BB1">
        <w:rPr>
          <w:sz w:val="24"/>
          <w:szCs w:val="24"/>
          <w:shd w:val="clear" w:color="auto" w:fill="FFFFFF"/>
        </w:rPr>
        <w:t xml:space="preserve">Silva </w:t>
      </w:r>
      <w:r w:rsidR="00761592" w:rsidRPr="00761592">
        <w:rPr>
          <w:i/>
          <w:sz w:val="24"/>
          <w:szCs w:val="24"/>
          <w:shd w:val="clear" w:color="auto" w:fill="FFFFFF"/>
        </w:rPr>
        <w:t>et al.</w:t>
      </w:r>
      <w:r w:rsidRPr="001F3BB1">
        <w:rPr>
          <w:sz w:val="24"/>
          <w:szCs w:val="24"/>
          <w:shd w:val="clear" w:color="auto" w:fill="FFFFFF"/>
        </w:rPr>
        <w:t>,</w:t>
      </w:r>
      <w:r w:rsidRPr="00884514">
        <w:rPr>
          <w:sz w:val="24"/>
          <w:szCs w:val="24"/>
          <w:shd w:val="clear" w:color="auto" w:fill="FFFFFF"/>
        </w:rPr>
        <w:t xml:space="preserve"> 2008).</w:t>
      </w:r>
    </w:p>
    <w:p w14:paraId="4376A1C5" w14:textId="3CD97181" w:rsidR="00E54627" w:rsidRPr="00884514" w:rsidRDefault="00E54627" w:rsidP="00E54627">
      <w:pPr>
        <w:ind w:firstLine="709"/>
        <w:jc w:val="both"/>
        <w:rPr>
          <w:sz w:val="24"/>
          <w:szCs w:val="24"/>
          <w:shd w:val="clear" w:color="auto" w:fill="FFFFFF"/>
        </w:rPr>
      </w:pPr>
      <w:r w:rsidRPr="00884514">
        <w:rPr>
          <w:sz w:val="24"/>
          <w:szCs w:val="24"/>
          <w:shd w:val="clear" w:color="auto" w:fill="FFFFFF"/>
        </w:rPr>
        <w:t>Diante desse controle, da necessidade de transparência, de controle dos cursos, entre outros aspectos, a</w:t>
      </w:r>
      <w:r w:rsidRPr="00884514">
        <w:rPr>
          <w:sz w:val="24"/>
          <w:szCs w:val="24"/>
        </w:rPr>
        <w:t xml:space="preserve"> avaliação da qualidade em relação aos cuidados com a saúde tornou-se cada vez mais importante para os diferentes intervenientes, como prestadores de cuidados de saúde, decisores, bem como, àqueles que precisam desse serviço (</w:t>
      </w:r>
      <w:r w:rsidR="001F3BB1" w:rsidRPr="001F3BB1">
        <w:rPr>
          <w:sz w:val="24"/>
          <w:szCs w:val="24"/>
          <w:shd w:val="clear" w:color="auto" w:fill="FFFFFF"/>
        </w:rPr>
        <w:t>Groene, Skau &amp; Frølich</w:t>
      </w:r>
      <w:r w:rsidRPr="00884514">
        <w:rPr>
          <w:sz w:val="24"/>
          <w:szCs w:val="24"/>
          <w:shd w:val="clear" w:color="auto" w:fill="FFFFFF"/>
        </w:rPr>
        <w:t>, 2008). Sendo assim, a</w:t>
      </w:r>
      <w:r w:rsidRPr="00884514">
        <w:rPr>
          <w:sz w:val="24"/>
          <w:szCs w:val="24"/>
        </w:rPr>
        <w:t xml:space="preserve"> formação de profissionais para atenção e gestão hospitalar, também necessita de constante redefinição, na busca pela qualidade, integralidade, eficiência e controle de custos (</w:t>
      </w:r>
      <w:r w:rsidR="001F3BB1" w:rsidRPr="00884514">
        <w:rPr>
          <w:sz w:val="24"/>
          <w:szCs w:val="24"/>
        </w:rPr>
        <w:t>Feuerwerker</w:t>
      </w:r>
      <w:r w:rsidR="001F3BB1">
        <w:rPr>
          <w:sz w:val="24"/>
          <w:szCs w:val="24"/>
        </w:rPr>
        <w:t xml:space="preserve"> &amp;</w:t>
      </w:r>
      <w:r w:rsidR="001F3BB1" w:rsidRPr="00884514">
        <w:rPr>
          <w:sz w:val="24"/>
          <w:szCs w:val="24"/>
        </w:rPr>
        <w:t xml:space="preserve"> Cecílio</w:t>
      </w:r>
      <w:r w:rsidRPr="00884514">
        <w:rPr>
          <w:sz w:val="24"/>
          <w:szCs w:val="24"/>
        </w:rPr>
        <w:t>, 2007).</w:t>
      </w:r>
    </w:p>
    <w:p w14:paraId="3928CC26" w14:textId="28FBA14C" w:rsidR="00E54627" w:rsidRPr="00884514" w:rsidRDefault="00E54627" w:rsidP="00E54627">
      <w:pPr>
        <w:jc w:val="both"/>
        <w:rPr>
          <w:sz w:val="24"/>
          <w:szCs w:val="24"/>
          <w:shd w:val="clear" w:color="auto" w:fill="FFFFFF"/>
        </w:rPr>
      </w:pPr>
      <w:r w:rsidRPr="00884514">
        <w:rPr>
          <w:sz w:val="24"/>
          <w:szCs w:val="24"/>
          <w:shd w:val="clear" w:color="auto" w:fill="FFFFFF"/>
        </w:rPr>
        <w:tab/>
        <w:t>Essa redefinição já está acontecendo aos poucos, até por que, os hospitais estão buscando atingir metas que antes não eram desejadas, como o aumento da lucratividade, que imp</w:t>
      </w:r>
      <w:r w:rsidRPr="00847F0E">
        <w:rPr>
          <w:sz w:val="24"/>
          <w:szCs w:val="24"/>
          <w:shd w:val="clear" w:color="auto" w:fill="FFFFFF"/>
        </w:rPr>
        <w:t>lica consequentemente em uma mudança geral da estrutura dos mesmos (</w:t>
      </w:r>
      <w:r w:rsidR="00847F0E" w:rsidRPr="00847F0E">
        <w:rPr>
          <w:sz w:val="24"/>
          <w:szCs w:val="24"/>
        </w:rPr>
        <w:t>Vendemiatti</w:t>
      </w:r>
      <w:r w:rsidRPr="00847F0E">
        <w:rPr>
          <w:sz w:val="24"/>
          <w:szCs w:val="24"/>
        </w:rPr>
        <w:t xml:space="preserve"> </w:t>
      </w:r>
      <w:r w:rsidR="00761592" w:rsidRPr="00761592">
        <w:rPr>
          <w:i/>
          <w:sz w:val="24"/>
          <w:szCs w:val="24"/>
        </w:rPr>
        <w:t>et al.</w:t>
      </w:r>
      <w:r w:rsidRPr="00847F0E">
        <w:rPr>
          <w:sz w:val="24"/>
          <w:szCs w:val="24"/>
        </w:rPr>
        <w:t>, 2010</w:t>
      </w:r>
      <w:r w:rsidRPr="00884514">
        <w:rPr>
          <w:sz w:val="24"/>
          <w:szCs w:val="24"/>
        </w:rPr>
        <w:t>). Por mais que já haja uma preocupação com as mudanças em prol da lucratividade, desempenho, de acordo com Fiondella</w:t>
      </w:r>
      <w:r w:rsidR="001F3BB1">
        <w:rPr>
          <w:sz w:val="24"/>
          <w:szCs w:val="24"/>
        </w:rPr>
        <w:t>,</w:t>
      </w:r>
      <w:r w:rsidRPr="00884514">
        <w:rPr>
          <w:sz w:val="24"/>
          <w:szCs w:val="24"/>
        </w:rPr>
        <w:t xml:space="preserve"> </w:t>
      </w:r>
      <w:r w:rsidR="001F3BB1" w:rsidRPr="001F3BB1">
        <w:rPr>
          <w:sz w:val="24"/>
          <w:szCs w:val="24"/>
        </w:rPr>
        <w:t>Macchioni, Maffei</w:t>
      </w:r>
      <w:r w:rsidR="001F3BB1">
        <w:rPr>
          <w:sz w:val="24"/>
          <w:szCs w:val="24"/>
        </w:rPr>
        <w:t xml:space="preserve"> e</w:t>
      </w:r>
      <w:r w:rsidR="001F3BB1" w:rsidRPr="001F3BB1">
        <w:rPr>
          <w:sz w:val="24"/>
          <w:szCs w:val="24"/>
        </w:rPr>
        <w:t xml:space="preserve"> Spanò </w:t>
      </w:r>
      <w:r w:rsidRPr="00884514">
        <w:rPr>
          <w:sz w:val="24"/>
          <w:szCs w:val="24"/>
        </w:rPr>
        <w:t>(2016) a falha nas mu</w:t>
      </w:r>
      <w:r w:rsidRPr="00884514">
        <w:rPr>
          <w:sz w:val="24"/>
          <w:szCs w:val="24"/>
          <w:shd w:val="clear" w:color="auto" w:fill="FFFFFF"/>
        </w:rPr>
        <w:t>danças contábeis em relação aos cuidados de saúde (hospitais), decorre da falta de uma abordagem integrada e equilibrada entre as questões econômicas e de qualidade. Sendo assim, os autores complementam que, deve-se considerar o impacto dessas mudanças frente à administração dos hospitais, tendo em vista o desempenho (</w:t>
      </w:r>
      <w:r w:rsidR="001F3BB1" w:rsidRPr="001F3BB1">
        <w:rPr>
          <w:sz w:val="24"/>
          <w:szCs w:val="24"/>
          <w:shd w:val="clear" w:color="auto" w:fill="FFFFFF"/>
        </w:rPr>
        <w:t>Fiondella</w:t>
      </w:r>
      <w:r w:rsidRPr="001F3BB1">
        <w:rPr>
          <w:sz w:val="24"/>
          <w:szCs w:val="24"/>
          <w:shd w:val="clear" w:color="auto" w:fill="FFFFFF"/>
        </w:rPr>
        <w:t xml:space="preserve"> </w:t>
      </w:r>
      <w:r w:rsidR="00761592" w:rsidRPr="00761592">
        <w:rPr>
          <w:i/>
          <w:sz w:val="24"/>
          <w:szCs w:val="24"/>
          <w:shd w:val="clear" w:color="auto" w:fill="FFFFFF"/>
        </w:rPr>
        <w:t>et al.</w:t>
      </w:r>
      <w:r w:rsidRPr="001F3BB1">
        <w:rPr>
          <w:sz w:val="24"/>
          <w:szCs w:val="24"/>
          <w:shd w:val="clear" w:color="auto" w:fill="FFFFFF"/>
        </w:rPr>
        <w:t>,</w:t>
      </w:r>
      <w:r w:rsidRPr="00884514">
        <w:rPr>
          <w:sz w:val="24"/>
          <w:szCs w:val="24"/>
          <w:shd w:val="clear" w:color="auto" w:fill="FFFFFF"/>
        </w:rPr>
        <w:t xml:space="preserve"> 2016), este que pode ser organizacional ou voltado à situação econômico-financeira.</w:t>
      </w:r>
    </w:p>
    <w:p w14:paraId="6D2C8F84" w14:textId="77777777" w:rsidR="00E54627" w:rsidRPr="00C74DEF" w:rsidRDefault="00E54627" w:rsidP="00E54627">
      <w:pPr>
        <w:ind w:firstLine="709"/>
        <w:jc w:val="both"/>
        <w:rPr>
          <w:sz w:val="24"/>
          <w:szCs w:val="24"/>
          <w:shd w:val="clear" w:color="auto" w:fill="FFFFFF"/>
        </w:rPr>
      </w:pPr>
      <w:r w:rsidRPr="00884514">
        <w:rPr>
          <w:sz w:val="24"/>
          <w:szCs w:val="24"/>
          <w:shd w:val="clear" w:color="auto" w:fill="FFFFFF"/>
        </w:rPr>
        <w:t xml:space="preserve">Quanto aos indicadores de desempenho, a área da saúde conta com um conjunto </w:t>
      </w:r>
      <w:r>
        <w:rPr>
          <w:sz w:val="24"/>
          <w:szCs w:val="24"/>
          <w:shd w:val="clear" w:color="auto" w:fill="FFFFFF"/>
        </w:rPr>
        <w:t>substancial de indicadores que podem contribuir para avaliar a qualidade de gestão e o atendimento das metas organizacionais, entre estes, destacam-se para o escopo desta pesquisa (i) as medidas de desempenho operacional e (ii) os indicadores da situação econômico-financeira, ambos destacados na sequência deste referencial teórico.</w:t>
      </w:r>
    </w:p>
    <w:p w14:paraId="618AA041" w14:textId="77777777" w:rsidR="00E54627" w:rsidRDefault="00E54627" w:rsidP="00E54627">
      <w:pPr>
        <w:jc w:val="both"/>
        <w:rPr>
          <w:sz w:val="24"/>
          <w:szCs w:val="24"/>
        </w:rPr>
      </w:pPr>
    </w:p>
    <w:p w14:paraId="1E32CDA2" w14:textId="77777777" w:rsidR="00E54627" w:rsidRPr="00E54627" w:rsidRDefault="00E54627" w:rsidP="00E54627">
      <w:pPr>
        <w:jc w:val="both"/>
        <w:rPr>
          <w:sz w:val="24"/>
          <w:szCs w:val="24"/>
        </w:rPr>
      </w:pPr>
      <w:r w:rsidRPr="00E54627">
        <w:rPr>
          <w:sz w:val="24"/>
          <w:szCs w:val="24"/>
        </w:rPr>
        <w:t>2.2 Desempenho Operacional</w:t>
      </w:r>
    </w:p>
    <w:p w14:paraId="1E078889" w14:textId="77777777" w:rsidR="00E54627" w:rsidRDefault="00E54627" w:rsidP="00E54627">
      <w:pPr>
        <w:ind w:firstLine="709"/>
        <w:jc w:val="both"/>
        <w:rPr>
          <w:sz w:val="24"/>
          <w:szCs w:val="24"/>
          <w:shd w:val="clear" w:color="auto" w:fill="FFFFFF"/>
        </w:rPr>
      </w:pPr>
      <w:r>
        <w:rPr>
          <w:sz w:val="24"/>
          <w:szCs w:val="24"/>
          <w:shd w:val="clear" w:color="auto" w:fill="FFFFFF"/>
        </w:rPr>
        <w:t>Neste estudo, o desempenho operacional será visto como, as mensurações relativas aos serviços de cuidados aos pacientes, no sentido de buscar mecanismos para evidenciar se os hospitais estão alcançando os objetivos demandados conforme a sua capacidade.</w:t>
      </w:r>
    </w:p>
    <w:p w14:paraId="220DAA97" w14:textId="1DF2C4C1" w:rsidR="00E54627" w:rsidRPr="0089079A" w:rsidRDefault="00E54627" w:rsidP="00E54627">
      <w:pPr>
        <w:ind w:firstLine="709"/>
        <w:jc w:val="both"/>
        <w:rPr>
          <w:sz w:val="24"/>
          <w:szCs w:val="24"/>
        </w:rPr>
      </w:pPr>
      <w:r w:rsidRPr="00694C8A">
        <w:rPr>
          <w:sz w:val="24"/>
          <w:szCs w:val="24"/>
        </w:rPr>
        <w:t xml:space="preserve">De acordo com Silva </w:t>
      </w:r>
      <w:r w:rsidR="00761592" w:rsidRPr="00761592">
        <w:rPr>
          <w:i/>
          <w:sz w:val="24"/>
          <w:szCs w:val="24"/>
        </w:rPr>
        <w:t>et al.</w:t>
      </w:r>
      <w:r w:rsidRPr="00694C8A">
        <w:rPr>
          <w:sz w:val="24"/>
          <w:szCs w:val="24"/>
        </w:rPr>
        <w:t xml:space="preserve"> (2008)</w:t>
      </w:r>
      <w:r>
        <w:rPr>
          <w:sz w:val="24"/>
          <w:szCs w:val="24"/>
        </w:rPr>
        <w:t xml:space="preserve">, os indicadores hospitalares são relevantes para o monitoramento do desempenho operacional, entretanto, </w:t>
      </w:r>
      <w:r w:rsidRPr="002E2802">
        <w:rPr>
          <w:sz w:val="24"/>
          <w:szCs w:val="24"/>
        </w:rPr>
        <w:t>depende</w:t>
      </w:r>
      <w:r>
        <w:rPr>
          <w:sz w:val="24"/>
          <w:szCs w:val="24"/>
        </w:rPr>
        <w:t>m</w:t>
      </w:r>
      <w:r w:rsidRPr="002E2802">
        <w:rPr>
          <w:sz w:val="24"/>
          <w:szCs w:val="24"/>
        </w:rPr>
        <w:t xml:space="preserve"> de uma gestão </w:t>
      </w:r>
      <w:r>
        <w:rPr>
          <w:sz w:val="24"/>
          <w:szCs w:val="24"/>
        </w:rPr>
        <w:t>responsável, eficiente e</w:t>
      </w:r>
      <w:r w:rsidRPr="002E2802">
        <w:rPr>
          <w:sz w:val="24"/>
          <w:szCs w:val="24"/>
        </w:rPr>
        <w:t xml:space="preserve"> voltada para resultados. </w:t>
      </w:r>
      <w:r>
        <w:rPr>
          <w:sz w:val="24"/>
          <w:szCs w:val="24"/>
        </w:rPr>
        <w:t xml:space="preserve">Assim, nota-se que a qualidade dos serviços operacionais de um hospital, necessita de uma boa </w:t>
      </w:r>
      <w:r w:rsidRPr="0089079A">
        <w:rPr>
          <w:sz w:val="24"/>
          <w:szCs w:val="24"/>
        </w:rPr>
        <w:t>administração e, por sua vez, os administradores precisam das informações relevantes para a tomada de decisões.</w:t>
      </w:r>
    </w:p>
    <w:p w14:paraId="01562CE4" w14:textId="1421D8F7" w:rsidR="00E54627" w:rsidRPr="00941521" w:rsidRDefault="00E54627" w:rsidP="00F22048">
      <w:pPr>
        <w:ind w:firstLine="708"/>
        <w:jc w:val="both"/>
        <w:rPr>
          <w:sz w:val="24"/>
          <w:szCs w:val="24"/>
          <w:shd w:val="clear" w:color="auto" w:fill="FFFFFF"/>
        </w:rPr>
      </w:pPr>
      <w:r w:rsidRPr="0089079A">
        <w:rPr>
          <w:sz w:val="24"/>
          <w:szCs w:val="24"/>
          <w:shd w:val="clear" w:color="auto" w:fill="FFFFFF"/>
        </w:rPr>
        <w:lastRenderedPageBreak/>
        <w:t xml:space="preserve">Por mais que existam diversos indicadores para avaliar o </w:t>
      </w:r>
      <w:r w:rsidRPr="0080541A">
        <w:rPr>
          <w:sz w:val="24"/>
          <w:szCs w:val="24"/>
          <w:shd w:val="clear" w:color="auto" w:fill="FFFFFF"/>
        </w:rPr>
        <w:t>desempenho operacional de hospitais, alguns comumente utilizados são: Taxa de Mortalidade (</w:t>
      </w:r>
      <w:r w:rsidR="00F22048" w:rsidRPr="0080541A">
        <w:rPr>
          <w:sz w:val="24"/>
          <w:szCs w:val="24"/>
          <w:shd w:val="clear" w:color="auto" w:fill="FFFFFF"/>
        </w:rPr>
        <w:t xml:space="preserve">Cesconetto, Lapa &amp; Calvo, 2008, Guerra, 2011, Hvenegaard, Arendt, Street &amp; Gyrd-Hansen, </w:t>
      </w:r>
      <w:r w:rsidR="00F22048" w:rsidRPr="0089079A">
        <w:rPr>
          <w:sz w:val="24"/>
          <w:szCs w:val="24"/>
          <w:shd w:val="clear" w:color="auto" w:fill="FFFFFF"/>
        </w:rPr>
        <w:t>2011</w:t>
      </w:r>
      <w:r w:rsidR="00F22048" w:rsidRPr="0089079A">
        <w:t xml:space="preserve">, </w:t>
      </w:r>
      <w:r w:rsidR="00F22048" w:rsidRPr="0080541A">
        <w:rPr>
          <w:sz w:val="24"/>
          <w:szCs w:val="24"/>
          <w:shd w:val="clear" w:color="auto" w:fill="FFFFFF"/>
        </w:rPr>
        <w:t>Machado, Martins &amp; Martins, 2013, Freitas, 2014, Gholami</w:t>
      </w:r>
      <w:r w:rsidR="0080541A" w:rsidRPr="0080541A">
        <w:rPr>
          <w:sz w:val="24"/>
          <w:szCs w:val="24"/>
          <w:shd w:val="clear" w:color="auto" w:fill="FFFFFF"/>
        </w:rPr>
        <w:t xml:space="preserve">, Higón &amp; Emrouznejad, </w:t>
      </w:r>
      <w:r w:rsidR="00F22048" w:rsidRPr="0080541A">
        <w:rPr>
          <w:sz w:val="24"/>
          <w:szCs w:val="24"/>
          <w:shd w:val="clear" w:color="auto" w:fill="FFFFFF"/>
        </w:rPr>
        <w:t>201</w:t>
      </w:r>
      <w:r w:rsidR="00BB2165" w:rsidRPr="0080541A">
        <w:rPr>
          <w:sz w:val="24"/>
          <w:szCs w:val="24"/>
          <w:shd w:val="clear" w:color="auto" w:fill="FFFFFF"/>
        </w:rPr>
        <w:t>5</w:t>
      </w:r>
      <w:r w:rsidR="00F22048" w:rsidRPr="0080541A">
        <w:rPr>
          <w:sz w:val="24"/>
          <w:szCs w:val="24"/>
          <w:shd w:val="clear" w:color="auto" w:fill="FFFFFF"/>
        </w:rPr>
        <w:t>, Martini</w:t>
      </w:r>
      <w:r w:rsidR="0080541A" w:rsidRPr="0080541A">
        <w:rPr>
          <w:sz w:val="24"/>
          <w:szCs w:val="24"/>
          <w:shd w:val="clear" w:color="auto" w:fill="FFFFFF"/>
        </w:rPr>
        <w:t>,</w:t>
      </w:r>
      <w:r w:rsidR="00F22048" w:rsidRPr="0080541A">
        <w:rPr>
          <w:sz w:val="24"/>
          <w:szCs w:val="24"/>
          <w:shd w:val="clear" w:color="auto" w:fill="FFFFFF"/>
        </w:rPr>
        <w:t xml:space="preserve"> </w:t>
      </w:r>
      <w:r w:rsidR="0080541A" w:rsidRPr="0080541A">
        <w:rPr>
          <w:sz w:val="24"/>
          <w:szCs w:val="24"/>
          <w:shd w:val="clear" w:color="auto" w:fill="FFFFFF"/>
        </w:rPr>
        <w:t>Berta, Mullahy &amp; Vittadini,</w:t>
      </w:r>
      <w:r w:rsidR="00F22048" w:rsidRPr="0080541A">
        <w:rPr>
          <w:sz w:val="24"/>
          <w:szCs w:val="24"/>
          <w:shd w:val="clear" w:color="auto" w:fill="FFFFFF"/>
        </w:rPr>
        <w:t xml:space="preserve"> 2014, Vignochi</w:t>
      </w:r>
      <w:r w:rsidR="0080541A" w:rsidRPr="0080541A">
        <w:rPr>
          <w:sz w:val="24"/>
          <w:szCs w:val="24"/>
          <w:shd w:val="clear" w:color="auto" w:fill="FFFFFF"/>
        </w:rPr>
        <w:t xml:space="preserve"> </w:t>
      </w:r>
      <w:r w:rsidR="00761592" w:rsidRPr="00761592">
        <w:rPr>
          <w:i/>
          <w:sz w:val="24"/>
          <w:szCs w:val="24"/>
          <w:shd w:val="clear" w:color="auto" w:fill="FFFFFF"/>
        </w:rPr>
        <w:t>et al.</w:t>
      </w:r>
      <w:r w:rsidR="00F22048" w:rsidRPr="0080541A">
        <w:rPr>
          <w:sz w:val="24"/>
          <w:szCs w:val="24"/>
          <w:shd w:val="clear" w:color="auto" w:fill="FFFFFF"/>
        </w:rPr>
        <w:t>, 2014</w:t>
      </w:r>
      <w:r w:rsidRPr="0080541A">
        <w:rPr>
          <w:sz w:val="24"/>
          <w:szCs w:val="24"/>
          <w:shd w:val="clear" w:color="auto" w:fill="FFFFFF"/>
        </w:rPr>
        <w:t>), Tempo Médio de Permanência (</w:t>
      </w:r>
      <w:r w:rsidR="00F22048" w:rsidRPr="0080541A">
        <w:rPr>
          <w:sz w:val="24"/>
          <w:szCs w:val="24"/>
          <w:shd w:val="clear" w:color="auto" w:fill="FFFFFF"/>
        </w:rPr>
        <w:t xml:space="preserve">Guerra, 2011, </w:t>
      </w:r>
      <w:r w:rsidR="00F22048" w:rsidRPr="00941521">
        <w:rPr>
          <w:sz w:val="24"/>
          <w:szCs w:val="24"/>
          <w:shd w:val="clear" w:color="auto" w:fill="FFFFFF"/>
        </w:rPr>
        <w:t xml:space="preserve">Freire </w:t>
      </w:r>
      <w:r w:rsidR="00941521" w:rsidRPr="00941521">
        <w:rPr>
          <w:sz w:val="24"/>
          <w:szCs w:val="24"/>
          <w:shd w:val="clear" w:color="auto" w:fill="FFFFFF"/>
        </w:rPr>
        <w:t xml:space="preserve">Pitassi, Gonçalves &amp; Schout, </w:t>
      </w:r>
      <w:r w:rsidR="00F22048" w:rsidRPr="00941521">
        <w:rPr>
          <w:sz w:val="24"/>
          <w:szCs w:val="24"/>
          <w:shd w:val="clear" w:color="auto" w:fill="FFFFFF"/>
        </w:rPr>
        <w:t xml:space="preserve">2012, Watterson, Gabbe, Cleland, Edgar &amp; Cameron, 2012, Freitas, 2014, Gholami </w:t>
      </w:r>
      <w:r w:rsidR="00761592" w:rsidRPr="00761592">
        <w:rPr>
          <w:i/>
          <w:sz w:val="24"/>
          <w:szCs w:val="24"/>
          <w:shd w:val="clear" w:color="auto" w:fill="FFFFFF"/>
        </w:rPr>
        <w:t>et al.</w:t>
      </w:r>
      <w:r w:rsidR="00F22048" w:rsidRPr="00941521">
        <w:rPr>
          <w:sz w:val="24"/>
          <w:szCs w:val="24"/>
          <w:shd w:val="clear" w:color="auto" w:fill="FFFFFF"/>
        </w:rPr>
        <w:t>, 201</w:t>
      </w:r>
      <w:r w:rsidR="00BB2165" w:rsidRPr="00941521">
        <w:rPr>
          <w:sz w:val="24"/>
          <w:szCs w:val="24"/>
          <w:shd w:val="clear" w:color="auto" w:fill="FFFFFF"/>
        </w:rPr>
        <w:t>5</w:t>
      </w:r>
      <w:r w:rsidR="00F22048" w:rsidRPr="00941521">
        <w:rPr>
          <w:sz w:val="24"/>
          <w:szCs w:val="24"/>
          <w:shd w:val="clear" w:color="auto" w:fill="FFFFFF"/>
        </w:rPr>
        <w:t>, Vignochi</w:t>
      </w:r>
      <w:r w:rsidR="0080541A" w:rsidRPr="00941521">
        <w:rPr>
          <w:sz w:val="24"/>
          <w:szCs w:val="24"/>
          <w:shd w:val="clear" w:color="auto" w:fill="FFFFFF"/>
        </w:rPr>
        <w:t xml:space="preserve"> </w:t>
      </w:r>
      <w:r w:rsidR="00761592" w:rsidRPr="00761592">
        <w:rPr>
          <w:i/>
          <w:sz w:val="24"/>
          <w:szCs w:val="24"/>
          <w:shd w:val="clear" w:color="auto" w:fill="FFFFFF"/>
        </w:rPr>
        <w:t>et al.</w:t>
      </w:r>
      <w:r w:rsidR="00F22048" w:rsidRPr="00941521">
        <w:rPr>
          <w:sz w:val="24"/>
          <w:szCs w:val="24"/>
          <w:shd w:val="clear" w:color="auto" w:fill="FFFFFF"/>
        </w:rPr>
        <w:t>, 2014),</w:t>
      </w:r>
      <w:r w:rsidRPr="00941521">
        <w:rPr>
          <w:sz w:val="24"/>
          <w:szCs w:val="24"/>
          <w:shd w:val="clear" w:color="auto" w:fill="FFFFFF"/>
        </w:rPr>
        <w:t xml:space="preserve"> Taxa de Valores Hospitalares </w:t>
      </w:r>
      <w:r w:rsidR="00F22048" w:rsidRPr="00941521">
        <w:rPr>
          <w:sz w:val="24"/>
          <w:szCs w:val="24"/>
          <w:shd w:val="clear" w:color="auto" w:fill="FFFFFF"/>
        </w:rPr>
        <w:t>(Akashi</w:t>
      </w:r>
      <w:r w:rsidR="0080541A" w:rsidRPr="00941521">
        <w:rPr>
          <w:sz w:val="24"/>
          <w:szCs w:val="24"/>
          <w:shd w:val="clear" w:color="auto" w:fill="FFFFFF"/>
        </w:rPr>
        <w:t>,</w:t>
      </w:r>
      <w:r w:rsidR="00F22048" w:rsidRPr="00941521">
        <w:rPr>
          <w:sz w:val="24"/>
          <w:szCs w:val="24"/>
          <w:shd w:val="clear" w:color="auto" w:fill="FFFFFF"/>
        </w:rPr>
        <w:t xml:space="preserve"> </w:t>
      </w:r>
      <w:r w:rsidR="0080541A" w:rsidRPr="00941521">
        <w:rPr>
          <w:sz w:val="24"/>
          <w:szCs w:val="24"/>
          <w:shd w:val="clear" w:color="auto" w:fill="FFFFFF"/>
        </w:rPr>
        <w:t xml:space="preserve">Yamada, Huot, Kanal &amp; Sugimoto, </w:t>
      </w:r>
      <w:r w:rsidR="00F22048" w:rsidRPr="00941521">
        <w:rPr>
          <w:sz w:val="24"/>
          <w:szCs w:val="24"/>
          <w:shd w:val="clear" w:color="auto" w:fill="FFFFFF"/>
        </w:rPr>
        <w:t xml:space="preserve">2004) </w:t>
      </w:r>
      <w:r w:rsidRPr="00941521">
        <w:rPr>
          <w:sz w:val="24"/>
          <w:szCs w:val="24"/>
          <w:shd w:val="clear" w:color="auto" w:fill="FFFFFF"/>
        </w:rPr>
        <w:t>e Autorização de Internações Hospitalares (</w:t>
      </w:r>
      <w:r w:rsidR="00F22048" w:rsidRPr="00941521">
        <w:rPr>
          <w:sz w:val="24"/>
          <w:szCs w:val="24"/>
          <w:shd w:val="clear" w:color="auto" w:fill="FFFFFF"/>
        </w:rPr>
        <w:t>Cesconetto</w:t>
      </w:r>
      <w:r w:rsidR="0080541A" w:rsidRPr="00941521">
        <w:rPr>
          <w:sz w:val="24"/>
          <w:szCs w:val="24"/>
          <w:shd w:val="clear" w:color="auto" w:fill="FFFFFF"/>
        </w:rPr>
        <w:t xml:space="preserve"> </w:t>
      </w:r>
      <w:r w:rsidR="00761592" w:rsidRPr="00761592">
        <w:rPr>
          <w:i/>
          <w:sz w:val="24"/>
          <w:szCs w:val="24"/>
          <w:shd w:val="clear" w:color="auto" w:fill="FFFFFF"/>
        </w:rPr>
        <w:t>et al.</w:t>
      </w:r>
      <w:r w:rsidR="00F22048" w:rsidRPr="00941521">
        <w:rPr>
          <w:sz w:val="24"/>
          <w:szCs w:val="24"/>
          <w:shd w:val="clear" w:color="auto" w:fill="FFFFFF"/>
        </w:rPr>
        <w:t>, 2008, Vignochi</w:t>
      </w:r>
      <w:r w:rsidR="0080541A" w:rsidRPr="00941521">
        <w:rPr>
          <w:sz w:val="24"/>
          <w:szCs w:val="24"/>
          <w:shd w:val="clear" w:color="auto" w:fill="FFFFFF"/>
        </w:rPr>
        <w:t xml:space="preserve"> </w:t>
      </w:r>
      <w:r w:rsidR="00761592" w:rsidRPr="00761592">
        <w:rPr>
          <w:i/>
          <w:sz w:val="24"/>
          <w:szCs w:val="24"/>
          <w:shd w:val="clear" w:color="auto" w:fill="FFFFFF"/>
        </w:rPr>
        <w:t>et al.</w:t>
      </w:r>
      <w:r w:rsidR="00F22048" w:rsidRPr="00941521">
        <w:rPr>
          <w:sz w:val="24"/>
          <w:szCs w:val="24"/>
          <w:shd w:val="clear" w:color="auto" w:fill="FFFFFF"/>
        </w:rPr>
        <w:t>, 2014)</w:t>
      </w:r>
      <w:r w:rsidRPr="00941521">
        <w:rPr>
          <w:sz w:val="24"/>
          <w:szCs w:val="24"/>
          <w:shd w:val="clear" w:color="auto" w:fill="FFFFFF"/>
        </w:rPr>
        <w:t xml:space="preserve"> e foram selecionados para compor o grupo de variáveis de desempenho operacional dos hospitais.</w:t>
      </w:r>
    </w:p>
    <w:p w14:paraId="6204C59F" w14:textId="548345F2" w:rsidR="00E54627" w:rsidRPr="008C72CA" w:rsidRDefault="00E54627" w:rsidP="00E54627">
      <w:pPr>
        <w:jc w:val="both"/>
        <w:rPr>
          <w:sz w:val="24"/>
          <w:szCs w:val="24"/>
          <w:shd w:val="clear" w:color="auto" w:fill="FFFFFF"/>
        </w:rPr>
      </w:pPr>
      <w:r w:rsidRPr="0089079A">
        <w:rPr>
          <w:sz w:val="24"/>
          <w:szCs w:val="24"/>
          <w:shd w:val="clear" w:color="auto" w:fill="FFFFFF"/>
        </w:rPr>
        <w:tab/>
      </w:r>
      <w:r w:rsidRPr="0080541A">
        <w:rPr>
          <w:sz w:val="24"/>
          <w:szCs w:val="24"/>
          <w:shd w:val="clear" w:color="auto" w:fill="FFFFFF"/>
        </w:rPr>
        <w:t>Para Freitas (2014),</w:t>
      </w:r>
      <w:r w:rsidRPr="0089079A">
        <w:rPr>
          <w:sz w:val="24"/>
          <w:szCs w:val="24"/>
          <w:shd w:val="clear" w:color="auto" w:fill="FFFFFF"/>
        </w:rPr>
        <w:t xml:space="preserve"> a </w:t>
      </w:r>
      <w:r w:rsidRPr="0080541A">
        <w:rPr>
          <w:sz w:val="24"/>
          <w:szCs w:val="24"/>
          <w:shd w:val="clear" w:color="auto" w:fill="FFFFFF"/>
        </w:rPr>
        <w:t>Taxa de Mortalidade</w:t>
      </w:r>
      <w:r w:rsidRPr="0089079A">
        <w:rPr>
          <w:sz w:val="24"/>
          <w:szCs w:val="24"/>
          <w:shd w:val="clear" w:color="auto" w:fill="FFFFFF"/>
        </w:rPr>
        <w:t xml:space="preserve"> mede a proporção dos pacientes que </w:t>
      </w:r>
      <w:r w:rsidRPr="00245AFE">
        <w:rPr>
          <w:sz w:val="24"/>
          <w:szCs w:val="24"/>
          <w:shd w:val="clear" w:color="auto" w:fill="FFFFFF"/>
        </w:rPr>
        <w:t>morreram durante a internação hospitalar.</w:t>
      </w:r>
      <w:r>
        <w:rPr>
          <w:sz w:val="24"/>
          <w:szCs w:val="24"/>
          <w:shd w:val="clear" w:color="auto" w:fill="FFFFFF"/>
        </w:rPr>
        <w:t xml:space="preserve"> </w:t>
      </w:r>
      <w:r w:rsidRPr="0080541A">
        <w:rPr>
          <w:sz w:val="24"/>
          <w:szCs w:val="24"/>
          <w:shd w:val="clear" w:color="auto" w:fill="FFFFFF"/>
        </w:rPr>
        <w:t xml:space="preserve">Gholami </w:t>
      </w:r>
      <w:r w:rsidR="00761592" w:rsidRPr="00761592">
        <w:rPr>
          <w:i/>
          <w:sz w:val="24"/>
          <w:szCs w:val="24"/>
          <w:shd w:val="clear" w:color="auto" w:fill="FFFFFF"/>
        </w:rPr>
        <w:t>et al.</w:t>
      </w:r>
      <w:r w:rsidRPr="0080541A">
        <w:rPr>
          <w:sz w:val="24"/>
          <w:szCs w:val="24"/>
          <w:shd w:val="clear" w:color="auto" w:fill="FFFFFF"/>
        </w:rPr>
        <w:t xml:space="preserve"> (201</w:t>
      </w:r>
      <w:r w:rsidR="00BB2165" w:rsidRPr="0080541A">
        <w:rPr>
          <w:sz w:val="24"/>
          <w:szCs w:val="24"/>
          <w:shd w:val="clear" w:color="auto" w:fill="FFFFFF"/>
        </w:rPr>
        <w:t>5</w:t>
      </w:r>
      <w:r w:rsidRPr="0080541A">
        <w:rPr>
          <w:sz w:val="24"/>
          <w:szCs w:val="24"/>
          <w:shd w:val="clear" w:color="auto" w:fill="FFFFFF"/>
        </w:rPr>
        <w:t>)</w:t>
      </w:r>
      <w:r>
        <w:rPr>
          <w:sz w:val="24"/>
          <w:szCs w:val="24"/>
          <w:shd w:val="clear" w:color="auto" w:fill="FFFFFF"/>
        </w:rPr>
        <w:t xml:space="preserve"> destaca a partir do seu estudo que, a</w:t>
      </w:r>
      <w:r w:rsidRPr="005F57DB">
        <w:rPr>
          <w:sz w:val="24"/>
          <w:szCs w:val="24"/>
          <w:shd w:val="clear" w:color="auto" w:fill="FFFFFF"/>
        </w:rPr>
        <w:t xml:space="preserve"> qualidade em hospitais geralmente se</w:t>
      </w:r>
      <w:r>
        <w:rPr>
          <w:sz w:val="24"/>
          <w:szCs w:val="24"/>
          <w:shd w:val="clear" w:color="auto" w:fill="FFFFFF"/>
        </w:rPr>
        <w:t xml:space="preserve"> </w:t>
      </w:r>
      <w:r w:rsidRPr="005F57DB">
        <w:rPr>
          <w:sz w:val="24"/>
          <w:szCs w:val="24"/>
          <w:shd w:val="clear" w:color="auto" w:fill="FFFFFF"/>
        </w:rPr>
        <w:t xml:space="preserve">manifesta </w:t>
      </w:r>
      <w:r>
        <w:rPr>
          <w:sz w:val="24"/>
          <w:szCs w:val="24"/>
          <w:shd w:val="clear" w:color="auto" w:fill="FFFFFF"/>
        </w:rPr>
        <w:t xml:space="preserve">a partir de </w:t>
      </w:r>
      <w:r w:rsidRPr="005F57DB">
        <w:rPr>
          <w:sz w:val="24"/>
          <w:szCs w:val="24"/>
          <w:shd w:val="clear" w:color="auto" w:fill="FFFFFF"/>
        </w:rPr>
        <w:t>complicações médicas</w:t>
      </w:r>
      <w:r>
        <w:rPr>
          <w:sz w:val="24"/>
          <w:szCs w:val="24"/>
          <w:shd w:val="clear" w:color="auto" w:fill="FFFFFF"/>
        </w:rPr>
        <w:t>, bem como,</w:t>
      </w:r>
      <w:r w:rsidRPr="005F57DB">
        <w:rPr>
          <w:sz w:val="24"/>
          <w:szCs w:val="24"/>
          <w:shd w:val="clear" w:color="auto" w:fill="FFFFFF"/>
        </w:rPr>
        <w:t xml:space="preserve"> </w:t>
      </w:r>
      <w:r w:rsidRPr="008C72CA">
        <w:rPr>
          <w:sz w:val="24"/>
          <w:szCs w:val="24"/>
          <w:shd w:val="clear" w:color="auto" w:fill="FFFFFF"/>
        </w:rPr>
        <w:t>mortalidade dos pacientes</w:t>
      </w:r>
      <w:r w:rsidRPr="005F57DB">
        <w:rPr>
          <w:sz w:val="24"/>
          <w:szCs w:val="24"/>
          <w:shd w:val="clear" w:color="auto" w:fill="FFFFFF"/>
        </w:rPr>
        <w:t>.</w:t>
      </w:r>
      <w:r>
        <w:rPr>
          <w:sz w:val="24"/>
          <w:szCs w:val="24"/>
          <w:shd w:val="clear" w:color="auto" w:fill="FFFFFF"/>
        </w:rPr>
        <w:t xml:space="preserve"> Essas complicações acabam refletindo no aumento </w:t>
      </w:r>
      <w:r w:rsidRPr="008C72CA">
        <w:rPr>
          <w:sz w:val="24"/>
          <w:szCs w:val="24"/>
          <w:shd w:val="clear" w:color="auto" w:fill="FFFFFF"/>
        </w:rPr>
        <w:t>dos custos hospitalares</w:t>
      </w:r>
      <w:r>
        <w:rPr>
          <w:sz w:val="24"/>
          <w:szCs w:val="24"/>
          <w:shd w:val="clear" w:color="auto" w:fill="FFFFFF"/>
        </w:rPr>
        <w:t xml:space="preserve"> e</w:t>
      </w:r>
      <w:r w:rsidRPr="005F57DB">
        <w:rPr>
          <w:sz w:val="24"/>
          <w:szCs w:val="24"/>
          <w:shd w:val="clear" w:color="auto" w:fill="FFFFFF"/>
        </w:rPr>
        <w:t xml:space="preserve"> danos aos pacientes </w:t>
      </w:r>
      <w:r>
        <w:rPr>
          <w:sz w:val="24"/>
          <w:szCs w:val="24"/>
          <w:shd w:val="clear" w:color="auto" w:fill="FFFFFF"/>
        </w:rPr>
        <w:t>que</w:t>
      </w:r>
      <w:r w:rsidRPr="005F57DB">
        <w:rPr>
          <w:sz w:val="24"/>
          <w:szCs w:val="24"/>
          <w:shd w:val="clear" w:color="auto" w:fill="FFFFFF"/>
        </w:rPr>
        <w:t xml:space="preserve">, no pior cenário, </w:t>
      </w:r>
      <w:r>
        <w:rPr>
          <w:sz w:val="24"/>
          <w:szCs w:val="24"/>
          <w:shd w:val="clear" w:color="auto" w:fill="FFFFFF"/>
        </w:rPr>
        <w:t xml:space="preserve">refletem </w:t>
      </w:r>
      <w:r w:rsidRPr="005F57DB">
        <w:rPr>
          <w:sz w:val="24"/>
          <w:szCs w:val="24"/>
          <w:shd w:val="clear" w:color="auto" w:fill="FFFFFF"/>
        </w:rPr>
        <w:t>em taxas de</w:t>
      </w:r>
      <w:r w:rsidRPr="008C72CA">
        <w:rPr>
          <w:sz w:val="24"/>
          <w:szCs w:val="24"/>
          <w:shd w:val="clear" w:color="auto" w:fill="FFFFFF"/>
        </w:rPr>
        <w:t xml:space="preserve"> mortalidade</w:t>
      </w:r>
      <w:r w:rsidRPr="005F57DB">
        <w:rPr>
          <w:sz w:val="24"/>
          <w:szCs w:val="24"/>
          <w:shd w:val="clear" w:color="auto" w:fill="FFFFFF"/>
        </w:rPr>
        <w:t xml:space="preserve"> mais altas.</w:t>
      </w:r>
    </w:p>
    <w:p w14:paraId="6C1E57B3" w14:textId="63B44521" w:rsidR="00E54627" w:rsidRPr="0080541A" w:rsidRDefault="00E54627" w:rsidP="00E54627">
      <w:pPr>
        <w:ind w:firstLine="708"/>
        <w:jc w:val="both"/>
        <w:rPr>
          <w:sz w:val="24"/>
          <w:szCs w:val="24"/>
          <w:shd w:val="clear" w:color="auto" w:fill="FFFFFF"/>
        </w:rPr>
      </w:pPr>
      <w:r>
        <w:rPr>
          <w:sz w:val="24"/>
          <w:szCs w:val="24"/>
          <w:shd w:val="clear" w:color="auto" w:fill="FFFFFF"/>
        </w:rPr>
        <w:t xml:space="preserve">Esse indicador é considerado muito </w:t>
      </w:r>
      <w:r w:rsidRPr="00E758CC">
        <w:rPr>
          <w:sz w:val="24"/>
          <w:szCs w:val="24"/>
          <w:shd w:val="clear" w:color="auto" w:fill="FFFFFF"/>
        </w:rPr>
        <w:t xml:space="preserve">importantes </w:t>
      </w:r>
      <w:r>
        <w:rPr>
          <w:sz w:val="24"/>
          <w:szCs w:val="24"/>
          <w:shd w:val="clear" w:color="auto" w:fill="FFFFFF"/>
        </w:rPr>
        <w:t xml:space="preserve">para </w:t>
      </w:r>
      <w:r w:rsidRPr="0080541A">
        <w:rPr>
          <w:sz w:val="24"/>
          <w:szCs w:val="24"/>
          <w:shd w:val="clear" w:color="auto" w:fill="FFFFFF"/>
        </w:rPr>
        <w:t>Cesconetto</w:t>
      </w:r>
      <w:r w:rsidR="0080541A" w:rsidRPr="0080541A">
        <w:rPr>
          <w:sz w:val="24"/>
          <w:szCs w:val="24"/>
          <w:shd w:val="clear" w:color="auto" w:fill="FFFFFF"/>
        </w:rPr>
        <w:t xml:space="preserve"> </w:t>
      </w:r>
      <w:r w:rsidR="00761592" w:rsidRPr="00761592">
        <w:rPr>
          <w:i/>
          <w:sz w:val="24"/>
          <w:szCs w:val="24"/>
          <w:shd w:val="clear" w:color="auto" w:fill="FFFFFF"/>
        </w:rPr>
        <w:t>et al.</w:t>
      </w:r>
      <w:r w:rsidR="0080541A" w:rsidRPr="0080541A">
        <w:rPr>
          <w:sz w:val="24"/>
          <w:szCs w:val="24"/>
          <w:shd w:val="clear" w:color="auto" w:fill="FFFFFF"/>
        </w:rPr>
        <w:t xml:space="preserve"> </w:t>
      </w:r>
      <w:r w:rsidRPr="0080541A">
        <w:rPr>
          <w:sz w:val="24"/>
          <w:szCs w:val="24"/>
          <w:shd w:val="clear" w:color="auto" w:fill="FFFFFF"/>
        </w:rPr>
        <w:t>(2008),</w:t>
      </w:r>
      <w:r>
        <w:rPr>
          <w:sz w:val="24"/>
          <w:szCs w:val="24"/>
          <w:shd w:val="clear" w:color="auto" w:fill="FFFFFF"/>
        </w:rPr>
        <w:t xml:space="preserve"> pois </w:t>
      </w:r>
      <w:r w:rsidRPr="00E758CC">
        <w:rPr>
          <w:sz w:val="24"/>
          <w:szCs w:val="24"/>
          <w:shd w:val="clear" w:color="auto" w:fill="FFFFFF"/>
        </w:rPr>
        <w:t>a gestão dos serviços de</w:t>
      </w:r>
      <w:r>
        <w:rPr>
          <w:sz w:val="24"/>
          <w:szCs w:val="24"/>
          <w:shd w:val="clear" w:color="auto" w:fill="FFFFFF"/>
        </w:rPr>
        <w:t xml:space="preserve"> </w:t>
      </w:r>
      <w:r w:rsidRPr="00E758CC">
        <w:rPr>
          <w:sz w:val="24"/>
          <w:szCs w:val="24"/>
          <w:shd w:val="clear" w:color="auto" w:fill="FFFFFF"/>
        </w:rPr>
        <w:t>saúde</w:t>
      </w:r>
      <w:r>
        <w:rPr>
          <w:sz w:val="24"/>
          <w:szCs w:val="24"/>
          <w:shd w:val="clear" w:color="auto" w:fill="FFFFFF"/>
        </w:rPr>
        <w:t xml:space="preserve"> fornece u</w:t>
      </w:r>
      <w:r w:rsidRPr="00E758CC">
        <w:rPr>
          <w:sz w:val="24"/>
          <w:szCs w:val="24"/>
          <w:shd w:val="clear" w:color="auto" w:fill="FFFFFF"/>
        </w:rPr>
        <w:t>ma avaliação imediata de algumas características</w:t>
      </w:r>
      <w:r>
        <w:rPr>
          <w:sz w:val="24"/>
          <w:szCs w:val="24"/>
          <w:shd w:val="clear" w:color="auto" w:fill="FFFFFF"/>
        </w:rPr>
        <w:t xml:space="preserve"> </w:t>
      </w:r>
      <w:r w:rsidRPr="00E758CC">
        <w:rPr>
          <w:sz w:val="24"/>
          <w:szCs w:val="24"/>
          <w:shd w:val="clear" w:color="auto" w:fill="FFFFFF"/>
        </w:rPr>
        <w:t>do hospital</w:t>
      </w:r>
      <w:r>
        <w:rPr>
          <w:sz w:val="24"/>
          <w:szCs w:val="24"/>
          <w:shd w:val="clear" w:color="auto" w:fill="FFFFFF"/>
        </w:rPr>
        <w:t xml:space="preserve">. Conforme Freitas (2014), para esse indicador deve-se entender que quanto menor melhor. </w:t>
      </w:r>
      <w:r w:rsidRPr="0080541A">
        <w:rPr>
          <w:sz w:val="24"/>
          <w:szCs w:val="24"/>
          <w:shd w:val="clear" w:color="auto" w:fill="FFFFFF"/>
        </w:rPr>
        <w:t>Sendo assim e a partir do exposto, entende-se que quanto maior for a taxa de mortalidade nos hospitais, pior será o seu desempenho operacional. De acordo com Machado</w:t>
      </w:r>
      <w:r w:rsidR="0080541A" w:rsidRPr="0080541A">
        <w:rPr>
          <w:sz w:val="24"/>
          <w:szCs w:val="24"/>
          <w:shd w:val="clear" w:color="auto" w:fill="FFFFFF"/>
        </w:rPr>
        <w:t xml:space="preserve"> </w:t>
      </w:r>
      <w:r w:rsidR="00761592" w:rsidRPr="00761592">
        <w:rPr>
          <w:i/>
          <w:sz w:val="24"/>
          <w:szCs w:val="24"/>
          <w:shd w:val="clear" w:color="auto" w:fill="FFFFFF"/>
        </w:rPr>
        <w:t>et al.</w:t>
      </w:r>
      <w:r w:rsidR="0080541A" w:rsidRPr="0080541A">
        <w:rPr>
          <w:sz w:val="24"/>
          <w:szCs w:val="24"/>
          <w:shd w:val="clear" w:color="auto" w:fill="FFFFFF"/>
        </w:rPr>
        <w:t xml:space="preserve"> </w:t>
      </w:r>
      <w:r w:rsidRPr="0080541A">
        <w:rPr>
          <w:sz w:val="24"/>
          <w:szCs w:val="24"/>
          <w:shd w:val="clear" w:color="auto" w:fill="FFFFFF"/>
        </w:rPr>
        <w:t>(2013) entre os indicadores frequentemente analisados nos estudos sobre desempenho operacional, tem-se a taxa de mortalidade. A partir da análise e controle deste indicador, os hospitais pretendem melhorar a qualidade da assistência (Vignochi</w:t>
      </w:r>
      <w:r w:rsidR="0080541A" w:rsidRPr="0080541A">
        <w:rPr>
          <w:sz w:val="24"/>
          <w:szCs w:val="24"/>
          <w:shd w:val="clear" w:color="auto" w:fill="FFFFFF"/>
        </w:rPr>
        <w:t xml:space="preserve"> </w:t>
      </w:r>
      <w:r w:rsidR="00761592" w:rsidRPr="00761592">
        <w:rPr>
          <w:i/>
          <w:sz w:val="24"/>
          <w:szCs w:val="24"/>
          <w:shd w:val="clear" w:color="auto" w:fill="FFFFFF"/>
        </w:rPr>
        <w:t>et al.</w:t>
      </w:r>
      <w:r w:rsidRPr="0080541A">
        <w:rPr>
          <w:sz w:val="24"/>
          <w:szCs w:val="24"/>
          <w:shd w:val="clear" w:color="auto" w:fill="FFFFFF"/>
        </w:rPr>
        <w:t>, 2014).</w:t>
      </w:r>
    </w:p>
    <w:p w14:paraId="63176BC1" w14:textId="3A3FAA45" w:rsidR="00E54627" w:rsidRDefault="00E54627" w:rsidP="00E54627">
      <w:pPr>
        <w:ind w:firstLine="708"/>
        <w:jc w:val="both"/>
        <w:rPr>
          <w:sz w:val="24"/>
          <w:szCs w:val="24"/>
          <w:shd w:val="clear" w:color="auto" w:fill="FFFFFF"/>
        </w:rPr>
      </w:pPr>
      <w:r w:rsidRPr="0080541A">
        <w:rPr>
          <w:sz w:val="24"/>
          <w:szCs w:val="24"/>
          <w:shd w:val="clear" w:color="auto" w:fill="FFFFFF"/>
        </w:rPr>
        <w:t xml:space="preserve">Martini </w:t>
      </w:r>
      <w:r w:rsidR="00761592" w:rsidRPr="00761592">
        <w:rPr>
          <w:i/>
          <w:sz w:val="24"/>
          <w:szCs w:val="24"/>
          <w:shd w:val="clear" w:color="auto" w:fill="FFFFFF"/>
        </w:rPr>
        <w:t>et al.</w:t>
      </w:r>
      <w:r w:rsidRPr="0080541A">
        <w:rPr>
          <w:sz w:val="24"/>
          <w:szCs w:val="24"/>
          <w:shd w:val="clear" w:color="auto" w:fill="FFFFFF"/>
        </w:rPr>
        <w:t xml:space="preserve"> (2014) salientam que a mortalidade é menor em hospitais mais eficientes, sendo assim, na falta de eficiência, as taxas de mortalidade podem aumentar, o que demonstra</w:t>
      </w:r>
      <w:r>
        <w:rPr>
          <w:sz w:val="24"/>
          <w:szCs w:val="24"/>
          <w:shd w:val="clear" w:color="auto" w:fill="FFFFFF"/>
        </w:rPr>
        <w:t xml:space="preserve"> haver um </w:t>
      </w:r>
      <w:r w:rsidRPr="0095155B">
        <w:rPr>
          <w:i/>
          <w:sz w:val="24"/>
          <w:szCs w:val="24"/>
          <w:shd w:val="clear" w:color="auto" w:fill="FFFFFF"/>
        </w:rPr>
        <w:t>trade-off</w:t>
      </w:r>
      <w:r w:rsidRPr="000B1C2C">
        <w:rPr>
          <w:sz w:val="24"/>
          <w:szCs w:val="24"/>
          <w:shd w:val="clear" w:color="auto" w:fill="FFFFFF"/>
        </w:rPr>
        <w:t xml:space="preserve"> entre taxas de mortalidade e eficiência</w:t>
      </w:r>
      <w:r>
        <w:rPr>
          <w:sz w:val="24"/>
          <w:szCs w:val="24"/>
          <w:shd w:val="clear" w:color="auto" w:fill="FFFFFF"/>
        </w:rPr>
        <w:t xml:space="preserve">. Ao contrário deste resultado, </w:t>
      </w:r>
      <w:r w:rsidRPr="00941521">
        <w:rPr>
          <w:sz w:val="24"/>
          <w:szCs w:val="24"/>
          <w:shd w:val="clear" w:color="auto" w:fill="FFFFFF"/>
        </w:rPr>
        <w:t>Hvenegaard</w:t>
      </w:r>
      <w:r w:rsidR="0080541A" w:rsidRPr="00941521">
        <w:rPr>
          <w:sz w:val="24"/>
          <w:szCs w:val="24"/>
          <w:shd w:val="clear" w:color="auto" w:fill="FFFFFF"/>
        </w:rPr>
        <w:t xml:space="preserve"> </w:t>
      </w:r>
      <w:r w:rsidR="00761592" w:rsidRPr="00761592">
        <w:rPr>
          <w:i/>
          <w:sz w:val="24"/>
          <w:szCs w:val="24"/>
          <w:shd w:val="clear" w:color="auto" w:fill="FFFFFF"/>
        </w:rPr>
        <w:t>et al.</w:t>
      </w:r>
      <w:r w:rsidR="0080541A" w:rsidRPr="00941521">
        <w:rPr>
          <w:sz w:val="24"/>
          <w:szCs w:val="24"/>
          <w:shd w:val="clear" w:color="auto" w:fill="FFFFFF"/>
        </w:rPr>
        <w:t xml:space="preserve"> </w:t>
      </w:r>
      <w:r w:rsidRPr="00941521">
        <w:rPr>
          <w:sz w:val="24"/>
          <w:szCs w:val="24"/>
          <w:shd w:val="clear" w:color="auto" w:fill="FFFFFF"/>
        </w:rPr>
        <w:t>(2011</w:t>
      </w:r>
      <w:r w:rsidRPr="00B2087C">
        <w:rPr>
          <w:sz w:val="24"/>
          <w:szCs w:val="24"/>
          <w:shd w:val="clear" w:color="auto" w:fill="FFFFFF"/>
        </w:rPr>
        <w:t>)</w:t>
      </w:r>
      <w:r>
        <w:rPr>
          <w:sz w:val="24"/>
          <w:szCs w:val="24"/>
          <w:shd w:val="clear" w:color="auto" w:fill="FFFFFF"/>
        </w:rPr>
        <w:t xml:space="preserve"> realizaram um estudo no qual verificaram que</w:t>
      </w:r>
      <w:r w:rsidRPr="00B2087C">
        <w:rPr>
          <w:sz w:val="24"/>
          <w:szCs w:val="24"/>
          <w:shd w:val="clear" w:color="auto" w:fill="FFFFFF"/>
        </w:rPr>
        <w:t xml:space="preserve"> custos mais baixos (maior eficiência operacional) tendem a estar associados a maior mortalidade</w:t>
      </w:r>
      <w:r>
        <w:rPr>
          <w:sz w:val="24"/>
          <w:szCs w:val="24"/>
          <w:shd w:val="clear" w:color="auto" w:fill="FFFFFF"/>
        </w:rPr>
        <w:t xml:space="preserve"> </w:t>
      </w:r>
      <w:r w:rsidRPr="00B2087C">
        <w:rPr>
          <w:sz w:val="24"/>
          <w:szCs w:val="24"/>
          <w:shd w:val="clear" w:color="auto" w:fill="FFFFFF"/>
        </w:rPr>
        <w:t xml:space="preserve">(como uma medida de menor qualidade), indicando </w:t>
      </w:r>
      <w:r>
        <w:rPr>
          <w:sz w:val="24"/>
          <w:szCs w:val="24"/>
          <w:shd w:val="clear" w:color="auto" w:fill="FFFFFF"/>
        </w:rPr>
        <w:t xml:space="preserve">haver </w:t>
      </w:r>
      <w:r w:rsidRPr="00B2087C">
        <w:rPr>
          <w:sz w:val="24"/>
          <w:szCs w:val="24"/>
          <w:shd w:val="clear" w:color="auto" w:fill="FFFFFF"/>
        </w:rPr>
        <w:t xml:space="preserve">um </w:t>
      </w:r>
      <w:r w:rsidRPr="007B0DCD">
        <w:rPr>
          <w:i/>
          <w:sz w:val="24"/>
          <w:szCs w:val="24"/>
          <w:shd w:val="clear" w:color="auto" w:fill="FFFFFF"/>
        </w:rPr>
        <w:t>trade-off</w:t>
      </w:r>
      <w:r w:rsidRPr="00B2087C">
        <w:rPr>
          <w:sz w:val="24"/>
          <w:szCs w:val="24"/>
          <w:shd w:val="clear" w:color="auto" w:fill="FFFFFF"/>
        </w:rPr>
        <w:t xml:space="preserve"> </w:t>
      </w:r>
      <w:r>
        <w:rPr>
          <w:sz w:val="24"/>
          <w:szCs w:val="24"/>
          <w:shd w:val="clear" w:color="auto" w:fill="FFFFFF"/>
        </w:rPr>
        <w:t>entr</w:t>
      </w:r>
      <w:r w:rsidRPr="00B2087C">
        <w:rPr>
          <w:sz w:val="24"/>
          <w:szCs w:val="24"/>
          <w:shd w:val="clear" w:color="auto" w:fill="FFFFFF"/>
        </w:rPr>
        <w:t>e eficiência e qualidade.</w:t>
      </w:r>
    </w:p>
    <w:p w14:paraId="148DC387" w14:textId="4273B58F" w:rsidR="008D4752" w:rsidRDefault="00E54627" w:rsidP="00E54627">
      <w:pPr>
        <w:ind w:firstLine="709"/>
        <w:jc w:val="both"/>
        <w:rPr>
          <w:sz w:val="24"/>
          <w:szCs w:val="24"/>
          <w:shd w:val="clear" w:color="auto" w:fill="FFFFFF"/>
        </w:rPr>
      </w:pPr>
      <w:r w:rsidRPr="00AA24BE">
        <w:rPr>
          <w:sz w:val="24"/>
          <w:szCs w:val="24"/>
          <w:shd w:val="clear" w:color="auto" w:fill="FFFFFF"/>
        </w:rPr>
        <w:t xml:space="preserve">O </w:t>
      </w:r>
      <w:r w:rsidRPr="00941521">
        <w:rPr>
          <w:sz w:val="24"/>
          <w:szCs w:val="24"/>
          <w:shd w:val="clear" w:color="auto" w:fill="FFFFFF"/>
        </w:rPr>
        <w:t>Tempo Médio de Permanência</w:t>
      </w:r>
      <w:r w:rsidRPr="00AA24BE">
        <w:rPr>
          <w:sz w:val="24"/>
          <w:szCs w:val="24"/>
          <w:shd w:val="clear" w:color="auto" w:fill="FFFFFF"/>
        </w:rPr>
        <w:t xml:space="preserve"> também </w:t>
      </w:r>
      <w:r>
        <w:rPr>
          <w:sz w:val="24"/>
          <w:szCs w:val="24"/>
          <w:shd w:val="clear" w:color="auto" w:fill="FFFFFF"/>
        </w:rPr>
        <w:t xml:space="preserve">consiste em um indicador que busca demonstrar a eficiência dos serviços prestados e é representado pelo tempo </w:t>
      </w:r>
      <w:r w:rsidRPr="00ED40F3">
        <w:rPr>
          <w:sz w:val="24"/>
          <w:szCs w:val="24"/>
          <w:shd w:val="clear" w:color="auto" w:fill="FFFFFF"/>
        </w:rPr>
        <w:t>médio em dias que os pacientes ficaram internados no hospital</w:t>
      </w:r>
      <w:r>
        <w:rPr>
          <w:sz w:val="24"/>
          <w:szCs w:val="24"/>
          <w:shd w:val="clear" w:color="auto" w:fill="FFFFFF"/>
        </w:rPr>
        <w:t xml:space="preserve"> (</w:t>
      </w:r>
      <w:r w:rsidRPr="00941521">
        <w:rPr>
          <w:sz w:val="24"/>
          <w:szCs w:val="24"/>
          <w:shd w:val="clear" w:color="auto" w:fill="FFFFFF"/>
        </w:rPr>
        <w:t xml:space="preserve">Freitas, 2014). Segundo Freire </w:t>
      </w:r>
      <w:r w:rsidR="00761592" w:rsidRPr="00761592">
        <w:rPr>
          <w:i/>
          <w:sz w:val="24"/>
          <w:szCs w:val="24"/>
          <w:shd w:val="clear" w:color="auto" w:fill="FFFFFF"/>
        </w:rPr>
        <w:t>et al.</w:t>
      </w:r>
      <w:r w:rsidRPr="00941521">
        <w:rPr>
          <w:sz w:val="24"/>
          <w:szCs w:val="24"/>
          <w:shd w:val="clear" w:color="auto" w:fill="FFFFFF"/>
        </w:rPr>
        <w:t xml:space="preserve"> (2012) uma</w:t>
      </w:r>
      <w:r>
        <w:rPr>
          <w:sz w:val="24"/>
          <w:szCs w:val="24"/>
          <w:shd w:val="clear" w:color="auto" w:fill="FFFFFF"/>
        </w:rPr>
        <w:t xml:space="preserve"> forma de aumentar a eficiência do desempenho hospitalar é a partir da redução do tempo médio de permanência dos pacientes, isto é, tempo de internação. Nessa mesma linha, </w:t>
      </w:r>
      <w:r w:rsidRPr="00941521">
        <w:rPr>
          <w:sz w:val="24"/>
          <w:szCs w:val="24"/>
          <w:shd w:val="clear" w:color="auto" w:fill="FFFFFF"/>
        </w:rPr>
        <w:t xml:space="preserve">Gholami </w:t>
      </w:r>
      <w:r w:rsidR="00761592" w:rsidRPr="00761592">
        <w:rPr>
          <w:i/>
          <w:sz w:val="24"/>
          <w:szCs w:val="24"/>
          <w:shd w:val="clear" w:color="auto" w:fill="FFFFFF"/>
        </w:rPr>
        <w:t>et al.</w:t>
      </w:r>
      <w:r w:rsidRPr="00941521">
        <w:rPr>
          <w:sz w:val="24"/>
          <w:szCs w:val="24"/>
          <w:shd w:val="clear" w:color="auto" w:fill="FFFFFF"/>
        </w:rPr>
        <w:t xml:space="preserve"> (201</w:t>
      </w:r>
      <w:r w:rsidR="00BB2165" w:rsidRPr="00941521">
        <w:rPr>
          <w:sz w:val="24"/>
          <w:szCs w:val="24"/>
          <w:shd w:val="clear" w:color="auto" w:fill="FFFFFF"/>
        </w:rPr>
        <w:t>5</w:t>
      </w:r>
      <w:r w:rsidRPr="00941521">
        <w:rPr>
          <w:sz w:val="24"/>
          <w:szCs w:val="24"/>
          <w:shd w:val="clear" w:color="auto" w:fill="FFFFFF"/>
        </w:rPr>
        <w:t>) verificaram que o tempo de permanência têm um impacto negativo e significativo</w:t>
      </w:r>
      <w:r w:rsidRPr="00E3415E">
        <w:rPr>
          <w:sz w:val="24"/>
          <w:szCs w:val="24"/>
          <w:shd w:val="clear" w:color="auto" w:fill="FFFFFF"/>
        </w:rPr>
        <w:t xml:space="preserve"> na eficiência.</w:t>
      </w:r>
      <w:r>
        <w:rPr>
          <w:sz w:val="24"/>
          <w:szCs w:val="24"/>
          <w:shd w:val="clear" w:color="auto" w:fill="FFFFFF"/>
        </w:rPr>
        <w:t xml:space="preserve"> </w:t>
      </w:r>
      <w:r w:rsidRPr="00941521">
        <w:rPr>
          <w:sz w:val="24"/>
          <w:szCs w:val="24"/>
          <w:shd w:val="clear" w:color="auto" w:fill="FFFFFF"/>
        </w:rPr>
        <w:t>Esse indicador é do tipo “quanto menor melhor”, pois assim aumenta a rotatividade do leito operacional (Freitas, 2014</w:t>
      </w:r>
      <w:r>
        <w:rPr>
          <w:sz w:val="24"/>
          <w:szCs w:val="24"/>
          <w:shd w:val="clear" w:color="auto" w:fill="FFFFFF"/>
        </w:rPr>
        <w:t>)</w:t>
      </w:r>
      <w:r w:rsidR="008D4752">
        <w:rPr>
          <w:sz w:val="24"/>
          <w:szCs w:val="24"/>
          <w:shd w:val="clear" w:color="auto" w:fill="FFFFFF"/>
        </w:rPr>
        <w:t xml:space="preserve"> e aumenta a eficiência do serviço, tornando-se um hospital “mais </w:t>
      </w:r>
      <w:r w:rsidR="008D4752" w:rsidRPr="0080541A">
        <w:rPr>
          <w:sz w:val="24"/>
          <w:szCs w:val="24"/>
          <w:shd w:val="clear" w:color="auto" w:fill="FFFFFF"/>
        </w:rPr>
        <w:t>produtivo” (Watterson</w:t>
      </w:r>
      <w:r w:rsidR="0080541A" w:rsidRPr="0080541A">
        <w:rPr>
          <w:sz w:val="24"/>
          <w:szCs w:val="24"/>
          <w:shd w:val="clear" w:color="auto" w:fill="FFFFFF"/>
        </w:rPr>
        <w:t xml:space="preserve"> </w:t>
      </w:r>
      <w:r w:rsidR="00761592" w:rsidRPr="00761592">
        <w:rPr>
          <w:i/>
          <w:sz w:val="24"/>
          <w:szCs w:val="24"/>
          <w:shd w:val="clear" w:color="auto" w:fill="FFFFFF"/>
        </w:rPr>
        <w:t>et al.</w:t>
      </w:r>
      <w:r w:rsidR="008D4752" w:rsidRPr="0080541A">
        <w:rPr>
          <w:sz w:val="24"/>
          <w:szCs w:val="24"/>
          <w:shd w:val="clear" w:color="auto" w:fill="FFFFFF"/>
        </w:rPr>
        <w:t>, 2012</w:t>
      </w:r>
      <w:r w:rsidR="008D4752">
        <w:rPr>
          <w:sz w:val="24"/>
          <w:szCs w:val="24"/>
          <w:shd w:val="clear" w:color="auto" w:fill="FFFFFF"/>
        </w:rPr>
        <w:t>)</w:t>
      </w:r>
      <w:r>
        <w:rPr>
          <w:sz w:val="24"/>
          <w:szCs w:val="24"/>
          <w:shd w:val="clear" w:color="auto" w:fill="FFFFFF"/>
        </w:rPr>
        <w:t xml:space="preserve">. </w:t>
      </w:r>
    </w:p>
    <w:p w14:paraId="1D92C18D" w14:textId="2EB7A0AE" w:rsidR="00E54627" w:rsidRPr="00941521" w:rsidRDefault="00E54627" w:rsidP="008D4752">
      <w:pPr>
        <w:ind w:firstLine="709"/>
        <w:jc w:val="both"/>
        <w:rPr>
          <w:sz w:val="24"/>
          <w:szCs w:val="24"/>
          <w:shd w:val="clear" w:color="auto" w:fill="FFFFFF"/>
        </w:rPr>
      </w:pPr>
      <w:r>
        <w:rPr>
          <w:sz w:val="24"/>
          <w:szCs w:val="24"/>
          <w:shd w:val="clear" w:color="auto" w:fill="FFFFFF"/>
        </w:rPr>
        <w:t xml:space="preserve">Para reduzir esse Tempo Médio de Permanência, </w:t>
      </w:r>
      <w:r w:rsidRPr="00941521">
        <w:rPr>
          <w:sz w:val="24"/>
          <w:szCs w:val="24"/>
          <w:shd w:val="clear" w:color="auto" w:fill="FFFFFF"/>
        </w:rPr>
        <w:t>Vignochi</w:t>
      </w:r>
      <w:r w:rsidR="0080541A" w:rsidRPr="00941521">
        <w:rPr>
          <w:sz w:val="24"/>
          <w:szCs w:val="24"/>
          <w:shd w:val="clear" w:color="auto" w:fill="FFFFFF"/>
        </w:rPr>
        <w:t xml:space="preserve"> </w:t>
      </w:r>
      <w:r w:rsidR="00761592" w:rsidRPr="00761592">
        <w:rPr>
          <w:i/>
          <w:sz w:val="24"/>
          <w:szCs w:val="24"/>
          <w:shd w:val="clear" w:color="auto" w:fill="FFFFFF"/>
        </w:rPr>
        <w:t>et al.</w:t>
      </w:r>
      <w:r w:rsidR="0080541A" w:rsidRPr="00941521">
        <w:rPr>
          <w:sz w:val="24"/>
          <w:szCs w:val="24"/>
          <w:shd w:val="clear" w:color="auto" w:fill="FFFFFF"/>
        </w:rPr>
        <w:t xml:space="preserve"> </w:t>
      </w:r>
      <w:r w:rsidRPr="00941521">
        <w:rPr>
          <w:sz w:val="24"/>
          <w:szCs w:val="24"/>
          <w:shd w:val="clear" w:color="auto" w:fill="FFFFFF"/>
        </w:rPr>
        <w:t>(2014</w:t>
      </w:r>
      <w:r w:rsidRPr="00E54627">
        <w:rPr>
          <w:sz w:val="24"/>
          <w:szCs w:val="24"/>
          <w:shd w:val="clear" w:color="auto" w:fill="FFFFFF"/>
        </w:rPr>
        <w:t>) sugerem que seja estimul</w:t>
      </w:r>
      <w:r w:rsidRPr="00526C9B">
        <w:rPr>
          <w:sz w:val="24"/>
          <w:szCs w:val="24"/>
          <w:shd w:val="clear" w:color="auto" w:fill="FFFFFF"/>
        </w:rPr>
        <w:t>a</w:t>
      </w:r>
      <w:r>
        <w:rPr>
          <w:sz w:val="24"/>
          <w:szCs w:val="24"/>
          <w:shd w:val="clear" w:color="auto" w:fill="FFFFFF"/>
        </w:rPr>
        <w:t>da a</w:t>
      </w:r>
      <w:r w:rsidRPr="00526C9B">
        <w:rPr>
          <w:sz w:val="24"/>
          <w:szCs w:val="24"/>
          <w:shd w:val="clear" w:color="auto" w:fill="FFFFFF"/>
        </w:rPr>
        <w:t xml:space="preserve"> alta e encaminhamentos</w:t>
      </w:r>
      <w:r>
        <w:rPr>
          <w:sz w:val="24"/>
          <w:szCs w:val="24"/>
          <w:shd w:val="clear" w:color="auto" w:fill="FFFFFF"/>
        </w:rPr>
        <w:t xml:space="preserve">, conforme for </w:t>
      </w:r>
      <w:r w:rsidRPr="00526C9B">
        <w:rPr>
          <w:sz w:val="24"/>
          <w:szCs w:val="24"/>
          <w:shd w:val="clear" w:color="auto" w:fill="FFFFFF"/>
        </w:rPr>
        <w:t>o quadro do paciente</w:t>
      </w:r>
      <w:r>
        <w:rPr>
          <w:sz w:val="24"/>
          <w:szCs w:val="24"/>
          <w:shd w:val="clear" w:color="auto" w:fill="FFFFFF"/>
        </w:rPr>
        <w:t xml:space="preserve">, liberando os </w:t>
      </w:r>
      <w:r w:rsidRPr="00526C9B">
        <w:rPr>
          <w:sz w:val="24"/>
          <w:szCs w:val="24"/>
          <w:shd w:val="clear" w:color="auto" w:fill="FFFFFF"/>
        </w:rPr>
        <w:t>leitos para novos atendimentos</w:t>
      </w:r>
      <w:r>
        <w:rPr>
          <w:sz w:val="24"/>
          <w:szCs w:val="24"/>
          <w:shd w:val="clear" w:color="auto" w:fill="FFFFFF"/>
        </w:rPr>
        <w:t>.</w:t>
      </w:r>
      <w:r w:rsidR="008D4752">
        <w:rPr>
          <w:sz w:val="24"/>
          <w:szCs w:val="24"/>
          <w:shd w:val="clear" w:color="auto" w:fill="FFFFFF"/>
        </w:rPr>
        <w:t xml:space="preserve"> Contudo, é preciso prestar atenção ao fato de que, b</w:t>
      </w:r>
      <w:r w:rsidRPr="00FE7296">
        <w:rPr>
          <w:sz w:val="24"/>
          <w:szCs w:val="24"/>
          <w:shd w:val="clear" w:color="auto" w:fill="FFFFFF"/>
        </w:rPr>
        <w:t>aixos prazos médios de permanência</w:t>
      </w:r>
      <w:r>
        <w:rPr>
          <w:sz w:val="24"/>
          <w:szCs w:val="24"/>
          <w:shd w:val="clear" w:color="auto" w:fill="FFFFFF"/>
        </w:rPr>
        <w:t xml:space="preserve"> </w:t>
      </w:r>
      <w:r w:rsidRPr="00FE7296">
        <w:rPr>
          <w:sz w:val="24"/>
          <w:szCs w:val="24"/>
          <w:shd w:val="clear" w:color="auto" w:fill="FFFFFF"/>
        </w:rPr>
        <w:t xml:space="preserve">podem </w:t>
      </w:r>
      <w:r w:rsidR="008D4752">
        <w:rPr>
          <w:sz w:val="24"/>
          <w:szCs w:val="24"/>
          <w:shd w:val="clear" w:color="auto" w:fill="FFFFFF"/>
        </w:rPr>
        <w:t>representar</w:t>
      </w:r>
      <w:r w:rsidRPr="00FE7296">
        <w:rPr>
          <w:sz w:val="24"/>
          <w:szCs w:val="24"/>
          <w:shd w:val="clear" w:color="auto" w:fill="FFFFFF"/>
        </w:rPr>
        <w:t xml:space="preserve"> apenas altas precoces, óbitos prematuros ou inevitáveis</w:t>
      </w:r>
      <w:r w:rsidR="008D4752">
        <w:rPr>
          <w:sz w:val="24"/>
          <w:szCs w:val="24"/>
          <w:shd w:val="clear" w:color="auto" w:fill="FFFFFF"/>
        </w:rPr>
        <w:t>,</w:t>
      </w:r>
      <w:r w:rsidRPr="00FE7296">
        <w:rPr>
          <w:sz w:val="24"/>
          <w:szCs w:val="24"/>
          <w:shd w:val="clear" w:color="auto" w:fill="FFFFFF"/>
        </w:rPr>
        <w:t xml:space="preserve"> que</w:t>
      </w:r>
      <w:r>
        <w:rPr>
          <w:sz w:val="24"/>
          <w:szCs w:val="24"/>
          <w:shd w:val="clear" w:color="auto" w:fill="FFFFFF"/>
        </w:rPr>
        <w:t xml:space="preserve"> </w:t>
      </w:r>
      <w:r w:rsidRPr="00FE7296">
        <w:rPr>
          <w:sz w:val="24"/>
          <w:szCs w:val="24"/>
          <w:shd w:val="clear" w:color="auto" w:fill="FFFFFF"/>
        </w:rPr>
        <w:t xml:space="preserve">demandariam internações em organizações especiais. </w:t>
      </w:r>
      <w:r w:rsidR="008D4752">
        <w:rPr>
          <w:sz w:val="24"/>
          <w:szCs w:val="24"/>
          <w:shd w:val="clear" w:color="auto" w:fill="FFFFFF"/>
        </w:rPr>
        <w:t xml:space="preserve">Por outro lado, médias </w:t>
      </w:r>
      <w:r w:rsidRPr="00FE7296">
        <w:rPr>
          <w:sz w:val="24"/>
          <w:szCs w:val="24"/>
          <w:shd w:val="clear" w:color="auto" w:fill="FFFFFF"/>
        </w:rPr>
        <w:t xml:space="preserve">de permanência </w:t>
      </w:r>
      <w:r w:rsidR="008D4752">
        <w:rPr>
          <w:sz w:val="24"/>
          <w:szCs w:val="24"/>
          <w:shd w:val="clear" w:color="auto" w:fill="FFFFFF"/>
        </w:rPr>
        <w:t xml:space="preserve">altas </w:t>
      </w:r>
      <w:r w:rsidRPr="00FE7296">
        <w:rPr>
          <w:sz w:val="24"/>
          <w:szCs w:val="24"/>
          <w:shd w:val="clear" w:color="auto" w:fill="FFFFFF"/>
        </w:rPr>
        <w:t>podem</w:t>
      </w:r>
      <w:r w:rsidR="008D4752">
        <w:rPr>
          <w:sz w:val="24"/>
          <w:szCs w:val="24"/>
          <w:shd w:val="clear" w:color="auto" w:fill="FFFFFF"/>
        </w:rPr>
        <w:t xml:space="preserve"> </w:t>
      </w:r>
      <w:r w:rsidRPr="00FE7296">
        <w:rPr>
          <w:sz w:val="24"/>
          <w:szCs w:val="24"/>
          <w:shd w:val="clear" w:color="auto" w:fill="FFFFFF"/>
        </w:rPr>
        <w:t>significar a baixa capacidade de resolução dos casos atendidos</w:t>
      </w:r>
      <w:r w:rsidR="008D4752">
        <w:rPr>
          <w:sz w:val="24"/>
          <w:szCs w:val="24"/>
          <w:shd w:val="clear" w:color="auto" w:fill="FFFFFF"/>
        </w:rPr>
        <w:t xml:space="preserve"> (</w:t>
      </w:r>
      <w:r w:rsidR="008D4752" w:rsidRPr="00941521">
        <w:rPr>
          <w:sz w:val="24"/>
          <w:szCs w:val="24"/>
          <w:shd w:val="clear" w:color="auto" w:fill="FFFFFF"/>
        </w:rPr>
        <w:t>Guerra, 2011).</w:t>
      </w:r>
    </w:p>
    <w:p w14:paraId="408E96C9" w14:textId="5E3A8291" w:rsidR="00635E77" w:rsidRPr="00A674BF" w:rsidRDefault="00115CC7" w:rsidP="00635E77">
      <w:pPr>
        <w:ind w:firstLine="709"/>
        <w:jc w:val="both"/>
        <w:rPr>
          <w:sz w:val="24"/>
          <w:szCs w:val="24"/>
          <w:shd w:val="clear" w:color="auto" w:fill="FFFFFF"/>
        </w:rPr>
      </w:pPr>
      <w:r w:rsidRPr="00941521">
        <w:rPr>
          <w:sz w:val="24"/>
          <w:szCs w:val="24"/>
          <w:shd w:val="clear" w:color="auto" w:fill="FFFFFF"/>
        </w:rPr>
        <w:t xml:space="preserve">Com relação </w:t>
      </w:r>
      <w:r w:rsidRPr="00A674BF">
        <w:rPr>
          <w:sz w:val="24"/>
          <w:szCs w:val="24"/>
          <w:shd w:val="clear" w:color="auto" w:fill="FFFFFF"/>
        </w:rPr>
        <w:t>a</w:t>
      </w:r>
      <w:r w:rsidR="00E54627" w:rsidRPr="00A674BF">
        <w:rPr>
          <w:sz w:val="24"/>
          <w:szCs w:val="24"/>
          <w:shd w:val="clear" w:color="auto" w:fill="FFFFFF"/>
        </w:rPr>
        <w:t xml:space="preserve"> Taxa de Valores Hospitalares</w:t>
      </w:r>
      <w:r w:rsidRPr="00A674BF">
        <w:rPr>
          <w:sz w:val="24"/>
          <w:szCs w:val="24"/>
          <w:shd w:val="clear" w:color="auto" w:fill="FFFFFF"/>
        </w:rPr>
        <w:t xml:space="preserve">, </w:t>
      </w:r>
      <w:r w:rsidR="00635E77" w:rsidRPr="00A674BF">
        <w:rPr>
          <w:sz w:val="24"/>
          <w:szCs w:val="24"/>
          <w:shd w:val="clear" w:color="auto" w:fill="FFFFFF"/>
        </w:rPr>
        <w:t xml:space="preserve">que se refere a porcentagem de recursos utilizados para os serviços hospitalares, </w:t>
      </w:r>
      <w:r w:rsidR="00E54627" w:rsidRPr="00A674BF">
        <w:rPr>
          <w:sz w:val="24"/>
          <w:szCs w:val="24"/>
          <w:shd w:val="clear" w:color="auto" w:fill="FFFFFF"/>
        </w:rPr>
        <w:t xml:space="preserve">Akashi </w:t>
      </w:r>
      <w:r w:rsidR="00761592" w:rsidRPr="00761592">
        <w:rPr>
          <w:i/>
          <w:sz w:val="24"/>
          <w:szCs w:val="24"/>
          <w:shd w:val="clear" w:color="auto" w:fill="FFFFFF"/>
        </w:rPr>
        <w:t>et al.</w:t>
      </w:r>
      <w:r w:rsidR="00E54627" w:rsidRPr="00A674BF">
        <w:rPr>
          <w:i/>
          <w:sz w:val="24"/>
          <w:szCs w:val="24"/>
          <w:shd w:val="clear" w:color="auto" w:fill="FFFFFF"/>
        </w:rPr>
        <w:t xml:space="preserve"> </w:t>
      </w:r>
      <w:r w:rsidR="00E54627" w:rsidRPr="00A674BF">
        <w:rPr>
          <w:sz w:val="24"/>
          <w:szCs w:val="24"/>
          <w:shd w:val="clear" w:color="auto" w:fill="FFFFFF"/>
        </w:rPr>
        <w:t xml:space="preserve">(2004) </w:t>
      </w:r>
      <w:r w:rsidR="00635E77" w:rsidRPr="00A674BF">
        <w:rPr>
          <w:sz w:val="24"/>
          <w:szCs w:val="24"/>
          <w:shd w:val="clear" w:color="auto" w:fill="FFFFFF"/>
        </w:rPr>
        <w:t xml:space="preserve">verificaram que é preciso </w:t>
      </w:r>
      <w:r w:rsidR="00E54627" w:rsidRPr="00A674BF">
        <w:rPr>
          <w:sz w:val="24"/>
          <w:szCs w:val="24"/>
          <w:shd w:val="clear" w:color="auto" w:fill="FFFFFF"/>
        </w:rPr>
        <w:t>uma melhor alocação das despesas, uma maior geração de receita e um aumento significativo na quantidade de pacientes</w:t>
      </w:r>
      <w:r w:rsidR="00635E77" w:rsidRPr="00A674BF">
        <w:rPr>
          <w:sz w:val="24"/>
          <w:szCs w:val="24"/>
          <w:shd w:val="clear" w:color="auto" w:fill="FFFFFF"/>
        </w:rPr>
        <w:t xml:space="preserve">. A partir disso, </w:t>
      </w:r>
      <w:r w:rsidR="00E54627" w:rsidRPr="00A674BF">
        <w:rPr>
          <w:sz w:val="24"/>
          <w:szCs w:val="24"/>
          <w:shd w:val="clear" w:color="auto" w:fill="FFFFFF"/>
        </w:rPr>
        <w:t>o desempenho operacional é influenciado pelos métodos de alocação das despesas</w:t>
      </w:r>
      <w:r w:rsidR="00635E77" w:rsidRPr="00A674BF">
        <w:rPr>
          <w:sz w:val="24"/>
          <w:szCs w:val="24"/>
          <w:shd w:val="clear" w:color="auto" w:fill="FFFFFF"/>
        </w:rPr>
        <w:t>.</w:t>
      </w:r>
    </w:p>
    <w:p w14:paraId="7BAB974B" w14:textId="68D13D8C" w:rsidR="00E54627" w:rsidRDefault="00635E77" w:rsidP="00E54627">
      <w:pPr>
        <w:ind w:firstLine="709"/>
        <w:jc w:val="both"/>
        <w:rPr>
          <w:sz w:val="24"/>
          <w:szCs w:val="24"/>
          <w:shd w:val="clear" w:color="auto" w:fill="FFFFFF"/>
        </w:rPr>
      </w:pPr>
      <w:r w:rsidRPr="00A674BF">
        <w:rPr>
          <w:sz w:val="24"/>
          <w:szCs w:val="24"/>
          <w:shd w:val="clear" w:color="auto" w:fill="FFFFFF"/>
        </w:rPr>
        <w:t xml:space="preserve">Ainda, </w:t>
      </w:r>
      <w:r w:rsidR="00E54627" w:rsidRPr="00A674BF">
        <w:rPr>
          <w:sz w:val="24"/>
          <w:szCs w:val="24"/>
          <w:shd w:val="clear" w:color="auto" w:fill="FFFFFF"/>
        </w:rPr>
        <w:t xml:space="preserve">a </w:t>
      </w:r>
      <w:r w:rsidRPr="00A674BF">
        <w:rPr>
          <w:sz w:val="24"/>
          <w:szCs w:val="24"/>
          <w:shd w:val="clear" w:color="auto" w:fill="FFFFFF"/>
        </w:rPr>
        <w:t>Autorização de Internações Hospitalares</w:t>
      </w:r>
      <w:r w:rsidR="0006499B" w:rsidRPr="00A674BF">
        <w:rPr>
          <w:sz w:val="24"/>
          <w:szCs w:val="24"/>
          <w:shd w:val="clear" w:color="auto" w:fill="FFFFFF"/>
        </w:rPr>
        <w:t xml:space="preserve"> </w:t>
      </w:r>
      <w:r w:rsidR="00472880" w:rsidRPr="00A674BF">
        <w:rPr>
          <w:sz w:val="24"/>
          <w:szCs w:val="24"/>
          <w:shd w:val="clear" w:color="auto" w:fill="FFFFFF"/>
        </w:rPr>
        <w:t>(AIH</w:t>
      </w:r>
      <w:r w:rsidR="00472880">
        <w:rPr>
          <w:sz w:val="24"/>
          <w:szCs w:val="24"/>
          <w:shd w:val="clear" w:color="auto" w:fill="FFFFFF"/>
        </w:rPr>
        <w:t xml:space="preserve">) </w:t>
      </w:r>
      <w:r>
        <w:rPr>
          <w:sz w:val="24"/>
          <w:szCs w:val="24"/>
          <w:shd w:val="clear" w:color="auto" w:fill="FFFFFF"/>
        </w:rPr>
        <w:t xml:space="preserve">trata da </w:t>
      </w:r>
      <w:r w:rsidRPr="00635E77">
        <w:rPr>
          <w:sz w:val="24"/>
          <w:szCs w:val="24"/>
          <w:shd w:val="clear" w:color="auto" w:fill="FFFFFF"/>
        </w:rPr>
        <w:t>capacidade de internações do hospital</w:t>
      </w:r>
      <w:r>
        <w:rPr>
          <w:sz w:val="24"/>
          <w:szCs w:val="24"/>
          <w:shd w:val="clear" w:color="auto" w:fill="FFFFFF"/>
        </w:rPr>
        <w:t>, ou seja, do número de internações em determinado período, dimensionando a capacidade geral de atendimento</w:t>
      </w:r>
      <w:r w:rsidR="0006499B">
        <w:rPr>
          <w:sz w:val="24"/>
          <w:szCs w:val="24"/>
          <w:shd w:val="clear" w:color="auto" w:fill="FFFFFF"/>
        </w:rPr>
        <w:t xml:space="preserve"> </w:t>
      </w:r>
      <w:r w:rsidR="0006499B" w:rsidRPr="007503E6">
        <w:rPr>
          <w:sz w:val="24"/>
          <w:szCs w:val="24"/>
          <w:shd w:val="clear" w:color="auto" w:fill="FFFFFF"/>
        </w:rPr>
        <w:t>(Vignochi</w:t>
      </w:r>
      <w:r w:rsidR="0080541A" w:rsidRPr="007503E6">
        <w:rPr>
          <w:sz w:val="24"/>
          <w:szCs w:val="24"/>
          <w:shd w:val="clear" w:color="auto" w:fill="FFFFFF"/>
        </w:rPr>
        <w:t xml:space="preserve"> </w:t>
      </w:r>
      <w:r w:rsidR="00761592" w:rsidRPr="00761592">
        <w:rPr>
          <w:i/>
          <w:sz w:val="24"/>
          <w:szCs w:val="24"/>
          <w:shd w:val="clear" w:color="auto" w:fill="FFFFFF"/>
        </w:rPr>
        <w:t>et al.</w:t>
      </w:r>
      <w:r w:rsidR="0006499B" w:rsidRPr="007503E6">
        <w:rPr>
          <w:sz w:val="24"/>
          <w:szCs w:val="24"/>
          <w:shd w:val="clear" w:color="auto" w:fill="FFFFFF"/>
        </w:rPr>
        <w:t>, 2014).</w:t>
      </w:r>
      <w:r w:rsidR="00472880" w:rsidRPr="007503E6">
        <w:rPr>
          <w:sz w:val="24"/>
          <w:szCs w:val="24"/>
          <w:shd w:val="clear" w:color="auto" w:fill="FFFFFF"/>
        </w:rPr>
        <w:t xml:space="preserve"> De acordo com Cesconetto</w:t>
      </w:r>
      <w:r w:rsidR="0080541A" w:rsidRPr="007503E6">
        <w:rPr>
          <w:sz w:val="24"/>
          <w:szCs w:val="24"/>
          <w:shd w:val="clear" w:color="auto" w:fill="FFFFFF"/>
        </w:rPr>
        <w:t xml:space="preserve"> </w:t>
      </w:r>
      <w:r w:rsidR="00761592" w:rsidRPr="00761592">
        <w:rPr>
          <w:i/>
          <w:sz w:val="24"/>
          <w:szCs w:val="24"/>
          <w:shd w:val="clear" w:color="auto" w:fill="FFFFFF"/>
        </w:rPr>
        <w:t>et al.</w:t>
      </w:r>
      <w:r w:rsidR="00472880" w:rsidRPr="007503E6">
        <w:rPr>
          <w:sz w:val="24"/>
          <w:szCs w:val="24"/>
          <w:shd w:val="clear" w:color="auto" w:fill="FFFFFF"/>
        </w:rPr>
        <w:t xml:space="preserve"> (2008), é p</w:t>
      </w:r>
      <w:r w:rsidRPr="007503E6">
        <w:rPr>
          <w:sz w:val="24"/>
          <w:szCs w:val="24"/>
          <w:shd w:val="clear" w:color="auto" w:fill="FFFFFF"/>
        </w:rPr>
        <w:t>or meio da AIH que hospitais,</w:t>
      </w:r>
      <w:r w:rsidRPr="00941521">
        <w:rPr>
          <w:sz w:val="24"/>
          <w:szCs w:val="24"/>
          <w:shd w:val="clear" w:color="auto" w:fill="FFFFFF"/>
        </w:rPr>
        <w:t xml:space="preserve"> profissionais e serviços auxiliares </w:t>
      </w:r>
      <w:r w:rsidR="00472880" w:rsidRPr="00941521">
        <w:rPr>
          <w:sz w:val="24"/>
          <w:szCs w:val="24"/>
          <w:shd w:val="clear" w:color="auto" w:fill="FFFFFF"/>
        </w:rPr>
        <w:t xml:space="preserve">conseguem </w:t>
      </w:r>
      <w:r w:rsidRPr="00941521">
        <w:rPr>
          <w:sz w:val="24"/>
          <w:szCs w:val="24"/>
          <w:shd w:val="clear" w:color="auto" w:fill="FFFFFF"/>
        </w:rPr>
        <w:t>se habilita</w:t>
      </w:r>
      <w:r w:rsidR="00472880" w:rsidRPr="00941521">
        <w:rPr>
          <w:sz w:val="24"/>
          <w:szCs w:val="24"/>
          <w:shd w:val="clear" w:color="auto" w:fill="FFFFFF"/>
        </w:rPr>
        <w:t>r para</w:t>
      </w:r>
      <w:r w:rsidRPr="00941521">
        <w:rPr>
          <w:sz w:val="24"/>
          <w:szCs w:val="24"/>
          <w:shd w:val="clear" w:color="auto" w:fill="FFFFFF"/>
        </w:rPr>
        <w:t xml:space="preserve"> receber pelos serviços prestados.</w:t>
      </w:r>
      <w:r w:rsidR="00472880" w:rsidRPr="00941521">
        <w:rPr>
          <w:sz w:val="24"/>
          <w:szCs w:val="24"/>
          <w:shd w:val="clear" w:color="auto" w:fill="FFFFFF"/>
        </w:rPr>
        <w:t xml:space="preserve"> Conforme os resultados do estudo de Cesconetto</w:t>
      </w:r>
      <w:r w:rsidR="0080541A" w:rsidRPr="00941521">
        <w:rPr>
          <w:sz w:val="24"/>
          <w:szCs w:val="24"/>
          <w:shd w:val="clear" w:color="auto" w:fill="FFFFFF"/>
        </w:rPr>
        <w:t xml:space="preserve"> </w:t>
      </w:r>
      <w:r w:rsidR="00761592" w:rsidRPr="00761592">
        <w:rPr>
          <w:i/>
          <w:sz w:val="24"/>
          <w:szCs w:val="24"/>
          <w:shd w:val="clear" w:color="auto" w:fill="FFFFFF"/>
        </w:rPr>
        <w:t>et al.</w:t>
      </w:r>
      <w:r w:rsidR="00472880" w:rsidRPr="00941521">
        <w:rPr>
          <w:sz w:val="24"/>
          <w:szCs w:val="24"/>
          <w:shd w:val="clear" w:color="auto" w:fill="FFFFFF"/>
        </w:rPr>
        <w:t xml:space="preserve"> (2008) com</w:t>
      </w:r>
      <w:r w:rsidR="00472880">
        <w:rPr>
          <w:sz w:val="24"/>
          <w:szCs w:val="24"/>
          <w:shd w:val="clear" w:color="auto" w:fill="FFFFFF"/>
        </w:rPr>
        <w:t xml:space="preserve"> hospitais do Estado de Santa Catarina </w:t>
      </w:r>
      <w:r w:rsidR="00E54627" w:rsidRPr="00925696">
        <w:rPr>
          <w:sz w:val="24"/>
          <w:szCs w:val="24"/>
          <w:shd w:val="clear" w:color="auto" w:fill="FFFFFF"/>
        </w:rPr>
        <w:t>conveniados ao SUS</w:t>
      </w:r>
      <w:r w:rsidR="00472880">
        <w:rPr>
          <w:sz w:val="24"/>
          <w:szCs w:val="24"/>
          <w:shd w:val="clear" w:color="auto" w:fill="FFFFFF"/>
        </w:rPr>
        <w:t>, como apenas</w:t>
      </w:r>
      <w:r w:rsidR="00E54627" w:rsidRPr="00925696">
        <w:rPr>
          <w:sz w:val="24"/>
          <w:szCs w:val="24"/>
          <w:shd w:val="clear" w:color="auto" w:fill="FFFFFF"/>
        </w:rPr>
        <w:t xml:space="preserve"> 21% dos hospitais catarinenses</w:t>
      </w:r>
      <w:r w:rsidR="00472880">
        <w:rPr>
          <w:sz w:val="24"/>
          <w:szCs w:val="24"/>
          <w:shd w:val="clear" w:color="auto" w:fill="FFFFFF"/>
        </w:rPr>
        <w:t xml:space="preserve"> </w:t>
      </w:r>
      <w:r w:rsidR="00E54627" w:rsidRPr="00925696">
        <w:rPr>
          <w:sz w:val="24"/>
          <w:szCs w:val="24"/>
          <w:shd w:val="clear" w:color="auto" w:fill="FFFFFF"/>
        </w:rPr>
        <w:t xml:space="preserve">são </w:t>
      </w:r>
      <w:r w:rsidR="00472880">
        <w:rPr>
          <w:sz w:val="24"/>
          <w:szCs w:val="24"/>
          <w:shd w:val="clear" w:color="auto" w:fill="FFFFFF"/>
        </w:rPr>
        <w:t xml:space="preserve">considerados </w:t>
      </w:r>
      <w:r w:rsidR="00E54627" w:rsidRPr="00925696">
        <w:rPr>
          <w:sz w:val="24"/>
          <w:szCs w:val="24"/>
          <w:shd w:val="clear" w:color="auto" w:fill="FFFFFF"/>
        </w:rPr>
        <w:t>eficientes</w:t>
      </w:r>
      <w:r w:rsidR="00472880">
        <w:rPr>
          <w:sz w:val="24"/>
          <w:szCs w:val="24"/>
          <w:shd w:val="clear" w:color="auto" w:fill="FFFFFF"/>
        </w:rPr>
        <w:t xml:space="preserve">, inferem que para aumentar </w:t>
      </w:r>
      <w:r w:rsidR="00E54627" w:rsidRPr="00925696">
        <w:rPr>
          <w:sz w:val="24"/>
          <w:szCs w:val="24"/>
          <w:shd w:val="clear" w:color="auto" w:fill="FFFFFF"/>
        </w:rPr>
        <w:t>a eficiência</w:t>
      </w:r>
      <w:r w:rsidR="00472880">
        <w:rPr>
          <w:sz w:val="24"/>
          <w:szCs w:val="24"/>
          <w:shd w:val="clear" w:color="auto" w:fill="FFFFFF"/>
        </w:rPr>
        <w:t>, deveriam ser reduzid</w:t>
      </w:r>
      <w:r w:rsidR="00F22048">
        <w:rPr>
          <w:sz w:val="24"/>
          <w:szCs w:val="24"/>
          <w:shd w:val="clear" w:color="auto" w:fill="FFFFFF"/>
        </w:rPr>
        <w:t>os os valores das AIH.</w:t>
      </w:r>
    </w:p>
    <w:p w14:paraId="2E362C0D" w14:textId="1E832EF2" w:rsidR="00E54627" w:rsidRPr="003549B5" w:rsidRDefault="00A22681" w:rsidP="00A22681">
      <w:pPr>
        <w:ind w:firstLine="709"/>
        <w:jc w:val="both"/>
        <w:rPr>
          <w:sz w:val="24"/>
          <w:szCs w:val="24"/>
          <w:shd w:val="clear" w:color="auto" w:fill="FFFFFF"/>
        </w:rPr>
      </w:pPr>
      <w:r>
        <w:rPr>
          <w:sz w:val="24"/>
          <w:szCs w:val="24"/>
          <w:shd w:val="clear" w:color="auto" w:fill="FFFFFF"/>
        </w:rPr>
        <w:t>A partir dos indicadores de desempenho operacional citados, percebe-se que todos possuem relevância e devem ser analisados, bem como, controlados periodicamente, tendo em vista a eficiência dos hospitais, ou seja</w:t>
      </w:r>
      <w:r w:rsidR="00F22048">
        <w:rPr>
          <w:sz w:val="24"/>
          <w:szCs w:val="24"/>
          <w:shd w:val="clear" w:color="auto" w:fill="FFFFFF"/>
        </w:rPr>
        <w:t>,</w:t>
      </w:r>
      <w:r>
        <w:rPr>
          <w:sz w:val="24"/>
          <w:szCs w:val="24"/>
          <w:shd w:val="clear" w:color="auto" w:fill="FFFFFF"/>
        </w:rPr>
        <w:t xml:space="preserve"> a qualidade dos serviços prestados e consequentemente, melhor desempenho</w:t>
      </w:r>
      <w:r w:rsidR="00E54627">
        <w:rPr>
          <w:sz w:val="24"/>
          <w:szCs w:val="24"/>
          <w:shd w:val="clear" w:color="auto" w:fill="FFFFFF"/>
        </w:rPr>
        <w:t>.</w:t>
      </w:r>
      <w:r>
        <w:rPr>
          <w:sz w:val="24"/>
          <w:szCs w:val="24"/>
          <w:shd w:val="clear" w:color="auto" w:fill="FFFFFF"/>
        </w:rPr>
        <w:t xml:space="preserve"> Contudo, esse desempenho pode estar relacionado também com a situação econômico-financeira destes hospitais, o que merece investigação.</w:t>
      </w:r>
    </w:p>
    <w:p w14:paraId="6F44B5AD" w14:textId="77777777" w:rsidR="00E54627" w:rsidRDefault="00E54627" w:rsidP="00E54627">
      <w:pPr>
        <w:jc w:val="both"/>
        <w:rPr>
          <w:sz w:val="24"/>
          <w:szCs w:val="24"/>
          <w:shd w:val="clear" w:color="auto" w:fill="FFFFFF"/>
        </w:rPr>
      </w:pPr>
    </w:p>
    <w:p w14:paraId="39FAAE93" w14:textId="77777777" w:rsidR="00E54627" w:rsidRPr="00E54627" w:rsidRDefault="00E54627" w:rsidP="00E54627">
      <w:pPr>
        <w:jc w:val="both"/>
        <w:rPr>
          <w:sz w:val="24"/>
          <w:szCs w:val="24"/>
        </w:rPr>
      </w:pPr>
      <w:r w:rsidRPr="00E54627">
        <w:rPr>
          <w:sz w:val="24"/>
          <w:szCs w:val="24"/>
        </w:rPr>
        <w:t xml:space="preserve">2.3 Situação econômico-financeira </w:t>
      </w:r>
    </w:p>
    <w:p w14:paraId="610819A3" w14:textId="65A45883" w:rsidR="00E54627" w:rsidRDefault="00E54627" w:rsidP="00E54627">
      <w:pPr>
        <w:pStyle w:val="Default"/>
        <w:ind w:firstLine="851"/>
        <w:jc w:val="both"/>
        <w:rPr>
          <w:rFonts w:ascii="Times New Roman" w:hAnsi="Times New Roman" w:cs="Times New Roman"/>
        </w:rPr>
      </w:pPr>
      <w:r w:rsidRPr="00E10441">
        <w:rPr>
          <w:rFonts w:ascii="Times New Roman" w:hAnsi="Times New Roman" w:cs="Times New Roman"/>
        </w:rPr>
        <w:t>As análises econômico-financeir</w:t>
      </w:r>
      <w:r w:rsidR="00C76C33">
        <w:rPr>
          <w:rFonts w:ascii="Times New Roman" w:hAnsi="Times New Roman" w:cs="Times New Roman"/>
        </w:rPr>
        <w:t>a</w:t>
      </w:r>
      <w:r w:rsidRPr="00E10441">
        <w:rPr>
          <w:rFonts w:ascii="Times New Roman" w:hAnsi="Times New Roman" w:cs="Times New Roman"/>
        </w:rPr>
        <w:t>s das organizações são importantes por mensura</w:t>
      </w:r>
      <w:r w:rsidR="00B11275">
        <w:rPr>
          <w:rFonts w:ascii="Times New Roman" w:hAnsi="Times New Roman" w:cs="Times New Roman"/>
        </w:rPr>
        <w:t xml:space="preserve">r por meio </w:t>
      </w:r>
      <w:r w:rsidRPr="00E10441">
        <w:rPr>
          <w:rFonts w:ascii="Times New Roman" w:hAnsi="Times New Roman" w:cs="Times New Roman"/>
        </w:rPr>
        <w:t xml:space="preserve">dos indicadores, o </w:t>
      </w:r>
      <w:r w:rsidR="00B11275">
        <w:rPr>
          <w:rFonts w:ascii="Times New Roman" w:hAnsi="Times New Roman" w:cs="Times New Roman"/>
        </w:rPr>
        <w:t xml:space="preserve">seu </w:t>
      </w:r>
      <w:r w:rsidRPr="00E10441">
        <w:rPr>
          <w:rFonts w:ascii="Times New Roman" w:hAnsi="Times New Roman" w:cs="Times New Roman"/>
        </w:rPr>
        <w:t>desempenho</w:t>
      </w:r>
      <w:r w:rsidR="00B11275">
        <w:rPr>
          <w:rFonts w:ascii="Times New Roman" w:hAnsi="Times New Roman" w:cs="Times New Roman"/>
        </w:rPr>
        <w:t xml:space="preserve">, auxiliando </w:t>
      </w:r>
      <w:r w:rsidRPr="00E10441">
        <w:rPr>
          <w:rFonts w:ascii="Times New Roman" w:hAnsi="Times New Roman" w:cs="Times New Roman"/>
        </w:rPr>
        <w:t xml:space="preserve">na tomada de decisão. Os principais indicadores utilizados neste estudo para verificar a situação econômico-financeira dos hospitais são: </w:t>
      </w:r>
      <w:r w:rsidR="00B11275">
        <w:rPr>
          <w:rFonts w:ascii="Times New Roman" w:hAnsi="Times New Roman" w:cs="Times New Roman"/>
        </w:rPr>
        <w:t>l</w:t>
      </w:r>
      <w:r w:rsidRPr="00E10441">
        <w:rPr>
          <w:rFonts w:ascii="Times New Roman" w:hAnsi="Times New Roman" w:cs="Times New Roman"/>
        </w:rPr>
        <w:t>iquidez</w:t>
      </w:r>
      <w:r w:rsidR="00B11275">
        <w:rPr>
          <w:rFonts w:ascii="Times New Roman" w:hAnsi="Times New Roman" w:cs="Times New Roman"/>
        </w:rPr>
        <w:t xml:space="preserve"> geral e corrente</w:t>
      </w:r>
      <w:r w:rsidRPr="00E10441">
        <w:rPr>
          <w:rFonts w:ascii="Times New Roman" w:hAnsi="Times New Roman" w:cs="Times New Roman"/>
        </w:rPr>
        <w:t>,</w:t>
      </w:r>
      <w:r w:rsidR="00B11275">
        <w:rPr>
          <w:rFonts w:ascii="Times New Roman" w:hAnsi="Times New Roman" w:cs="Times New Roman"/>
        </w:rPr>
        <w:t xml:space="preserve"> Retorno sobre os Ativos (ROA) e Retorno sobre o Patrimônio Líquido (ROE) </w:t>
      </w:r>
      <w:r w:rsidRPr="00E10441">
        <w:rPr>
          <w:rFonts w:ascii="Times New Roman" w:hAnsi="Times New Roman" w:cs="Times New Roman"/>
        </w:rPr>
        <w:t xml:space="preserve">e </w:t>
      </w:r>
      <w:r w:rsidR="00B11275">
        <w:rPr>
          <w:rFonts w:ascii="Times New Roman" w:hAnsi="Times New Roman" w:cs="Times New Roman"/>
        </w:rPr>
        <w:t>margem líquida</w:t>
      </w:r>
      <w:r w:rsidRPr="00E10441">
        <w:rPr>
          <w:rFonts w:ascii="Times New Roman" w:hAnsi="Times New Roman" w:cs="Times New Roman"/>
        </w:rPr>
        <w:t xml:space="preserve">. </w:t>
      </w:r>
    </w:p>
    <w:p w14:paraId="0ECC730F" w14:textId="4E1D24C0" w:rsidR="00E54627" w:rsidRDefault="00E54627" w:rsidP="00E54627">
      <w:pPr>
        <w:ind w:firstLine="709"/>
        <w:jc w:val="both"/>
        <w:rPr>
          <w:sz w:val="24"/>
          <w:szCs w:val="24"/>
          <w:shd w:val="clear" w:color="auto" w:fill="FFFFFF"/>
        </w:rPr>
      </w:pPr>
      <w:r>
        <w:rPr>
          <w:sz w:val="24"/>
          <w:szCs w:val="24"/>
        </w:rPr>
        <w:t xml:space="preserve">Os administradores são os que dão maior importância aos indicadores econômico-financeiros, pois </w:t>
      </w:r>
      <w:r w:rsidR="00B11275">
        <w:rPr>
          <w:sz w:val="24"/>
          <w:szCs w:val="24"/>
        </w:rPr>
        <w:t xml:space="preserve">são estes que </w:t>
      </w:r>
      <w:r>
        <w:rPr>
          <w:sz w:val="24"/>
          <w:szCs w:val="24"/>
        </w:rPr>
        <w:t>fornecem as informações necessárias para o investimento do hospital e pagamentos das obrigações. Por outro lado,</w:t>
      </w:r>
      <w:r w:rsidRPr="00421D1D">
        <w:rPr>
          <w:sz w:val="24"/>
          <w:szCs w:val="24"/>
        </w:rPr>
        <w:t xml:space="preserve"> </w:t>
      </w:r>
      <w:r>
        <w:rPr>
          <w:sz w:val="24"/>
          <w:szCs w:val="24"/>
        </w:rPr>
        <w:t xml:space="preserve">a equipe </w:t>
      </w:r>
      <w:r w:rsidRPr="00E54627">
        <w:rPr>
          <w:sz w:val="24"/>
          <w:szCs w:val="24"/>
        </w:rPr>
        <w:t xml:space="preserve">médica apresenta outras preocupações, voltadas ao atendimento e </w:t>
      </w:r>
      <w:r w:rsidRPr="00941521">
        <w:rPr>
          <w:sz w:val="24"/>
          <w:szCs w:val="24"/>
        </w:rPr>
        <w:t>bem-estar dos seus pacientes (</w:t>
      </w:r>
      <w:r w:rsidR="00941521" w:rsidRPr="00941521">
        <w:rPr>
          <w:sz w:val="24"/>
          <w:szCs w:val="24"/>
        </w:rPr>
        <w:t xml:space="preserve">Hibbard, Stockard &amp; Tusler, </w:t>
      </w:r>
      <w:r w:rsidRPr="00941521">
        <w:rPr>
          <w:sz w:val="24"/>
          <w:szCs w:val="24"/>
        </w:rPr>
        <w:t xml:space="preserve">2005). A partir destas preocupações, as diferentes áreas </w:t>
      </w:r>
      <w:r w:rsidR="00B11275" w:rsidRPr="00941521">
        <w:rPr>
          <w:sz w:val="24"/>
          <w:szCs w:val="24"/>
        </w:rPr>
        <w:t xml:space="preserve">juntas, </w:t>
      </w:r>
      <w:r w:rsidRPr="00941521">
        <w:rPr>
          <w:sz w:val="24"/>
          <w:szCs w:val="24"/>
        </w:rPr>
        <w:t>buscam melhorar a posição econômica, a partir do investimento</w:t>
      </w:r>
      <w:r w:rsidRPr="00E54627">
        <w:rPr>
          <w:sz w:val="24"/>
          <w:szCs w:val="24"/>
        </w:rPr>
        <w:t xml:space="preserve"> em mudanças que visam a adoção de gerenciamento com base nos custos por operação. Esse tipo de atitude, possibilita uma melhor situação econômico-financeira (</w:t>
      </w:r>
      <w:r w:rsidR="00941521" w:rsidRPr="00941521">
        <w:rPr>
          <w:sz w:val="24"/>
          <w:szCs w:val="24"/>
        </w:rPr>
        <w:t>Roggenkamp, White &amp; Bazzoli</w:t>
      </w:r>
      <w:r w:rsidRPr="00E54627">
        <w:rPr>
          <w:sz w:val="24"/>
          <w:szCs w:val="24"/>
        </w:rPr>
        <w:t>, 2005</w:t>
      </w:r>
      <w:r>
        <w:rPr>
          <w:sz w:val="24"/>
          <w:szCs w:val="24"/>
          <w:shd w:val="clear" w:color="auto" w:fill="FFFFFF"/>
        </w:rPr>
        <w:t xml:space="preserve">). </w:t>
      </w:r>
    </w:p>
    <w:p w14:paraId="5466CF0E" w14:textId="43A988E3" w:rsidR="00E54627" w:rsidRPr="002B1F9B" w:rsidRDefault="00017AEF" w:rsidP="00E54627">
      <w:pPr>
        <w:ind w:firstLine="709"/>
        <w:jc w:val="both"/>
        <w:rPr>
          <w:sz w:val="24"/>
          <w:szCs w:val="24"/>
        </w:rPr>
      </w:pPr>
      <w:r>
        <w:rPr>
          <w:sz w:val="24"/>
          <w:szCs w:val="24"/>
        </w:rPr>
        <w:t xml:space="preserve">Já </w:t>
      </w:r>
      <w:r w:rsidRPr="003120E6">
        <w:rPr>
          <w:sz w:val="24"/>
          <w:szCs w:val="24"/>
        </w:rPr>
        <w:t>Martins (2005) afirma que a avaliação por meio de</w:t>
      </w:r>
      <w:r>
        <w:rPr>
          <w:sz w:val="24"/>
          <w:szCs w:val="24"/>
        </w:rPr>
        <w:t xml:space="preserve"> indicadores</w:t>
      </w:r>
      <w:r w:rsidRPr="003120E6">
        <w:rPr>
          <w:sz w:val="24"/>
          <w:szCs w:val="24"/>
        </w:rPr>
        <w:t xml:space="preserve"> </w:t>
      </w:r>
      <w:r>
        <w:rPr>
          <w:sz w:val="24"/>
          <w:szCs w:val="24"/>
        </w:rPr>
        <w:t>é</w:t>
      </w:r>
      <w:r w:rsidRPr="003120E6">
        <w:rPr>
          <w:sz w:val="24"/>
          <w:szCs w:val="24"/>
        </w:rPr>
        <w:t xml:space="preserve"> adequada para análises </w:t>
      </w:r>
      <w:r>
        <w:rPr>
          <w:sz w:val="24"/>
          <w:szCs w:val="24"/>
        </w:rPr>
        <w:t>temporais</w:t>
      </w:r>
      <w:r w:rsidRPr="003120E6">
        <w:rPr>
          <w:sz w:val="24"/>
          <w:szCs w:val="24"/>
        </w:rPr>
        <w:t xml:space="preserve"> </w:t>
      </w:r>
      <w:r>
        <w:rPr>
          <w:sz w:val="24"/>
          <w:szCs w:val="24"/>
        </w:rPr>
        <w:t xml:space="preserve">de </w:t>
      </w:r>
      <w:r w:rsidRPr="003120E6">
        <w:rPr>
          <w:sz w:val="24"/>
          <w:szCs w:val="24"/>
        </w:rPr>
        <w:t>organizações hospitalares</w:t>
      </w:r>
      <w:r>
        <w:rPr>
          <w:sz w:val="24"/>
          <w:szCs w:val="24"/>
        </w:rPr>
        <w:t xml:space="preserve">. </w:t>
      </w:r>
      <w:r w:rsidR="00E54627">
        <w:rPr>
          <w:sz w:val="24"/>
          <w:szCs w:val="24"/>
          <w:shd w:val="clear" w:color="auto" w:fill="FFFFFF"/>
        </w:rPr>
        <w:t>Bittar (200</w:t>
      </w:r>
      <w:r>
        <w:rPr>
          <w:sz w:val="24"/>
          <w:szCs w:val="24"/>
          <w:shd w:val="clear" w:color="auto" w:fill="FFFFFF"/>
        </w:rPr>
        <w:t>9</w:t>
      </w:r>
      <w:r w:rsidR="00E54627">
        <w:rPr>
          <w:sz w:val="24"/>
          <w:szCs w:val="24"/>
          <w:shd w:val="clear" w:color="auto" w:fill="FFFFFF"/>
        </w:rPr>
        <w:t>), enfatiza a import</w:t>
      </w:r>
      <w:r w:rsidR="00E54627" w:rsidRPr="00BD3BF6">
        <w:rPr>
          <w:sz w:val="24"/>
          <w:szCs w:val="24"/>
          <w:shd w:val="clear" w:color="auto" w:fill="FFFFFF"/>
        </w:rPr>
        <w:t>ância da utilização d</w:t>
      </w:r>
      <w:r w:rsidR="00E54627">
        <w:rPr>
          <w:sz w:val="24"/>
          <w:szCs w:val="24"/>
          <w:shd w:val="clear" w:color="auto" w:fill="FFFFFF"/>
        </w:rPr>
        <w:t>e</w:t>
      </w:r>
      <w:r w:rsidR="00E54627" w:rsidRPr="00BD3BF6">
        <w:rPr>
          <w:sz w:val="24"/>
          <w:szCs w:val="24"/>
          <w:shd w:val="clear" w:color="auto" w:fill="FFFFFF"/>
        </w:rPr>
        <w:t xml:space="preserve"> indicadores econômico-financeiros para os hospitais, </w:t>
      </w:r>
      <w:r w:rsidR="00E54627" w:rsidRPr="00BD3BF6">
        <w:rPr>
          <w:sz w:val="24"/>
          <w:szCs w:val="24"/>
        </w:rPr>
        <w:t>na perspectiva d</w:t>
      </w:r>
      <w:r w:rsidR="00E54627">
        <w:rPr>
          <w:sz w:val="24"/>
          <w:szCs w:val="24"/>
        </w:rPr>
        <w:t>e evidenciar a rentabilidade, endividamento e liquidez das entidades para os</w:t>
      </w:r>
      <w:r w:rsidR="00E54627" w:rsidRPr="00BD3BF6">
        <w:rPr>
          <w:sz w:val="24"/>
          <w:szCs w:val="24"/>
        </w:rPr>
        <w:t xml:space="preserve"> acionistas,</w:t>
      </w:r>
      <w:r w:rsidR="00E54627">
        <w:rPr>
          <w:sz w:val="24"/>
          <w:szCs w:val="24"/>
        </w:rPr>
        <w:t xml:space="preserve"> o governo e a </w:t>
      </w:r>
      <w:r w:rsidR="00E54627" w:rsidRPr="00BD3BF6">
        <w:rPr>
          <w:sz w:val="24"/>
          <w:szCs w:val="24"/>
        </w:rPr>
        <w:t>comunidade</w:t>
      </w:r>
      <w:r w:rsidR="00E54627">
        <w:rPr>
          <w:sz w:val="24"/>
          <w:szCs w:val="24"/>
        </w:rPr>
        <w:t>.</w:t>
      </w:r>
    </w:p>
    <w:p w14:paraId="3DBBD508" w14:textId="719B2889" w:rsidR="008D4752" w:rsidRPr="00941521" w:rsidRDefault="00E54627" w:rsidP="00B11275">
      <w:pPr>
        <w:autoSpaceDE w:val="0"/>
        <w:autoSpaceDN w:val="0"/>
        <w:adjustRightInd w:val="0"/>
        <w:ind w:firstLine="709"/>
        <w:jc w:val="both"/>
        <w:rPr>
          <w:sz w:val="24"/>
          <w:szCs w:val="24"/>
        </w:rPr>
      </w:pPr>
      <w:r w:rsidRPr="00B11275">
        <w:rPr>
          <w:sz w:val="24"/>
          <w:szCs w:val="24"/>
          <w:shd w:val="clear" w:color="auto" w:fill="FFFFFF"/>
        </w:rPr>
        <w:t xml:space="preserve">A partir da </w:t>
      </w:r>
      <w:r w:rsidRPr="00941521">
        <w:rPr>
          <w:sz w:val="24"/>
          <w:szCs w:val="24"/>
          <w:shd w:val="clear" w:color="auto" w:fill="FFFFFF"/>
        </w:rPr>
        <w:t>pesquisa de Li</w:t>
      </w:r>
      <w:r w:rsidR="001F24ED" w:rsidRPr="00941521">
        <w:rPr>
          <w:sz w:val="24"/>
          <w:szCs w:val="24"/>
          <w:shd w:val="clear" w:color="auto" w:fill="FFFFFF"/>
        </w:rPr>
        <w:t xml:space="preserve"> </w:t>
      </w:r>
      <w:r w:rsidR="00761592" w:rsidRPr="00761592">
        <w:rPr>
          <w:i/>
          <w:sz w:val="24"/>
          <w:szCs w:val="24"/>
          <w:shd w:val="clear" w:color="auto" w:fill="FFFFFF"/>
        </w:rPr>
        <w:t>et al.</w:t>
      </w:r>
      <w:r w:rsidRPr="00941521">
        <w:rPr>
          <w:sz w:val="24"/>
          <w:szCs w:val="24"/>
          <w:shd w:val="clear" w:color="auto" w:fill="FFFFFF"/>
        </w:rPr>
        <w:t xml:space="preserve"> (2002) o</w:t>
      </w:r>
      <w:r w:rsidR="00B11275" w:rsidRPr="00941521">
        <w:rPr>
          <w:sz w:val="24"/>
          <w:szCs w:val="24"/>
          <w:shd w:val="clear" w:color="auto" w:fill="FFFFFF"/>
        </w:rPr>
        <w:t xml:space="preserve">s autores identificaram </w:t>
      </w:r>
      <w:r w:rsidRPr="00941521">
        <w:rPr>
          <w:sz w:val="24"/>
          <w:szCs w:val="24"/>
          <w:shd w:val="clear" w:color="auto" w:fill="FFFFFF"/>
        </w:rPr>
        <w:t xml:space="preserve">que as decisões estratégicas afetam o desempenho dos hospitais analisados. No estudo de </w:t>
      </w:r>
      <w:r w:rsidRPr="00941521">
        <w:rPr>
          <w:sz w:val="24"/>
          <w:szCs w:val="24"/>
        </w:rPr>
        <w:t>Hibbard</w:t>
      </w:r>
      <w:r w:rsidR="00941521" w:rsidRPr="00941521">
        <w:rPr>
          <w:sz w:val="24"/>
          <w:szCs w:val="24"/>
        </w:rPr>
        <w:t xml:space="preserve"> </w:t>
      </w:r>
      <w:r w:rsidR="00761592" w:rsidRPr="00761592">
        <w:rPr>
          <w:i/>
          <w:sz w:val="24"/>
          <w:szCs w:val="24"/>
        </w:rPr>
        <w:t>et al.</w:t>
      </w:r>
      <w:r w:rsidRPr="00941521">
        <w:rPr>
          <w:sz w:val="24"/>
          <w:szCs w:val="24"/>
        </w:rPr>
        <w:t xml:space="preserve"> (2003</w:t>
      </w:r>
      <w:r w:rsidRPr="00B11275">
        <w:rPr>
          <w:sz w:val="24"/>
          <w:szCs w:val="24"/>
        </w:rPr>
        <w:t>), verificaram que uma baixa situação econômico-financeira divulgada estimula uma melhora no desempenho operacional.</w:t>
      </w:r>
      <w:r w:rsidR="00B11275" w:rsidRPr="00B11275">
        <w:rPr>
          <w:sz w:val="24"/>
          <w:szCs w:val="24"/>
        </w:rPr>
        <w:t xml:space="preserve"> Guerra (2011) obtiveram como indicadores que melhor r</w:t>
      </w:r>
      <w:r w:rsidR="008D4752" w:rsidRPr="00B11275">
        <w:rPr>
          <w:sz w:val="24"/>
          <w:szCs w:val="24"/>
        </w:rPr>
        <w:t xml:space="preserve">epresentam a obtenção de desempenho financeiro </w:t>
      </w:r>
      <w:r w:rsidR="00B11275" w:rsidRPr="00B11275">
        <w:rPr>
          <w:sz w:val="24"/>
          <w:szCs w:val="24"/>
        </w:rPr>
        <w:t xml:space="preserve">para </w:t>
      </w:r>
      <w:r w:rsidR="008D4752" w:rsidRPr="00B11275">
        <w:rPr>
          <w:sz w:val="24"/>
          <w:szCs w:val="24"/>
        </w:rPr>
        <w:t xml:space="preserve">organizações hospitalares </w:t>
      </w:r>
      <w:r w:rsidR="00B11275" w:rsidRPr="00B11275">
        <w:rPr>
          <w:sz w:val="24"/>
          <w:szCs w:val="24"/>
        </w:rPr>
        <w:t xml:space="preserve">a </w:t>
      </w:r>
      <w:r w:rsidR="008D4752" w:rsidRPr="00B11275">
        <w:rPr>
          <w:sz w:val="24"/>
          <w:szCs w:val="24"/>
        </w:rPr>
        <w:t>M</w:t>
      </w:r>
      <w:r w:rsidR="00B11275" w:rsidRPr="00B11275">
        <w:rPr>
          <w:sz w:val="24"/>
          <w:szCs w:val="24"/>
        </w:rPr>
        <w:t>argem Operacional</w:t>
      </w:r>
      <w:r w:rsidR="008D4752" w:rsidRPr="00B11275">
        <w:rPr>
          <w:sz w:val="24"/>
          <w:szCs w:val="24"/>
        </w:rPr>
        <w:t xml:space="preserve">, </w:t>
      </w:r>
      <w:r w:rsidR="00B11275" w:rsidRPr="00B11275">
        <w:rPr>
          <w:sz w:val="24"/>
          <w:szCs w:val="24"/>
        </w:rPr>
        <w:t xml:space="preserve">o </w:t>
      </w:r>
      <w:r w:rsidR="008D4752" w:rsidRPr="00941521">
        <w:rPr>
          <w:sz w:val="24"/>
          <w:szCs w:val="24"/>
        </w:rPr>
        <w:t xml:space="preserve">ROA e </w:t>
      </w:r>
      <w:r w:rsidR="00B11275" w:rsidRPr="00941521">
        <w:rPr>
          <w:sz w:val="24"/>
          <w:szCs w:val="24"/>
        </w:rPr>
        <w:t>o Giro do Ativo</w:t>
      </w:r>
      <w:r w:rsidR="008D4752" w:rsidRPr="00941521">
        <w:rPr>
          <w:sz w:val="24"/>
          <w:szCs w:val="24"/>
        </w:rPr>
        <w:t>.</w:t>
      </w:r>
    </w:p>
    <w:p w14:paraId="69E86BF2" w14:textId="7969E3F7" w:rsidR="00E54627" w:rsidRPr="00941521" w:rsidRDefault="00E54627" w:rsidP="00E54627">
      <w:pPr>
        <w:autoSpaceDE w:val="0"/>
        <w:autoSpaceDN w:val="0"/>
        <w:adjustRightInd w:val="0"/>
        <w:ind w:firstLine="709"/>
        <w:jc w:val="both"/>
        <w:rPr>
          <w:sz w:val="24"/>
          <w:szCs w:val="24"/>
        </w:rPr>
      </w:pPr>
      <w:r w:rsidRPr="00941521">
        <w:rPr>
          <w:sz w:val="24"/>
          <w:szCs w:val="24"/>
        </w:rPr>
        <w:t>Bonacim e Araujo (2011), descreve</w:t>
      </w:r>
      <w:r w:rsidR="0056754D" w:rsidRPr="00941521">
        <w:rPr>
          <w:sz w:val="24"/>
          <w:szCs w:val="24"/>
        </w:rPr>
        <w:t>ra</w:t>
      </w:r>
      <w:r w:rsidRPr="00941521">
        <w:rPr>
          <w:sz w:val="24"/>
          <w:szCs w:val="24"/>
        </w:rPr>
        <w:t xml:space="preserve">m as mudanças operacionais nos indicadores econômico-financeiros de um hospital universitário público. Os resultados apontaram que a falta de recursos não justifica um baixo desempenho operacional, corroborando com o fato de que para prestar um serviço de qualidade e eficaz para a população, não são necessários grandes investimentos. Nesse caso, é possível observar a importância dos indicadores de liquidez, em especial, a liquidez geral, a qual evidenciará se os hospitais são liquidados a curto e a longo prazo, observando os ativos da organização, ou seja, quanto maior, melhor. Indicadores esses </w:t>
      </w:r>
      <w:r w:rsidR="0056754D" w:rsidRPr="00941521">
        <w:rPr>
          <w:sz w:val="24"/>
          <w:szCs w:val="24"/>
        </w:rPr>
        <w:t xml:space="preserve">são </w:t>
      </w:r>
      <w:r w:rsidRPr="00941521">
        <w:rPr>
          <w:sz w:val="24"/>
          <w:szCs w:val="24"/>
        </w:rPr>
        <w:t>importantes para os hospitais, pois tratam diretamente dos ativos.</w:t>
      </w:r>
    </w:p>
    <w:p w14:paraId="14820D2A" w14:textId="36B84C32" w:rsidR="00E54627" w:rsidRPr="00E10441" w:rsidRDefault="00E54627" w:rsidP="00E54627">
      <w:pPr>
        <w:autoSpaceDE w:val="0"/>
        <w:autoSpaceDN w:val="0"/>
        <w:adjustRightInd w:val="0"/>
        <w:ind w:firstLine="709"/>
        <w:jc w:val="both"/>
        <w:rPr>
          <w:sz w:val="24"/>
          <w:szCs w:val="24"/>
        </w:rPr>
      </w:pPr>
      <w:r w:rsidRPr="00941521">
        <w:rPr>
          <w:sz w:val="24"/>
          <w:szCs w:val="24"/>
        </w:rPr>
        <w:t xml:space="preserve">Afim de realizar uma análise da situação econômico-financeira de 31 hospitais localizados na região da Grande São Paulo, Lima Neto (2011) explorou 127 demonstrações financeiras, no qual buscou correlacionar estes indicadores. </w:t>
      </w:r>
      <w:r w:rsidR="0056754D" w:rsidRPr="00941521">
        <w:rPr>
          <w:sz w:val="24"/>
          <w:szCs w:val="24"/>
        </w:rPr>
        <w:t xml:space="preserve">Verificou que quanto maior for </w:t>
      </w:r>
      <w:r w:rsidRPr="00941521">
        <w:rPr>
          <w:sz w:val="24"/>
          <w:szCs w:val="24"/>
        </w:rPr>
        <w:t>a liquidez corrente</w:t>
      </w:r>
      <w:r w:rsidR="0056754D" w:rsidRPr="00941521">
        <w:rPr>
          <w:sz w:val="24"/>
          <w:szCs w:val="24"/>
        </w:rPr>
        <w:t xml:space="preserve">, </w:t>
      </w:r>
      <w:r w:rsidRPr="00941521">
        <w:rPr>
          <w:sz w:val="24"/>
          <w:szCs w:val="24"/>
        </w:rPr>
        <w:t>melhor</w:t>
      </w:r>
      <w:r w:rsidRPr="00E10441">
        <w:rPr>
          <w:sz w:val="24"/>
          <w:szCs w:val="24"/>
        </w:rPr>
        <w:t xml:space="preserve">. </w:t>
      </w:r>
    </w:p>
    <w:p w14:paraId="5C3FCD76" w14:textId="1D582588" w:rsidR="00E54627" w:rsidRPr="00941521" w:rsidRDefault="00E54627" w:rsidP="00E54627">
      <w:pPr>
        <w:ind w:firstLine="709"/>
        <w:jc w:val="both"/>
        <w:rPr>
          <w:sz w:val="24"/>
          <w:szCs w:val="24"/>
        </w:rPr>
      </w:pPr>
      <w:r w:rsidRPr="00E10441">
        <w:rPr>
          <w:sz w:val="24"/>
          <w:szCs w:val="24"/>
        </w:rPr>
        <w:t xml:space="preserve">No estudo de Freitas (2014), </w:t>
      </w:r>
      <w:r w:rsidR="0056754D">
        <w:rPr>
          <w:sz w:val="24"/>
          <w:szCs w:val="24"/>
        </w:rPr>
        <w:t xml:space="preserve">o autor analisou </w:t>
      </w:r>
      <w:r w:rsidRPr="00E10441">
        <w:rPr>
          <w:sz w:val="24"/>
          <w:szCs w:val="24"/>
        </w:rPr>
        <w:t>como os gestores utilizam os indicadores de desempenho hospitalar</w:t>
      </w:r>
      <w:r w:rsidR="0056754D">
        <w:rPr>
          <w:sz w:val="24"/>
          <w:szCs w:val="24"/>
        </w:rPr>
        <w:t xml:space="preserve"> e </w:t>
      </w:r>
      <w:r w:rsidRPr="00E10441">
        <w:rPr>
          <w:sz w:val="24"/>
          <w:szCs w:val="24"/>
        </w:rPr>
        <w:t xml:space="preserve">observou que, os gestores não devem olhar apenas para as medidas de desempenho </w:t>
      </w:r>
      <w:r w:rsidRPr="00941521">
        <w:rPr>
          <w:sz w:val="24"/>
          <w:szCs w:val="24"/>
        </w:rPr>
        <w:t>econômico-financeira ou o operacional. A definição dos indicadores de rentabilidade, como o Retorno</w:t>
      </w:r>
      <w:r w:rsidRPr="00941521">
        <w:rPr>
          <w:color w:val="000000"/>
          <w:sz w:val="24"/>
          <w:szCs w:val="24"/>
        </w:rPr>
        <w:t xml:space="preserve"> </w:t>
      </w:r>
      <w:r w:rsidR="0056754D" w:rsidRPr="00941521">
        <w:rPr>
          <w:color w:val="000000"/>
          <w:sz w:val="24"/>
          <w:szCs w:val="24"/>
        </w:rPr>
        <w:t>s</w:t>
      </w:r>
      <w:r w:rsidRPr="00941521">
        <w:rPr>
          <w:color w:val="000000"/>
          <w:sz w:val="24"/>
          <w:szCs w:val="24"/>
        </w:rPr>
        <w:t>obre o Ativo, indica o superávit sobre o ativo, quanto maior, melhor. Já o Retorno sobre o Patrimônio Líquido, verifica o percentual deste superávit em relação ao capital próprio, indicando a porcentagem de retorno anual, importante para os acionistas que investem nessas organizações peculiares, como é o caso dos hospitais</w:t>
      </w:r>
      <w:r w:rsidR="0056754D" w:rsidRPr="00941521">
        <w:rPr>
          <w:color w:val="000000"/>
          <w:sz w:val="24"/>
          <w:szCs w:val="24"/>
        </w:rPr>
        <w:t xml:space="preserve"> e, quanto maior melhor</w:t>
      </w:r>
      <w:r w:rsidRPr="00941521">
        <w:rPr>
          <w:color w:val="000000"/>
          <w:sz w:val="24"/>
          <w:szCs w:val="24"/>
        </w:rPr>
        <w:t>. Dessa maneira, é</w:t>
      </w:r>
      <w:r w:rsidRPr="00941521">
        <w:rPr>
          <w:sz w:val="24"/>
          <w:szCs w:val="24"/>
        </w:rPr>
        <w:t xml:space="preserve"> necessário observar amb</w:t>
      </w:r>
      <w:r w:rsidR="0056754D" w:rsidRPr="00941521">
        <w:rPr>
          <w:sz w:val="24"/>
          <w:szCs w:val="24"/>
        </w:rPr>
        <w:t>o</w:t>
      </w:r>
      <w:r w:rsidRPr="00941521">
        <w:rPr>
          <w:sz w:val="24"/>
          <w:szCs w:val="24"/>
        </w:rPr>
        <w:t>s</w:t>
      </w:r>
      <w:r w:rsidR="0056754D" w:rsidRPr="00941521">
        <w:rPr>
          <w:sz w:val="24"/>
          <w:szCs w:val="24"/>
        </w:rPr>
        <w:t xml:space="preserve"> os indicadores</w:t>
      </w:r>
      <w:r w:rsidRPr="00941521">
        <w:rPr>
          <w:sz w:val="24"/>
          <w:szCs w:val="24"/>
        </w:rPr>
        <w:t xml:space="preserve"> para a tomada de decisão de melhores práticas hospitalares.</w:t>
      </w:r>
    </w:p>
    <w:p w14:paraId="16BA1378" w14:textId="073E42A3" w:rsidR="00E54627" w:rsidRPr="00610E8C" w:rsidRDefault="00E54627" w:rsidP="00E54627">
      <w:pPr>
        <w:ind w:firstLine="709"/>
        <w:jc w:val="both"/>
        <w:rPr>
          <w:sz w:val="24"/>
          <w:szCs w:val="24"/>
        </w:rPr>
      </w:pPr>
      <w:r w:rsidRPr="00941521">
        <w:rPr>
          <w:sz w:val="24"/>
          <w:szCs w:val="24"/>
        </w:rPr>
        <w:t>Creixans</w:t>
      </w:r>
      <w:r w:rsidR="00023230" w:rsidRPr="00941521">
        <w:rPr>
          <w:sz w:val="24"/>
          <w:szCs w:val="24"/>
        </w:rPr>
        <w:t>-Tenas</w:t>
      </w:r>
      <w:r w:rsidRPr="00941521">
        <w:rPr>
          <w:sz w:val="24"/>
          <w:szCs w:val="24"/>
        </w:rPr>
        <w:t xml:space="preserve"> e Arimany-Serrat (2017) realizam um estudo da situação econômico-financeira de hospita</w:t>
      </w:r>
      <w:r w:rsidR="0056754D" w:rsidRPr="00941521">
        <w:rPr>
          <w:sz w:val="24"/>
          <w:szCs w:val="24"/>
        </w:rPr>
        <w:t>is da Espanha</w:t>
      </w:r>
      <w:r w:rsidRPr="00941521">
        <w:rPr>
          <w:sz w:val="24"/>
          <w:szCs w:val="24"/>
        </w:rPr>
        <w:t xml:space="preserve">, </w:t>
      </w:r>
      <w:r w:rsidR="0056754D" w:rsidRPr="00941521">
        <w:rPr>
          <w:sz w:val="24"/>
          <w:szCs w:val="24"/>
        </w:rPr>
        <w:t xml:space="preserve">com o objetivo de identificar </w:t>
      </w:r>
      <w:r w:rsidRPr="00941521">
        <w:rPr>
          <w:sz w:val="24"/>
          <w:szCs w:val="24"/>
        </w:rPr>
        <w:t>quais as variáveis que explicavam a lucratividade dessas organizações</w:t>
      </w:r>
      <w:r w:rsidR="0056754D" w:rsidRPr="00941521">
        <w:rPr>
          <w:sz w:val="24"/>
          <w:szCs w:val="24"/>
        </w:rPr>
        <w:t xml:space="preserve">. Utilizaram a </w:t>
      </w:r>
      <w:r w:rsidRPr="00941521">
        <w:rPr>
          <w:sz w:val="24"/>
          <w:szCs w:val="24"/>
        </w:rPr>
        <w:t>margem l</w:t>
      </w:r>
      <w:r w:rsidR="0056754D" w:rsidRPr="00941521">
        <w:rPr>
          <w:sz w:val="24"/>
          <w:szCs w:val="24"/>
        </w:rPr>
        <w:t>í</w:t>
      </w:r>
      <w:r w:rsidRPr="00941521">
        <w:rPr>
          <w:sz w:val="24"/>
          <w:szCs w:val="24"/>
        </w:rPr>
        <w:t>quida, a qual irá fornecer a margem de lucro dos hospitais referindo-se ao grau de faturamento,</w:t>
      </w:r>
      <w:r w:rsidRPr="00610E8C">
        <w:rPr>
          <w:sz w:val="24"/>
          <w:szCs w:val="24"/>
        </w:rPr>
        <w:t xml:space="preserve"> da mesma maneira que a rentabilidade, </w:t>
      </w:r>
      <w:r w:rsidR="0056754D">
        <w:rPr>
          <w:sz w:val="24"/>
          <w:szCs w:val="24"/>
        </w:rPr>
        <w:t xml:space="preserve">que </w:t>
      </w:r>
      <w:r w:rsidRPr="00610E8C">
        <w:rPr>
          <w:sz w:val="24"/>
          <w:szCs w:val="24"/>
        </w:rPr>
        <w:t xml:space="preserve">quanto maior, melhor. As autoras observaram que </w:t>
      </w:r>
      <w:r w:rsidR="0056754D">
        <w:rPr>
          <w:sz w:val="24"/>
          <w:szCs w:val="24"/>
        </w:rPr>
        <w:t xml:space="preserve">houve aumento da </w:t>
      </w:r>
      <w:r w:rsidRPr="00610E8C">
        <w:rPr>
          <w:sz w:val="24"/>
          <w:szCs w:val="24"/>
        </w:rPr>
        <w:t>lucratividade</w:t>
      </w:r>
      <w:r w:rsidR="0056754D">
        <w:rPr>
          <w:sz w:val="24"/>
          <w:szCs w:val="24"/>
        </w:rPr>
        <w:t xml:space="preserve"> e </w:t>
      </w:r>
      <w:r w:rsidRPr="00610E8C">
        <w:rPr>
          <w:sz w:val="24"/>
          <w:szCs w:val="24"/>
        </w:rPr>
        <w:t xml:space="preserve">os relatórios de responsabilidade social </w:t>
      </w:r>
      <w:r w:rsidR="0056754D">
        <w:rPr>
          <w:sz w:val="24"/>
          <w:szCs w:val="24"/>
        </w:rPr>
        <w:t>fizeram com que melhorasse</w:t>
      </w:r>
      <w:r w:rsidRPr="00610E8C">
        <w:rPr>
          <w:sz w:val="24"/>
          <w:szCs w:val="24"/>
        </w:rPr>
        <w:t xml:space="preserve"> a gestão financeira.</w:t>
      </w:r>
    </w:p>
    <w:p w14:paraId="7B898FC6" w14:textId="153D86E3" w:rsidR="00E54627" w:rsidRPr="00E10441" w:rsidRDefault="0056754D" w:rsidP="00E54627">
      <w:pPr>
        <w:ind w:firstLine="709"/>
        <w:jc w:val="both"/>
        <w:rPr>
          <w:sz w:val="24"/>
          <w:szCs w:val="24"/>
        </w:rPr>
      </w:pPr>
      <w:r>
        <w:rPr>
          <w:sz w:val="24"/>
          <w:szCs w:val="24"/>
        </w:rPr>
        <w:t xml:space="preserve">Os achados de </w:t>
      </w:r>
      <w:r w:rsidR="00E54627" w:rsidRPr="00E10441">
        <w:rPr>
          <w:sz w:val="24"/>
          <w:szCs w:val="24"/>
        </w:rPr>
        <w:t xml:space="preserve">estudos </w:t>
      </w:r>
      <w:r>
        <w:rPr>
          <w:sz w:val="24"/>
          <w:szCs w:val="24"/>
        </w:rPr>
        <w:t xml:space="preserve">anteriores mencionados anteriormente </w:t>
      </w:r>
      <w:r w:rsidR="00E54627" w:rsidRPr="00E10441">
        <w:rPr>
          <w:sz w:val="24"/>
          <w:szCs w:val="24"/>
        </w:rPr>
        <w:t>contribuem para o melhor entendimento da situação econômic</w:t>
      </w:r>
      <w:r w:rsidR="00F22048">
        <w:rPr>
          <w:sz w:val="24"/>
          <w:szCs w:val="24"/>
        </w:rPr>
        <w:t>o</w:t>
      </w:r>
      <w:r w:rsidR="00E54627" w:rsidRPr="00E10441">
        <w:rPr>
          <w:sz w:val="24"/>
          <w:szCs w:val="24"/>
        </w:rPr>
        <w:t>-financeira,</w:t>
      </w:r>
      <w:r>
        <w:rPr>
          <w:sz w:val="24"/>
          <w:szCs w:val="24"/>
        </w:rPr>
        <w:t xml:space="preserve"> bem como, da sua relação com os indicadores de desempenho </w:t>
      </w:r>
      <w:r w:rsidR="00E54627" w:rsidRPr="00E10441">
        <w:rPr>
          <w:sz w:val="24"/>
          <w:szCs w:val="24"/>
        </w:rPr>
        <w:t>operaciona</w:t>
      </w:r>
      <w:r>
        <w:rPr>
          <w:sz w:val="24"/>
          <w:szCs w:val="24"/>
        </w:rPr>
        <w:t>l</w:t>
      </w:r>
      <w:r w:rsidR="00E54627" w:rsidRPr="00E10441">
        <w:rPr>
          <w:sz w:val="24"/>
          <w:szCs w:val="24"/>
        </w:rPr>
        <w:t xml:space="preserve">. </w:t>
      </w:r>
      <w:r>
        <w:rPr>
          <w:sz w:val="24"/>
          <w:szCs w:val="24"/>
        </w:rPr>
        <w:t xml:space="preserve">Até porque, a </w:t>
      </w:r>
      <w:r w:rsidR="00E54627" w:rsidRPr="00E10441">
        <w:rPr>
          <w:sz w:val="24"/>
          <w:szCs w:val="24"/>
        </w:rPr>
        <w:t xml:space="preserve">eficiência e eficácia </w:t>
      </w:r>
      <w:r>
        <w:rPr>
          <w:sz w:val="24"/>
          <w:szCs w:val="24"/>
        </w:rPr>
        <w:t xml:space="preserve">são </w:t>
      </w:r>
      <w:r w:rsidR="00E54627" w:rsidRPr="00E10441">
        <w:rPr>
          <w:sz w:val="24"/>
          <w:szCs w:val="24"/>
        </w:rPr>
        <w:t>fundamentais na prestação de serviços hospitalares</w:t>
      </w:r>
      <w:r w:rsidR="00037B57">
        <w:rPr>
          <w:sz w:val="24"/>
          <w:szCs w:val="24"/>
        </w:rPr>
        <w:t>,</w:t>
      </w:r>
      <w:r w:rsidR="00E54627" w:rsidRPr="00E10441">
        <w:rPr>
          <w:sz w:val="24"/>
          <w:szCs w:val="24"/>
        </w:rPr>
        <w:t xml:space="preserve"> para </w:t>
      </w:r>
      <w:r w:rsidR="00037B57">
        <w:rPr>
          <w:sz w:val="24"/>
          <w:szCs w:val="24"/>
        </w:rPr>
        <w:t xml:space="preserve">uma melhor </w:t>
      </w:r>
      <w:r w:rsidR="00E54627" w:rsidRPr="00E10441">
        <w:rPr>
          <w:sz w:val="24"/>
          <w:szCs w:val="24"/>
        </w:rPr>
        <w:t>tomada de decisão e atendimento das demandas sociais.</w:t>
      </w:r>
    </w:p>
    <w:p w14:paraId="675D8D12" w14:textId="77777777" w:rsidR="00E54627" w:rsidRDefault="00E54627" w:rsidP="00E54627">
      <w:pPr>
        <w:jc w:val="both"/>
        <w:rPr>
          <w:b/>
          <w:sz w:val="24"/>
          <w:szCs w:val="24"/>
        </w:rPr>
      </w:pPr>
    </w:p>
    <w:p w14:paraId="0AF9EC58" w14:textId="77777777" w:rsidR="00E54627" w:rsidRPr="000179CE" w:rsidRDefault="00E54627" w:rsidP="00E54627">
      <w:pPr>
        <w:jc w:val="both"/>
        <w:rPr>
          <w:b/>
          <w:sz w:val="24"/>
          <w:szCs w:val="24"/>
        </w:rPr>
      </w:pPr>
      <w:r>
        <w:rPr>
          <w:b/>
          <w:sz w:val="24"/>
          <w:szCs w:val="24"/>
        </w:rPr>
        <w:t>3</w:t>
      </w:r>
      <w:r w:rsidRPr="000179CE">
        <w:rPr>
          <w:b/>
          <w:sz w:val="24"/>
          <w:szCs w:val="24"/>
        </w:rPr>
        <w:t xml:space="preserve"> </w:t>
      </w:r>
      <w:r>
        <w:rPr>
          <w:b/>
          <w:sz w:val="24"/>
          <w:szCs w:val="24"/>
        </w:rPr>
        <w:t>Metodologia</w:t>
      </w:r>
    </w:p>
    <w:p w14:paraId="30ECA8A9" w14:textId="508D4CEA" w:rsidR="00E54627" w:rsidRDefault="00E54627" w:rsidP="00E54627">
      <w:pPr>
        <w:ind w:firstLine="709"/>
        <w:jc w:val="both"/>
        <w:rPr>
          <w:sz w:val="24"/>
          <w:szCs w:val="24"/>
        </w:rPr>
      </w:pPr>
      <w:r w:rsidRPr="00F31CDC">
        <w:rPr>
          <w:sz w:val="24"/>
          <w:szCs w:val="24"/>
        </w:rPr>
        <w:t>Esta pesquisa</w:t>
      </w:r>
      <w:r>
        <w:rPr>
          <w:sz w:val="24"/>
          <w:szCs w:val="24"/>
        </w:rPr>
        <w:t xml:space="preserve"> possui abordagem descritiva, documental e quantitativa, sendo o recorte, </w:t>
      </w:r>
      <w:r w:rsidRPr="00FB0CD9">
        <w:rPr>
          <w:sz w:val="24"/>
          <w:szCs w:val="24"/>
        </w:rPr>
        <w:t>longitudinal</w:t>
      </w:r>
      <w:r w:rsidRPr="00FB0CD9">
        <w:rPr>
          <w:sz w:val="24"/>
          <w:szCs w:val="24"/>
          <w:shd w:val="clear" w:color="auto" w:fill="FFFFFF"/>
        </w:rPr>
        <w:t>.</w:t>
      </w:r>
      <w:r w:rsidRPr="00FB0CD9">
        <w:rPr>
          <w:sz w:val="24"/>
          <w:szCs w:val="24"/>
        </w:rPr>
        <w:t xml:space="preserve"> A população é formada por 234 hospitais da região Sul do Brasil classificados pelo Ministério da Justiça como unidade de Utilidade Pública Federal (UPF). Quanto a amostra, foram selecionados os hospitais que, durante o período de 2010 a 2014 (5 anos),</w:t>
      </w:r>
      <w:r w:rsidRPr="00C87A2C">
        <w:rPr>
          <w:sz w:val="24"/>
          <w:szCs w:val="24"/>
        </w:rPr>
        <w:t xml:space="preserve"> apresentavam</w:t>
      </w:r>
      <w:r>
        <w:rPr>
          <w:sz w:val="24"/>
          <w:szCs w:val="24"/>
        </w:rPr>
        <w:t xml:space="preserve"> os dados necessários à realização da pesquisa, perfazendo um total de 121 hospitais e 605 observações. Justifica-se que o período de análise até o ano de 2014, decorre em função da Lei 13.204 de 2015, que extinguiu a prestação de contas das UPF’s (</w:t>
      </w:r>
      <w:r w:rsidR="00941521">
        <w:rPr>
          <w:sz w:val="24"/>
          <w:szCs w:val="24"/>
        </w:rPr>
        <w:t>Ministério da Justiça</w:t>
      </w:r>
      <w:r>
        <w:rPr>
          <w:sz w:val="24"/>
          <w:szCs w:val="24"/>
        </w:rPr>
        <w:t>, 2016).</w:t>
      </w:r>
    </w:p>
    <w:p w14:paraId="020F3A2F" w14:textId="77777777" w:rsidR="00E54627" w:rsidRDefault="00E54627" w:rsidP="00E54627">
      <w:pPr>
        <w:ind w:firstLine="709"/>
        <w:jc w:val="both"/>
        <w:rPr>
          <w:sz w:val="24"/>
          <w:szCs w:val="24"/>
        </w:rPr>
      </w:pPr>
      <w:r>
        <w:rPr>
          <w:sz w:val="24"/>
          <w:szCs w:val="24"/>
        </w:rPr>
        <w:t xml:space="preserve">Vale destacar que os dados foram coletados em duas bases públicas. Inicialmente, as variáveis para mensurar o desempenho operacional, foram retiradas da </w:t>
      </w:r>
      <w:r w:rsidRPr="00354CD5">
        <w:rPr>
          <w:sz w:val="24"/>
          <w:szCs w:val="24"/>
        </w:rPr>
        <w:t>base de dados</w:t>
      </w:r>
      <w:r>
        <w:rPr>
          <w:sz w:val="24"/>
          <w:szCs w:val="24"/>
        </w:rPr>
        <w:t xml:space="preserve"> DATASUS,</w:t>
      </w:r>
      <w:r w:rsidRPr="00354CD5">
        <w:rPr>
          <w:sz w:val="24"/>
          <w:szCs w:val="24"/>
        </w:rPr>
        <w:t xml:space="preserve"> disponibilizada pelo Ministério da Saúde</w:t>
      </w:r>
      <w:r>
        <w:rPr>
          <w:sz w:val="24"/>
          <w:szCs w:val="24"/>
        </w:rPr>
        <w:t xml:space="preserve"> (MS). Já as variáveis </w:t>
      </w:r>
      <w:r w:rsidRPr="00354CD5">
        <w:rPr>
          <w:sz w:val="24"/>
          <w:szCs w:val="24"/>
        </w:rPr>
        <w:t>econômico-financeira</w:t>
      </w:r>
      <w:r>
        <w:rPr>
          <w:sz w:val="24"/>
          <w:szCs w:val="24"/>
        </w:rPr>
        <w:t xml:space="preserve">s foram obtidas a partir do </w:t>
      </w:r>
      <w:r w:rsidRPr="003C5206">
        <w:rPr>
          <w:sz w:val="24"/>
          <w:szCs w:val="24"/>
        </w:rPr>
        <w:t>Cadastro Nacional de Entidades de Utilidade Pública</w:t>
      </w:r>
      <w:r>
        <w:rPr>
          <w:sz w:val="24"/>
          <w:szCs w:val="24"/>
        </w:rPr>
        <w:t xml:space="preserve"> (CNEs), disponibilizado pelo Ministério da Justiça (MJ). Tanto as variáveis de análise desempenho operacional, quanto as de situação econômico-financeira, estão apresentadas na Tabela </w:t>
      </w:r>
      <w:r w:rsidRPr="0050799D">
        <w:rPr>
          <w:sz w:val="24"/>
          <w:szCs w:val="24"/>
        </w:rPr>
        <w:t>1</w:t>
      </w:r>
      <w:r>
        <w:rPr>
          <w:sz w:val="24"/>
          <w:szCs w:val="24"/>
        </w:rPr>
        <w:t>, juntamente com as siglas utilizadas, mensuração (cálculo) e sua devida interpretação.</w:t>
      </w:r>
    </w:p>
    <w:p w14:paraId="70DA7CE8" w14:textId="77777777" w:rsidR="0026422B" w:rsidRDefault="0026422B" w:rsidP="00E54627">
      <w:pPr>
        <w:ind w:firstLine="709"/>
        <w:jc w:val="both"/>
        <w:rPr>
          <w:sz w:val="24"/>
          <w:szCs w:val="24"/>
        </w:rPr>
      </w:pPr>
    </w:p>
    <w:tbl>
      <w:tblPr>
        <w:tblW w:w="5000" w:type="pct"/>
        <w:tblCellMar>
          <w:left w:w="70" w:type="dxa"/>
          <w:right w:w="70" w:type="dxa"/>
        </w:tblCellMar>
        <w:tblLook w:val="04A0" w:firstRow="1" w:lastRow="0" w:firstColumn="1" w:lastColumn="0" w:noHBand="0" w:noVBand="1"/>
      </w:tblPr>
      <w:tblGrid>
        <w:gridCol w:w="1145"/>
        <w:gridCol w:w="29"/>
        <w:gridCol w:w="3476"/>
        <w:gridCol w:w="1555"/>
        <w:gridCol w:w="1318"/>
        <w:gridCol w:w="1542"/>
      </w:tblGrid>
      <w:tr w:rsidR="00E54627" w:rsidRPr="007365F2" w14:paraId="442169AE" w14:textId="77777777" w:rsidTr="0026422B">
        <w:trPr>
          <w:trHeight w:val="57"/>
        </w:trPr>
        <w:tc>
          <w:tcPr>
            <w:tcW w:w="4144" w:type="pct"/>
            <w:gridSpan w:val="5"/>
            <w:tcBorders>
              <w:top w:val="nil"/>
              <w:left w:val="nil"/>
              <w:bottom w:val="nil"/>
              <w:right w:val="nil"/>
            </w:tcBorders>
            <w:shd w:val="clear" w:color="auto" w:fill="auto"/>
            <w:vAlign w:val="center"/>
            <w:hideMark/>
          </w:tcPr>
          <w:p w14:paraId="7FFDF1C4" w14:textId="77777777" w:rsidR="00E54627" w:rsidRPr="00631811" w:rsidRDefault="00E54627" w:rsidP="00E54627">
            <w:pPr>
              <w:jc w:val="both"/>
              <w:rPr>
                <w:b/>
                <w:bCs/>
                <w:color w:val="000000"/>
              </w:rPr>
            </w:pPr>
            <w:r w:rsidRPr="00631811">
              <w:rPr>
                <w:b/>
                <w:bCs/>
                <w:color w:val="000000"/>
              </w:rPr>
              <w:t>Tabela 1</w:t>
            </w:r>
          </w:p>
          <w:p w14:paraId="4C30EA28" w14:textId="77777777" w:rsidR="00E54627" w:rsidRPr="00631811" w:rsidRDefault="00E54627" w:rsidP="00E54627">
            <w:pPr>
              <w:jc w:val="both"/>
              <w:rPr>
                <w:bCs/>
                <w:color w:val="000000"/>
              </w:rPr>
            </w:pPr>
            <w:r w:rsidRPr="00631811">
              <w:rPr>
                <w:bCs/>
                <w:color w:val="000000"/>
              </w:rPr>
              <w:t>Indicadores de desempenho operacional e da situação econômico-financeira</w:t>
            </w:r>
          </w:p>
        </w:tc>
        <w:tc>
          <w:tcPr>
            <w:tcW w:w="856" w:type="pct"/>
            <w:tcBorders>
              <w:top w:val="nil"/>
              <w:left w:val="nil"/>
              <w:bottom w:val="nil"/>
              <w:right w:val="nil"/>
            </w:tcBorders>
          </w:tcPr>
          <w:p w14:paraId="0B93E769" w14:textId="77777777" w:rsidR="00E54627" w:rsidRPr="007365F2" w:rsidRDefault="00E54627" w:rsidP="00E54627">
            <w:pPr>
              <w:rPr>
                <w:b/>
                <w:bCs/>
                <w:color w:val="000000"/>
              </w:rPr>
            </w:pPr>
          </w:p>
        </w:tc>
      </w:tr>
      <w:tr w:rsidR="00E54627" w:rsidRPr="007365F2" w14:paraId="40D63ABD" w14:textId="77777777" w:rsidTr="00E54627">
        <w:trPr>
          <w:trHeight w:val="57"/>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E01D70" w14:textId="77777777" w:rsidR="00E54627" w:rsidRPr="007365F2" w:rsidRDefault="00E54627" w:rsidP="00E54627">
            <w:pPr>
              <w:jc w:val="center"/>
              <w:rPr>
                <w:b/>
                <w:bCs/>
                <w:color w:val="000000"/>
              </w:rPr>
            </w:pPr>
            <w:r w:rsidRPr="007365F2">
              <w:rPr>
                <w:b/>
                <w:bCs/>
                <w:color w:val="000000"/>
              </w:rPr>
              <w:t xml:space="preserve">Indicadores de desempenho operacional </w:t>
            </w:r>
          </w:p>
        </w:tc>
      </w:tr>
      <w:tr w:rsidR="0026422B" w:rsidRPr="007365F2" w14:paraId="4EB257C9" w14:textId="77777777" w:rsidTr="0026422B">
        <w:trPr>
          <w:trHeight w:val="57"/>
        </w:trPr>
        <w:tc>
          <w:tcPr>
            <w:tcW w:w="65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983175" w14:textId="77777777" w:rsidR="00E54627" w:rsidRPr="007365F2" w:rsidRDefault="00E54627" w:rsidP="00E54627">
            <w:pPr>
              <w:jc w:val="center"/>
              <w:rPr>
                <w:b/>
                <w:bCs/>
                <w:color w:val="000000"/>
              </w:rPr>
            </w:pPr>
            <w:r w:rsidRPr="007365F2">
              <w:rPr>
                <w:b/>
                <w:bCs/>
                <w:color w:val="000000"/>
              </w:rPr>
              <w:t>Indicadores</w:t>
            </w:r>
          </w:p>
        </w:tc>
        <w:tc>
          <w:tcPr>
            <w:tcW w:w="1918" w:type="pct"/>
            <w:tcBorders>
              <w:top w:val="single" w:sz="4" w:space="0" w:color="auto"/>
              <w:left w:val="nil"/>
              <w:bottom w:val="single" w:sz="4" w:space="0" w:color="auto"/>
              <w:right w:val="single" w:sz="4" w:space="0" w:color="auto"/>
            </w:tcBorders>
            <w:shd w:val="clear" w:color="auto" w:fill="auto"/>
            <w:vAlign w:val="center"/>
            <w:hideMark/>
          </w:tcPr>
          <w:p w14:paraId="6AAE5CAC" w14:textId="77777777" w:rsidR="00E54627" w:rsidRPr="007365F2" w:rsidRDefault="00E54627" w:rsidP="00E54627">
            <w:pPr>
              <w:jc w:val="center"/>
              <w:rPr>
                <w:b/>
                <w:bCs/>
                <w:color w:val="000000"/>
              </w:rPr>
            </w:pPr>
            <w:r w:rsidRPr="007365F2">
              <w:rPr>
                <w:b/>
                <w:bCs/>
                <w:color w:val="000000"/>
              </w:rPr>
              <w:t>Cálculo¹</w:t>
            </w:r>
          </w:p>
        </w:tc>
        <w:tc>
          <w:tcPr>
            <w:tcW w:w="873" w:type="pct"/>
            <w:tcBorders>
              <w:top w:val="single" w:sz="4" w:space="0" w:color="auto"/>
              <w:left w:val="nil"/>
              <w:bottom w:val="single" w:sz="4" w:space="0" w:color="auto"/>
              <w:right w:val="single" w:sz="4" w:space="0" w:color="auto"/>
            </w:tcBorders>
            <w:shd w:val="clear" w:color="auto" w:fill="auto"/>
            <w:vAlign w:val="center"/>
            <w:hideMark/>
          </w:tcPr>
          <w:p w14:paraId="3E262666" w14:textId="77777777" w:rsidR="00E54627" w:rsidRPr="007365F2" w:rsidRDefault="00E54627" w:rsidP="00E54627">
            <w:pPr>
              <w:jc w:val="center"/>
              <w:rPr>
                <w:b/>
                <w:bCs/>
                <w:color w:val="000000"/>
              </w:rPr>
            </w:pPr>
            <w:r w:rsidRPr="007365F2">
              <w:rPr>
                <w:b/>
                <w:bCs/>
                <w:color w:val="000000"/>
              </w:rPr>
              <w:t>Indica</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589BF0D1" w14:textId="77777777" w:rsidR="00E54627" w:rsidRPr="007365F2" w:rsidRDefault="00E54627" w:rsidP="00E54627">
            <w:pPr>
              <w:jc w:val="center"/>
              <w:rPr>
                <w:b/>
                <w:bCs/>
                <w:color w:val="000000"/>
              </w:rPr>
            </w:pPr>
            <w:r w:rsidRPr="007365F2">
              <w:rPr>
                <w:b/>
                <w:bCs/>
                <w:color w:val="000000"/>
              </w:rPr>
              <w:t>Interpretação</w:t>
            </w:r>
          </w:p>
        </w:tc>
        <w:tc>
          <w:tcPr>
            <w:tcW w:w="856" w:type="pct"/>
            <w:tcBorders>
              <w:top w:val="single" w:sz="4" w:space="0" w:color="auto"/>
              <w:left w:val="nil"/>
              <w:bottom w:val="single" w:sz="4" w:space="0" w:color="auto"/>
              <w:right w:val="single" w:sz="4" w:space="0" w:color="auto"/>
            </w:tcBorders>
            <w:shd w:val="clear" w:color="auto" w:fill="auto"/>
          </w:tcPr>
          <w:p w14:paraId="717272FD" w14:textId="77777777" w:rsidR="00E54627" w:rsidRPr="007365F2" w:rsidRDefault="00E54627" w:rsidP="00E54627">
            <w:pPr>
              <w:jc w:val="center"/>
              <w:rPr>
                <w:b/>
                <w:bCs/>
                <w:color w:val="000000"/>
              </w:rPr>
            </w:pPr>
            <w:r w:rsidRPr="0026422B">
              <w:rPr>
                <w:b/>
                <w:bCs/>
                <w:color w:val="000000"/>
              </w:rPr>
              <w:t>Autores</w:t>
            </w:r>
          </w:p>
        </w:tc>
      </w:tr>
      <w:tr w:rsidR="0026422B" w:rsidRPr="007365F2" w14:paraId="1D9EADA7" w14:textId="77777777" w:rsidTr="0026422B">
        <w:trPr>
          <w:trHeight w:val="57"/>
        </w:trPr>
        <w:tc>
          <w:tcPr>
            <w:tcW w:w="65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ADE87DF" w14:textId="77777777" w:rsidR="00E54627" w:rsidRPr="007365F2" w:rsidRDefault="00E54627" w:rsidP="00E54627">
            <w:pPr>
              <w:jc w:val="center"/>
              <w:rPr>
                <w:color w:val="000000"/>
              </w:rPr>
            </w:pPr>
            <w:r w:rsidRPr="007365F2">
              <w:rPr>
                <w:color w:val="000000"/>
              </w:rPr>
              <w:t>Taxa de Mortalidade (TM)</w:t>
            </w:r>
          </w:p>
        </w:tc>
        <w:tc>
          <w:tcPr>
            <w:tcW w:w="19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0F4549" w14:textId="77777777" w:rsidR="00E54627" w:rsidRPr="007365F2" w:rsidRDefault="00E54627" w:rsidP="00E54627">
            <w:pPr>
              <w:jc w:val="center"/>
              <w:rPr>
                <w:color w:val="000000"/>
              </w:rPr>
            </w:pPr>
            <m:oMathPara>
              <m:oMath>
                <m:r>
                  <w:rPr>
                    <w:rFonts w:ascii="Cambria Math" w:hAnsi="Cambria Math"/>
                    <w:color w:val="000000"/>
                  </w:rPr>
                  <m:t>TM=</m:t>
                </m:r>
                <m:f>
                  <m:fPr>
                    <m:ctrlPr>
                      <w:rPr>
                        <w:rFonts w:ascii="Cambria Math" w:hAnsi="Cambria Math"/>
                        <w:i/>
                        <w:color w:val="000000"/>
                      </w:rPr>
                    </m:ctrlPr>
                  </m:fPr>
                  <m:num>
                    <m:r>
                      <w:rPr>
                        <w:rFonts w:ascii="Cambria Math" w:hAnsi="Cambria Math"/>
                        <w:color w:val="000000"/>
                      </w:rPr>
                      <m:t>número_óbitos</m:t>
                    </m:r>
                  </m:num>
                  <m:den>
                    <m:r>
                      <w:rPr>
                        <w:rFonts w:ascii="Cambria Math" w:hAnsi="Cambria Math"/>
                        <w:color w:val="000000"/>
                      </w:rPr>
                      <m:t>número_pacientes</m:t>
                    </m:r>
                  </m:den>
                </m:f>
              </m:oMath>
            </m:oMathPara>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1E21B" w14:textId="77777777" w:rsidR="00E54627" w:rsidRPr="007365F2" w:rsidRDefault="00E54627" w:rsidP="00E54627">
            <w:pPr>
              <w:jc w:val="center"/>
              <w:rPr>
                <w:color w:val="000000"/>
              </w:rPr>
            </w:pPr>
            <w:r w:rsidRPr="007365F2">
              <w:rPr>
                <w:color w:val="000000"/>
              </w:rPr>
              <w:t>A porcentagem de óbitos em relação ao total de atendimentos</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ABDE75" w14:textId="77777777" w:rsidR="00E54627" w:rsidRPr="007365F2" w:rsidRDefault="00E54627" w:rsidP="00E54627">
            <w:pPr>
              <w:jc w:val="center"/>
              <w:rPr>
                <w:color w:val="000000"/>
              </w:rPr>
            </w:pPr>
            <w:r w:rsidRPr="007365F2">
              <w:rPr>
                <w:color w:val="000000"/>
              </w:rPr>
              <w:t>Quanto maior, pior</w:t>
            </w:r>
          </w:p>
        </w:tc>
        <w:tc>
          <w:tcPr>
            <w:tcW w:w="856" w:type="pct"/>
            <w:tcBorders>
              <w:top w:val="single" w:sz="4" w:space="0" w:color="auto"/>
              <w:left w:val="single" w:sz="4" w:space="0" w:color="auto"/>
              <w:bottom w:val="single" w:sz="4" w:space="0" w:color="auto"/>
              <w:right w:val="single" w:sz="4" w:space="0" w:color="auto"/>
            </w:tcBorders>
            <w:vAlign w:val="center"/>
          </w:tcPr>
          <w:p w14:paraId="1281EE46" w14:textId="34D18176" w:rsidR="00E54627" w:rsidRPr="0026422B" w:rsidRDefault="0026422B" w:rsidP="0026422B">
            <w:pPr>
              <w:jc w:val="center"/>
              <w:rPr>
                <w:color w:val="000000"/>
              </w:rPr>
            </w:pPr>
            <w:r w:rsidRPr="0026422B">
              <w:rPr>
                <w:shd w:val="clear" w:color="auto" w:fill="FFFFFF"/>
              </w:rPr>
              <w:t xml:space="preserve">Cesconetto </w:t>
            </w:r>
            <w:r w:rsidR="00761592" w:rsidRPr="00761592">
              <w:rPr>
                <w:i/>
                <w:shd w:val="clear" w:color="auto" w:fill="FFFFFF"/>
              </w:rPr>
              <w:t>et al.</w:t>
            </w:r>
            <w:r w:rsidRPr="0026422B">
              <w:rPr>
                <w:shd w:val="clear" w:color="auto" w:fill="FFFFFF"/>
              </w:rPr>
              <w:t xml:space="preserve"> (2008), Guerra (2011), Hvenegaard</w:t>
            </w:r>
            <w:r w:rsidRPr="0026422B">
              <w:rPr>
                <w:i/>
                <w:shd w:val="clear" w:color="auto" w:fill="FFFFFF"/>
              </w:rPr>
              <w:t xml:space="preserve"> </w:t>
            </w:r>
            <w:r w:rsidR="00761592" w:rsidRPr="00761592">
              <w:rPr>
                <w:i/>
                <w:shd w:val="clear" w:color="auto" w:fill="FFFFFF"/>
              </w:rPr>
              <w:t>et al.</w:t>
            </w:r>
            <w:r w:rsidRPr="0026422B">
              <w:rPr>
                <w:shd w:val="clear" w:color="auto" w:fill="FFFFFF"/>
              </w:rPr>
              <w:t xml:space="preserve"> (2011)</w:t>
            </w:r>
            <w:r w:rsidRPr="0026422B">
              <w:t xml:space="preserve">, </w:t>
            </w:r>
            <w:r w:rsidRPr="0026422B">
              <w:rPr>
                <w:shd w:val="clear" w:color="auto" w:fill="FFFFFF"/>
              </w:rPr>
              <w:t>Machado</w:t>
            </w:r>
            <w:r w:rsidRPr="0026422B">
              <w:rPr>
                <w:i/>
                <w:shd w:val="clear" w:color="auto" w:fill="FFFFFF"/>
              </w:rPr>
              <w:t xml:space="preserve"> </w:t>
            </w:r>
            <w:r w:rsidR="00761592" w:rsidRPr="00761592">
              <w:rPr>
                <w:i/>
                <w:shd w:val="clear" w:color="auto" w:fill="FFFFFF"/>
              </w:rPr>
              <w:t>et al.</w:t>
            </w:r>
            <w:r w:rsidRPr="0026422B">
              <w:rPr>
                <w:shd w:val="clear" w:color="auto" w:fill="FFFFFF"/>
              </w:rPr>
              <w:t xml:space="preserve"> (2013), Freitas (2014), Gholami </w:t>
            </w:r>
            <w:r w:rsidR="00761592" w:rsidRPr="00761592">
              <w:rPr>
                <w:i/>
                <w:shd w:val="clear" w:color="auto" w:fill="FFFFFF"/>
              </w:rPr>
              <w:t>et al.</w:t>
            </w:r>
            <w:r w:rsidRPr="0026422B">
              <w:rPr>
                <w:shd w:val="clear" w:color="auto" w:fill="FFFFFF"/>
              </w:rPr>
              <w:t xml:space="preserve"> (201</w:t>
            </w:r>
            <w:r w:rsidR="00BB2165">
              <w:rPr>
                <w:shd w:val="clear" w:color="auto" w:fill="FFFFFF"/>
              </w:rPr>
              <w:t>5</w:t>
            </w:r>
            <w:r w:rsidRPr="0026422B">
              <w:rPr>
                <w:shd w:val="clear" w:color="auto" w:fill="FFFFFF"/>
              </w:rPr>
              <w:t xml:space="preserve">), Martini </w:t>
            </w:r>
            <w:r w:rsidR="00761592" w:rsidRPr="00761592">
              <w:rPr>
                <w:i/>
                <w:shd w:val="clear" w:color="auto" w:fill="FFFFFF"/>
              </w:rPr>
              <w:t>et al.</w:t>
            </w:r>
            <w:r w:rsidRPr="0026422B">
              <w:rPr>
                <w:shd w:val="clear" w:color="auto" w:fill="FFFFFF"/>
              </w:rPr>
              <w:t xml:space="preserve"> (2014), Vignochi</w:t>
            </w:r>
            <w:r w:rsidRPr="0026422B">
              <w:rPr>
                <w:i/>
                <w:shd w:val="clear" w:color="auto" w:fill="FFFFFF"/>
              </w:rPr>
              <w:t xml:space="preserve"> </w:t>
            </w:r>
            <w:r w:rsidR="00761592" w:rsidRPr="00761592">
              <w:rPr>
                <w:i/>
                <w:shd w:val="clear" w:color="auto" w:fill="FFFFFF"/>
              </w:rPr>
              <w:t>et al.</w:t>
            </w:r>
            <w:r w:rsidRPr="0026422B">
              <w:rPr>
                <w:shd w:val="clear" w:color="auto" w:fill="FFFFFF"/>
              </w:rPr>
              <w:t xml:space="preserve"> (2014)</w:t>
            </w:r>
          </w:p>
        </w:tc>
      </w:tr>
      <w:tr w:rsidR="0026422B" w:rsidRPr="0026422B" w14:paraId="571372BF" w14:textId="77777777" w:rsidTr="0026422B">
        <w:trPr>
          <w:trHeight w:val="57"/>
        </w:trPr>
        <w:tc>
          <w:tcPr>
            <w:tcW w:w="65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789850" w14:textId="77777777" w:rsidR="00E54627" w:rsidRPr="007365F2" w:rsidRDefault="00E54627" w:rsidP="00E54627">
            <w:pPr>
              <w:jc w:val="center"/>
              <w:rPr>
                <w:color w:val="000000"/>
              </w:rPr>
            </w:pPr>
            <w:r w:rsidRPr="007365F2">
              <w:rPr>
                <w:color w:val="000000"/>
              </w:rPr>
              <w:t>Tempo Médio de Permanência (TMP)</w:t>
            </w:r>
          </w:p>
        </w:tc>
        <w:tc>
          <w:tcPr>
            <w:tcW w:w="19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81B31" w14:textId="77777777" w:rsidR="00E54627" w:rsidRPr="007365F2" w:rsidRDefault="00E54627" w:rsidP="00E54627">
            <w:pPr>
              <w:jc w:val="center"/>
              <w:rPr>
                <w:color w:val="000000"/>
              </w:rPr>
            </w:pPr>
            <m:oMathPara>
              <m:oMath>
                <m:r>
                  <w:rPr>
                    <w:rFonts w:ascii="Cambria Math" w:hAnsi="Cambria Math"/>
                    <w:color w:val="000000"/>
                  </w:rPr>
                  <m:t>TMP=</m:t>
                </m:r>
                <m:f>
                  <m:fPr>
                    <m:ctrlPr>
                      <w:rPr>
                        <w:rFonts w:ascii="Cambria Math" w:hAnsi="Cambria Math"/>
                        <w:i/>
                        <w:color w:val="000000"/>
                      </w:rPr>
                    </m:ctrlPr>
                  </m:fPr>
                  <m:num>
                    <m:r>
                      <w:rPr>
                        <w:rFonts w:ascii="Cambria Math" w:hAnsi="Cambria Math"/>
                        <w:color w:val="000000"/>
                      </w:rPr>
                      <m:t>Pacientes_Dia</m:t>
                    </m:r>
                  </m:num>
                  <m:den>
                    <m:r>
                      <w:rPr>
                        <w:rFonts w:ascii="Cambria Math" w:hAnsi="Cambria Math"/>
                        <w:color w:val="000000"/>
                      </w:rPr>
                      <m:t>Saídas_Dia</m:t>
                    </m:r>
                  </m:den>
                </m:f>
              </m:oMath>
            </m:oMathPara>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7F074" w14:textId="77777777" w:rsidR="00E54627" w:rsidRPr="007365F2" w:rsidRDefault="00E54627" w:rsidP="00E54627">
            <w:pPr>
              <w:jc w:val="center"/>
              <w:rPr>
                <w:color w:val="000000"/>
              </w:rPr>
            </w:pPr>
            <w:r w:rsidRPr="007365F2">
              <w:rPr>
                <w:color w:val="000000"/>
              </w:rPr>
              <w:t>O tempo que o paciente permanece no estabelecimento até o término de seu atendimento</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908130" w14:textId="77777777" w:rsidR="00E54627" w:rsidRPr="0026422B" w:rsidRDefault="00E54627" w:rsidP="0026422B">
            <w:pPr>
              <w:jc w:val="center"/>
              <w:rPr>
                <w:color w:val="000000"/>
              </w:rPr>
            </w:pPr>
            <w:r w:rsidRPr="0026422B">
              <w:rPr>
                <w:color w:val="000000"/>
              </w:rPr>
              <w:t>Quanto maior, pior</w:t>
            </w:r>
          </w:p>
        </w:tc>
        <w:tc>
          <w:tcPr>
            <w:tcW w:w="856" w:type="pct"/>
            <w:tcBorders>
              <w:top w:val="single" w:sz="4" w:space="0" w:color="auto"/>
              <w:left w:val="single" w:sz="4" w:space="0" w:color="auto"/>
              <w:bottom w:val="single" w:sz="4" w:space="0" w:color="auto"/>
              <w:right w:val="single" w:sz="4" w:space="0" w:color="auto"/>
            </w:tcBorders>
            <w:vAlign w:val="center"/>
          </w:tcPr>
          <w:p w14:paraId="07B8C969" w14:textId="63FF77B7" w:rsidR="00E54627" w:rsidRPr="0026422B" w:rsidRDefault="0026422B" w:rsidP="0026422B">
            <w:pPr>
              <w:jc w:val="center"/>
              <w:rPr>
                <w:color w:val="000000"/>
                <w:lang w:val="en-US"/>
              </w:rPr>
            </w:pPr>
            <w:r w:rsidRPr="0026422B">
              <w:rPr>
                <w:shd w:val="clear" w:color="auto" w:fill="FFFFFF"/>
                <w:lang w:val="en-US"/>
              </w:rPr>
              <w:t xml:space="preserve">Guerra (2011), Freire </w:t>
            </w:r>
            <w:r w:rsidR="00761592" w:rsidRPr="00761592">
              <w:rPr>
                <w:i/>
                <w:shd w:val="clear" w:color="auto" w:fill="FFFFFF"/>
                <w:lang w:val="en-US"/>
              </w:rPr>
              <w:t>et al.</w:t>
            </w:r>
            <w:r w:rsidRPr="0026422B">
              <w:rPr>
                <w:shd w:val="clear" w:color="auto" w:fill="FFFFFF"/>
                <w:lang w:val="en-US"/>
              </w:rPr>
              <w:t xml:space="preserve"> (2012), Watterson </w:t>
            </w:r>
            <w:r w:rsidR="00761592" w:rsidRPr="00761592">
              <w:rPr>
                <w:i/>
                <w:shd w:val="clear" w:color="auto" w:fill="FFFFFF"/>
                <w:lang w:val="en-US"/>
              </w:rPr>
              <w:t>et al.</w:t>
            </w:r>
            <w:r w:rsidRPr="0026422B">
              <w:rPr>
                <w:shd w:val="clear" w:color="auto" w:fill="FFFFFF"/>
                <w:lang w:val="en-US"/>
              </w:rPr>
              <w:t xml:space="preserve"> </w:t>
            </w:r>
            <w:r w:rsidRPr="0026422B">
              <w:rPr>
                <w:shd w:val="clear" w:color="auto" w:fill="FFFFFF"/>
              </w:rPr>
              <w:t xml:space="preserve">(2012), Freitas (2014), Gholami </w:t>
            </w:r>
            <w:r w:rsidR="00761592" w:rsidRPr="00761592">
              <w:rPr>
                <w:i/>
                <w:shd w:val="clear" w:color="auto" w:fill="FFFFFF"/>
              </w:rPr>
              <w:t>et al.</w:t>
            </w:r>
            <w:r w:rsidRPr="0026422B">
              <w:rPr>
                <w:shd w:val="clear" w:color="auto" w:fill="FFFFFF"/>
              </w:rPr>
              <w:t xml:space="preserve"> (201</w:t>
            </w:r>
            <w:r w:rsidR="00BB2165">
              <w:rPr>
                <w:shd w:val="clear" w:color="auto" w:fill="FFFFFF"/>
              </w:rPr>
              <w:t>5</w:t>
            </w:r>
            <w:r w:rsidRPr="0026422B">
              <w:rPr>
                <w:shd w:val="clear" w:color="auto" w:fill="FFFFFF"/>
              </w:rPr>
              <w:t xml:space="preserve">), Vignochi </w:t>
            </w:r>
            <w:r w:rsidR="00761592" w:rsidRPr="00761592">
              <w:rPr>
                <w:i/>
                <w:shd w:val="clear" w:color="auto" w:fill="FFFFFF"/>
              </w:rPr>
              <w:t>et al.</w:t>
            </w:r>
            <w:r w:rsidRPr="0026422B">
              <w:rPr>
                <w:shd w:val="clear" w:color="auto" w:fill="FFFFFF"/>
              </w:rPr>
              <w:t xml:space="preserve"> </w:t>
            </w:r>
            <w:r w:rsidRPr="0026422B">
              <w:rPr>
                <w:shd w:val="clear" w:color="auto" w:fill="FFFFFF"/>
                <w:lang w:val="en-US"/>
              </w:rPr>
              <w:t>(2014)</w:t>
            </w:r>
          </w:p>
        </w:tc>
      </w:tr>
      <w:tr w:rsidR="0026422B" w:rsidRPr="007365F2" w14:paraId="411497A7" w14:textId="77777777" w:rsidTr="0026422B">
        <w:trPr>
          <w:trHeight w:val="57"/>
        </w:trPr>
        <w:tc>
          <w:tcPr>
            <w:tcW w:w="65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025ECAB" w14:textId="77777777" w:rsidR="00E54627" w:rsidRPr="00F95308" w:rsidRDefault="00E54627" w:rsidP="00E54627">
            <w:pPr>
              <w:jc w:val="center"/>
            </w:pPr>
            <w:r w:rsidRPr="007365F2">
              <w:rPr>
                <w:color w:val="000000"/>
              </w:rPr>
              <w:t>Taxa de Valores Hospitalares (TVH)</w:t>
            </w:r>
          </w:p>
        </w:tc>
        <w:tc>
          <w:tcPr>
            <w:tcW w:w="1918" w:type="pct"/>
            <w:tcBorders>
              <w:top w:val="single" w:sz="4" w:space="0" w:color="auto"/>
              <w:left w:val="nil"/>
              <w:bottom w:val="single" w:sz="4" w:space="0" w:color="auto"/>
              <w:right w:val="single" w:sz="4" w:space="0" w:color="auto"/>
            </w:tcBorders>
            <w:shd w:val="clear" w:color="auto" w:fill="auto"/>
            <w:vAlign w:val="center"/>
            <w:hideMark/>
          </w:tcPr>
          <w:p w14:paraId="69F52972" w14:textId="77777777" w:rsidR="00E54627" w:rsidRPr="007365F2" w:rsidRDefault="00E54627" w:rsidP="00E54627">
            <w:pPr>
              <w:jc w:val="center"/>
              <w:rPr>
                <w:color w:val="000000"/>
              </w:rPr>
            </w:pPr>
            <m:oMathPara>
              <m:oMath>
                <m:r>
                  <w:rPr>
                    <w:rFonts w:ascii="Cambria Math" w:hAnsi="Cambria Math"/>
                    <w:color w:val="000000"/>
                  </w:rPr>
                  <m:t>TVH=</m:t>
                </m:r>
                <m:f>
                  <m:fPr>
                    <m:ctrlPr>
                      <w:rPr>
                        <w:rFonts w:ascii="Cambria Math" w:hAnsi="Cambria Math"/>
                        <w:i/>
                        <w:color w:val="000000"/>
                      </w:rPr>
                    </m:ctrlPr>
                  </m:fPr>
                  <m:num>
                    <m:r>
                      <w:rPr>
                        <w:rFonts w:ascii="Cambria Math" w:hAnsi="Cambria Math"/>
                        <w:color w:val="000000"/>
                      </w:rPr>
                      <m:t>Valor_Serviços_Hospital</m:t>
                    </m:r>
                  </m:num>
                  <m:den>
                    <m:r>
                      <w:rPr>
                        <w:rFonts w:ascii="Cambria Math" w:hAnsi="Cambria Math"/>
                        <w:color w:val="000000"/>
                      </w:rPr>
                      <m:t>Valor_Total</m:t>
                    </m:r>
                  </m:den>
                </m:f>
              </m:oMath>
            </m:oMathPara>
          </w:p>
        </w:tc>
        <w:tc>
          <w:tcPr>
            <w:tcW w:w="873" w:type="pct"/>
            <w:tcBorders>
              <w:top w:val="single" w:sz="4" w:space="0" w:color="auto"/>
              <w:left w:val="nil"/>
              <w:bottom w:val="single" w:sz="4" w:space="0" w:color="auto"/>
              <w:right w:val="single" w:sz="4" w:space="0" w:color="auto"/>
            </w:tcBorders>
            <w:shd w:val="clear" w:color="auto" w:fill="auto"/>
            <w:vAlign w:val="center"/>
            <w:hideMark/>
          </w:tcPr>
          <w:p w14:paraId="7D43E5A2" w14:textId="77777777" w:rsidR="00E54627" w:rsidRPr="007365F2" w:rsidRDefault="00E54627" w:rsidP="00E54627">
            <w:pPr>
              <w:jc w:val="center"/>
              <w:rPr>
                <w:color w:val="000000"/>
              </w:rPr>
            </w:pPr>
            <w:r w:rsidRPr="007365F2">
              <w:rPr>
                <w:color w:val="000000"/>
              </w:rPr>
              <w:t>A porcentagem de recursos utilizados para os serviços hospitalares</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30CD7548" w14:textId="77777777" w:rsidR="00E54627" w:rsidRPr="0026422B" w:rsidRDefault="00E54627" w:rsidP="0026422B">
            <w:pPr>
              <w:jc w:val="center"/>
              <w:rPr>
                <w:color w:val="000000"/>
              </w:rPr>
            </w:pPr>
            <w:r w:rsidRPr="0026422B">
              <w:rPr>
                <w:color w:val="000000"/>
              </w:rPr>
              <w:t>Quanto maior, melhor</w:t>
            </w:r>
          </w:p>
        </w:tc>
        <w:tc>
          <w:tcPr>
            <w:tcW w:w="856" w:type="pct"/>
            <w:tcBorders>
              <w:top w:val="single" w:sz="4" w:space="0" w:color="auto"/>
              <w:left w:val="nil"/>
              <w:bottom w:val="single" w:sz="4" w:space="0" w:color="auto"/>
              <w:right w:val="single" w:sz="4" w:space="0" w:color="auto"/>
            </w:tcBorders>
            <w:vAlign w:val="center"/>
          </w:tcPr>
          <w:p w14:paraId="551927B1" w14:textId="5B3790D4" w:rsidR="00E54627" w:rsidRPr="0026422B" w:rsidRDefault="0026422B" w:rsidP="0026422B">
            <w:pPr>
              <w:jc w:val="center"/>
              <w:rPr>
                <w:color w:val="000000"/>
              </w:rPr>
            </w:pPr>
            <w:r w:rsidRPr="0026422B">
              <w:rPr>
                <w:shd w:val="clear" w:color="auto" w:fill="FFFFFF"/>
              </w:rPr>
              <w:t xml:space="preserve">Akashi </w:t>
            </w:r>
            <w:r w:rsidR="00761592" w:rsidRPr="00761592">
              <w:rPr>
                <w:i/>
                <w:shd w:val="clear" w:color="auto" w:fill="FFFFFF"/>
              </w:rPr>
              <w:t>et al.</w:t>
            </w:r>
            <w:r w:rsidRPr="0026422B">
              <w:rPr>
                <w:shd w:val="clear" w:color="auto" w:fill="FFFFFF"/>
              </w:rPr>
              <w:t xml:space="preserve"> (2004)</w:t>
            </w:r>
          </w:p>
        </w:tc>
      </w:tr>
      <w:tr w:rsidR="0026422B" w:rsidRPr="007365F2" w14:paraId="65B4E884" w14:textId="77777777" w:rsidTr="0026422B">
        <w:trPr>
          <w:trHeight w:val="57"/>
        </w:trPr>
        <w:tc>
          <w:tcPr>
            <w:tcW w:w="65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0AC027" w14:textId="77777777" w:rsidR="00E54627" w:rsidRPr="00F95308" w:rsidRDefault="00E54627" w:rsidP="00E54627">
            <w:pPr>
              <w:jc w:val="center"/>
            </w:pPr>
            <w:r>
              <w:rPr>
                <w:color w:val="000000"/>
              </w:rPr>
              <w:t>Autorização Internação Hospitalar (AIH)</w:t>
            </w:r>
          </w:p>
        </w:tc>
        <w:tc>
          <w:tcPr>
            <w:tcW w:w="1918" w:type="pct"/>
            <w:tcBorders>
              <w:top w:val="single" w:sz="4" w:space="0" w:color="auto"/>
              <w:left w:val="nil"/>
              <w:bottom w:val="single" w:sz="4" w:space="0" w:color="auto"/>
              <w:right w:val="single" w:sz="4" w:space="0" w:color="auto"/>
            </w:tcBorders>
            <w:shd w:val="clear" w:color="auto" w:fill="auto"/>
            <w:vAlign w:val="center"/>
          </w:tcPr>
          <w:p w14:paraId="0D7A73E2" w14:textId="77777777" w:rsidR="00E54627" w:rsidRPr="00E10441" w:rsidRDefault="00E54627" w:rsidP="00E54627">
            <w:pPr>
              <w:jc w:val="center"/>
              <w:rPr>
                <w:color w:val="000000"/>
                <w:sz w:val="24"/>
                <w:szCs w:val="24"/>
              </w:rPr>
            </w:pPr>
            <m:oMathPara>
              <m:oMath>
                <m:r>
                  <w:rPr>
                    <w:rFonts w:ascii="Cambria Math" w:hAnsi="Cambria Math"/>
                    <w:color w:val="000000"/>
                    <w:sz w:val="24"/>
                    <w:szCs w:val="24"/>
                  </w:rPr>
                  <m:t>AIH</m:t>
                </m:r>
              </m:oMath>
            </m:oMathPara>
          </w:p>
          <w:p w14:paraId="2DBC652B" w14:textId="77777777" w:rsidR="00E54627" w:rsidRDefault="00E54627" w:rsidP="00E54627">
            <w:pPr>
              <w:jc w:val="center"/>
              <w:rPr>
                <w:color w:val="000000"/>
                <w:sz w:val="24"/>
                <w:szCs w:val="24"/>
              </w:rPr>
            </w:pPr>
            <m:oMathPara>
              <m:oMath>
                <m:r>
                  <w:rPr>
                    <w:rFonts w:ascii="Cambria Math" w:hAnsi="Cambria Math"/>
                    <w:color w:val="000000"/>
                    <w:sz w:val="24"/>
                    <w:szCs w:val="24"/>
                  </w:rPr>
                  <m:t xml:space="preserve"> =LN(Autorizações_Totais)</m:t>
                </m:r>
              </m:oMath>
            </m:oMathPara>
          </w:p>
          <w:p w14:paraId="2F81E1B6" w14:textId="77777777" w:rsidR="00E54627" w:rsidRPr="007365F2" w:rsidRDefault="00E54627" w:rsidP="00E54627">
            <w:pPr>
              <w:jc w:val="center"/>
              <w:rPr>
                <w:color w:val="000000"/>
              </w:rPr>
            </w:pPr>
          </w:p>
        </w:tc>
        <w:tc>
          <w:tcPr>
            <w:tcW w:w="873" w:type="pct"/>
            <w:tcBorders>
              <w:top w:val="single" w:sz="4" w:space="0" w:color="auto"/>
              <w:left w:val="nil"/>
              <w:bottom w:val="single" w:sz="4" w:space="0" w:color="auto"/>
              <w:right w:val="single" w:sz="4" w:space="0" w:color="auto"/>
            </w:tcBorders>
            <w:shd w:val="clear" w:color="auto" w:fill="auto"/>
            <w:vAlign w:val="center"/>
          </w:tcPr>
          <w:p w14:paraId="24BCDAB6" w14:textId="77777777" w:rsidR="00E54627" w:rsidRDefault="00E54627" w:rsidP="00E54627">
            <w:pPr>
              <w:jc w:val="center"/>
              <w:rPr>
                <w:color w:val="000000"/>
              </w:rPr>
            </w:pPr>
            <w:r>
              <w:rPr>
                <w:color w:val="000000"/>
              </w:rPr>
              <w:t>A capacidade de internações do hospital</w:t>
            </w:r>
          </w:p>
          <w:p w14:paraId="7C1F388D" w14:textId="77777777" w:rsidR="00E54627" w:rsidRPr="007365F2" w:rsidRDefault="00E54627" w:rsidP="00E54627">
            <w:pPr>
              <w:jc w:val="center"/>
              <w:rPr>
                <w:color w:val="000000"/>
              </w:rPr>
            </w:pPr>
          </w:p>
        </w:tc>
        <w:tc>
          <w:tcPr>
            <w:tcW w:w="703" w:type="pct"/>
            <w:tcBorders>
              <w:top w:val="single" w:sz="4" w:space="0" w:color="auto"/>
              <w:left w:val="nil"/>
              <w:bottom w:val="single" w:sz="4" w:space="0" w:color="auto"/>
              <w:right w:val="single" w:sz="4" w:space="0" w:color="auto"/>
            </w:tcBorders>
            <w:shd w:val="clear" w:color="auto" w:fill="auto"/>
            <w:vAlign w:val="center"/>
          </w:tcPr>
          <w:p w14:paraId="54C98184" w14:textId="77777777" w:rsidR="00E54627" w:rsidRPr="007365F2" w:rsidRDefault="00E54627" w:rsidP="00E54627">
            <w:pPr>
              <w:jc w:val="center"/>
              <w:rPr>
                <w:color w:val="000000"/>
              </w:rPr>
            </w:pPr>
            <w:r w:rsidRPr="004E77F6">
              <w:rPr>
                <w:color w:val="000000"/>
              </w:rPr>
              <w:t>Quanto maior, melhor</w:t>
            </w:r>
          </w:p>
        </w:tc>
        <w:tc>
          <w:tcPr>
            <w:tcW w:w="856" w:type="pct"/>
            <w:tcBorders>
              <w:top w:val="single" w:sz="4" w:space="0" w:color="auto"/>
              <w:left w:val="nil"/>
              <w:bottom w:val="single" w:sz="4" w:space="0" w:color="auto"/>
              <w:right w:val="single" w:sz="4" w:space="0" w:color="auto"/>
            </w:tcBorders>
            <w:vAlign w:val="center"/>
          </w:tcPr>
          <w:p w14:paraId="0F0F061E" w14:textId="31844E2B" w:rsidR="0026422B" w:rsidRPr="0026422B" w:rsidRDefault="0026422B" w:rsidP="0026422B">
            <w:pPr>
              <w:jc w:val="center"/>
            </w:pPr>
            <w:r w:rsidRPr="0026422B">
              <w:rPr>
                <w:shd w:val="clear" w:color="auto" w:fill="FFFFFF"/>
              </w:rPr>
              <w:t xml:space="preserve">Vignochi </w:t>
            </w:r>
            <w:r w:rsidR="00761592" w:rsidRPr="00761592">
              <w:rPr>
                <w:i/>
                <w:shd w:val="clear" w:color="auto" w:fill="FFFFFF"/>
              </w:rPr>
              <w:t>et al.</w:t>
            </w:r>
            <w:r w:rsidRPr="0026422B">
              <w:rPr>
                <w:shd w:val="clear" w:color="auto" w:fill="FFFFFF"/>
              </w:rPr>
              <w:t xml:space="preserve"> (2014)</w:t>
            </w:r>
          </w:p>
          <w:p w14:paraId="517A8E60" w14:textId="77777777" w:rsidR="00E54627" w:rsidRPr="0026422B" w:rsidRDefault="00E54627" w:rsidP="0026422B">
            <w:pPr>
              <w:jc w:val="center"/>
              <w:rPr>
                <w:color w:val="000000"/>
              </w:rPr>
            </w:pPr>
          </w:p>
        </w:tc>
      </w:tr>
      <w:tr w:rsidR="00E54627" w:rsidRPr="007365F2" w14:paraId="53F277BD" w14:textId="77777777" w:rsidTr="00E54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5000" w:type="pct"/>
            <w:gridSpan w:val="6"/>
            <w:shd w:val="clear" w:color="auto" w:fill="D9D9D9" w:themeFill="background1" w:themeFillShade="D9"/>
            <w:vAlign w:val="center"/>
            <w:hideMark/>
          </w:tcPr>
          <w:p w14:paraId="68490284" w14:textId="77777777" w:rsidR="00E54627" w:rsidRPr="007365F2" w:rsidRDefault="00E54627" w:rsidP="00E54627">
            <w:pPr>
              <w:jc w:val="center"/>
              <w:rPr>
                <w:b/>
                <w:bCs/>
                <w:color w:val="000000"/>
              </w:rPr>
            </w:pPr>
            <w:r w:rsidRPr="007365F2">
              <w:rPr>
                <w:b/>
                <w:bCs/>
                <w:color w:val="000000"/>
              </w:rPr>
              <w:t>Indicadores da situação econômico-financeira</w:t>
            </w:r>
          </w:p>
        </w:tc>
      </w:tr>
      <w:tr w:rsidR="0026422B" w:rsidRPr="007365F2" w14:paraId="12C5E8AF"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634" w:type="pct"/>
            <w:shd w:val="clear" w:color="auto" w:fill="auto"/>
            <w:vAlign w:val="center"/>
            <w:hideMark/>
          </w:tcPr>
          <w:p w14:paraId="17E87C2F" w14:textId="77777777" w:rsidR="00E54627" w:rsidRPr="007365F2" w:rsidRDefault="00E54627" w:rsidP="00E54627">
            <w:pPr>
              <w:jc w:val="center"/>
              <w:rPr>
                <w:color w:val="000000"/>
              </w:rPr>
            </w:pPr>
            <w:r w:rsidRPr="007365F2">
              <w:rPr>
                <w:color w:val="000000"/>
              </w:rPr>
              <w:t>Liquidez Geral (LG)</w:t>
            </w:r>
          </w:p>
        </w:tc>
        <w:tc>
          <w:tcPr>
            <w:tcW w:w="1934" w:type="pct"/>
            <w:gridSpan w:val="2"/>
            <w:shd w:val="clear" w:color="auto" w:fill="auto"/>
            <w:vAlign w:val="center"/>
            <w:hideMark/>
          </w:tcPr>
          <w:p w14:paraId="4CF0C77A" w14:textId="77777777" w:rsidR="00E54627" w:rsidRPr="007365F2" w:rsidRDefault="00E54627" w:rsidP="00E54627">
            <w:pPr>
              <w:jc w:val="center"/>
              <w:rPr>
                <w:color w:val="000000"/>
              </w:rPr>
            </w:pPr>
            <m:oMathPara>
              <m:oMathParaPr>
                <m:jc m:val="center"/>
              </m:oMathParaPr>
              <m:oMath>
                <m:r>
                  <w:rPr>
                    <w:rFonts w:ascii="Cambria Math" w:hAnsi="Cambria Math"/>
                    <w:color w:val="000000"/>
                  </w:rPr>
                  <m:t>LG=</m:t>
                </m:r>
                <m:f>
                  <m:fPr>
                    <m:ctrlPr>
                      <w:rPr>
                        <w:rFonts w:ascii="Cambria Math" w:hAnsi="Cambria Math"/>
                        <w:i/>
                        <w:color w:val="000000"/>
                      </w:rPr>
                    </m:ctrlPr>
                  </m:fPr>
                  <m:num>
                    <m:r>
                      <w:rPr>
                        <w:rFonts w:ascii="Cambria Math" w:hAnsi="Cambria Math"/>
                        <w:color w:val="000000"/>
                      </w:rPr>
                      <m:t>AtivoCirc+RealizavelLongoPrazo</m:t>
                    </m:r>
                  </m:num>
                  <m:den>
                    <m:r>
                      <w:rPr>
                        <w:rFonts w:ascii="Cambria Math" w:hAnsi="Cambria Math"/>
                        <w:color w:val="000000"/>
                      </w:rPr>
                      <m:t>PassivoCirc+ExigivelLongoPrazo</m:t>
                    </m:r>
                  </m:den>
                </m:f>
              </m:oMath>
            </m:oMathPara>
          </w:p>
        </w:tc>
        <w:tc>
          <w:tcPr>
            <w:tcW w:w="873" w:type="pct"/>
            <w:shd w:val="clear" w:color="auto" w:fill="auto"/>
            <w:vAlign w:val="center"/>
            <w:hideMark/>
          </w:tcPr>
          <w:p w14:paraId="4C217A32" w14:textId="77777777" w:rsidR="00E54627" w:rsidRPr="007365F2" w:rsidRDefault="00E54627" w:rsidP="00E54627">
            <w:pPr>
              <w:jc w:val="center"/>
              <w:rPr>
                <w:color w:val="000000"/>
              </w:rPr>
            </w:pPr>
            <w:r w:rsidRPr="007365F2">
              <w:rPr>
                <w:color w:val="000000"/>
              </w:rPr>
              <w:t>A capacidade da empresa honrar seus compromissos com terceiros, no curto ou longo prazo</w:t>
            </w:r>
          </w:p>
        </w:tc>
        <w:tc>
          <w:tcPr>
            <w:tcW w:w="703" w:type="pct"/>
            <w:shd w:val="clear" w:color="auto" w:fill="auto"/>
            <w:vAlign w:val="center"/>
            <w:hideMark/>
          </w:tcPr>
          <w:p w14:paraId="3B59B910" w14:textId="77777777" w:rsidR="00E54627" w:rsidRPr="007365F2" w:rsidRDefault="00E54627" w:rsidP="00E54627">
            <w:pPr>
              <w:jc w:val="center"/>
              <w:rPr>
                <w:color w:val="000000"/>
              </w:rPr>
            </w:pPr>
            <w:r w:rsidRPr="007365F2">
              <w:rPr>
                <w:color w:val="000000"/>
              </w:rPr>
              <w:t>Quanto maior, melhor</w:t>
            </w:r>
          </w:p>
        </w:tc>
        <w:tc>
          <w:tcPr>
            <w:tcW w:w="856" w:type="pct"/>
            <w:vAlign w:val="center"/>
          </w:tcPr>
          <w:p w14:paraId="7C1D800A" w14:textId="09FD946E" w:rsidR="00E54627" w:rsidRPr="007365F2" w:rsidRDefault="0026422B" w:rsidP="0026422B">
            <w:pPr>
              <w:jc w:val="center"/>
              <w:rPr>
                <w:color w:val="000000"/>
              </w:rPr>
            </w:pPr>
            <w:r w:rsidRPr="0026422B">
              <w:rPr>
                <w:color w:val="000000"/>
              </w:rPr>
              <w:t>Bonacim e Araujo (2011</w:t>
            </w:r>
            <w:r>
              <w:rPr>
                <w:color w:val="000000"/>
              </w:rPr>
              <w:t>)</w:t>
            </w:r>
          </w:p>
        </w:tc>
      </w:tr>
      <w:tr w:rsidR="0026422B" w:rsidRPr="007365F2" w14:paraId="53F57A3B"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634" w:type="pct"/>
            <w:shd w:val="clear" w:color="auto" w:fill="auto"/>
            <w:vAlign w:val="center"/>
            <w:hideMark/>
          </w:tcPr>
          <w:p w14:paraId="4D7C4E86" w14:textId="77777777" w:rsidR="00E54627" w:rsidRPr="007365F2" w:rsidRDefault="00E54627" w:rsidP="00E54627">
            <w:pPr>
              <w:jc w:val="center"/>
              <w:rPr>
                <w:color w:val="000000"/>
              </w:rPr>
            </w:pPr>
            <w:r w:rsidRPr="007365F2">
              <w:rPr>
                <w:color w:val="000000"/>
              </w:rPr>
              <w:t>Liquidez Corrente (LC)</w:t>
            </w:r>
          </w:p>
        </w:tc>
        <w:tc>
          <w:tcPr>
            <w:tcW w:w="1934" w:type="pct"/>
            <w:gridSpan w:val="2"/>
            <w:shd w:val="clear" w:color="auto" w:fill="auto"/>
            <w:vAlign w:val="center"/>
            <w:hideMark/>
          </w:tcPr>
          <w:p w14:paraId="34DD596D" w14:textId="77777777" w:rsidR="00E54627" w:rsidRPr="007365F2" w:rsidRDefault="00E54627" w:rsidP="00E54627">
            <w:pPr>
              <w:jc w:val="center"/>
              <w:rPr>
                <w:color w:val="000000"/>
              </w:rPr>
            </w:pPr>
            <m:oMathPara>
              <m:oMathParaPr>
                <m:jc m:val="center"/>
              </m:oMathParaPr>
              <m:oMath>
                <m:r>
                  <w:rPr>
                    <w:rFonts w:ascii="Cambria Math" w:hAnsi="Cambria Math"/>
                    <w:color w:val="000000"/>
                  </w:rPr>
                  <m:t>LC=</m:t>
                </m:r>
                <m:f>
                  <m:fPr>
                    <m:ctrlPr>
                      <w:rPr>
                        <w:rFonts w:ascii="Cambria Math" w:hAnsi="Cambria Math"/>
                        <w:i/>
                        <w:color w:val="000000"/>
                      </w:rPr>
                    </m:ctrlPr>
                  </m:fPr>
                  <m:num>
                    <m:r>
                      <w:rPr>
                        <w:rFonts w:ascii="Cambria Math" w:hAnsi="Cambria Math"/>
                        <w:color w:val="000000"/>
                      </w:rPr>
                      <m:t>AtivoCirculante</m:t>
                    </m:r>
                  </m:num>
                  <m:den>
                    <m:r>
                      <w:rPr>
                        <w:rFonts w:ascii="Cambria Math" w:hAnsi="Cambria Math"/>
                        <w:color w:val="000000"/>
                      </w:rPr>
                      <m:t>PassivoCirculante</m:t>
                    </m:r>
                  </m:den>
                </m:f>
              </m:oMath>
            </m:oMathPara>
          </w:p>
        </w:tc>
        <w:tc>
          <w:tcPr>
            <w:tcW w:w="873" w:type="pct"/>
            <w:shd w:val="clear" w:color="auto" w:fill="auto"/>
            <w:vAlign w:val="center"/>
            <w:hideMark/>
          </w:tcPr>
          <w:p w14:paraId="2ABC6FE8" w14:textId="77777777" w:rsidR="00E54627" w:rsidRPr="007365F2" w:rsidRDefault="00E54627" w:rsidP="00E54627">
            <w:pPr>
              <w:jc w:val="center"/>
              <w:rPr>
                <w:color w:val="000000"/>
              </w:rPr>
            </w:pPr>
            <w:r w:rsidRPr="007365F2">
              <w:rPr>
                <w:color w:val="000000"/>
              </w:rPr>
              <w:t>A capacidade da empresa pagar suas obrigações do curto prazo em dia</w:t>
            </w:r>
          </w:p>
        </w:tc>
        <w:tc>
          <w:tcPr>
            <w:tcW w:w="703" w:type="pct"/>
            <w:shd w:val="clear" w:color="auto" w:fill="auto"/>
            <w:vAlign w:val="center"/>
            <w:hideMark/>
          </w:tcPr>
          <w:p w14:paraId="1A1DF1CC" w14:textId="77777777" w:rsidR="00E54627" w:rsidRPr="007365F2" w:rsidRDefault="00E54627" w:rsidP="00E54627">
            <w:pPr>
              <w:jc w:val="center"/>
              <w:rPr>
                <w:color w:val="000000"/>
              </w:rPr>
            </w:pPr>
            <w:r w:rsidRPr="007365F2">
              <w:rPr>
                <w:color w:val="000000"/>
              </w:rPr>
              <w:t>Quanto maior, melhor</w:t>
            </w:r>
          </w:p>
        </w:tc>
        <w:tc>
          <w:tcPr>
            <w:tcW w:w="856" w:type="pct"/>
            <w:vAlign w:val="center"/>
          </w:tcPr>
          <w:p w14:paraId="09D1E2C6" w14:textId="56E9E97E" w:rsidR="00E54627" w:rsidRPr="007365F2" w:rsidRDefault="0026422B" w:rsidP="0026422B">
            <w:pPr>
              <w:jc w:val="center"/>
              <w:rPr>
                <w:color w:val="000000"/>
              </w:rPr>
            </w:pPr>
            <w:r w:rsidRPr="0026422B">
              <w:rPr>
                <w:color w:val="000000"/>
              </w:rPr>
              <w:t>Lima Neto (2011)</w:t>
            </w:r>
          </w:p>
        </w:tc>
      </w:tr>
      <w:tr w:rsidR="0026422B" w:rsidRPr="007365F2" w14:paraId="0E5CA51B"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634" w:type="pct"/>
            <w:shd w:val="clear" w:color="auto" w:fill="auto"/>
            <w:vAlign w:val="center"/>
            <w:hideMark/>
          </w:tcPr>
          <w:p w14:paraId="0B5EFB09" w14:textId="77777777" w:rsidR="00E54627" w:rsidRPr="007365F2" w:rsidRDefault="00E54627" w:rsidP="00E54627">
            <w:pPr>
              <w:jc w:val="center"/>
              <w:rPr>
                <w:color w:val="000000"/>
              </w:rPr>
            </w:pPr>
            <w:r w:rsidRPr="007365F2">
              <w:rPr>
                <w:color w:val="000000"/>
              </w:rPr>
              <w:t>Retorno Sobre o Ativo (ROA)</w:t>
            </w:r>
          </w:p>
        </w:tc>
        <w:tc>
          <w:tcPr>
            <w:tcW w:w="1934" w:type="pct"/>
            <w:gridSpan w:val="2"/>
            <w:shd w:val="clear" w:color="auto" w:fill="auto"/>
            <w:vAlign w:val="center"/>
            <w:hideMark/>
          </w:tcPr>
          <w:p w14:paraId="55D13454" w14:textId="77777777" w:rsidR="00E54627" w:rsidRPr="007365F2" w:rsidRDefault="00E54627" w:rsidP="00E54627">
            <w:pPr>
              <w:jc w:val="center"/>
              <w:rPr>
                <w:color w:val="000000"/>
              </w:rPr>
            </w:pPr>
            <m:oMathPara>
              <m:oMathParaPr>
                <m:jc m:val="center"/>
              </m:oMathParaPr>
              <m:oMath>
                <m:r>
                  <w:rPr>
                    <w:rFonts w:ascii="Cambria Math" w:hAnsi="Cambria Math"/>
                    <w:color w:val="000000"/>
                  </w:rPr>
                  <m:t>ROA=</m:t>
                </m:r>
                <m:f>
                  <m:fPr>
                    <m:ctrlPr>
                      <w:rPr>
                        <w:rFonts w:ascii="Cambria Math" w:hAnsi="Cambria Math"/>
                        <w:i/>
                        <w:color w:val="000000"/>
                      </w:rPr>
                    </m:ctrlPr>
                  </m:fPr>
                  <m:num>
                    <m:r>
                      <w:rPr>
                        <w:rFonts w:ascii="Cambria Math" w:hAnsi="Cambria Math"/>
                        <w:color w:val="000000"/>
                      </w:rPr>
                      <m:t>LucroLíquido</m:t>
                    </m:r>
                  </m:num>
                  <m:den>
                    <m:r>
                      <w:rPr>
                        <w:rFonts w:ascii="Cambria Math" w:hAnsi="Cambria Math"/>
                        <w:color w:val="000000"/>
                      </w:rPr>
                      <m:t>AtivoTotal</m:t>
                    </m:r>
                  </m:den>
                </m:f>
              </m:oMath>
            </m:oMathPara>
          </w:p>
        </w:tc>
        <w:tc>
          <w:tcPr>
            <w:tcW w:w="873" w:type="pct"/>
            <w:shd w:val="clear" w:color="auto" w:fill="auto"/>
            <w:vAlign w:val="center"/>
            <w:hideMark/>
          </w:tcPr>
          <w:p w14:paraId="55D14CDC" w14:textId="77777777" w:rsidR="00E54627" w:rsidRPr="007365F2" w:rsidRDefault="00E54627" w:rsidP="00E54627">
            <w:pPr>
              <w:jc w:val="center"/>
              <w:rPr>
                <w:color w:val="000000"/>
              </w:rPr>
            </w:pPr>
            <w:r w:rsidRPr="007365F2">
              <w:rPr>
                <w:color w:val="000000"/>
              </w:rPr>
              <w:t>Uma medida de retorno proporcionados pelos investimentos totais da empresa</w:t>
            </w:r>
          </w:p>
        </w:tc>
        <w:tc>
          <w:tcPr>
            <w:tcW w:w="703" w:type="pct"/>
            <w:shd w:val="clear" w:color="auto" w:fill="auto"/>
            <w:vAlign w:val="center"/>
            <w:hideMark/>
          </w:tcPr>
          <w:p w14:paraId="597E85A9" w14:textId="77777777" w:rsidR="00E54627" w:rsidRPr="007365F2" w:rsidRDefault="00E54627" w:rsidP="00E54627">
            <w:pPr>
              <w:jc w:val="center"/>
              <w:rPr>
                <w:color w:val="000000"/>
              </w:rPr>
            </w:pPr>
            <w:r w:rsidRPr="007365F2">
              <w:rPr>
                <w:color w:val="000000"/>
              </w:rPr>
              <w:t>Quanto maior, melhor</w:t>
            </w:r>
          </w:p>
        </w:tc>
        <w:tc>
          <w:tcPr>
            <w:tcW w:w="856" w:type="pct"/>
            <w:vAlign w:val="center"/>
          </w:tcPr>
          <w:p w14:paraId="65DA9A41" w14:textId="16658741" w:rsidR="00E54627" w:rsidRPr="007365F2" w:rsidRDefault="0026422B" w:rsidP="0026422B">
            <w:pPr>
              <w:jc w:val="center"/>
              <w:rPr>
                <w:color w:val="000000"/>
              </w:rPr>
            </w:pPr>
            <w:r w:rsidRPr="0026422B">
              <w:rPr>
                <w:color w:val="000000"/>
              </w:rPr>
              <w:t>Guerra (2011</w:t>
            </w:r>
            <w:r>
              <w:rPr>
                <w:color w:val="000000"/>
              </w:rPr>
              <w:t xml:space="preserve">), </w:t>
            </w:r>
            <w:r w:rsidRPr="0026422B">
              <w:rPr>
                <w:color w:val="000000"/>
              </w:rPr>
              <w:t>Freitas (2014</w:t>
            </w:r>
            <w:r>
              <w:rPr>
                <w:color w:val="000000"/>
              </w:rPr>
              <w:t>)</w:t>
            </w:r>
          </w:p>
        </w:tc>
      </w:tr>
      <w:tr w:rsidR="0026422B" w:rsidRPr="007365F2" w14:paraId="04B7ADA6"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634" w:type="pct"/>
            <w:shd w:val="clear" w:color="auto" w:fill="auto"/>
            <w:vAlign w:val="center"/>
            <w:hideMark/>
          </w:tcPr>
          <w:p w14:paraId="1336A918" w14:textId="77777777" w:rsidR="00E54627" w:rsidRPr="007365F2" w:rsidRDefault="00E54627" w:rsidP="00E54627">
            <w:pPr>
              <w:jc w:val="center"/>
              <w:rPr>
                <w:color w:val="000000"/>
              </w:rPr>
            </w:pPr>
            <w:r w:rsidRPr="007365F2">
              <w:rPr>
                <w:color w:val="000000"/>
              </w:rPr>
              <w:t>Retorno sobre o Patrimônio Líquido (ROE)</w:t>
            </w:r>
          </w:p>
        </w:tc>
        <w:tc>
          <w:tcPr>
            <w:tcW w:w="1934" w:type="pct"/>
            <w:gridSpan w:val="2"/>
            <w:shd w:val="clear" w:color="auto" w:fill="auto"/>
            <w:vAlign w:val="center"/>
            <w:hideMark/>
          </w:tcPr>
          <w:p w14:paraId="3301BE9C" w14:textId="77777777" w:rsidR="00E54627" w:rsidRPr="007365F2" w:rsidRDefault="00E54627" w:rsidP="00E54627">
            <w:pPr>
              <w:jc w:val="center"/>
              <w:rPr>
                <w:color w:val="000000"/>
              </w:rPr>
            </w:pPr>
            <m:oMathPara>
              <m:oMathParaPr>
                <m:jc m:val="center"/>
              </m:oMathParaPr>
              <m:oMath>
                <m:r>
                  <w:rPr>
                    <w:rFonts w:ascii="Cambria Math" w:hAnsi="Cambria Math"/>
                    <w:color w:val="000000"/>
                  </w:rPr>
                  <m:t>ROE=</m:t>
                </m:r>
                <m:f>
                  <m:fPr>
                    <m:ctrlPr>
                      <w:rPr>
                        <w:rFonts w:ascii="Cambria Math" w:hAnsi="Cambria Math"/>
                        <w:i/>
                        <w:color w:val="000000"/>
                      </w:rPr>
                    </m:ctrlPr>
                  </m:fPr>
                  <m:num>
                    <m:r>
                      <w:rPr>
                        <w:rFonts w:ascii="Cambria Math" w:hAnsi="Cambria Math"/>
                        <w:color w:val="000000"/>
                      </w:rPr>
                      <m:t>LucroLíquido</m:t>
                    </m:r>
                  </m:num>
                  <m:den>
                    <m:r>
                      <w:rPr>
                        <w:rFonts w:ascii="Cambria Math" w:hAnsi="Cambria Math"/>
                        <w:color w:val="000000"/>
                      </w:rPr>
                      <m:t>PatrimônioLíquido-LucroLíquido</m:t>
                    </m:r>
                  </m:den>
                </m:f>
              </m:oMath>
            </m:oMathPara>
          </w:p>
        </w:tc>
        <w:tc>
          <w:tcPr>
            <w:tcW w:w="873" w:type="pct"/>
            <w:shd w:val="clear" w:color="auto" w:fill="auto"/>
            <w:vAlign w:val="center"/>
            <w:hideMark/>
          </w:tcPr>
          <w:p w14:paraId="64FA25AF" w14:textId="77777777" w:rsidR="00E54627" w:rsidRPr="007365F2" w:rsidRDefault="00E54627" w:rsidP="00E54627">
            <w:pPr>
              <w:jc w:val="center"/>
              <w:rPr>
                <w:color w:val="000000"/>
              </w:rPr>
            </w:pPr>
            <w:r w:rsidRPr="007365F2">
              <w:rPr>
                <w:color w:val="000000"/>
              </w:rPr>
              <w:t>Uma medida de retorno proporcionado a empresa em relação ao capital que nela foi investido pelos seus acionistas</w:t>
            </w:r>
          </w:p>
        </w:tc>
        <w:tc>
          <w:tcPr>
            <w:tcW w:w="703" w:type="pct"/>
            <w:shd w:val="clear" w:color="auto" w:fill="auto"/>
            <w:vAlign w:val="center"/>
            <w:hideMark/>
          </w:tcPr>
          <w:p w14:paraId="6B84A18F" w14:textId="77777777" w:rsidR="00E54627" w:rsidRPr="007365F2" w:rsidRDefault="00E54627" w:rsidP="00E54627">
            <w:pPr>
              <w:jc w:val="center"/>
              <w:rPr>
                <w:color w:val="000000"/>
              </w:rPr>
            </w:pPr>
            <w:r w:rsidRPr="007365F2">
              <w:rPr>
                <w:color w:val="000000"/>
              </w:rPr>
              <w:t>Quanto maior, melhor</w:t>
            </w:r>
          </w:p>
        </w:tc>
        <w:tc>
          <w:tcPr>
            <w:tcW w:w="856" w:type="pct"/>
            <w:vAlign w:val="center"/>
          </w:tcPr>
          <w:p w14:paraId="5A36D5DF" w14:textId="5002798A" w:rsidR="00E54627" w:rsidRPr="007365F2" w:rsidRDefault="0026422B" w:rsidP="0026422B">
            <w:pPr>
              <w:jc w:val="center"/>
              <w:rPr>
                <w:color w:val="000000"/>
              </w:rPr>
            </w:pPr>
            <w:r w:rsidRPr="0026422B">
              <w:rPr>
                <w:color w:val="000000"/>
              </w:rPr>
              <w:t>Freitas (2014</w:t>
            </w:r>
            <w:r>
              <w:rPr>
                <w:color w:val="000000"/>
              </w:rPr>
              <w:t>)</w:t>
            </w:r>
          </w:p>
        </w:tc>
      </w:tr>
      <w:tr w:rsidR="0026422B" w:rsidRPr="007365F2" w14:paraId="3B336A99"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634" w:type="pct"/>
            <w:tcBorders>
              <w:bottom w:val="single" w:sz="4" w:space="0" w:color="auto"/>
            </w:tcBorders>
            <w:shd w:val="clear" w:color="auto" w:fill="auto"/>
            <w:vAlign w:val="center"/>
            <w:hideMark/>
          </w:tcPr>
          <w:p w14:paraId="158D606C" w14:textId="77777777" w:rsidR="00E54627" w:rsidRPr="007365F2" w:rsidRDefault="00E54627" w:rsidP="00E54627">
            <w:pPr>
              <w:jc w:val="center"/>
              <w:rPr>
                <w:color w:val="000000"/>
              </w:rPr>
            </w:pPr>
            <w:r w:rsidRPr="007365F2">
              <w:rPr>
                <w:color w:val="000000"/>
              </w:rPr>
              <w:t>Margem Líquida (ML)</w:t>
            </w:r>
          </w:p>
        </w:tc>
        <w:tc>
          <w:tcPr>
            <w:tcW w:w="1934" w:type="pct"/>
            <w:gridSpan w:val="2"/>
            <w:tcBorders>
              <w:bottom w:val="single" w:sz="4" w:space="0" w:color="auto"/>
            </w:tcBorders>
            <w:shd w:val="clear" w:color="auto" w:fill="auto"/>
            <w:vAlign w:val="center"/>
            <w:hideMark/>
          </w:tcPr>
          <w:p w14:paraId="6BB8BBAA" w14:textId="77777777" w:rsidR="00E54627" w:rsidRPr="007365F2" w:rsidRDefault="00E54627" w:rsidP="00E54627">
            <w:pPr>
              <w:jc w:val="center"/>
              <w:rPr>
                <w:color w:val="000000"/>
              </w:rPr>
            </w:pPr>
            <m:oMathPara>
              <m:oMathParaPr>
                <m:jc m:val="center"/>
              </m:oMathParaPr>
              <m:oMath>
                <m:r>
                  <w:rPr>
                    <w:rFonts w:ascii="Cambria Math" w:hAnsi="Cambria Math"/>
                    <w:color w:val="000000"/>
                  </w:rPr>
                  <m:t>ML=</m:t>
                </m:r>
                <m:f>
                  <m:fPr>
                    <m:ctrlPr>
                      <w:rPr>
                        <w:rFonts w:ascii="Cambria Math" w:hAnsi="Cambria Math"/>
                        <w:i/>
                        <w:color w:val="000000"/>
                      </w:rPr>
                    </m:ctrlPr>
                  </m:fPr>
                  <m:num>
                    <m:r>
                      <w:rPr>
                        <w:rFonts w:ascii="Cambria Math" w:hAnsi="Cambria Math"/>
                        <w:color w:val="000000"/>
                      </w:rPr>
                      <m:t>LucroLíquido</m:t>
                    </m:r>
                  </m:num>
                  <m:den>
                    <m:r>
                      <w:rPr>
                        <w:rFonts w:ascii="Cambria Math" w:hAnsi="Cambria Math"/>
                        <w:color w:val="000000"/>
                      </w:rPr>
                      <m:t>ReceitaLíquida</m:t>
                    </m:r>
                  </m:den>
                </m:f>
              </m:oMath>
            </m:oMathPara>
          </w:p>
        </w:tc>
        <w:tc>
          <w:tcPr>
            <w:tcW w:w="873" w:type="pct"/>
            <w:tcBorders>
              <w:bottom w:val="single" w:sz="4" w:space="0" w:color="auto"/>
            </w:tcBorders>
            <w:shd w:val="clear" w:color="auto" w:fill="auto"/>
            <w:vAlign w:val="center"/>
            <w:hideMark/>
          </w:tcPr>
          <w:p w14:paraId="29045DF3" w14:textId="77777777" w:rsidR="00E54627" w:rsidRPr="007365F2" w:rsidRDefault="00E54627" w:rsidP="00E54627">
            <w:pPr>
              <w:jc w:val="center"/>
              <w:rPr>
                <w:color w:val="000000"/>
              </w:rPr>
            </w:pPr>
            <w:r w:rsidRPr="007365F2">
              <w:rPr>
                <w:color w:val="000000"/>
              </w:rPr>
              <w:t>Identifica se os hospitais melhoraram a eficiência operacional, administrativa e financeira, convertendo uma proporção maior da receita em lucro</w:t>
            </w:r>
          </w:p>
        </w:tc>
        <w:tc>
          <w:tcPr>
            <w:tcW w:w="703" w:type="pct"/>
            <w:tcBorders>
              <w:bottom w:val="single" w:sz="4" w:space="0" w:color="auto"/>
            </w:tcBorders>
            <w:shd w:val="clear" w:color="auto" w:fill="auto"/>
            <w:vAlign w:val="center"/>
            <w:hideMark/>
          </w:tcPr>
          <w:p w14:paraId="2794EA0D" w14:textId="77777777" w:rsidR="00E54627" w:rsidRPr="007365F2" w:rsidRDefault="00E54627" w:rsidP="00E54627">
            <w:pPr>
              <w:jc w:val="center"/>
              <w:rPr>
                <w:color w:val="000000"/>
              </w:rPr>
            </w:pPr>
            <w:r w:rsidRPr="007365F2">
              <w:rPr>
                <w:color w:val="000000"/>
              </w:rPr>
              <w:t>Quanto maior, melhor</w:t>
            </w:r>
          </w:p>
        </w:tc>
        <w:tc>
          <w:tcPr>
            <w:tcW w:w="856" w:type="pct"/>
            <w:tcBorders>
              <w:bottom w:val="single" w:sz="4" w:space="0" w:color="auto"/>
            </w:tcBorders>
            <w:vAlign w:val="center"/>
          </w:tcPr>
          <w:p w14:paraId="16E3C619" w14:textId="23348B47" w:rsidR="00E54627" w:rsidRPr="007365F2" w:rsidRDefault="0026422B" w:rsidP="0026422B">
            <w:pPr>
              <w:jc w:val="center"/>
              <w:rPr>
                <w:color w:val="000000"/>
              </w:rPr>
            </w:pPr>
            <w:r w:rsidRPr="0026422B">
              <w:rPr>
                <w:color w:val="000000"/>
              </w:rPr>
              <w:t>Creixans</w:t>
            </w:r>
            <w:r w:rsidR="00023230">
              <w:rPr>
                <w:color w:val="000000"/>
              </w:rPr>
              <w:t>-Tenas</w:t>
            </w:r>
            <w:r w:rsidRPr="0026422B">
              <w:rPr>
                <w:color w:val="000000"/>
              </w:rPr>
              <w:t xml:space="preserve"> e Arimany-Serrat (2017)</w:t>
            </w:r>
          </w:p>
        </w:tc>
      </w:tr>
      <w:tr w:rsidR="00E54627" w:rsidRPr="007365F2" w14:paraId="256CD191" w14:textId="77777777" w:rsidTr="002642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
        </w:trPr>
        <w:tc>
          <w:tcPr>
            <w:tcW w:w="4144" w:type="pct"/>
            <w:gridSpan w:val="5"/>
            <w:tcBorders>
              <w:left w:val="nil"/>
              <w:bottom w:val="nil"/>
              <w:right w:val="nil"/>
            </w:tcBorders>
            <w:shd w:val="clear" w:color="auto" w:fill="auto"/>
            <w:vAlign w:val="center"/>
            <w:hideMark/>
          </w:tcPr>
          <w:p w14:paraId="3E8D4E4B" w14:textId="77777777" w:rsidR="00E54627" w:rsidRPr="007365F2" w:rsidRDefault="00E54627" w:rsidP="00E54627">
            <w:pPr>
              <w:rPr>
                <w:color w:val="000000"/>
              </w:rPr>
            </w:pPr>
            <w:r w:rsidRPr="007365F2">
              <w:rPr>
                <w:color w:val="000000"/>
              </w:rPr>
              <w:t>Fonte: Dados da pesquisa.</w:t>
            </w:r>
          </w:p>
        </w:tc>
        <w:tc>
          <w:tcPr>
            <w:tcW w:w="856" w:type="pct"/>
            <w:tcBorders>
              <w:left w:val="nil"/>
              <w:bottom w:val="nil"/>
              <w:right w:val="nil"/>
            </w:tcBorders>
          </w:tcPr>
          <w:p w14:paraId="4E015D80" w14:textId="77777777" w:rsidR="00E54627" w:rsidRPr="007365F2" w:rsidRDefault="00E54627" w:rsidP="00E54627">
            <w:pPr>
              <w:rPr>
                <w:color w:val="000000"/>
              </w:rPr>
            </w:pPr>
          </w:p>
        </w:tc>
      </w:tr>
    </w:tbl>
    <w:p w14:paraId="5AB067E3" w14:textId="77777777" w:rsidR="00E54627" w:rsidRDefault="00E54627" w:rsidP="00E54627">
      <w:pPr>
        <w:rPr>
          <w:b/>
          <w:sz w:val="24"/>
          <w:szCs w:val="24"/>
        </w:rPr>
      </w:pPr>
    </w:p>
    <w:p w14:paraId="3C8E62DB" w14:textId="77777777" w:rsidR="00E54627" w:rsidRDefault="00E54627" w:rsidP="00E54627">
      <w:pPr>
        <w:ind w:firstLine="709"/>
        <w:jc w:val="both"/>
        <w:rPr>
          <w:sz w:val="24"/>
          <w:szCs w:val="24"/>
        </w:rPr>
      </w:pPr>
      <w:r>
        <w:rPr>
          <w:sz w:val="24"/>
          <w:szCs w:val="24"/>
        </w:rPr>
        <w:t xml:space="preserve">Para a análise de dados </w:t>
      </w:r>
      <w:r w:rsidRPr="008D1143">
        <w:rPr>
          <w:sz w:val="24"/>
          <w:szCs w:val="24"/>
        </w:rPr>
        <w:t xml:space="preserve">foi </w:t>
      </w:r>
      <w:r>
        <w:rPr>
          <w:sz w:val="24"/>
          <w:szCs w:val="24"/>
        </w:rPr>
        <w:t>utilizada a c</w:t>
      </w:r>
      <w:r w:rsidRPr="008D1143">
        <w:rPr>
          <w:sz w:val="24"/>
          <w:szCs w:val="24"/>
        </w:rPr>
        <w:t xml:space="preserve">orrelação </w:t>
      </w:r>
      <w:r>
        <w:rPr>
          <w:sz w:val="24"/>
          <w:szCs w:val="24"/>
        </w:rPr>
        <w:t>c</w:t>
      </w:r>
      <w:r w:rsidRPr="008D1143">
        <w:rPr>
          <w:sz w:val="24"/>
          <w:szCs w:val="24"/>
        </w:rPr>
        <w:t xml:space="preserve">anônica, </w:t>
      </w:r>
      <w:r>
        <w:rPr>
          <w:sz w:val="24"/>
          <w:szCs w:val="24"/>
        </w:rPr>
        <w:t>a partir do</w:t>
      </w:r>
      <w:r w:rsidRPr="00844EE3">
        <w:rPr>
          <w:sz w:val="24"/>
          <w:szCs w:val="24"/>
        </w:rPr>
        <w:t xml:space="preserve"> software</w:t>
      </w:r>
      <w:r>
        <w:rPr>
          <w:sz w:val="24"/>
          <w:szCs w:val="24"/>
        </w:rPr>
        <w:t xml:space="preserve"> estatístico</w:t>
      </w:r>
      <w:r w:rsidRPr="00844EE3">
        <w:rPr>
          <w:sz w:val="24"/>
          <w:szCs w:val="24"/>
        </w:rPr>
        <w:t xml:space="preserve"> </w:t>
      </w:r>
      <w:r w:rsidRPr="00844EE3">
        <w:rPr>
          <w:i/>
          <w:sz w:val="24"/>
          <w:szCs w:val="24"/>
        </w:rPr>
        <w:t>Statgraphics Centurion</w:t>
      </w:r>
      <w:r w:rsidRPr="00844EE3">
        <w:rPr>
          <w:sz w:val="24"/>
          <w:szCs w:val="24"/>
        </w:rPr>
        <w:t xml:space="preserve"> 16</w:t>
      </w:r>
      <w:r w:rsidRPr="0050799D">
        <w:rPr>
          <w:sz w:val="24"/>
          <w:szCs w:val="24"/>
          <w:vertAlign w:val="superscript"/>
        </w:rPr>
        <w:t>®</w:t>
      </w:r>
      <w:r>
        <w:rPr>
          <w:sz w:val="24"/>
          <w:szCs w:val="24"/>
        </w:rPr>
        <w:t xml:space="preserve">. </w:t>
      </w:r>
      <w:r w:rsidRPr="00631811">
        <w:rPr>
          <w:sz w:val="24"/>
          <w:szCs w:val="24"/>
        </w:rPr>
        <w:t>Conforme Mingoti (2005, p. 143), a análise de correlações canônicas tem como principal objetivo “o estudo das relações lineares existentes entre dois conjuntos de variáveis”</w:t>
      </w:r>
      <w:r>
        <w:rPr>
          <w:sz w:val="24"/>
          <w:szCs w:val="24"/>
        </w:rPr>
        <w:t>, no caso desta pesquisa, entre as variáveis de desempenho operacional com as variáveis que correspondem a situação econômico-financeira das organizações.</w:t>
      </w:r>
      <w:r w:rsidRPr="00631811">
        <w:rPr>
          <w:sz w:val="24"/>
          <w:szCs w:val="24"/>
        </w:rPr>
        <w:t xml:space="preserve"> </w:t>
      </w:r>
    </w:p>
    <w:p w14:paraId="3D733AE8" w14:textId="77777777" w:rsidR="00E54627" w:rsidRDefault="00E54627" w:rsidP="00E54627">
      <w:pPr>
        <w:rPr>
          <w:b/>
          <w:sz w:val="24"/>
          <w:szCs w:val="24"/>
        </w:rPr>
      </w:pPr>
    </w:p>
    <w:p w14:paraId="08A7BDD6" w14:textId="77777777" w:rsidR="00E54627" w:rsidRDefault="00E54627" w:rsidP="00E54627">
      <w:pPr>
        <w:rPr>
          <w:b/>
          <w:sz w:val="24"/>
          <w:szCs w:val="24"/>
        </w:rPr>
      </w:pPr>
      <w:r w:rsidRPr="00EC448D">
        <w:rPr>
          <w:b/>
          <w:sz w:val="24"/>
          <w:szCs w:val="24"/>
        </w:rPr>
        <w:t xml:space="preserve">4 Análise </w:t>
      </w:r>
      <w:r>
        <w:rPr>
          <w:b/>
          <w:sz w:val="24"/>
          <w:szCs w:val="24"/>
        </w:rPr>
        <w:t>d</w:t>
      </w:r>
      <w:r w:rsidRPr="00EC448D">
        <w:rPr>
          <w:b/>
          <w:sz w:val="24"/>
          <w:szCs w:val="24"/>
        </w:rPr>
        <w:t>os Resultados</w:t>
      </w:r>
    </w:p>
    <w:p w14:paraId="262A6F45" w14:textId="77777777" w:rsidR="00E54627" w:rsidRPr="00A43AAB" w:rsidRDefault="00E54627" w:rsidP="00E54627">
      <w:pPr>
        <w:ind w:firstLine="709"/>
        <w:jc w:val="both"/>
      </w:pPr>
      <w:r>
        <w:rPr>
          <w:sz w:val="24"/>
          <w:szCs w:val="24"/>
        </w:rPr>
        <w:t xml:space="preserve">Nesta seção busca-se analisar os resultados obtidos através da técnica estatística empregada no estudo, assim como as implicações destes resultados para o contexto hospitalar. Por meio da técnica estatística de correlação canônica, o primeiro grupo irá representar as variáveis da situação econômico-financeira e o segundo, as variáveis que correspondem ao desempenho operacional dos hospitais. Esta ordem dos grupos se dá pelo fato da quantidade de variáveis envolvidas, pois esta técnica exige que o primeiro grupo tenha uma maior ou igual número de variáveis que o segundo. </w:t>
      </w:r>
    </w:p>
    <w:p w14:paraId="44FB6A34" w14:textId="77777777" w:rsidR="00E54627" w:rsidRDefault="00E54627" w:rsidP="00E54627">
      <w:pPr>
        <w:ind w:firstLine="709"/>
        <w:jc w:val="both"/>
        <w:rPr>
          <w:sz w:val="24"/>
          <w:szCs w:val="24"/>
        </w:rPr>
      </w:pPr>
      <w:r w:rsidRPr="007A3F53">
        <w:rPr>
          <w:sz w:val="24"/>
          <w:szCs w:val="24"/>
        </w:rPr>
        <w:t>A seguir,</w:t>
      </w:r>
      <w:r>
        <w:rPr>
          <w:sz w:val="24"/>
          <w:szCs w:val="24"/>
        </w:rPr>
        <w:t xml:space="preserve"> </w:t>
      </w:r>
      <w:r w:rsidRPr="007A3F53">
        <w:rPr>
          <w:sz w:val="24"/>
          <w:szCs w:val="24"/>
        </w:rPr>
        <w:t xml:space="preserve">na Tabela </w:t>
      </w:r>
      <w:r>
        <w:rPr>
          <w:sz w:val="24"/>
          <w:szCs w:val="24"/>
        </w:rPr>
        <w:t>2</w:t>
      </w:r>
      <w:r w:rsidRPr="007A3F53">
        <w:rPr>
          <w:sz w:val="24"/>
          <w:szCs w:val="24"/>
        </w:rPr>
        <w:t xml:space="preserve"> apresenta-se a correlação canônica do grupo </w:t>
      </w:r>
      <w:r>
        <w:rPr>
          <w:sz w:val="24"/>
          <w:szCs w:val="24"/>
        </w:rPr>
        <w:t xml:space="preserve">de variáveis da situação econômico-financeira </w:t>
      </w:r>
      <w:r w:rsidRPr="007A3F53">
        <w:rPr>
          <w:sz w:val="24"/>
          <w:szCs w:val="24"/>
        </w:rPr>
        <w:t xml:space="preserve">com o grupo </w:t>
      </w:r>
      <w:r>
        <w:rPr>
          <w:sz w:val="24"/>
          <w:szCs w:val="24"/>
        </w:rPr>
        <w:t>do desempenho operacional dos hospitais</w:t>
      </w:r>
      <w:r w:rsidRPr="007A3F53">
        <w:rPr>
          <w:sz w:val="24"/>
          <w:szCs w:val="24"/>
        </w:rPr>
        <w:t>.</w:t>
      </w:r>
    </w:p>
    <w:p w14:paraId="7C26394F" w14:textId="77777777" w:rsidR="00E54627" w:rsidRDefault="00E54627" w:rsidP="00E54627">
      <w:pPr>
        <w:ind w:firstLine="709"/>
        <w:rPr>
          <w:sz w:val="24"/>
          <w:szCs w:val="24"/>
        </w:rPr>
      </w:pPr>
    </w:p>
    <w:tbl>
      <w:tblPr>
        <w:tblW w:w="5000" w:type="pct"/>
        <w:tblCellMar>
          <w:left w:w="70" w:type="dxa"/>
          <w:right w:w="70" w:type="dxa"/>
        </w:tblCellMar>
        <w:tblLook w:val="04A0" w:firstRow="1" w:lastRow="0" w:firstColumn="1" w:lastColumn="0" w:noHBand="0" w:noVBand="1"/>
      </w:tblPr>
      <w:tblGrid>
        <w:gridCol w:w="1295"/>
        <w:gridCol w:w="1295"/>
        <w:gridCol w:w="1295"/>
        <w:gridCol w:w="1294"/>
        <w:gridCol w:w="1294"/>
        <w:gridCol w:w="1294"/>
        <w:gridCol w:w="1298"/>
      </w:tblGrid>
      <w:tr w:rsidR="00E54627" w:rsidRPr="0051160F" w14:paraId="73428747" w14:textId="77777777" w:rsidTr="00941521">
        <w:trPr>
          <w:trHeight w:val="20"/>
        </w:trPr>
        <w:tc>
          <w:tcPr>
            <w:tcW w:w="5000" w:type="pct"/>
            <w:gridSpan w:val="7"/>
            <w:tcBorders>
              <w:top w:val="nil"/>
              <w:left w:val="nil"/>
              <w:bottom w:val="nil"/>
              <w:right w:val="nil"/>
            </w:tcBorders>
            <w:shd w:val="clear" w:color="auto" w:fill="auto"/>
            <w:noWrap/>
            <w:vAlign w:val="bottom"/>
            <w:hideMark/>
          </w:tcPr>
          <w:p w14:paraId="61718588" w14:textId="77777777" w:rsidR="00E54627" w:rsidRDefault="00E54627" w:rsidP="00E54627">
            <w:pPr>
              <w:jc w:val="both"/>
              <w:rPr>
                <w:b/>
                <w:bCs/>
                <w:color w:val="000000"/>
              </w:rPr>
            </w:pPr>
            <w:r w:rsidRPr="0051160F">
              <w:rPr>
                <w:b/>
                <w:bCs/>
                <w:color w:val="000000"/>
              </w:rPr>
              <w:t xml:space="preserve">Tabela 2 </w:t>
            </w:r>
          </w:p>
          <w:p w14:paraId="5B1C99BB" w14:textId="77777777" w:rsidR="00E54627" w:rsidRPr="007A3F53" w:rsidRDefault="00E54627" w:rsidP="00E54627">
            <w:pPr>
              <w:jc w:val="both"/>
              <w:rPr>
                <w:bCs/>
                <w:color w:val="000000"/>
              </w:rPr>
            </w:pPr>
            <w:r w:rsidRPr="007A3F53">
              <w:rPr>
                <w:bCs/>
                <w:color w:val="000000"/>
              </w:rPr>
              <w:t>Correlação Canônica do grupo situação econômico-financeira e desempenho operacional</w:t>
            </w:r>
          </w:p>
        </w:tc>
      </w:tr>
      <w:tr w:rsidR="00E54627" w:rsidRPr="0051160F" w14:paraId="0CE9BD2B" w14:textId="77777777" w:rsidTr="00941521">
        <w:trPr>
          <w:trHeight w:val="20"/>
        </w:trPr>
        <w:tc>
          <w:tcPr>
            <w:tcW w:w="714" w:type="pct"/>
            <w:tcBorders>
              <w:top w:val="single" w:sz="12" w:space="0" w:color="auto"/>
              <w:left w:val="nil"/>
              <w:bottom w:val="single" w:sz="4" w:space="0" w:color="000000"/>
              <w:right w:val="nil"/>
            </w:tcBorders>
            <w:shd w:val="clear" w:color="auto" w:fill="auto"/>
            <w:noWrap/>
            <w:vAlign w:val="center"/>
            <w:hideMark/>
          </w:tcPr>
          <w:p w14:paraId="5A4CA1A8" w14:textId="77777777" w:rsidR="00E54627" w:rsidRPr="0051160F" w:rsidRDefault="00E54627" w:rsidP="00E54627">
            <w:pPr>
              <w:jc w:val="center"/>
              <w:rPr>
                <w:b/>
                <w:bCs/>
                <w:color w:val="000000"/>
              </w:rPr>
            </w:pPr>
            <w:r w:rsidRPr="0051160F">
              <w:rPr>
                <w:b/>
                <w:bCs/>
                <w:color w:val="000000"/>
              </w:rPr>
              <w:t>N</w:t>
            </w:r>
            <w:r>
              <w:rPr>
                <w:b/>
                <w:bCs/>
                <w:color w:val="000000"/>
              </w:rPr>
              <w:t>úmero</w:t>
            </w:r>
          </w:p>
        </w:tc>
        <w:tc>
          <w:tcPr>
            <w:tcW w:w="714" w:type="pct"/>
            <w:tcBorders>
              <w:top w:val="single" w:sz="12" w:space="0" w:color="auto"/>
              <w:left w:val="nil"/>
              <w:bottom w:val="single" w:sz="4" w:space="0" w:color="000000"/>
              <w:right w:val="nil"/>
            </w:tcBorders>
            <w:shd w:val="clear" w:color="auto" w:fill="auto"/>
            <w:noWrap/>
            <w:vAlign w:val="center"/>
            <w:hideMark/>
          </w:tcPr>
          <w:p w14:paraId="48E29567" w14:textId="77777777" w:rsidR="00E54627" w:rsidRPr="0051160F" w:rsidRDefault="00E54627" w:rsidP="00E54627">
            <w:pPr>
              <w:jc w:val="center"/>
              <w:rPr>
                <w:b/>
                <w:bCs/>
                <w:color w:val="000000"/>
              </w:rPr>
            </w:pPr>
            <w:r w:rsidRPr="0051160F">
              <w:rPr>
                <w:b/>
                <w:bCs/>
                <w:color w:val="000000"/>
              </w:rPr>
              <w:t>Eigenvalue</w:t>
            </w:r>
          </w:p>
        </w:tc>
        <w:tc>
          <w:tcPr>
            <w:tcW w:w="714" w:type="pct"/>
            <w:tcBorders>
              <w:top w:val="single" w:sz="12" w:space="0" w:color="auto"/>
              <w:left w:val="nil"/>
              <w:bottom w:val="single" w:sz="4" w:space="0" w:color="000000"/>
              <w:right w:val="nil"/>
            </w:tcBorders>
            <w:shd w:val="clear" w:color="auto" w:fill="auto"/>
            <w:vAlign w:val="center"/>
            <w:hideMark/>
          </w:tcPr>
          <w:p w14:paraId="378A756C" w14:textId="77777777" w:rsidR="00E54627" w:rsidRPr="0051160F" w:rsidRDefault="00E54627" w:rsidP="00E54627">
            <w:pPr>
              <w:jc w:val="center"/>
              <w:rPr>
                <w:b/>
                <w:bCs/>
                <w:color w:val="000000"/>
              </w:rPr>
            </w:pPr>
            <w:r w:rsidRPr="0051160F">
              <w:rPr>
                <w:b/>
                <w:bCs/>
                <w:color w:val="000000"/>
              </w:rPr>
              <w:t>Canonical Correlation</w:t>
            </w:r>
          </w:p>
        </w:tc>
        <w:tc>
          <w:tcPr>
            <w:tcW w:w="714" w:type="pct"/>
            <w:tcBorders>
              <w:top w:val="single" w:sz="12" w:space="0" w:color="auto"/>
              <w:left w:val="nil"/>
              <w:bottom w:val="single" w:sz="4" w:space="0" w:color="000000"/>
              <w:right w:val="nil"/>
            </w:tcBorders>
            <w:shd w:val="clear" w:color="auto" w:fill="auto"/>
            <w:vAlign w:val="center"/>
            <w:hideMark/>
          </w:tcPr>
          <w:p w14:paraId="55C78461" w14:textId="77777777" w:rsidR="00E54627" w:rsidRPr="0051160F" w:rsidRDefault="00E54627" w:rsidP="00E54627">
            <w:pPr>
              <w:jc w:val="center"/>
              <w:rPr>
                <w:b/>
                <w:bCs/>
                <w:color w:val="000000"/>
              </w:rPr>
            </w:pPr>
            <w:r w:rsidRPr="0051160F">
              <w:rPr>
                <w:b/>
                <w:bCs/>
                <w:color w:val="000000"/>
              </w:rPr>
              <w:t>Wilks Lambda</w:t>
            </w:r>
          </w:p>
        </w:tc>
        <w:tc>
          <w:tcPr>
            <w:tcW w:w="714" w:type="pct"/>
            <w:tcBorders>
              <w:top w:val="single" w:sz="12" w:space="0" w:color="auto"/>
              <w:left w:val="nil"/>
              <w:bottom w:val="single" w:sz="4" w:space="0" w:color="000000"/>
              <w:right w:val="nil"/>
            </w:tcBorders>
            <w:shd w:val="clear" w:color="auto" w:fill="auto"/>
            <w:noWrap/>
            <w:vAlign w:val="center"/>
            <w:hideMark/>
          </w:tcPr>
          <w:p w14:paraId="622E5667" w14:textId="77777777" w:rsidR="00E54627" w:rsidRPr="0051160F" w:rsidRDefault="00E54627" w:rsidP="00E54627">
            <w:pPr>
              <w:jc w:val="center"/>
              <w:rPr>
                <w:b/>
                <w:bCs/>
                <w:color w:val="000000"/>
              </w:rPr>
            </w:pPr>
            <w:r w:rsidRPr="0051160F">
              <w:rPr>
                <w:b/>
                <w:bCs/>
                <w:color w:val="000000"/>
              </w:rPr>
              <w:t>Chi-Square</w:t>
            </w:r>
          </w:p>
        </w:tc>
        <w:tc>
          <w:tcPr>
            <w:tcW w:w="714" w:type="pct"/>
            <w:tcBorders>
              <w:top w:val="single" w:sz="12" w:space="0" w:color="auto"/>
              <w:left w:val="nil"/>
              <w:bottom w:val="single" w:sz="4" w:space="0" w:color="000000"/>
              <w:right w:val="nil"/>
            </w:tcBorders>
            <w:shd w:val="clear" w:color="auto" w:fill="auto"/>
            <w:noWrap/>
            <w:vAlign w:val="center"/>
            <w:hideMark/>
          </w:tcPr>
          <w:p w14:paraId="26B58D1A" w14:textId="77777777" w:rsidR="00E54627" w:rsidRPr="0051160F" w:rsidRDefault="00E54627" w:rsidP="00E54627">
            <w:pPr>
              <w:jc w:val="center"/>
              <w:rPr>
                <w:b/>
                <w:bCs/>
                <w:color w:val="000000"/>
              </w:rPr>
            </w:pPr>
            <w:r w:rsidRPr="0051160F">
              <w:rPr>
                <w:b/>
                <w:bCs/>
                <w:color w:val="000000"/>
              </w:rPr>
              <w:t>D.F.</w:t>
            </w:r>
          </w:p>
        </w:tc>
        <w:tc>
          <w:tcPr>
            <w:tcW w:w="714" w:type="pct"/>
            <w:tcBorders>
              <w:top w:val="single" w:sz="12" w:space="0" w:color="auto"/>
              <w:left w:val="nil"/>
              <w:bottom w:val="single" w:sz="4" w:space="0" w:color="000000"/>
              <w:right w:val="nil"/>
            </w:tcBorders>
            <w:shd w:val="clear" w:color="auto" w:fill="auto"/>
            <w:noWrap/>
            <w:vAlign w:val="center"/>
            <w:hideMark/>
          </w:tcPr>
          <w:p w14:paraId="1DF2F690" w14:textId="77777777" w:rsidR="00E54627" w:rsidRPr="0051160F" w:rsidRDefault="00E54627" w:rsidP="00E54627">
            <w:pPr>
              <w:jc w:val="center"/>
              <w:rPr>
                <w:b/>
                <w:bCs/>
                <w:color w:val="000000"/>
              </w:rPr>
            </w:pPr>
            <w:r w:rsidRPr="0051160F">
              <w:rPr>
                <w:b/>
                <w:bCs/>
                <w:color w:val="000000"/>
              </w:rPr>
              <w:t>P-Value</w:t>
            </w:r>
          </w:p>
        </w:tc>
      </w:tr>
      <w:tr w:rsidR="00E54627" w:rsidRPr="0051160F" w14:paraId="383AFA8B" w14:textId="77777777" w:rsidTr="00941521">
        <w:trPr>
          <w:trHeight w:val="20"/>
        </w:trPr>
        <w:tc>
          <w:tcPr>
            <w:tcW w:w="714" w:type="pct"/>
            <w:tcBorders>
              <w:top w:val="nil"/>
              <w:left w:val="nil"/>
              <w:bottom w:val="nil"/>
              <w:right w:val="nil"/>
            </w:tcBorders>
            <w:shd w:val="clear" w:color="D9D9D9" w:fill="D9D9D9"/>
            <w:noWrap/>
            <w:vAlign w:val="center"/>
            <w:hideMark/>
          </w:tcPr>
          <w:p w14:paraId="7E0ADFB4" w14:textId="77777777" w:rsidR="00E54627" w:rsidRPr="0051160F" w:rsidRDefault="00E54627" w:rsidP="00E54627">
            <w:pPr>
              <w:jc w:val="center"/>
              <w:rPr>
                <w:color w:val="000000"/>
              </w:rPr>
            </w:pPr>
            <w:r w:rsidRPr="0051160F">
              <w:rPr>
                <w:color w:val="000000"/>
              </w:rPr>
              <w:t>1</w:t>
            </w:r>
          </w:p>
        </w:tc>
        <w:tc>
          <w:tcPr>
            <w:tcW w:w="714" w:type="pct"/>
            <w:tcBorders>
              <w:top w:val="nil"/>
              <w:left w:val="nil"/>
              <w:bottom w:val="nil"/>
              <w:right w:val="nil"/>
            </w:tcBorders>
            <w:shd w:val="clear" w:color="D9D9D9" w:fill="D9D9D9"/>
            <w:noWrap/>
            <w:vAlign w:val="center"/>
            <w:hideMark/>
          </w:tcPr>
          <w:p w14:paraId="0234E85E" w14:textId="77777777" w:rsidR="00E54627" w:rsidRPr="0051160F" w:rsidRDefault="00E54627" w:rsidP="00E54627">
            <w:pPr>
              <w:jc w:val="center"/>
              <w:rPr>
                <w:color w:val="000000"/>
              </w:rPr>
            </w:pPr>
            <w:r w:rsidRPr="0051160F">
              <w:rPr>
                <w:color w:val="000000"/>
              </w:rPr>
              <w:t>0,1045530</w:t>
            </w:r>
          </w:p>
        </w:tc>
        <w:tc>
          <w:tcPr>
            <w:tcW w:w="714" w:type="pct"/>
            <w:tcBorders>
              <w:top w:val="nil"/>
              <w:left w:val="nil"/>
              <w:bottom w:val="nil"/>
              <w:right w:val="nil"/>
            </w:tcBorders>
            <w:shd w:val="clear" w:color="D9D9D9" w:fill="D9D9D9"/>
            <w:noWrap/>
            <w:vAlign w:val="center"/>
            <w:hideMark/>
          </w:tcPr>
          <w:p w14:paraId="42C307E2" w14:textId="77777777" w:rsidR="00E54627" w:rsidRPr="0051160F" w:rsidRDefault="00E54627" w:rsidP="00E54627">
            <w:pPr>
              <w:jc w:val="center"/>
              <w:rPr>
                <w:color w:val="000000"/>
              </w:rPr>
            </w:pPr>
            <w:r w:rsidRPr="0051160F">
              <w:rPr>
                <w:color w:val="000000"/>
              </w:rPr>
              <w:t>0,32335</w:t>
            </w:r>
          </w:p>
        </w:tc>
        <w:tc>
          <w:tcPr>
            <w:tcW w:w="714" w:type="pct"/>
            <w:tcBorders>
              <w:top w:val="nil"/>
              <w:left w:val="nil"/>
              <w:bottom w:val="nil"/>
              <w:right w:val="nil"/>
            </w:tcBorders>
            <w:shd w:val="clear" w:color="D9D9D9" w:fill="D9D9D9"/>
            <w:noWrap/>
            <w:vAlign w:val="center"/>
            <w:hideMark/>
          </w:tcPr>
          <w:p w14:paraId="4F12499C" w14:textId="77777777" w:rsidR="00E54627" w:rsidRPr="0051160F" w:rsidRDefault="00E54627" w:rsidP="00E54627">
            <w:pPr>
              <w:jc w:val="center"/>
              <w:rPr>
                <w:color w:val="000000"/>
              </w:rPr>
            </w:pPr>
            <w:r w:rsidRPr="0051160F">
              <w:rPr>
                <w:color w:val="000000"/>
              </w:rPr>
              <w:t>0,857935</w:t>
            </w:r>
          </w:p>
        </w:tc>
        <w:tc>
          <w:tcPr>
            <w:tcW w:w="714" w:type="pct"/>
            <w:tcBorders>
              <w:top w:val="nil"/>
              <w:left w:val="nil"/>
              <w:bottom w:val="nil"/>
              <w:right w:val="nil"/>
            </w:tcBorders>
            <w:shd w:val="clear" w:color="D9D9D9" w:fill="D9D9D9"/>
            <w:noWrap/>
            <w:vAlign w:val="center"/>
            <w:hideMark/>
          </w:tcPr>
          <w:p w14:paraId="0B9ED4B8" w14:textId="77777777" w:rsidR="00E54627" w:rsidRPr="0051160F" w:rsidRDefault="00E54627" w:rsidP="00E54627">
            <w:pPr>
              <w:jc w:val="center"/>
              <w:rPr>
                <w:color w:val="000000"/>
              </w:rPr>
            </w:pPr>
            <w:r w:rsidRPr="0051160F">
              <w:rPr>
                <w:color w:val="000000"/>
              </w:rPr>
              <w:t>91,7830</w:t>
            </w:r>
          </w:p>
        </w:tc>
        <w:tc>
          <w:tcPr>
            <w:tcW w:w="714" w:type="pct"/>
            <w:tcBorders>
              <w:top w:val="nil"/>
              <w:left w:val="nil"/>
              <w:bottom w:val="nil"/>
              <w:right w:val="nil"/>
            </w:tcBorders>
            <w:shd w:val="clear" w:color="D9D9D9" w:fill="D9D9D9"/>
            <w:noWrap/>
            <w:vAlign w:val="center"/>
            <w:hideMark/>
          </w:tcPr>
          <w:p w14:paraId="675351A9" w14:textId="77777777" w:rsidR="00E54627" w:rsidRPr="0051160F" w:rsidRDefault="00E54627" w:rsidP="00E54627">
            <w:pPr>
              <w:jc w:val="center"/>
              <w:rPr>
                <w:color w:val="000000"/>
              </w:rPr>
            </w:pPr>
            <w:r w:rsidRPr="0051160F">
              <w:rPr>
                <w:color w:val="000000"/>
              </w:rPr>
              <w:t>20</w:t>
            </w:r>
          </w:p>
        </w:tc>
        <w:tc>
          <w:tcPr>
            <w:tcW w:w="714" w:type="pct"/>
            <w:tcBorders>
              <w:top w:val="nil"/>
              <w:left w:val="nil"/>
              <w:bottom w:val="nil"/>
              <w:right w:val="nil"/>
            </w:tcBorders>
            <w:shd w:val="clear" w:color="D9D9D9" w:fill="D9D9D9"/>
            <w:noWrap/>
            <w:vAlign w:val="center"/>
            <w:hideMark/>
          </w:tcPr>
          <w:p w14:paraId="0270B0CB" w14:textId="77777777" w:rsidR="00E54627" w:rsidRPr="0051160F" w:rsidRDefault="00E54627" w:rsidP="00E54627">
            <w:pPr>
              <w:jc w:val="center"/>
              <w:rPr>
                <w:color w:val="000000"/>
              </w:rPr>
            </w:pPr>
            <w:r w:rsidRPr="0051160F">
              <w:rPr>
                <w:color w:val="000000"/>
              </w:rPr>
              <w:t>0,0000</w:t>
            </w:r>
          </w:p>
        </w:tc>
      </w:tr>
      <w:tr w:rsidR="00E54627" w:rsidRPr="0051160F" w14:paraId="2793357F" w14:textId="77777777" w:rsidTr="00941521">
        <w:trPr>
          <w:trHeight w:val="20"/>
        </w:trPr>
        <w:tc>
          <w:tcPr>
            <w:tcW w:w="714" w:type="pct"/>
            <w:tcBorders>
              <w:top w:val="nil"/>
              <w:left w:val="nil"/>
              <w:bottom w:val="nil"/>
              <w:right w:val="nil"/>
            </w:tcBorders>
            <w:shd w:val="clear" w:color="auto" w:fill="auto"/>
            <w:noWrap/>
            <w:vAlign w:val="center"/>
            <w:hideMark/>
          </w:tcPr>
          <w:p w14:paraId="49AA7313" w14:textId="77777777" w:rsidR="00E54627" w:rsidRPr="0051160F" w:rsidRDefault="00E54627" w:rsidP="00E54627">
            <w:pPr>
              <w:jc w:val="center"/>
              <w:rPr>
                <w:color w:val="000000"/>
              </w:rPr>
            </w:pPr>
            <w:r w:rsidRPr="0051160F">
              <w:rPr>
                <w:color w:val="000000"/>
              </w:rPr>
              <w:t>2</w:t>
            </w:r>
          </w:p>
        </w:tc>
        <w:tc>
          <w:tcPr>
            <w:tcW w:w="714" w:type="pct"/>
            <w:tcBorders>
              <w:top w:val="nil"/>
              <w:left w:val="nil"/>
              <w:bottom w:val="nil"/>
              <w:right w:val="nil"/>
            </w:tcBorders>
            <w:shd w:val="clear" w:color="auto" w:fill="auto"/>
            <w:noWrap/>
            <w:vAlign w:val="center"/>
            <w:hideMark/>
          </w:tcPr>
          <w:p w14:paraId="2B0D82CF" w14:textId="77777777" w:rsidR="00E54627" w:rsidRPr="0051160F" w:rsidRDefault="00E54627" w:rsidP="00E54627">
            <w:pPr>
              <w:jc w:val="center"/>
              <w:rPr>
                <w:color w:val="000000"/>
              </w:rPr>
            </w:pPr>
            <w:r w:rsidRPr="0051160F">
              <w:rPr>
                <w:color w:val="000000"/>
              </w:rPr>
              <w:t>0,0390854</w:t>
            </w:r>
          </w:p>
        </w:tc>
        <w:tc>
          <w:tcPr>
            <w:tcW w:w="714" w:type="pct"/>
            <w:tcBorders>
              <w:top w:val="nil"/>
              <w:left w:val="nil"/>
              <w:bottom w:val="nil"/>
              <w:right w:val="nil"/>
            </w:tcBorders>
            <w:shd w:val="clear" w:color="auto" w:fill="auto"/>
            <w:noWrap/>
            <w:vAlign w:val="center"/>
            <w:hideMark/>
          </w:tcPr>
          <w:p w14:paraId="4060100C" w14:textId="77777777" w:rsidR="00E54627" w:rsidRPr="0051160F" w:rsidRDefault="00E54627" w:rsidP="00E54627">
            <w:pPr>
              <w:jc w:val="center"/>
              <w:rPr>
                <w:color w:val="000000"/>
              </w:rPr>
            </w:pPr>
            <w:r w:rsidRPr="0051160F">
              <w:rPr>
                <w:color w:val="000000"/>
              </w:rPr>
              <w:t>0,19770</w:t>
            </w:r>
          </w:p>
        </w:tc>
        <w:tc>
          <w:tcPr>
            <w:tcW w:w="714" w:type="pct"/>
            <w:tcBorders>
              <w:top w:val="nil"/>
              <w:left w:val="nil"/>
              <w:bottom w:val="nil"/>
              <w:right w:val="nil"/>
            </w:tcBorders>
            <w:shd w:val="clear" w:color="auto" w:fill="auto"/>
            <w:noWrap/>
            <w:vAlign w:val="center"/>
            <w:hideMark/>
          </w:tcPr>
          <w:p w14:paraId="405475D3" w14:textId="77777777" w:rsidR="00E54627" w:rsidRPr="0051160F" w:rsidRDefault="00E54627" w:rsidP="00E54627">
            <w:pPr>
              <w:jc w:val="center"/>
              <w:rPr>
                <w:color w:val="000000"/>
              </w:rPr>
            </w:pPr>
            <w:r w:rsidRPr="0051160F">
              <w:rPr>
                <w:color w:val="000000"/>
              </w:rPr>
              <w:t>0,958108</w:t>
            </w:r>
          </w:p>
        </w:tc>
        <w:tc>
          <w:tcPr>
            <w:tcW w:w="714" w:type="pct"/>
            <w:tcBorders>
              <w:top w:val="nil"/>
              <w:left w:val="nil"/>
              <w:bottom w:val="nil"/>
              <w:right w:val="nil"/>
            </w:tcBorders>
            <w:shd w:val="clear" w:color="auto" w:fill="auto"/>
            <w:noWrap/>
            <w:vAlign w:val="center"/>
            <w:hideMark/>
          </w:tcPr>
          <w:p w14:paraId="0338F4DA" w14:textId="77777777" w:rsidR="00E54627" w:rsidRPr="0051160F" w:rsidRDefault="00E54627" w:rsidP="00E54627">
            <w:pPr>
              <w:jc w:val="center"/>
              <w:rPr>
                <w:color w:val="000000"/>
              </w:rPr>
            </w:pPr>
            <w:r w:rsidRPr="0051160F">
              <w:rPr>
                <w:color w:val="000000"/>
              </w:rPr>
              <w:t>25,6342</w:t>
            </w:r>
          </w:p>
        </w:tc>
        <w:tc>
          <w:tcPr>
            <w:tcW w:w="714" w:type="pct"/>
            <w:tcBorders>
              <w:top w:val="nil"/>
              <w:left w:val="nil"/>
              <w:bottom w:val="nil"/>
              <w:right w:val="nil"/>
            </w:tcBorders>
            <w:shd w:val="clear" w:color="auto" w:fill="auto"/>
            <w:noWrap/>
            <w:vAlign w:val="center"/>
            <w:hideMark/>
          </w:tcPr>
          <w:p w14:paraId="3B15F077" w14:textId="77777777" w:rsidR="00E54627" w:rsidRPr="0051160F" w:rsidRDefault="00E54627" w:rsidP="00E54627">
            <w:pPr>
              <w:jc w:val="center"/>
              <w:rPr>
                <w:color w:val="000000"/>
              </w:rPr>
            </w:pPr>
            <w:r w:rsidRPr="0051160F">
              <w:rPr>
                <w:color w:val="000000"/>
              </w:rPr>
              <w:t>12</w:t>
            </w:r>
          </w:p>
        </w:tc>
        <w:tc>
          <w:tcPr>
            <w:tcW w:w="714" w:type="pct"/>
            <w:tcBorders>
              <w:top w:val="nil"/>
              <w:left w:val="nil"/>
              <w:bottom w:val="nil"/>
              <w:right w:val="nil"/>
            </w:tcBorders>
            <w:shd w:val="clear" w:color="auto" w:fill="auto"/>
            <w:noWrap/>
            <w:vAlign w:val="center"/>
            <w:hideMark/>
          </w:tcPr>
          <w:p w14:paraId="53B6D195" w14:textId="77777777" w:rsidR="00E54627" w:rsidRPr="0051160F" w:rsidRDefault="00E54627" w:rsidP="00E54627">
            <w:pPr>
              <w:jc w:val="center"/>
              <w:rPr>
                <w:color w:val="000000"/>
              </w:rPr>
            </w:pPr>
            <w:r w:rsidRPr="0051160F">
              <w:rPr>
                <w:color w:val="000000"/>
              </w:rPr>
              <w:t>0,0121</w:t>
            </w:r>
          </w:p>
        </w:tc>
      </w:tr>
      <w:tr w:rsidR="00E54627" w:rsidRPr="0051160F" w14:paraId="19917D82" w14:textId="77777777" w:rsidTr="00941521">
        <w:trPr>
          <w:trHeight w:val="20"/>
        </w:trPr>
        <w:tc>
          <w:tcPr>
            <w:tcW w:w="714" w:type="pct"/>
            <w:tcBorders>
              <w:top w:val="nil"/>
              <w:left w:val="nil"/>
              <w:bottom w:val="nil"/>
              <w:right w:val="nil"/>
            </w:tcBorders>
            <w:shd w:val="clear" w:color="auto" w:fill="D9D9D9" w:themeFill="background1" w:themeFillShade="D9"/>
            <w:noWrap/>
            <w:vAlign w:val="center"/>
          </w:tcPr>
          <w:p w14:paraId="5577FFFC" w14:textId="77777777" w:rsidR="00E54627" w:rsidRPr="0051160F" w:rsidRDefault="00E54627" w:rsidP="00E54627">
            <w:pPr>
              <w:jc w:val="center"/>
              <w:rPr>
                <w:color w:val="000000"/>
              </w:rPr>
            </w:pPr>
            <w:r w:rsidRPr="0051160F">
              <w:rPr>
                <w:color w:val="000000"/>
              </w:rPr>
              <w:t>3</w:t>
            </w:r>
          </w:p>
        </w:tc>
        <w:tc>
          <w:tcPr>
            <w:tcW w:w="714" w:type="pct"/>
            <w:tcBorders>
              <w:top w:val="nil"/>
              <w:left w:val="nil"/>
              <w:bottom w:val="nil"/>
              <w:right w:val="nil"/>
            </w:tcBorders>
            <w:shd w:val="clear" w:color="auto" w:fill="D9D9D9" w:themeFill="background1" w:themeFillShade="D9"/>
            <w:noWrap/>
            <w:vAlign w:val="center"/>
          </w:tcPr>
          <w:p w14:paraId="77A43EE2" w14:textId="77777777" w:rsidR="00E54627" w:rsidRPr="0051160F" w:rsidRDefault="00E54627" w:rsidP="00E54627">
            <w:pPr>
              <w:jc w:val="center"/>
              <w:rPr>
                <w:color w:val="000000"/>
              </w:rPr>
            </w:pPr>
            <w:r w:rsidRPr="0051160F">
              <w:rPr>
                <w:color w:val="000000"/>
              </w:rPr>
              <w:t>0,0029136</w:t>
            </w:r>
          </w:p>
        </w:tc>
        <w:tc>
          <w:tcPr>
            <w:tcW w:w="714" w:type="pct"/>
            <w:tcBorders>
              <w:top w:val="nil"/>
              <w:left w:val="nil"/>
              <w:bottom w:val="nil"/>
              <w:right w:val="nil"/>
            </w:tcBorders>
            <w:shd w:val="clear" w:color="auto" w:fill="D9D9D9" w:themeFill="background1" w:themeFillShade="D9"/>
            <w:noWrap/>
            <w:vAlign w:val="center"/>
          </w:tcPr>
          <w:p w14:paraId="730D6A38" w14:textId="77777777" w:rsidR="00E54627" w:rsidRPr="0051160F" w:rsidRDefault="00E54627" w:rsidP="00E54627">
            <w:pPr>
              <w:jc w:val="center"/>
              <w:rPr>
                <w:color w:val="000000"/>
              </w:rPr>
            </w:pPr>
            <w:r w:rsidRPr="0051160F">
              <w:rPr>
                <w:color w:val="000000"/>
              </w:rPr>
              <w:t>0,05398</w:t>
            </w:r>
          </w:p>
        </w:tc>
        <w:tc>
          <w:tcPr>
            <w:tcW w:w="714" w:type="pct"/>
            <w:tcBorders>
              <w:top w:val="nil"/>
              <w:left w:val="nil"/>
              <w:bottom w:val="nil"/>
              <w:right w:val="nil"/>
            </w:tcBorders>
            <w:shd w:val="clear" w:color="auto" w:fill="D9D9D9" w:themeFill="background1" w:themeFillShade="D9"/>
            <w:noWrap/>
            <w:vAlign w:val="center"/>
          </w:tcPr>
          <w:p w14:paraId="64B0EBF0" w14:textId="77777777" w:rsidR="00E54627" w:rsidRPr="0051160F" w:rsidRDefault="00E54627" w:rsidP="00E54627">
            <w:pPr>
              <w:jc w:val="center"/>
              <w:rPr>
                <w:color w:val="000000"/>
              </w:rPr>
            </w:pPr>
            <w:r w:rsidRPr="0051160F">
              <w:rPr>
                <w:color w:val="000000"/>
              </w:rPr>
              <w:t>0,997079</w:t>
            </w:r>
          </w:p>
        </w:tc>
        <w:tc>
          <w:tcPr>
            <w:tcW w:w="714" w:type="pct"/>
            <w:tcBorders>
              <w:top w:val="nil"/>
              <w:left w:val="nil"/>
              <w:bottom w:val="nil"/>
              <w:right w:val="nil"/>
            </w:tcBorders>
            <w:shd w:val="clear" w:color="auto" w:fill="D9D9D9" w:themeFill="background1" w:themeFillShade="D9"/>
            <w:noWrap/>
            <w:vAlign w:val="center"/>
          </w:tcPr>
          <w:p w14:paraId="7258514B" w14:textId="77777777" w:rsidR="00E54627" w:rsidRPr="0051160F" w:rsidRDefault="00E54627" w:rsidP="00E54627">
            <w:pPr>
              <w:jc w:val="center"/>
              <w:rPr>
                <w:color w:val="000000"/>
              </w:rPr>
            </w:pPr>
            <w:r w:rsidRPr="0051160F">
              <w:rPr>
                <w:color w:val="000000"/>
              </w:rPr>
              <w:t>1,75225</w:t>
            </w:r>
          </w:p>
        </w:tc>
        <w:tc>
          <w:tcPr>
            <w:tcW w:w="714" w:type="pct"/>
            <w:tcBorders>
              <w:top w:val="nil"/>
              <w:left w:val="nil"/>
              <w:bottom w:val="nil"/>
              <w:right w:val="nil"/>
            </w:tcBorders>
            <w:shd w:val="clear" w:color="auto" w:fill="D9D9D9" w:themeFill="background1" w:themeFillShade="D9"/>
            <w:noWrap/>
            <w:vAlign w:val="center"/>
          </w:tcPr>
          <w:p w14:paraId="413394CB" w14:textId="77777777" w:rsidR="00E54627" w:rsidRPr="0051160F" w:rsidRDefault="00E54627" w:rsidP="00E54627">
            <w:pPr>
              <w:jc w:val="center"/>
              <w:rPr>
                <w:color w:val="000000"/>
              </w:rPr>
            </w:pPr>
            <w:r w:rsidRPr="0051160F">
              <w:rPr>
                <w:color w:val="000000"/>
              </w:rPr>
              <w:t>6</w:t>
            </w:r>
          </w:p>
        </w:tc>
        <w:tc>
          <w:tcPr>
            <w:tcW w:w="714" w:type="pct"/>
            <w:tcBorders>
              <w:top w:val="nil"/>
              <w:left w:val="nil"/>
              <w:bottom w:val="nil"/>
              <w:right w:val="nil"/>
            </w:tcBorders>
            <w:shd w:val="clear" w:color="auto" w:fill="D9D9D9" w:themeFill="background1" w:themeFillShade="D9"/>
            <w:noWrap/>
            <w:vAlign w:val="center"/>
          </w:tcPr>
          <w:p w14:paraId="72E014F9" w14:textId="77777777" w:rsidR="00E54627" w:rsidRPr="0051160F" w:rsidRDefault="00E54627" w:rsidP="00E54627">
            <w:pPr>
              <w:jc w:val="center"/>
              <w:rPr>
                <w:color w:val="000000"/>
              </w:rPr>
            </w:pPr>
            <w:r w:rsidRPr="0051160F">
              <w:rPr>
                <w:color w:val="000000"/>
              </w:rPr>
              <w:t>0,9410</w:t>
            </w:r>
          </w:p>
        </w:tc>
      </w:tr>
      <w:tr w:rsidR="00E54627" w:rsidRPr="0051160F" w14:paraId="1EBC3039" w14:textId="77777777" w:rsidTr="00941521">
        <w:trPr>
          <w:trHeight w:val="20"/>
        </w:trPr>
        <w:tc>
          <w:tcPr>
            <w:tcW w:w="714" w:type="pct"/>
            <w:tcBorders>
              <w:top w:val="nil"/>
              <w:left w:val="nil"/>
              <w:bottom w:val="single" w:sz="12" w:space="0" w:color="auto"/>
              <w:right w:val="nil"/>
            </w:tcBorders>
            <w:shd w:val="clear" w:color="auto" w:fill="FFFFFF" w:themeFill="background1"/>
            <w:noWrap/>
            <w:vAlign w:val="center"/>
            <w:hideMark/>
          </w:tcPr>
          <w:p w14:paraId="7D88B12D" w14:textId="77777777" w:rsidR="00E54627" w:rsidRPr="0051160F" w:rsidRDefault="00E54627" w:rsidP="00E54627">
            <w:pPr>
              <w:jc w:val="center"/>
              <w:rPr>
                <w:color w:val="000000"/>
              </w:rPr>
            </w:pPr>
            <w:r>
              <w:rPr>
                <w:color w:val="000000"/>
              </w:rPr>
              <w:t>4</w:t>
            </w:r>
          </w:p>
        </w:tc>
        <w:tc>
          <w:tcPr>
            <w:tcW w:w="714" w:type="pct"/>
            <w:tcBorders>
              <w:top w:val="nil"/>
              <w:left w:val="nil"/>
              <w:bottom w:val="single" w:sz="12" w:space="0" w:color="auto"/>
              <w:right w:val="nil"/>
            </w:tcBorders>
            <w:shd w:val="clear" w:color="auto" w:fill="FFFFFF" w:themeFill="background1"/>
            <w:noWrap/>
            <w:vAlign w:val="center"/>
            <w:hideMark/>
          </w:tcPr>
          <w:p w14:paraId="0001FA19" w14:textId="77777777" w:rsidR="00E54627" w:rsidRPr="0051160F" w:rsidRDefault="00E54627" w:rsidP="00E54627">
            <w:pPr>
              <w:jc w:val="center"/>
              <w:rPr>
                <w:color w:val="000000"/>
              </w:rPr>
            </w:pPr>
            <w:r w:rsidRPr="0051160F">
              <w:rPr>
                <w:color w:val="000000"/>
              </w:rPr>
              <w:t>0,00</w:t>
            </w:r>
            <w:r>
              <w:rPr>
                <w:color w:val="000000"/>
              </w:rPr>
              <w:t>00074</w:t>
            </w:r>
          </w:p>
        </w:tc>
        <w:tc>
          <w:tcPr>
            <w:tcW w:w="714" w:type="pct"/>
            <w:tcBorders>
              <w:top w:val="nil"/>
              <w:left w:val="nil"/>
              <w:bottom w:val="single" w:sz="12" w:space="0" w:color="auto"/>
              <w:right w:val="nil"/>
            </w:tcBorders>
            <w:shd w:val="clear" w:color="auto" w:fill="FFFFFF" w:themeFill="background1"/>
            <w:noWrap/>
            <w:vAlign w:val="center"/>
            <w:hideMark/>
          </w:tcPr>
          <w:p w14:paraId="66E4302D" w14:textId="77777777" w:rsidR="00E54627" w:rsidRPr="0051160F" w:rsidRDefault="00E54627" w:rsidP="00E54627">
            <w:pPr>
              <w:jc w:val="center"/>
              <w:rPr>
                <w:color w:val="000000"/>
              </w:rPr>
            </w:pPr>
            <w:r w:rsidRPr="0051160F">
              <w:rPr>
                <w:color w:val="000000"/>
              </w:rPr>
              <w:t>0,</w:t>
            </w:r>
            <w:r>
              <w:rPr>
                <w:color w:val="000000"/>
              </w:rPr>
              <w:t>00272</w:t>
            </w:r>
          </w:p>
        </w:tc>
        <w:tc>
          <w:tcPr>
            <w:tcW w:w="714" w:type="pct"/>
            <w:tcBorders>
              <w:top w:val="nil"/>
              <w:left w:val="nil"/>
              <w:bottom w:val="single" w:sz="12" w:space="0" w:color="auto"/>
              <w:right w:val="nil"/>
            </w:tcBorders>
            <w:shd w:val="clear" w:color="auto" w:fill="FFFFFF" w:themeFill="background1"/>
            <w:noWrap/>
            <w:vAlign w:val="center"/>
            <w:hideMark/>
          </w:tcPr>
          <w:p w14:paraId="5B1916CC" w14:textId="77777777" w:rsidR="00E54627" w:rsidRPr="0051160F" w:rsidRDefault="00E54627" w:rsidP="00E54627">
            <w:pPr>
              <w:jc w:val="center"/>
              <w:rPr>
                <w:color w:val="000000"/>
              </w:rPr>
            </w:pPr>
            <w:r w:rsidRPr="0051160F">
              <w:rPr>
                <w:color w:val="000000"/>
              </w:rPr>
              <w:t>0,99</w:t>
            </w:r>
            <w:r>
              <w:rPr>
                <w:color w:val="000000"/>
              </w:rPr>
              <w:t>9993</w:t>
            </w:r>
          </w:p>
        </w:tc>
        <w:tc>
          <w:tcPr>
            <w:tcW w:w="714" w:type="pct"/>
            <w:tcBorders>
              <w:top w:val="nil"/>
              <w:left w:val="nil"/>
              <w:bottom w:val="single" w:sz="12" w:space="0" w:color="auto"/>
              <w:right w:val="nil"/>
            </w:tcBorders>
            <w:shd w:val="clear" w:color="auto" w:fill="FFFFFF" w:themeFill="background1"/>
            <w:noWrap/>
            <w:vAlign w:val="center"/>
            <w:hideMark/>
          </w:tcPr>
          <w:p w14:paraId="6C8C7FC0" w14:textId="77777777" w:rsidR="00E54627" w:rsidRPr="0051160F" w:rsidRDefault="00E54627" w:rsidP="00E54627">
            <w:pPr>
              <w:jc w:val="center"/>
              <w:rPr>
                <w:color w:val="000000"/>
              </w:rPr>
            </w:pPr>
            <w:r>
              <w:rPr>
                <w:color w:val="000000"/>
              </w:rPr>
              <w:t>0,00445</w:t>
            </w:r>
          </w:p>
        </w:tc>
        <w:tc>
          <w:tcPr>
            <w:tcW w:w="714" w:type="pct"/>
            <w:tcBorders>
              <w:top w:val="nil"/>
              <w:left w:val="nil"/>
              <w:bottom w:val="single" w:sz="12" w:space="0" w:color="auto"/>
              <w:right w:val="nil"/>
            </w:tcBorders>
            <w:shd w:val="clear" w:color="auto" w:fill="FFFFFF" w:themeFill="background1"/>
            <w:noWrap/>
            <w:vAlign w:val="center"/>
            <w:hideMark/>
          </w:tcPr>
          <w:p w14:paraId="650DDB50" w14:textId="77777777" w:rsidR="00E54627" w:rsidRPr="0051160F" w:rsidRDefault="00E54627" w:rsidP="00E54627">
            <w:pPr>
              <w:jc w:val="center"/>
              <w:rPr>
                <w:color w:val="000000"/>
              </w:rPr>
            </w:pPr>
            <w:r>
              <w:rPr>
                <w:color w:val="000000"/>
              </w:rPr>
              <w:t>0</w:t>
            </w:r>
          </w:p>
        </w:tc>
        <w:tc>
          <w:tcPr>
            <w:tcW w:w="714" w:type="pct"/>
            <w:tcBorders>
              <w:top w:val="nil"/>
              <w:left w:val="nil"/>
              <w:bottom w:val="single" w:sz="12" w:space="0" w:color="auto"/>
              <w:right w:val="nil"/>
            </w:tcBorders>
            <w:shd w:val="clear" w:color="auto" w:fill="FFFFFF" w:themeFill="background1"/>
            <w:noWrap/>
            <w:vAlign w:val="center"/>
            <w:hideMark/>
          </w:tcPr>
          <w:p w14:paraId="5FA381EC" w14:textId="77777777" w:rsidR="00E54627" w:rsidRPr="0051160F" w:rsidRDefault="00E54627" w:rsidP="00E54627">
            <w:pPr>
              <w:jc w:val="center"/>
              <w:rPr>
                <w:color w:val="000000"/>
              </w:rPr>
            </w:pPr>
            <w:r w:rsidRPr="0051160F">
              <w:rPr>
                <w:color w:val="000000"/>
              </w:rPr>
              <w:t>0,</w:t>
            </w:r>
            <w:r>
              <w:rPr>
                <w:color w:val="000000"/>
              </w:rPr>
              <w:t>9978</w:t>
            </w:r>
          </w:p>
        </w:tc>
      </w:tr>
      <w:tr w:rsidR="00E54627" w:rsidRPr="0051160F" w14:paraId="7EDCDCF1" w14:textId="77777777" w:rsidTr="00941521">
        <w:trPr>
          <w:trHeight w:val="20"/>
        </w:trPr>
        <w:tc>
          <w:tcPr>
            <w:tcW w:w="5000" w:type="pct"/>
            <w:gridSpan w:val="7"/>
            <w:tcBorders>
              <w:top w:val="nil"/>
              <w:left w:val="nil"/>
              <w:bottom w:val="nil"/>
              <w:right w:val="nil"/>
            </w:tcBorders>
            <w:shd w:val="clear" w:color="auto" w:fill="auto"/>
            <w:noWrap/>
            <w:vAlign w:val="bottom"/>
            <w:hideMark/>
          </w:tcPr>
          <w:p w14:paraId="3492CD5B" w14:textId="77777777" w:rsidR="00E54627" w:rsidRPr="0051160F" w:rsidRDefault="00E54627" w:rsidP="00E54627">
            <w:pPr>
              <w:rPr>
                <w:color w:val="000000"/>
              </w:rPr>
            </w:pPr>
            <w:r w:rsidRPr="0051160F">
              <w:rPr>
                <w:color w:val="000000"/>
              </w:rPr>
              <w:t>Fonte: Dados da pesquisa.</w:t>
            </w:r>
          </w:p>
        </w:tc>
      </w:tr>
    </w:tbl>
    <w:p w14:paraId="7A15154A" w14:textId="77777777" w:rsidR="00E54627" w:rsidRDefault="00E54627" w:rsidP="00E54627">
      <w:pPr>
        <w:ind w:firstLine="709"/>
        <w:rPr>
          <w:sz w:val="24"/>
          <w:szCs w:val="24"/>
        </w:rPr>
      </w:pPr>
    </w:p>
    <w:p w14:paraId="15DEAEF2" w14:textId="77777777" w:rsidR="00E54627" w:rsidRPr="007F2D3E" w:rsidRDefault="00E54627" w:rsidP="00E54627">
      <w:pPr>
        <w:pStyle w:val="Default"/>
        <w:ind w:firstLine="708"/>
        <w:jc w:val="both"/>
        <w:rPr>
          <w:rFonts w:ascii="Times New Roman" w:hAnsi="Times New Roman" w:cs="Times New Roman"/>
        </w:rPr>
      </w:pPr>
      <w:r w:rsidRPr="007F2D3E">
        <w:rPr>
          <w:rFonts w:ascii="Times New Roman" w:hAnsi="Times New Roman" w:cs="Times New Roman"/>
          <w:color w:val="auto"/>
        </w:rPr>
        <w:t xml:space="preserve">Conforme verificado na primeira coluna da Tabela </w:t>
      </w:r>
      <w:r>
        <w:rPr>
          <w:rFonts w:ascii="Times New Roman" w:hAnsi="Times New Roman" w:cs="Times New Roman"/>
          <w:color w:val="auto"/>
        </w:rPr>
        <w:t>2</w:t>
      </w:r>
      <w:r w:rsidRPr="007F2D3E">
        <w:rPr>
          <w:rFonts w:ascii="Times New Roman" w:hAnsi="Times New Roman" w:cs="Times New Roman"/>
          <w:color w:val="auto"/>
        </w:rPr>
        <w:t xml:space="preserve">, </w:t>
      </w:r>
      <w:r>
        <w:rPr>
          <w:rFonts w:ascii="Times New Roman" w:hAnsi="Times New Roman" w:cs="Times New Roman"/>
          <w:color w:val="auto"/>
        </w:rPr>
        <w:t xml:space="preserve">quatro </w:t>
      </w:r>
      <w:r w:rsidRPr="007F2D3E">
        <w:rPr>
          <w:rFonts w:ascii="Times New Roman" w:hAnsi="Times New Roman" w:cs="Times New Roman"/>
          <w:color w:val="auto"/>
        </w:rPr>
        <w:t xml:space="preserve">combinações lineares diferentes puderam ser calculadas por meio da correlação canônica, visto que este é o número do conjunto de variáveis do grupo </w:t>
      </w:r>
      <w:r>
        <w:rPr>
          <w:rFonts w:ascii="Times New Roman" w:hAnsi="Times New Roman" w:cs="Times New Roman"/>
          <w:color w:val="auto"/>
        </w:rPr>
        <w:t>desempenho operacional</w:t>
      </w:r>
      <w:r w:rsidRPr="007F2D3E">
        <w:rPr>
          <w:rFonts w:ascii="Times New Roman" w:hAnsi="Times New Roman" w:cs="Times New Roman"/>
          <w:color w:val="auto"/>
        </w:rPr>
        <w:t>.</w:t>
      </w:r>
      <w:r>
        <w:rPr>
          <w:rFonts w:ascii="Times New Roman" w:hAnsi="Times New Roman" w:cs="Times New Roman"/>
          <w:color w:val="auto"/>
        </w:rPr>
        <w:t xml:space="preserve"> </w:t>
      </w:r>
      <w:r w:rsidRPr="007F2D3E">
        <w:rPr>
          <w:rFonts w:ascii="Times New Roman" w:hAnsi="Times New Roman" w:cs="Times New Roman"/>
        </w:rPr>
        <w:t xml:space="preserve">Além disso, constata-se que a primeira </w:t>
      </w:r>
      <w:r>
        <w:rPr>
          <w:rFonts w:ascii="Times New Roman" w:hAnsi="Times New Roman" w:cs="Times New Roman"/>
        </w:rPr>
        <w:t xml:space="preserve">e segunda </w:t>
      </w:r>
      <w:r w:rsidRPr="007F2D3E">
        <w:rPr>
          <w:rFonts w:ascii="Times New Roman" w:hAnsi="Times New Roman" w:cs="Times New Roman"/>
        </w:rPr>
        <w:t xml:space="preserve">combinação linear </w:t>
      </w:r>
      <w:r>
        <w:rPr>
          <w:rFonts w:ascii="Times New Roman" w:hAnsi="Times New Roman" w:cs="Times New Roman"/>
        </w:rPr>
        <w:t xml:space="preserve">foram significativas ao nível de 1%, visto que o </w:t>
      </w:r>
      <w:r w:rsidRPr="007F2D3E">
        <w:rPr>
          <w:rFonts w:ascii="Times New Roman" w:hAnsi="Times New Roman" w:cs="Times New Roman"/>
        </w:rPr>
        <w:t>P-Value</w:t>
      </w:r>
      <w:r>
        <w:rPr>
          <w:rFonts w:ascii="Times New Roman" w:hAnsi="Times New Roman" w:cs="Times New Roman"/>
        </w:rPr>
        <w:t xml:space="preserve"> foi de 0,0000 para a primeira combinação linear e 0,0121 para a segunda combinação linear, demonstrando uma margem de erro praticamente nula. </w:t>
      </w:r>
    </w:p>
    <w:p w14:paraId="1AEA4585" w14:textId="77777777" w:rsidR="00E54627" w:rsidRDefault="00E54627" w:rsidP="00E54627">
      <w:pPr>
        <w:ind w:firstLine="709"/>
        <w:jc w:val="both"/>
        <w:rPr>
          <w:sz w:val="24"/>
          <w:szCs w:val="24"/>
        </w:rPr>
      </w:pPr>
      <w:r>
        <w:rPr>
          <w:sz w:val="24"/>
          <w:szCs w:val="24"/>
        </w:rPr>
        <w:t xml:space="preserve">Embora a </w:t>
      </w:r>
      <w:r w:rsidRPr="00C471AC">
        <w:rPr>
          <w:sz w:val="24"/>
          <w:szCs w:val="24"/>
        </w:rPr>
        <w:t>Tabela 2</w:t>
      </w:r>
      <w:r>
        <w:rPr>
          <w:sz w:val="24"/>
          <w:szCs w:val="24"/>
        </w:rPr>
        <w:t xml:space="preserve"> demonstre quatro correlações e destas, duas significativas, neste estudo foi analisada somente a primeira, devido ao seu maior poder explicativo, de 32,33%, coeficiente (0,32335). </w:t>
      </w:r>
      <w:r w:rsidRPr="00353A98">
        <w:rPr>
          <w:sz w:val="24"/>
          <w:szCs w:val="24"/>
        </w:rPr>
        <w:t>De acordo com Hair, Babin, Money e Samuel (2005</w:t>
      </w:r>
      <w:r>
        <w:rPr>
          <w:sz w:val="24"/>
          <w:szCs w:val="24"/>
        </w:rPr>
        <w:t>, p. 312</w:t>
      </w:r>
      <w:r w:rsidRPr="00353A98">
        <w:rPr>
          <w:sz w:val="24"/>
          <w:szCs w:val="24"/>
        </w:rPr>
        <w:t>),</w:t>
      </w:r>
      <w:r>
        <w:rPr>
          <w:sz w:val="24"/>
          <w:szCs w:val="24"/>
        </w:rPr>
        <w:t xml:space="preserve"> essa força de associação, por mais que seja significativa, deve ser considerada “pequena mas definida”</w:t>
      </w:r>
      <w:r w:rsidRPr="00353A98">
        <w:rPr>
          <w:sz w:val="24"/>
          <w:szCs w:val="24"/>
        </w:rPr>
        <w:t>, uma vez que ficou entre +0,</w:t>
      </w:r>
      <w:r>
        <w:rPr>
          <w:sz w:val="24"/>
          <w:szCs w:val="24"/>
        </w:rPr>
        <w:t xml:space="preserve">21 </w:t>
      </w:r>
      <w:r w:rsidRPr="00353A98">
        <w:rPr>
          <w:sz w:val="24"/>
          <w:szCs w:val="24"/>
        </w:rPr>
        <w:t>e + 0,</w:t>
      </w:r>
      <w:r>
        <w:rPr>
          <w:sz w:val="24"/>
          <w:szCs w:val="24"/>
        </w:rPr>
        <w:t>40</w:t>
      </w:r>
      <w:r w:rsidRPr="00353A98">
        <w:rPr>
          <w:sz w:val="24"/>
          <w:szCs w:val="24"/>
        </w:rPr>
        <w:t xml:space="preserve">. Por meio da Tabela </w:t>
      </w:r>
      <w:r>
        <w:rPr>
          <w:sz w:val="24"/>
          <w:szCs w:val="24"/>
        </w:rPr>
        <w:t>3</w:t>
      </w:r>
      <w:r w:rsidRPr="00353A98">
        <w:rPr>
          <w:sz w:val="24"/>
          <w:szCs w:val="24"/>
        </w:rPr>
        <w:t xml:space="preserve"> apresentam-se os coeficientes para as variáveis canônicas do grupo </w:t>
      </w:r>
      <w:r>
        <w:rPr>
          <w:sz w:val="24"/>
          <w:szCs w:val="24"/>
        </w:rPr>
        <w:t xml:space="preserve">da situação econômico-financeira </w:t>
      </w:r>
      <w:r w:rsidRPr="00353A98">
        <w:rPr>
          <w:sz w:val="24"/>
          <w:szCs w:val="24"/>
        </w:rPr>
        <w:t xml:space="preserve">com o grupo </w:t>
      </w:r>
      <w:r>
        <w:rPr>
          <w:sz w:val="24"/>
          <w:szCs w:val="24"/>
        </w:rPr>
        <w:t>do desempenho operacional</w:t>
      </w:r>
      <w:r w:rsidRPr="00353A98">
        <w:rPr>
          <w:sz w:val="24"/>
          <w:szCs w:val="24"/>
        </w:rPr>
        <w:t>.</w:t>
      </w:r>
    </w:p>
    <w:p w14:paraId="2879BD5C" w14:textId="77777777" w:rsidR="00E54627" w:rsidRPr="005466C6" w:rsidRDefault="00E54627" w:rsidP="00E54627">
      <w:pPr>
        <w:rPr>
          <w:sz w:val="24"/>
          <w:szCs w:val="24"/>
        </w:rPr>
      </w:pPr>
    </w:p>
    <w:tbl>
      <w:tblPr>
        <w:tblW w:w="5000" w:type="pct"/>
        <w:tblCellMar>
          <w:left w:w="70" w:type="dxa"/>
          <w:right w:w="70" w:type="dxa"/>
        </w:tblCellMar>
        <w:tblLook w:val="04A0" w:firstRow="1" w:lastRow="0" w:firstColumn="1" w:lastColumn="0" w:noHBand="0" w:noVBand="1"/>
      </w:tblPr>
      <w:tblGrid>
        <w:gridCol w:w="1676"/>
        <w:gridCol w:w="2038"/>
        <w:gridCol w:w="2003"/>
        <w:gridCol w:w="1675"/>
        <w:gridCol w:w="1673"/>
      </w:tblGrid>
      <w:tr w:rsidR="00E54627" w:rsidRPr="00AE22B1" w14:paraId="26A068C0" w14:textId="77777777" w:rsidTr="00E54627">
        <w:trPr>
          <w:trHeight w:val="280"/>
        </w:trPr>
        <w:tc>
          <w:tcPr>
            <w:tcW w:w="3153" w:type="pct"/>
            <w:gridSpan w:val="3"/>
            <w:tcBorders>
              <w:top w:val="nil"/>
              <w:left w:val="nil"/>
              <w:bottom w:val="single" w:sz="18" w:space="0" w:color="auto"/>
              <w:right w:val="nil"/>
            </w:tcBorders>
            <w:shd w:val="clear" w:color="auto" w:fill="auto"/>
            <w:noWrap/>
            <w:vAlign w:val="bottom"/>
            <w:hideMark/>
          </w:tcPr>
          <w:p w14:paraId="6162352E" w14:textId="77777777" w:rsidR="00E54627" w:rsidRDefault="00E54627" w:rsidP="00E54627">
            <w:pPr>
              <w:rPr>
                <w:b/>
                <w:bCs/>
                <w:color w:val="000000"/>
              </w:rPr>
            </w:pPr>
            <w:r w:rsidRPr="00AE22B1">
              <w:rPr>
                <w:b/>
                <w:bCs/>
                <w:color w:val="000000"/>
              </w:rPr>
              <w:t>Tabela 3</w:t>
            </w:r>
          </w:p>
          <w:p w14:paraId="0F9F1FD9" w14:textId="77777777" w:rsidR="00E54627" w:rsidRPr="009962B0" w:rsidRDefault="00E54627" w:rsidP="00E54627">
            <w:pPr>
              <w:rPr>
                <w:bCs/>
                <w:color w:val="000000"/>
              </w:rPr>
            </w:pPr>
            <w:r w:rsidRPr="009962B0">
              <w:rPr>
                <w:bCs/>
                <w:color w:val="000000"/>
              </w:rPr>
              <w:t>Coeficientes da Correlação Canônica</w:t>
            </w:r>
          </w:p>
        </w:tc>
        <w:tc>
          <w:tcPr>
            <w:tcW w:w="924" w:type="pct"/>
            <w:tcBorders>
              <w:top w:val="nil"/>
              <w:left w:val="nil"/>
              <w:bottom w:val="single" w:sz="18" w:space="0" w:color="auto"/>
              <w:right w:val="nil"/>
            </w:tcBorders>
          </w:tcPr>
          <w:p w14:paraId="66957E27" w14:textId="77777777" w:rsidR="00E54627" w:rsidRPr="00AE22B1" w:rsidRDefault="00E54627" w:rsidP="00E54627">
            <w:pPr>
              <w:rPr>
                <w:b/>
                <w:bCs/>
                <w:color w:val="000000"/>
              </w:rPr>
            </w:pPr>
          </w:p>
        </w:tc>
        <w:tc>
          <w:tcPr>
            <w:tcW w:w="923" w:type="pct"/>
            <w:tcBorders>
              <w:top w:val="nil"/>
              <w:left w:val="nil"/>
              <w:bottom w:val="single" w:sz="18" w:space="0" w:color="auto"/>
              <w:right w:val="nil"/>
            </w:tcBorders>
          </w:tcPr>
          <w:p w14:paraId="10159276" w14:textId="77777777" w:rsidR="00E54627" w:rsidRPr="00AE22B1" w:rsidRDefault="00E54627" w:rsidP="00E54627">
            <w:pPr>
              <w:rPr>
                <w:b/>
                <w:bCs/>
                <w:color w:val="000000"/>
              </w:rPr>
            </w:pPr>
          </w:p>
        </w:tc>
      </w:tr>
      <w:tr w:rsidR="00E54627" w:rsidRPr="00AE22B1" w14:paraId="10EBCF86" w14:textId="77777777" w:rsidTr="00E54627">
        <w:trPr>
          <w:trHeight w:val="170"/>
        </w:trPr>
        <w:tc>
          <w:tcPr>
            <w:tcW w:w="924" w:type="pct"/>
            <w:tcBorders>
              <w:top w:val="single" w:sz="18" w:space="0" w:color="auto"/>
              <w:left w:val="nil"/>
              <w:bottom w:val="nil"/>
              <w:right w:val="single" w:sz="4" w:space="0" w:color="auto"/>
            </w:tcBorders>
            <w:shd w:val="clear" w:color="auto" w:fill="auto"/>
            <w:noWrap/>
            <w:vAlign w:val="bottom"/>
            <w:hideMark/>
          </w:tcPr>
          <w:p w14:paraId="72DF43D8" w14:textId="77777777" w:rsidR="00E54627" w:rsidRPr="00AE22B1" w:rsidRDefault="00E54627" w:rsidP="00E54627">
            <w:pPr>
              <w:jc w:val="center"/>
              <w:rPr>
                <w:b/>
                <w:bCs/>
                <w:color w:val="000000"/>
              </w:rPr>
            </w:pPr>
            <w:r w:rsidRPr="00AE22B1">
              <w:rPr>
                <w:b/>
                <w:bCs/>
                <w:color w:val="000000"/>
              </w:rPr>
              <w:t>Variáve</w:t>
            </w:r>
            <w:r>
              <w:rPr>
                <w:b/>
                <w:bCs/>
                <w:color w:val="000000"/>
              </w:rPr>
              <w:t>is</w:t>
            </w:r>
          </w:p>
        </w:tc>
        <w:tc>
          <w:tcPr>
            <w:tcW w:w="1124" w:type="pct"/>
            <w:tcBorders>
              <w:top w:val="single" w:sz="18" w:space="0" w:color="auto"/>
              <w:left w:val="single" w:sz="4" w:space="0" w:color="auto"/>
              <w:bottom w:val="nil"/>
              <w:right w:val="single" w:sz="4" w:space="0" w:color="auto"/>
            </w:tcBorders>
            <w:shd w:val="clear" w:color="auto" w:fill="auto"/>
            <w:noWrap/>
            <w:vAlign w:val="bottom"/>
            <w:hideMark/>
          </w:tcPr>
          <w:p w14:paraId="7A3ABB36" w14:textId="77777777" w:rsidR="00E54627" w:rsidRPr="00AE22B1" w:rsidRDefault="00E54627" w:rsidP="00E54627">
            <w:pPr>
              <w:jc w:val="center"/>
              <w:rPr>
                <w:b/>
                <w:bCs/>
                <w:color w:val="000000"/>
              </w:rPr>
            </w:pPr>
            <w:r>
              <w:rPr>
                <w:b/>
                <w:bCs/>
                <w:color w:val="000000"/>
              </w:rPr>
              <w:t>1ª</w:t>
            </w:r>
            <w:r w:rsidRPr="00AE22B1">
              <w:rPr>
                <w:b/>
                <w:bCs/>
                <w:color w:val="000000"/>
              </w:rPr>
              <w:t xml:space="preserve"> Correlação</w:t>
            </w:r>
          </w:p>
        </w:tc>
        <w:tc>
          <w:tcPr>
            <w:tcW w:w="1105" w:type="pct"/>
            <w:tcBorders>
              <w:top w:val="single" w:sz="18" w:space="0" w:color="auto"/>
              <w:left w:val="single" w:sz="4" w:space="0" w:color="auto"/>
              <w:bottom w:val="nil"/>
              <w:right w:val="single" w:sz="4" w:space="0" w:color="auto"/>
            </w:tcBorders>
            <w:shd w:val="clear" w:color="auto" w:fill="auto"/>
            <w:noWrap/>
            <w:vAlign w:val="bottom"/>
            <w:hideMark/>
          </w:tcPr>
          <w:p w14:paraId="3A2D0FA9" w14:textId="77777777" w:rsidR="00E54627" w:rsidRPr="00AE22B1" w:rsidRDefault="00E54627" w:rsidP="00E54627">
            <w:pPr>
              <w:jc w:val="center"/>
              <w:rPr>
                <w:b/>
                <w:bCs/>
                <w:color w:val="000000"/>
              </w:rPr>
            </w:pPr>
            <w:r>
              <w:rPr>
                <w:b/>
                <w:bCs/>
                <w:color w:val="000000"/>
              </w:rPr>
              <w:t>2ª</w:t>
            </w:r>
            <w:r w:rsidRPr="00AE22B1">
              <w:rPr>
                <w:b/>
                <w:bCs/>
                <w:color w:val="000000"/>
              </w:rPr>
              <w:t xml:space="preserve"> Correlação</w:t>
            </w:r>
          </w:p>
        </w:tc>
        <w:tc>
          <w:tcPr>
            <w:tcW w:w="924" w:type="pct"/>
            <w:tcBorders>
              <w:top w:val="single" w:sz="18" w:space="0" w:color="auto"/>
              <w:left w:val="single" w:sz="4" w:space="0" w:color="auto"/>
              <w:bottom w:val="nil"/>
              <w:right w:val="single" w:sz="4" w:space="0" w:color="auto"/>
            </w:tcBorders>
          </w:tcPr>
          <w:p w14:paraId="6DBEA8C6" w14:textId="77777777" w:rsidR="00E54627" w:rsidRPr="00AE22B1" w:rsidRDefault="00E54627" w:rsidP="00E54627">
            <w:pPr>
              <w:jc w:val="center"/>
              <w:rPr>
                <w:b/>
                <w:bCs/>
                <w:color w:val="000000"/>
              </w:rPr>
            </w:pPr>
            <w:r>
              <w:rPr>
                <w:b/>
                <w:bCs/>
                <w:color w:val="000000"/>
              </w:rPr>
              <w:t>3ª</w:t>
            </w:r>
            <w:r w:rsidRPr="00AE22B1">
              <w:rPr>
                <w:b/>
                <w:bCs/>
                <w:color w:val="000000"/>
              </w:rPr>
              <w:t xml:space="preserve"> Correlação</w:t>
            </w:r>
          </w:p>
        </w:tc>
        <w:tc>
          <w:tcPr>
            <w:tcW w:w="923" w:type="pct"/>
            <w:tcBorders>
              <w:top w:val="single" w:sz="18" w:space="0" w:color="auto"/>
              <w:left w:val="single" w:sz="4" w:space="0" w:color="auto"/>
              <w:bottom w:val="nil"/>
              <w:right w:val="nil"/>
            </w:tcBorders>
          </w:tcPr>
          <w:p w14:paraId="465DA0BA" w14:textId="77777777" w:rsidR="00E54627" w:rsidRPr="00AE22B1" w:rsidRDefault="00E54627" w:rsidP="00E54627">
            <w:pPr>
              <w:jc w:val="center"/>
              <w:rPr>
                <w:b/>
                <w:bCs/>
                <w:color w:val="000000"/>
              </w:rPr>
            </w:pPr>
            <w:r>
              <w:rPr>
                <w:b/>
                <w:bCs/>
                <w:color w:val="000000"/>
              </w:rPr>
              <w:t>4ª</w:t>
            </w:r>
            <w:r w:rsidRPr="00AE22B1">
              <w:rPr>
                <w:b/>
                <w:bCs/>
                <w:color w:val="000000"/>
              </w:rPr>
              <w:t xml:space="preserve"> Correlação</w:t>
            </w:r>
          </w:p>
        </w:tc>
      </w:tr>
      <w:tr w:rsidR="00E54627" w:rsidRPr="00AE22B1" w14:paraId="248D2BC0" w14:textId="77777777" w:rsidTr="00E54627">
        <w:trPr>
          <w:trHeight w:val="170"/>
        </w:trPr>
        <w:tc>
          <w:tcPr>
            <w:tcW w:w="5000" w:type="pct"/>
            <w:gridSpan w:val="5"/>
            <w:tcBorders>
              <w:top w:val="single" w:sz="4" w:space="0" w:color="auto"/>
              <w:left w:val="nil"/>
              <w:bottom w:val="single" w:sz="4" w:space="0" w:color="auto"/>
              <w:right w:val="nil"/>
            </w:tcBorders>
            <w:shd w:val="clear" w:color="auto" w:fill="auto"/>
            <w:noWrap/>
            <w:vAlign w:val="bottom"/>
            <w:hideMark/>
          </w:tcPr>
          <w:p w14:paraId="4184F3E3" w14:textId="77777777" w:rsidR="00E54627" w:rsidRDefault="00E54627" w:rsidP="00E54627">
            <w:pPr>
              <w:jc w:val="center"/>
              <w:rPr>
                <w:b/>
                <w:bCs/>
                <w:color w:val="000000"/>
              </w:rPr>
            </w:pPr>
            <w:r>
              <w:rPr>
                <w:b/>
                <w:bCs/>
                <w:color w:val="000000"/>
              </w:rPr>
              <w:t xml:space="preserve">Grupo </w:t>
            </w:r>
            <w:r w:rsidRPr="00AE22B1">
              <w:rPr>
                <w:b/>
                <w:bCs/>
                <w:color w:val="000000"/>
              </w:rPr>
              <w:t>Econômico-financeiro</w:t>
            </w:r>
          </w:p>
        </w:tc>
      </w:tr>
      <w:tr w:rsidR="00E54627" w:rsidRPr="00AE22B1" w14:paraId="4E699A25"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56D427E2" w14:textId="77777777" w:rsidR="00E54627" w:rsidRPr="00AE22B1" w:rsidRDefault="00E54627" w:rsidP="00E54627">
            <w:pPr>
              <w:jc w:val="center"/>
              <w:rPr>
                <w:color w:val="000000"/>
              </w:rPr>
            </w:pPr>
            <w:r w:rsidRPr="00AE22B1">
              <w:rPr>
                <w:color w:val="000000"/>
              </w:rPr>
              <w:t>ROE</w:t>
            </w:r>
          </w:p>
        </w:tc>
        <w:tc>
          <w:tcPr>
            <w:tcW w:w="11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AFFB7" w14:textId="77777777" w:rsidR="00E54627" w:rsidRPr="00AE22B1" w:rsidRDefault="00E54627" w:rsidP="00E54627">
            <w:pPr>
              <w:jc w:val="center"/>
              <w:rPr>
                <w:color w:val="000000"/>
              </w:rPr>
            </w:pPr>
            <w:r w:rsidRPr="00AE22B1">
              <w:rPr>
                <w:color w:val="000000"/>
              </w:rPr>
              <w:t>-0,15983</w:t>
            </w:r>
          </w:p>
        </w:tc>
        <w:tc>
          <w:tcPr>
            <w:tcW w:w="1105" w:type="pct"/>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500D78F" w14:textId="77777777" w:rsidR="00E54627" w:rsidRPr="00AE22B1" w:rsidRDefault="00E54627" w:rsidP="00E54627">
            <w:pPr>
              <w:jc w:val="center"/>
              <w:rPr>
                <w:color w:val="000000"/>
              </w:rPr>
            </w:pPr>
            <w:r w:rsidRPr="00AE22B1">
              <w:rPr>
                <w:color w:val="000000"/>
              </w:rPr>
              <w:t>0,02660</w:t>
            </w:r>
          </w:p>
        </w:tc>
        <w:tc>
          <w:tcPr>
            <w:tcW w:w="924" w:type="pct"/>
            <w:tcBorders>
              <w:top w:val="single" w:sz="4" w:space="0" w:color="auto"/>
              <w:left w:val="single" w:sz="4" w:space="0" w:color="auto"/>
              <w:bottom w:val="single" w:sz="4" w:space="0" w:color="auto"/>
              <w:right w:val="single" w:sz="4" w:space="0" w:color="auto"/>
            </w:tcBorders>
            <w:shd w:val="clear" w:color="auto" w:fill="FFFFFF" w:themeFill="background1"/>
          </w:tcPr>
          <w:p w14:paraId="1C5A7F1D" w14:textId="77777777" w:rsidR="00E54627" w:rsidRPr="00182503" w:rsidRDefault="00E54627" w:rsidP="00E54627">
            <w:pPr>
              <w:jc w:val="center"/>
              <w:rPr>
                <w:color w:val="000000"/>
              </w:rPr>
            </w:pPr>
            <w:r w:rsidRPr="00182503">
              <w:t>-0,67334</w:t>
            </w:r>
          </w:p>
        </w:tc>
        <w:tc>
          <w:tcPr>
            <w:tcW w:w="923" w:type="pct"/>
            <w:tcBorders>
              <w:top w:val="single" w:sz="4" w:space="0" w:color="auto"/>
              <w:left w:val="single" w:sz="4" w:space="0" w:color="auto"/>
              <w:bottom w:val="single" w:sz="4" w:space="0" w:color="auto"/>
            </w:tcBorders>
            <w:shd w:val="clear" w:color="auto" w:fill="FFFFFF" w:themeFill="background1"/>
          </w:tcPr>
          <w:p w14:paraId="56CB402B" w14:textId="77777777" w:rsidR="00E54627" w:rsidRPr="00182503" w:rsidRDefault="00E54627" w:rsidP="00E54627">
            <w:pPr>
              <w:jc w:val="center"/>
              <w:rPr>
                <w:color w:val="000000"/>
              </w:rPr>
            </w:pPr>
            <w:r w:rsidRPr="00182503">
              <w:t>0,21091</w:t>
            </w:r>
          </w:p>
        </w:tc>
      </w:tr>
      <w:tr w:rsidR="00E54627" w:rsidRPr="00AE22B1" w14:paraId="4DA2A50B"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444B6631" w14:textId="77777777" w:rsidR="00E54627" w:rsidRPr="00AE22B1" w:rsidRDefault="00E54627" w:rsidP="00E54627">
            <w:pPr>
              <w:jc w:val="center"/>
              <w:rPr>
                <w:color w:val="000000"/>
              </w:rPr>
            </w:pPr>
            <w:r w:rsidRPr="00AE22B1">
              <w:rPr>
                <w:color w:val="000000"/>
              </w:rPr>
              <w:t>ROA</w:t>
            </w:r>
          </w:p>
        </w:tc>
        <w:tc>
          <w:tcPr>
            <w:tcW w:w="11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C3D18" w14:textId="77777777" w:rsidR="00E54627" w:rsidRPr="00AE22B1" w:rsidRDefault="00E54627" w:rsidP="00E54627">
            <w:pPr>
              <w:jc w:val="center"/>
              <w:rPr>
                <w:color w:val="000000"/>
              </w:rPr>
            </w:pPr>
            <w:r w:rsidRPr="00AE22B1">
              <w:rPr>
                <w:color w:val="000000"/>
              </w:rPr>
              <w:t>-0,11899</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08CA5" w14:textId="77777777" w:rsidR="00E54627" w:rsidRPr="00AE22B1" w:rsidRDefault="00E54627" w:rsidP="00E54627">
            <w:pPr>
              <w:jc w:val="center"/>
              <w:rPr>
                <w:color w:val="000000"/>
              </w:rPr>
            </w:pPr>
            <w:r w:rsidRPr="00AE22B1">
              <w:rPr>
                <w:color w:val="000000"/>
              </w:rPr>
              <w:t>-0,53691</w:t>
            </w:r>
          </w:p>
        </w:tc>
        <w:tc>
          <w:tcPr>
            <w:tcW w:w="924" w:type="pct"/>
            <w:tcBorders>
              <w:top w:val="single" w:sz="4" w:space="0" w:color="auto"/>
              <w:left w:val="single" w:sz="4" w:space="0" w:color="auto"/>
              <w:bottom w:val="single" w:sz="4" w:space="0" w:color="auto"/>
              <w:right w:val="single" w:sz="4" w:space="0" w:color="auto"/>
            </w:tcBorders>
          </w:tcPr>
          <w:p w14:paraId="6880885B" w14:textId="77777777" w:rsidR="00E54627" w:rsidRPr="00182503" w:rsidRDefault="00E54627" w:rsidP="00E54627">
            <w:pPr>
              <w:jc w:val="center"/>
              <w:rPr>
                <w:color w:val="000000"/>
              </w:rPr>
            </w:pPr>
            <w:r w:rsidRPr="00182503">
              <w:t>0,61411</w:t>
            </w:r>
          </w:p>
        </w:tc>
        <w:tc>
          <w:tcPr>
            <w:tcW w:w="923" w:type="pct"/>
            <w:tcBorders>
              <w:top w:val="single" w:sz="4" w:space="0" w:color="auto"/>
              <w:left w:val="single" w:sz="4" w:space="0" w:color="auto"/>
              <w:bottom w:val="single" w:sz="4" w:space="0" w:color="auto"/>
            </w:tcBorders>
          </w:tcPr>
          <w:p w14:paraId="25FBF2E9" w14:textId="77777777" w:rsidR="00E54627" w:rsidRPr="00182503" w:rsidRDefault="00E54627" w:rsidP="00E54627">
            <w:pPr>
              <w:jc w:val="center"/>
              <w:rPr>
                <w:color w:val="000000"/>
              </w:rPr>
            </w:pPr>
            <w:r w:rsidRPr="00182503">
              <w:t>-0,39233</w:t>
            </w:r>
          </w:p>
        </w:tc>
      </w:tr>
      <w:tr w:rsidR="00E54627" w:rsidRPr="00AE22B1" w14:paraId="54024ED6"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73A26D03" w14:textId="77777777" w:rsidR="00E54627" w:rsidRPr="00AE22B1" w:rsidRDefault="00E54627" w:rsidP="00E54627">
            <w:pPr>
              <w:jc w:val="center"/>
              <w:rPr>
                <w:color w:val="000000"/>
              </w:rPr>
            </w:pPr>
            <w:r w:rsidRPr="00AE22B1">
              <w:rPr>
                <w:color w:val="000000"/>
              </w:rPr>
              <w:t>ML</w:t>
            </w:r>
          </w:p>
        </w:tc>
        <w:tc>
          <w:tcPr>
            <w:tcW w:w="1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93CFA03" w14:textId="77777777" w:rsidR="00E54627" w:rsidRPr="00816A06" w:rsidRDefault="00E54627" w:rsidP="00E54627">
            <w:pPr>
              <w:jc w:val="center"/>
              <w:rPr>
                <w:b/>
                <w:color w:val="000000"/>
              </w:rPr>
            </w:pPr>
            <w:r w:rsidRPr="00816A06">
              <w:rPr>
                <w:b/>
                <w:color w:val="000000"/>
              </w:rPr>
              <w:t>0,23426</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00A8C" w14:textId="77777777" w:rsidR="00E54627" w:rsidRPr="00AE22B1" w:rsidRDefault="00E54627" w:rsidP="00E54627">
            <w:pPr>
              <w:jc w:val="center"/>
              <w:rPr>
                <w:color w:val="000000"/>
              </w:rPr>
            </w:pPr>
            <w:r w:rsidRPr="00AE22B1">
              <w:rPr>
                <w:color w:val="000000"/>
              </w:rPr>
              <w:t>0,55316</w:t>
            </w:r>
          </w:p>
        </w:tc>
        <w:tc>
          <w:tcPr>
            <w:tcW w:w="924" w:type="pct"/>
            <w:tcBorders>
              <w:top w:val="single" w:sz="4" w:space="0" w:color="auto"/>
              <w:left w:val="single" w:sz="4" w:space="0" w:color="auto"/>
              <w:bottom w:val="single" w:sz="4" w:space="0" w:color="auto"/>
              <w:right w:val="single" w:sz="4" w:space="0" w:color="auto"/>
            </w:tcBorders>
          </w:tcPr>
          <w:p w14:paraId="60B1854F" w14:textId="77777777" w:rsidR="00E54627" w:rsidRPr="00182503" w:rsidRDefault="00E54627" w:rsidP="00E54627">
            <w:pPr>
              <w:jc w:val="center"/>
              <w:rPr>
                <w:color w:val="000000"/>
              </w:rPr>
            </w:pPr>
            <w:r w:rsidRPr="00182503">
              <w:t>0,17048</w:t>
            </w:r>
          </w:p>
        </w:tc>
        <w:tc>
          <w:tcPr>
            <w:tcW w:w="923" w:type="pct"/>
            <w:tcBorders>
              <w:top w:val="single" w:sz="4" w:space="0" w:color="auto"/>
              <w:left w:val="single" w:sz="4" w:space="0" w:color="auto"/>
              <w:bottom w:val="single" w:sz="4" w:space="0" w:color="auto"/>
            </w:tcBorders>
          </w:tcPr>
          <w:p w14:paraId="155409A2" w14:textId="77777777" w:rsidR="00E54627" w:rsidRPr="00182503" w:rsidRDefault="00E54627" w:rsidP="00E54627">
            <w:pPr>
              <w:jc w:val="center"/>
              <w:rPr>
                <w:color w:val="000000"/>
              </w:rPr>
            </w:pPr>
            <w:r w:rsidRPr="00182503">
              <w:t>1,05543</w:t>
            </w:r>
          </w:p>
        </w:tc>
      </w:tr>
      <w:tr w:rsidR="00E54627" w:rsidRPr="00AE22B1" w14:paraId="135CF3DC"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7797506A" w14:textId="77777777" w:rsidR="00E54627" w:rsidRPr="00AE22B1" w:rsidRDefault="00E54627" w:rsidP="00E54627">
            <w:pPr>
              <w:jc w:val="center"/>
              <w:rPr>
                <w:color w:val="000000"/>
              </w:rPr>
            </w:pPr>
            <w:r w:rsidRPr="00AE22B1">
              <w:rPr>
                <w:color w:val="000000"/>
              </w:rPr>
              <w:t>LG</w:t>
            </w:r>
          </w:p>
        </w:tc>
        <w:tc>
          <w:tcPr>
            <w:tcW w:w="1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2F4E933" w14:textId="77777777" w:rsidR="00E54627" w:rsidRPr="00536F24" w:rsidRDefault="00E54627" w:rsidP="00E54627">
            <w:pPr>
              <w:jc w:val="center"/>
              <w:rPr>
                <w:b/>
                <w:color w:val="000000"/>
              </w:rPr>
            </w:pPr>
            <w:r w:rsidRPr="00536F24">
              <w:rPr>
                <w:b/>
                <w:color w:val="000000"/>
              </w:rPr>
              <w:t>-5,34247</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2F238" w14:textId="77777777" w:rsidR="00E54627" w:rsidRPr="00AE22B1" w:rsidRDefault="00E54627" w:rsidP="00E54627">
            <w:pPr>
              <w:jc w:val="center"/>
              <w:rPr>
                <w:color w:val="000000"/>
              </w:rPr>
            </w:pPr>
            <w:r w:rsidRPr="00AE22B1">
              <w:rPr>
                <w:color w:val="000000"/>
              </w:rPr>
              <w:t>1,03897</w:t>
            </w:r>
          </w:p>
        </w:tc>
        <w:tc>
          <w:tcPr>
            <w:tcW w:w="924" w:type="pct"/>
            <w:tcBorders>
              <w:top w:val="single" w:sz="4" w:space="0" w:color="auto"/>
              <w:left w:val="single" w:sz="4" w:space="0" w:color="auto"/>
              <w:bottom w:val="single" w:sz="4" w:space="0" w:color="auto"/>
              <w:right w:val="single" w:sz="4" w:space="0" w:color="auto"/>
            </w:tcBorders>
          </w:tcPr>
          <w:p w14:paraId="6E32F3A8" w14:textId="77777777" w:rsidR="00E54627" w:rsidRPr="00182503" w:rsidRDefault="00E54627" w:rsidP="00E54627">
            <w:pPr>
              <w:jc w:val="center"/>
              <w:rPr>
                <w:color w:val="000000"/>
              </w:rPr>
            </w:pPr>
            <w:r w:rsidRPr="00182503">
              <w:t>1,18888</w:t>
            </w:r>
          </w:p>
        </w:tc>
        <w:tc>
          <w:tcPr>
            <w:tcW w:w="923" w:type="pct"/>
            <w:tcBorders>
              <w:top w:val="single" w:sz="4" w:space="0" w:color="auto"/>
              <w:left w:val="single" w:sz="4" w:space="0" w:color="auto"/>
              <w:bottom w:val="single" w:sz="4" w:space="0" w:color="auto"/>
            </w:tcBorders>
          </w:tcPr>
          <w:p w14:paraId="33BA7666" w14:textId="77777777" w:rsidR="00E54627" w:rsidRPr="00182503" w:rsidRDefault="00E54627" w:rsidP="00E54627">
            <w:pPr>
              <w:jc w:val="center"/>
              <w:rPr>
                <w:color w:val="000000"/>
              </w:rPr>
            </w:pPr>
            <w:r w:rsidRPr="00182503">
              <w:t>0,85538</w:t>
            </w:r>
          </w:p>
        </w:tc>
      </w:tr>
      <w:tr w:rsidR="00E54627" w:rsidRPr="00AE22B1" w14:paraId="6ECCE3EF"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7003F95D" w14:textId="77777777" w:rsidR="00E54627" w:rsidRPr="00AE22B1" w:rsidRDefault="00E54627" w:rsidP="00E54627">
            <w:pPr>
              <w:jc w:val="center"/>
              <w:rPr>
                <w:color w:val="000000"/>
              </w:rPr>
            </w:pPr>
            <w:r w:rsidRPr="00AE22B1">
              <w:rPr>
                <w:color w:val="000000"/>
              </w:rPr>
              <w:t>LC</w:t>
            </w:r>
          </w:p>
        </w:tc>
        <w:tc>
          <w:tcPr>
            <w:tcW w:w="1124"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8258B3" w14:textId="77777777" w:rsidR="00E54627" w:rsidRPr="00536F24" w:rsidRDefault="00E54627" w:rsidP="00E54627">
            <w:pPr>
              <w:jc w:val="center"/>
              <w:rPr>
                <w:b/>
                <w:color w:val="000000"/>
              </w:rPr>
            </w:pPr>
            <w:r w:rsidRPr="00536F24">
              <w:rPr>
                <w:b/>
                <w:color w:val="000000"/>
              </w:rPr>
              <w:t>5,09449</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1A4DE" w14:textId="77777777" w:rsidR="00E54627" w:rsidRPr="00AE22B1" w:rsidRDefault="00E54627" w:rsidP="00E54627">
            <w:pPr>
              <w:jc w:val="center"/>
              <w:rPr>
                <w:color w:val="000000"/>
              </w:rPr>
            </w:pPr>
            <w:r w:rsidRPr="00AE22B1">
              <w:rPr>
                <w:color w:val="000000"/>
              </w:rPr>
              <w:t>-1,96948</w:t>
            </w:r>
          </w:p>
        </w:tc>
        <w:tc>
          <w:tcPr>
            <w:tcW w:w="924" w:type="pct"/>
            <w:tcBorders>
              <w:top w:val="single" w:sz="4" w:space="0" w:color="auto"/>
              <w:left w:val="single" w:sz="4" w:space="0" w:color="auto"/>
              <w:bottom w:val="single" w:sz="4" w:space="0" w:color="auto"/>
              <w:right w:val="single" w:sz="4" w:space="0" w:color="auto"/>
            </w:tcBorders>
          </w:tcPr>
          <w:p w14:paraId="606EAA52" w14:textId="77777777" w:rsidR="00E54627" w:rsidRPr="00182503" w:rsidRDefault="00E54627" w:rsidP="00E54627">
            <w:pPr>
              <w:jc w:val="center"/>
              <w:rPr>
                <w:color w:val="000000"/>
              </w:rPr>
            </w:pPr>
            <w:r w:rsidRPr="00182503">
              <w:t>-1,43866</w:t>
            </w:r>
          </w:p>
        </w:tc>
        <w:tc>
          <w:tcPr>
            <w:tcW w:w="923" w:type="pct"/>
            <w:tcBorders>
              <w:top w:val="single" w:sz="4" w:space="0" w:color="auto"/>
              <w:left w:val="single" w:sz="4" w:space="0" w:color="auto"/>
              <w:bottom w:val="single" w:sz="4" w:space="0" w:color="auto"/>
            </w:tcBorders>
          </w:tcPr>
          <w:p w14:paraId="1088E52F" w14:textId="77777777" w:rsidR="00E54627" w:rsidRPr="00182503" w:rsidRDefault="00E54627" w:rsidP="00E54627">
            <w:pPr>
              <w:jc w:val="center"/>
              <w:rPr>
                <w:color w:val="000000"/>
              </w:rPr>
            </w:pPr>
            <w:r w:rsidRPr="00182503">
              <w:t>-0,69087</w:t>
            </w:r>
          </w:p>
        </w:tc>
      </w:tr>
      <w:tr w:rsidR="00E54627" w:rsidRPr="00AE22B1" w14:paraId="58289E9A" w14:textId="77777777" w:rsidTr="00E54627">
        <w:trPr>
          <w:trHeight w:val="113"/>
        </w:trPr>
        <w:tc>
          <w:tcPr>
            <w:tcW w:w="5000" w:type="pct"/>
            <w:gridSpan w:val="5"/>
            <w:tcBorders>
              <w:top w:val="single" w:sz="4" w:space="0" w:color="auto"/>
              <w:bottom w:val="single" w:sz="4" w:space="0" w:color="auto"/>
            </w:tcBorders>
            <w:shd w:val="clear" w:color="auto" w:fill="auto"/>
            <w:noWrap/>
            <w:vAlign w:val="bottom"/>
            <w:hideMark/>
          </w:tcPr>
          <w:p w14:paraId="455139F1" w14:textId="77777777" w:rsidR="00E54627" w:rsidRPr="00182503" w:rsidRDefault="00E54627" w:rsidP="00E54627">
            <w:pPr>
              <w:jc w:val="center"/>
              <w:rPr>
                <w:b/>
                <w:bCs/>
                <w:color w:val="000000"/>
              </w:rPr>
            </w:pPr>
            <w:r w:rsidRPr="00182503">
              <w:rPr>
                <w:b/>
                <w:bCs/>
                <w:color w:val="000000"/>
              </w:rPr>
              <w:t>Grupo de Desempenho Operacional</w:t>
            </w:r>
          </w:p>
        </w:tc>
      </w:tr>
      <w:tr w:rsidR="00E54627" w:rsidRPr="00AE22B1" w14:paraId="1CE70198"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295961CC" w14:textId="77777777" w:rsidR="00E54627" w:rsidRPr="00AE22B1" w:rsidRDefault="00E54627" w:rsidP="00E54627">
            <w:pPr>
              <w:jc w:val="center"/>
              <w:rPr>
                <w:color w:val="000000"/>
              </w:rPr>
            </w:pPr>
            <w:r w:rsidRPr="00AE22B1">
              <w:rPr>
                <w:color w:val="000000"/>
              </w:rPr>
              <w:t>TVH</w:t>
            </w:r>
          </w:p>
        </w:tc>
        <w:tc>
          <w:tcPr>
            <w:tcW w:w="1124"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5099F81" w14:textId="77777777" w:rsidR="00E54627" w:rsidRPr="00816A06" w:rsidRDefault="00E54627" w:rsidP="00E54627">
            <w:pPr>
              <w:jc w:val="center"/>
              <w:rPr>
                <w:b/>
                <w:color w:val="000000"/>
              </w:rPr>
            </w:pPr>
            <w:r w:rsidRPr="00816A06">
              <w:rPr>
                <w:b/>
                <w:color w:val="000000"/>
              </w:rPr>
              <w:t>0,99980</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9143F" w14:textId="77777777" w:rsidR="00E54627" w:rsidRPr="00AE22B1" w:rsidRDefault="00E54627" w:rsidP="00E54627">
            <w:pPr>
              <w:jc w:val="center"/>
              <w:rPr>
                <w:color w:val="000000"/>
              </w:rPr>
            </w:pPr>
            <w:r w:rsidRPr="00AE22B1">
              <w:rPr>
                <w:color w:val="000000"/>
              </w:rPr>
              <w:t>-0,22269</w:t>
            </w:r>
          </w:p>
        </w:tc>
        <w:tc>
          <w:tcPr>
            <w:tcW w:w="924" w:type="pct"/>
            <w:tcBorders>
              <w:top w:val="single" w:sz="4" w:space="0" w:color="auto"/>
              <w:left w:val="single" w:sz="4" w:space="0" w:color="auto"/>
              <w:bottom w:val="single" w:sz="4" w:space="0" w:color="auto"/>
              <w:right w:val="single" w:sz="4" w:space="0" w:color="auto"/>
            </w:tcBorders>
          </w:tcPr>
          <w:p w14:paraId="51CA7C71" w14:textId="77777777" w:rsidR="00E54627" w:rsidRPr="00182503" w:rsidRDefault="00E54627" w:rsidP="00E54627">
            <w:pPr>
              <w:jc w:val="center"/>
              <w:rPr>
                <w:color w:val="000000"/>
              </w:rPr>
            </w:pPr>
            <w:r w:rsidRPr="00182503">
              <w:t>0,20974</w:t>
            </w:r>
          </w:p>
        </w:tc>
        <w:tc>
          <w:tcPr>
            <w:tcW w:w="923" w:type="pct"/>
            <w:tcBorders>
              <w:top w:val="single" w:sz="4" w:space="0" w:color="auto"/>
              <w:left w:val="single" w:sz="4" w:space="0" w:color="auto"/>
              <w:bottom w:val="single" w:sz="4" w:space="0" w:color="auto"/>
            </w:tcBorders>
          </w:tcPr>
          <w:p w14:paraId="6014E6CC" w14:textId="77777777" w:rsidR="00E54627" w:rsidRPr="00182503" w:rsidRDefault="00E54627" w:rsidP="00E54627">
            <w:pPr>
              <w:jc w:val="center"/>
              <w:rPr>
                <w:color w:val="000000"/>
              </w:rPr>
            </w:pPr>
            <w:r w:rsidRPr="00182503">
              <w:t>0,13141</w:t>
            </w:r>
          </w:p>
        </w:tc>
      </w:tr>
      <w:tr w:rsidR="00E54627" w:rsidRPr="00AE22B1" w14:paraId="32FA70BB"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6534E3C2" w14:textId="77777777" w:rsidR="00E54627" w:rsidRPr="00AE22B1" w:rsidRDefault="00E54627" w:rsidP="00E54627">
            <w:pPr>
              <w:jc w:val="center"/>
              <w:rPr>
                <w:color w:val="000000"/>
              </w:rPr>
            </w:pPr>
            <w:r w:rsidRPr="00AE22B1">
              <w:rPr>
                <w:color w:val="000000"/>
              </w:rPr>
              <w:t>AIH</w:t>
            </w:r>
          </w:p>
        </w:tc>
        <w:tc>
          <w:tcPr>
            <w:tcW w:w="1124"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9126484" w14:textId="77777777" w:rsidR="00E54627" w:rsidRPr="00816A06" w:rsidRDefault="00E54627" w:rsidP="00E54627">
            <w:pPr>
              <w:jc w:val="center"/>
              <w:rPr>
                <w:b/>
                <w:color w:val="000000"/>
              </w:rPr>
            </w:pPr>
            <w:r w:rsidRPr="00816A06">
              <w:rPr>
                <w:b/>
                <w:color w:val="000000"/>
              </w:rPr>
              <w:t>0,28506</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6EA08" w14:textId="77777777" w:rsidR="00E54627" w:rsidRPr="00AE22B1" w:rsidRDefault="00E54627" w:rsidP="00E54627">
            <w:pPr>
              <w:jc w:val="center"/>
              <w:rPr>
                <w:color w:val="000000"/>
              </w:rPr>
            </w:pPr>
            <w:r w:rsidRPr="00AE22B1">
              <w:rPr>
                <w:color w:val="000000"/>
              </w:rPr>
              <w:t>-0,16445</w:t>
            </w:r>
          </w:p>
        </w:tc>
        <w:tc>
          <w:tcPr>
            <w:tcW w:w="924" w:type="pct"/>
            <w:tcBorders>
              <w:top w:val="single" w:sz="4" w:space="0" w:color="auto"/>
              <w:left w:val="single" w:sz="4" w:space="0" w:color="auto"/>
              <w:bottom w:val="single" w:sz="4" w:space="0" w:color="auto"/>
              <w:right w:val="single" w:sz="4" w:space="0" w:color="auto"/>
            </w:tcBorders>
          </w:tcPr>
          <w:p w14:paraId="4B6CF2B9" w14:textId="77777777" w:rsidR="00E54627" w:rsidRPr="00182503" w:rsidRDefault="00E54627" w:rsidP="00E54627">
            <w:pPr>
              <w:jc w:val="center"/>
              <w:rPr>
                <w:color w:val="000000"/>
              </w:rPr>
            </w:pPr>
            <w:r w:rsidRPr="00182503">
              <w:t>-0,95296</w:t>
            </w:r>
          </w:p>
        </w:tc>
        <w:tc>
          <w:tcPr>
            <w:tcW w:w="923" w:type="pct"/>
            <w:tcBorders>
              <w:top w:val="single" w:sz="4" w:space="0" w:color="auto"/>
              <w:left w:val="single" w:sz="4" w:space="0" w:color="auto"/>
              <w:bottom w:val="single" w:sz="4" w:space="0" w:color="auto"/>
            </w:tcBorders>
          </w:tcPr>
          <w:p w14:paraId="2DA8776E" w14:textId="77777777" w:rsidR="00E54627" w:rsidRPr="00182503" w:rsidRDefault="00E54627" w:rsidP="00E54627">
            <w:pPr>
              <w:jc w:val="center"/>
              <w:rPr>
                <w:color w:val="000000"/>
              </w:rPr>
            </w:pPr>
            <w:r w:rsidRPr="00182503">
              <w:t>0,29217</w:t>
            </w:r>
          </w:p>
        </w:tc>
      </w:tr>
      <w:tr w:rsidR="00E54627" w:rsidRPr="00AE22B1" w14:paraId="0BC17A29" w14:textId="77777777" w:rsidTr="00E54627">
        <w:trPr>
          <w:trHeight w:val="113"/>
        </w:trPr>
        <w:tc>
          <w:tcPr>
            <w:tcW w:w="924" w:type="pct"/>
            <w:tcBorders>
              <w:top w:val="single" w:sz="4" w:space="0" w:color="auto"/>
              <w:bottom w:val="single" w:sz="4" w:space="0" w:color="auto"/>
              <w:right w:val="single" w:sz="4" w:space="0" w:color="auto"/>
            </w:tcBorders>
            <w:shd w:val="clear" w:color="auto" w:fill="auto"/>
            <w:noWrap/>
            <w:vAlign w:val="bottom"/>
            <w:hideMark/>
          </w:tcPr>
          <w:p w14:paraId="4CC3917F" w14:textId="77777777" w:rsidR="00E54627" w:rsidRPr="00AE22B1" w:rsidRDefault="00E54627" w:rsidP="00E54627">
            <w:pPr>
              <w:jc w:val="center"/>
              <w:rPr>
                <w:color w:val="000000"/>
              </w:rPr>
            </w:pPr>
            <w:r w:rsidRPr="00AE22B1">
              <w:rPr>
                <w:color w:val="000000"/>
              </w:rPr>
              <w:t>TMP</w:t>
            </w:r>
          </w:p>
        </w:tc>
        <w:tc>
          <w:tcPr>
            <w:tcW w:w="11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18DA2" w14:textId="77777777" w:rsidR="00E54627" w:rsidRPr="00AE22B1" w:rsidRDefault="00E54627" w:rsidP="00E54627">
            <w:pPr>
              <w:jc w:val="center"/>
              <w:rPr>
                <w:color w:val="000000"/>
              </w:rPr>
            </w:pPr>
            <w:r w:rsidRPr="00AE22B1">
              <w:rPr>
                <w:color w:val="000000"/>
              </w:rPr>
              <w:t>-0,06524</w:t>
            </w:r>
          </w:p>
        </w:tc>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320D3" w14:textId="77777777" w:rsidR="00E54627" w:rsidRPr="00AE22B1" w:rsidRDefault="00E54627" w:rsidP="00E54627">
            <w:pPr>
              <w:jc w:val="center"/>
              <w:rPr>
                <w:color w:val="000000"/>
              </w:rPr>
            </w:pPr>
            <w:r w:rsidRPr="00AE22B1">
              <w:rPr>
                <w:color w:val="000000"/>
              </w:rPr>
              <w:t>0,38832</w:t>
            </w:r>
          </w:p>
        </w:tc>
        <w:tc>
          <w:tcPr>
            <w:tcW w:w="924" w:type="pct"/>
            <w:tcBorders>
              <w:top w:val="single" w:sz="4" w:space="0" w:color="auto"/>
              <w:left w:val="single" w:sz="4" w:space="0" w:color="auto"/>
              <w:bottom w:val="single" w:sz="4" w:space="0" w:color="auto"/>
              <w:right w:val="single" w:sz="4" w:space="0" w:color="auto"/>
            </w:tcBorders>
          </w:tcPr>
          <w:p w14:paraId="325EEF22" w14:textId="77777777" w:rsidR="00E54627" w:rsidRPr="00182503" w:rsidRDefault="00E54627" w:rsidP="00E54627">
            <w:pPr>
              <w:jc w:val="center"/>
              <w:rPr>
                <w:color w:val="000000"/>
              </w:rPr>
            </w:pPr>
            <w:r w:rsidRPr="00182503">
              <w:t>-0,21748</w:t>
            </w:r>
          </w:p>
        </w:tc>
        <w:tc>
          <w:tcPr>
            <w:tcW w:w="923" w:type="pct"/>
            <w:tcBorders>
              <w:top w:val="single" w:sz="4" w:space="0" w:color="auto"/>
              <w:left w:val="single" w:sz="4" w:space="0" w:color="auto"/>
              <w:bottom w:val="single" w:sz="4" w:space="0" w:color="auto"/>
            </w:tcBorders>
          </w:tcPr>
          <w:p w14:paraId="7F08B2D4" w14:textId="77777777" w:rsidR="00E54627" w:rsidRPr="00182503" w:rsidRDefault="00E54627" w:rsidP="00E54627">
            <w:pPr>
              <w:jc w:val="center"/>
              <w:rPr>
                <w:color w:val="000000"/>
              </w:rPr>
            </w:pPr>
            <w:r w:rsidRPr="00182503">
              <w:t>-0,94973</w:t>
            </w:r>
          </w:p>
        </w:tc>
      </w:tr>
      <w:tr w:rsidR="00E54627" w:rsidRPr="00AE22B1" w14:paraId="5E683E2C" w14:textId="77777777" w:rsidTr="00E54627">
        <w:trPr>
          <w:trHeight w:val="113"/>
        </w:trPr>
        <w:tc>
          <w:tcPr>
            <w:tcW w:w="924" w:type="pct"/>
            <w:tcBorders>
              <w:top w:val="single" w:sz="4" w:space="0" w:color="auto"/>
              <w:left w:val="nil"/>
              <w:bottom w:val="single" w:sz="12" w:space="0" w:color="auto"/>
              <w:right w:val="single" w:sz="4" w:space="0" w:color="auto"/>
            </w:tcBorders>
            <w:shd w:val="clear" w:color="auto" w:fill="auto"/>
            <w:noWrap/>
            <w:vAlign w:val="bottom"/>
            <w:hideMark/>
          </w:tcPr>
          <w:p w14:paraId="18783636" w14:textId="77777777" w:rsidR="00E54627" w:rsidRPr="00AE22B1" w:rsidRDefault="00E54627" w:rsidP="00E54627">
            <w:pPr>
              <w:jc w:val="center"/>
              <w:rPr>
                <w:color w:val="000000"/>
              </w:rPr>
            </w:pPr>
            <w:r w:rsidRPr="00AE22B1">
              <w:rPr>
                <w:color w:val="000000"/>
              </w:rPr>
              <w:t>TM</w:t>
            </w:r>
          </w:p>
        </w:tc>
        <w:tc>
          <w:tcPr>
            <w:tcW w:w="1124" w:type="pct"/>
            <w:tcBorders>
              <w:top w:val="single" w:sz="4" w:space="0" w:color="auto"/>
              <w:left w:val="single" w:sz="4" w:space="0" w:color="auto"/>
              <w:bottom w:val="single" w:sz="12" w:space="0" w:color="auto"/>
              <w:right w:val="single" w:sz="4" w:space="0" w:color="auto"/>
            </w:tcBorders>
            <w:shd w:val="clear" w:color="auto" w:fill="FFFFFF" w:themeFill="background1"/>
            <w:noWrap/>
            <w:vAlign w:val="bottom"/>
            <w:hideMark/>
          </w:tcPr>
          <w:p w14:paraId="56C47BC0" w14:textId="77777777" w:rsidR="00E54627" w:rsidRPr="00AE22B1" w:rsidRDefault="00E54627" w:rsidP="00E54627">
            <w:pPr>
              <w:jc w:val="center"/>
              <w:rPr>
                <w:color w:val="000000"/>
              </w:rPr>
            </w:pPr>
            <w:r w:rsidRPr="00AE22B1">
              <w:rPr>
                <w:color w:val="000000"/>
              </w:rPr>
              <w:t>0,01931</w:t>
            </w:r>
          </w:p>
        </w:tc>
        <w:tc>
          <w:tcPr>
            <w:tcW w:w="1105" w:type="pct"/>
            <w:tcBorders>
              <w:top w:val="single" w:sz="4" w:space="0" w:color="auto"/>
              <w:left w:val="single" w:sz="4" w:space="0" w:color="auto"/>
              <w:bottom w:val="single" w:sz="12" w:space="0" w:color="auto"/>
              <w:right w:val="single" w:sz="4" w:space="0" w:color="auto"/>
            </w:tcBorders>
            <w:shd w:val="clear" w:color="auto" w:fill="FFFFFF" w:themeFill="background1"/>
            <w:noWrap/>
            <w:vAlign w:val="bottom"/>
            <w:hideMark/>
          </w:tcPr>
          <w:p w14:paraId="4ACC4F30" w14:textId="77777777" w:rsidR="00E54627" w:rsidRPr="00AE22B1" w:rsidRDefault="00E54627" w:rsidP="00E54627">
            <w:pPr>
              <w:jc w:val="center"/>
              <w:rPr>
                <w:color w:val="000000"/>
              </w:rPr>
            </w:pPr>
            <w:r w:rsidRPr="00AE22B1">
              <w:rPr>
                <w:color w:val="000000"/>
              </w:rPr>
              <w:t>0,98178</w:t>
            </w:r>
          </w:p>
        </w:tc>
        <w:tc>
          <w:tcPr>
            <w:tcW w:w="924" w:type="pct"/>
            <w:tcBorders>
              <w:top w:val="single" w:sz="4" w:space="0" w:color="auto"/>
              <w:left w:val="single" w:sz="4" w:space="0" w:color="auto"/>
              <w:bottom w:val="single" w:sz="12" w:space="0" w:color="auto"/>
              <w:right w:val="single" w:sz="4" w:space="0" w:color="auto"/>
            </w:tcBorders>
          </w:tcPr>
          <w:p w14:paraId="1B06C77F" w14:textId="77777777" w:rsidR="00E54627" w:rsidRPr="00182503" w:rsidRDefault="00E54627" w:rsidP="00E54627">
            <w:pPr>
              <w:jc w:val="center"/>
              <w:rPr>
                <w:color w:val="000000"/>
              </w:rPr>
            </w:pPr>
            <w:r w:rsidRPr="00182503">
              <w:t>0,22184</w:t>
            </w:r>
          </w:p>
        </w:tc>
        <w:tc>
          <w:tcPr>
            <w:tcW w:w="923" w:type="pct"/>
            <w:tcBorders>
              <w:top w:val="single" w:sz="4" w:space="0" w:color="auto"/>
              <w:left w:val="single" w:sz="4" w:space="0" w:color="auto"/>
              <w:bottom w:val="single" w:sz="12" w:space="0" w:color="auto"/>
              <w:right w:val="nil"/>
            </w:tcBorders>
          </w:tcPr>
          <w:p w14:paraId="6E200B8E" w14:textId="77777777" w:rsidR="00E54627" w:rsidRPr="00182503" w:rsidRDefault="00E54627" w:rsidP="00E54627">
            <w:pPr>
              <w:jc w:val="center"/>
              <w:rPr>
                <w:color w:val="000000"/>
              </w:rPr>
            </w:pPr>
            <w:r w:rsidRPr="00182503">
              <w:t>0,26258</w:t>
            </w:r>
          </w:p>
        </w:tc>
      </w:tr>
      <w:tr w:rsidR="00E54627" w:rsidRPr="00AE22B1" w14:paraId="5BF0A02D" w14:textId="77777777" w:rsidTr="00E54627">
        <w:trPr>
          <w:trHeight w:val="280"/>
        </w:trPr>
        <w:tc>
          <w:tcPr>
            <w:tcW w:w="3153" w:type="pct"/>
            <w:gridSpan w:val="3"/>
            <w:tcBorders>
              <w:top w:val="nil"/>
              <w:left w:val="nil"/>
              <w:bottom w:val="nil"/>
              <w:right w:val="nil"/>
            </w:tcBorders>
            <w:shd w:val="clear" w:color="auto" w:fill="auto"/>
            <w:noWrap/>
            <w:vAlign w:val="bottom"/>
            <w:hideMark/>
          </w:tcPr>
          <w:p w14:paraId="6025F3ED" w14:textId="77777777" w:rsidR="00E54627" w:rsidRPr="00AE22B1" w:rsidRDefault="00E54627" w:rsidP="00E54627">
            <w:pPr>
              <w:rPr>
                <w:color w:val="000000"/>
              </w:rPr>
            </w:pPr>
            <w:r w:rsidRPr="00AE22B1">
              <w:rPr>
                <w:color w:val="000000"/>
              </w:rPr>
              <w:t>Fonte: Dados da pesquisa.</w:t>
            </w:r>
          </w:p>
        </w:tc>
        <w:tc>
          <w:tcPr>
            <w:tcW w:w="924" w:type="pct"/>
            <w:tcBorders>
              <w:top w:val="nil"/>
              <w:left w:val="nil"/>
              <w:bottom w:val="nil"/>
              <w:right w:val="nil"/>
            </w:tcBorders>
          </w:tcPr>
          <w:p w14:paraId="2B0BB20D" w14:textId="77777777" w:rsidR="00E54627" w:rsidRPr="00AE22B1" w:rsidRDefault="00E54627" w:rsidP="00E54627">
            <w:pPr>
              <w:rPr>
                <w:color w:val="000000"/>
              </w:rPr>
            </w:pPr>
          </w:p>
        </w:tc>
        <w:tc>
          <w:tcPr>
            <w:tcW w:w="923" w:type="pct"/>
            <w:tcBorders>
              <w:top w:val="nil"/>
              <w:left w:val="nil"/>
              <w:bottom w:val="nil"/>
              <w:right w:val="nil"/>
            </w:tcBorders>
          </w:tcPr>
          <w:p w14:paraId="7ABA6639" w14:textId="77777777" w:rsidR="00E54627" w:rsidRPr="00AE22B1" w:rsidRDefault="00E54627" w:rsidP="00E54627">
            <w:pPr>
              <w:rPr>
                <w:color w:val="000000"/>
              </w:rPr>
            </w:pPr>
          </w:p>
        </w:tc>
      </w:tr>
    </w:tbl>
    <w:p w14:paraId="393DC7C6" w14:textId="77777777" w:rsidR="00E54627" w:rsidRDefault="00E54627" w:rsidP="00E54627">
      <w:pPr>
        <w:rPr>
          <w:sz w:val="24"/>
          <w:szCs w:val="24"/>
        </w:rPr>
      </w:pPr>
    </w:p>
    <w:p w14:paraId="1225C036" w14:textId="77777777" w:rsidR="00E54627" w:rsidRDefault="00E54627" w:rsidP="00E54627">
      <w:pPr>
        <w:ind w:firstLine="708"/>
        <w:jc w:val="both"/>
        <w:rPr>
          <w:sz w:val="24"/>
          <w:szCs w:val="24"/>
        </w:rPr>
      </w:pPr>
      <w:r>
        <w:rPr>
          <w:sz w:val="24"/>
          <w:szCs w:val="24"/>
        </w:rPr>
        <w:t>A partir da Tabela 3 é possível verificar que o modelo canônico estabelece a seguinte equação formada pela primeira correlação canônica:</w:t>
      </w:r>
    </w:p>
    <w:p w14:paraId="4D4BA3D2" w14:textId="77777777" w:rsidR="00E54627" w:rsidRDefault="00E54627" w:rsidP="00E54627">
      <w:pPr>
        <w:rPr>
          <w:sz w:val="24"/>
          <w:szCs w:val="24"/>
        </w:rPr>
      </w:pPr>
    </w:p>
    <w:p w14:paraId="69D87EB6" w14:textId="77777777" w:rsidR="00E54627" w:rsidRDefault="00E54627" w:rsidP="00E54627">
      <w:pPr>
        <w:rPr>
          <w:sz w:val="24"/>
          <w:szCs w:val="24"/>
        </w:rPr>
      </w:pPr>
      <m:oMath>
        <m:r>
          <w:rPr>
            <w:rFonts w:ascii="Cambria Math" w:hAnsi="Cambria Math"/>
            <w:sz w:val="24"/>
            <w:szCs w:val="24"/>
          </w:rPr>
          <m:t>-0,15983 ROE-0,11899 ROA</m:t>
        </m:r>
        <m:r>
          <w:rPr>
            <w:rFonts w:ascii="Cambria Math" w:eastAsiaTheme="minorEastAsia" w:hAnsi="Cambria Math"/>
            <w:sz w:val="24"/>
            <w:szCs w:val="24"/>
          </w:rPr>
          <m:t>+0,23426 ML-5,34247 LG+5,09449 LC=0,99980 TVH+0,28506 AIH-0,06524 TMP+0,01931 TM</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t xml:space="preserve">       (1)</w:t>
      </w:r>
    </w:p>
    <w:p w14:paraId="3181FAA3" w14:textId="77777777" w:rsidR="00E54627" w:rsidRDefault="00E54627" w:rsidP="00E54627">
      <w:pPr>
        <w:ind w:firstLine="709"/>
        <w:jc w:val="both"/>
        <w:rPr>
          <w:sz w:val="24"/>
          <w:szCs w:val="24"/>
        </w:rPr>
      </w:pPr>
    </w:p>
    <w:p w14:paraId="627915FB" w14:textId="6BEC41CC" w:rsidR="00E54627" w:rsidRDefault="00E54627" w:rsidP="00E54627">
      <w:pPr>
        <w:ind w:firstLine="709"/>
        <w:jc w:val="both"/>
        <w:rPr>
          <w:sz w:val="24"/>
          <w:szCs w:val="24"/>
        </w:rPr>
      </w:pPr>
      <w:r>
        <w:rPr>
          <w:sz w:val="24"/>
          <w:szCs w:val="24"/>
        </w:rPr>
        <w:t xml:space="preserve">Diante disso, foram analisadas apenas as variáveis que apresentaram coeficiente com força de associação acima de 0,21 (pequena mas definida), conforme estabelecido por Hair </w:t>
      </w:r>
      <w:r w:rsidR="00761592" w:rsidRPr="00761592">
        <w:rPr>
          <w:i/>
          <w:sz w:val="24"/>
          <w:szCs w:val="24"/>
        </w:rPr>
        <w:t>et al.</w:t>
      </w:r>
      <w:r>
        <w:rPr>
          <w:sz w:val="24"/>
          <w:szCs w:val="24"/>
        </w:rPr>
        <w:t xml:space="preserve"> (2005). A única variável do grupo situação econômico-financeira que apresentou força de associação positiva acima de moderada (+ 0,41 a + 0,70), foi a Liquidez Corrente (LC) com coeficiente de 5,09449 ou seja, muito forte (+ 0,91 a + 1,0), de acordo com Hair </w:t>
      </w:r>
      <w:r w:rsidR="00761592" w:rsidRPr="00761592">
        <w:rPr>
          <w:i/>
          <w:sz w:val="24"/>
          <w:szCs w:val="24"/>
        </w:rPr>
        <w:t>et al.</w:t>
      </w:r>
      <w:r>
        <w:rPr>
          <w:sz w:val="24"/>
          <w:szCs w:val="24"/>
        </w:rPr>
        <w:t xml:space="preserve"> (2005). Além disso, a Liquidez Geral (LG) apresentou força de associação muito forte, porém, negativa e ainda, a variável Margem Líquida (ML) demonstrou uma força de associação pequena mais definida, com coeficiente positivo de 0,23426.</w:t>
      </w:r>
    </w:p>
    <w:p w14:paraId="5A4D250F" w14:textId="77777777" w:rsidR="00E54627" w:rsidRDefault="00E54627" w:rsidP="00E54627">
      <w:pPr>
        <w:ind w:firstLine="709"/>
        <w:jc w:val="both"/>
        <w:rPr>
          <w:sz w:val="24"/>
          <w:szCs w:val="24"/>
        </w:rPr>
      </w:pPr>
      <w:r>
        <w:rPr>
          <w:sz w:val="24"/>
          <w:szCs w:val="24"/>
        </w:rPr>
        <w:t xml:space="preserve"> </w:t>
      </w:r>
      <w:r w:rsidRPr="00464983">
        <w:rPr>
          <w:sz w:val="24"/>
          <w:szCs w:val="24"/>
        </w:rPr>
        <w:t>Essa</w:t>
      </w:r>
      <w:r>
        <w:rPr>
          <w:sz w:val="24"/>
          <w:szCs w:val="24"/>
        </w:rPr>
        <w:t>s três</w:t>
      </w:r>
      <w:r w:rsidRPr="00464983">
        <w:rPr>
          <w:sz w:val="24"/>
          <w:szCs w:val="24"/>
        </w:rPr>
        <w:t xml:space="preserve"> variáve</w:t>
      </w:r>
      <w:r>
        <w:rPr>
          <w:sz w:val="24"/>
          <w:szCs w:val="24"/>
        </w:rPr>
        <w:t>is</w:t>
      </w:r>
      <w:r w:rsidRPr="00464983">
        <w:rPr>
          <w:sz w:val="24"/>
          <w:szCs w:val="24"/>
        </w:rPr>
        <w:t xml:space="preserve"> apresenta</w:t>
      </w:r>
      <w:r>
        <w:rPr>
          <w:sz w:val="24"/>
          <w:szCs w:val="24"/>
        </w:rPr>
        <w:t>ram</w:t>
      </w:r>
      <w:r w:rsidRPr="00464983">
        <w:rPr>
          <w:sz w:val="24"/>
          <w:szCs w:val="24"/>
        </w:rPr>
        <w:t xml:space="preserve"> combinação linear com duas variáveis d</w:t>
      </w:r>
      <w:r>
        <w:rPr>
          <w:sz w:val="24"/>
          <w:szCs w:val="24"/>
        </w:rPr>
        <w:t>o grupo desempenho operacional</w:t>
      </w:r>
      <w:r w:rsidRPr="00464983">
        <w:rPr>
          <w:sz w:val="24"/>
          <w:szCs w:val="24"/>
        </w:rPr>
        <w:t>, isto é,</w:t>
      </w:r>
      <w:r>
        <w:rPr>
          <w:sz w:val="24"/>
          <w:szCs w:val="24"/>
        </w:rPr>
        <w:t xml:space="preserve"> </w:t>
      </w:r>
      <w:r w:rsidRPr="00464983">
        <w:rPr>
          <w:sz w:val="24"/>
          <w:szCs w:val="24"/>
        </w:rPr>
        <w:t>Taxa de Valores Hospitalares (TVH)</w:t>
      </w:r>
      <w:r>
        <w:rPr>
          <w:sz w:val="24"/>
          <w:szCs w:val="24"/>
        </w:rPr>
        <w:t xml:space="preserve"> e </w:t>
      </w:r>
      <w:r w:rsidRPr="00464983">
        <w:rPr>
          <w:sz w:val="24"/>
          <w:szCs w:val="24"/>
        </w:rPr>
        <w:t>Autorização Internação Hospitalar (AIH)</w:t>
      </w:r>
      <w:r>
        <w:rPr>
          <w:sz w:val="24"/>
          <w:szCs w:val="24"/>
        </w:rPr>
        <w:t xml:space="preserve">, com associação positiva, muito forte para a primeira (TVH) que obteve um coeficiente de 0,99980 e, pequena mas definida para a segunda </w:t>
      </w:r>
      <w:r w:rsidRPr="00464983">
        <w:rPr>
          <w:sz w:val="24"/>
          <w:szCs w:val="24"/>
        </w:rPr>
        <w:t>(AIH)</w:t>
      </w:r>
      <w:r>
        <w:rPr>
          <w:sz w:val="24"/>
          <w:szCs w:val="24"/>
        </w:rPr>
        <w:t xml:space="preserve"> com coeficiente de 0,28506.</w:t>
      </w:r>
    </w:p>
    <w:p w14:paraId="5C939959" w14:textId="77777777" w:rsidR="00E54627" w:rsidRDefault="00E54627" w:rsidP="00E54627">
      <w:pPr>
        <w:ind w:firstLine="709"/>
        <w:jc w:val="both"/>
        <w:rPr>
          <w:sz w:val="24"/>
          <w:szCs w:val="24"/>
        </w:rPr>
      </w:pPr>
      <w:r>
        <w:rPr>
          <w:sz w:val="24"/>
          <w:szCs w:val="24"/>
        </w:rPr>
        <w:t xml:space="preserve">A partir dos resultados dessas combinações, entende-se que quanto maior for a Liquidez Corrente (LC) e a Margem Líquida (ML) dos hospitais analisados, maior será a </w:t>
      </w:r>
      <w:r w:rsidRPr="00464983">
        <w:rPr>
          <w:sz w:val="24"/>
          <w:szCs w:val="24"/>
        </w:rPr>
        <w:t>Autorização Internação Hospitalar (AIH)</w:t>
      </w:r>
      <w:r>
        <w:rPr>
          <w:sz w:val="24"/>
          <w:szCs w:val="24"/>
        </w:rPr>
        <w:t xml:space="preserve"> e a </w:t>
      </w:r>
      <w:r w:rsidRPr="00464983">
        <w:rPr>
          <w:sz w:val="24"/>
          <w:szCs w:val="24"/>
        </w:rPr>
        <w:t>Taxa de Valores Hospitalares (TVH)</w:t>
      </w:r>
      <w:r>
        <w:rPr>
          <w:sz w:val="24"/>
          <w:szCs w:val="24"/>
        </w:rPr>
        <w:t xml:space="preserve">. Nesse sentido, quanto maior for a capacidade do hospital em pagar suas obrigações no curto prazo em dia a partir do dinheiro que dispõe e, melhor for </w:t>
      </w:r>
      <w:r w:rsidRPr="00D32C21">
        <w:rPr>
          <w:sz w:val="24"/>
          <w:szCs w:val="24"/>
        </w:rPr>
        <w:t>a eficiência operacional, administrativa e financeira</w:t>
      </w:r>
      <w:r>
        <w:rPr>
          <w:sz w:val="24"/>
          <w:szCs w:val="24"/>
        </w:rPr>
        <w:t>, isso consequentemente irá refletir positivamente, num maior percentual de recursos utilizados para os serviços hospitalares e na capacidade de internação. Sendo assim, os hospitais tendo condições de arcar com essas dívidas de curto prazo e demonstrando uma eficiência na gestão nas três esferas (operacional, administrativa e financeira), terão um melhor desempenho operacional, que refletirá em benefícios aos pacientes.</w:t>
      </w:r>
    </w:p>
    <w:p w14:paraId="256ED090" w14:textId="77777777" w:rsidR="00E54627" w:rsidRPr="00F95308" w:rsidRDefault="00E54627" w:rsidP="00E54627">
      <w:pPr>
        <w:ind w:firstLine="709"/>
        <w:jc w:val="both"/>
        <w:rPr>
          <w:sz w:val="24"/>
          <w:szCs w:val="24"/>
        </w:rPr>
      </w:pPr>
      <w:r>
        <w:rPr>
          <w:sz w:val="24"/>
          <w:szCs w:val="24"/>
        </w:rPr>
        <w:t>Contudo, quanto menor for a Liquidez Geral (LG), maior será a Autori</w:t>
      </w:r>
      <w:r w:rsidRPr="00464983">
        <w:rPr>
          <w:sz w:val="24"/>
          <w:szCs w:val="24"/>
        </w:rPr>
        <w:t>zação Internação Hospitalar (AIH)</w:t>
      </w:r>
      <w:r>
        <w:rPr>
          <w:sz w:val="24"/>
          <w:szCs w:val="24"/>
        </w:rPr>
        <w:t xml:space="preserve"> e a </w:t>
      </w:r>
      <w:r w:rsidRPr="00464983">
        <w:rPr>
          <w:sz w:val="24"/>
          <w:szCs w:val="24"/>
        </w:rPr>
        <w:t>Taxa de Valores Hospitalares (TVH)</w:t>
      </w:r>
      <w:r>
        <w:rPr>
          <w:sz w:val="24"/>
          <w:szCs w:val="24"/>
        </w:rPr>
        <w:t xml:space="preserve">, o que indica que quanto menor for a </w:t>
      </w:r>
      <w:r w:rsidRPr="00D32C21">
        <w:rPr>
          <w:sz w:val="24"/>
          <w:szCs w:val="24"/>
        </w:rPr>
        <w:t>capacidade d</w:t>
      </w:r>
      <w:r>
        <w:rPr>
          <w:sz w:val="24"/>
          <w:szCs w:val="24"/>
        </w:rPr>
        <w:t xml:space="preserve">o hospital em </w:t>
      </w:r>
      <w:r w:rsidRPr="00D32C21">
        <w:rPr>
          <w:sz w:val="24"/>
          <w:szCs w:val="24"/>
        </w:rPr>
        <w:t xml:space="preserve">honrar seus compromissos com terceiros, </w:t>
      </w:r>
      <w:r>
        <w:rPr>
          <w:sz w:val="24"/>
          <w:szCs w:val="24"/>
        </w:rPr>
        <w:t xml:space="preserve">considerando principalmente o </w:t>
      </w:r>
      <w:r w:rsidRPr="00D32C21">
        <w:rPr>
          <w:sz w:val="24"/>
          <w:szCs w:val="24"/>
        </w:rPr>
        <w:t>longo prazo</w:t>
      </w:r>
      <w:r>
        <w:rPr>
          <w:sz w:val="24"/>
          <w:szCs w:val="24"/>
        </w:rPr>
        <w:t xml:space="preserve"> em relação as dívidas totais, maior será a capacidade de internações dos hospitais e a porcentagem de recursos na obtenção dos serviços hospitalares, ou seja, os mesmos poderão atender mais pacientes e aumentar seu o desempenho operacional.</w:t>
      </w:r>
    </w:p>
    <w:p w14:paraId="2743E700" w14:textId="75F4B44F" w:rsidR="00E54627" w:rsidRPr="0089079A" w:rsidRDefault="00E54627" w:rsidP="00E54627">
      <w:pPr>
        <w:ind w:firstLine="709"/>
        <w:jc w:val="both"/>
        <w:rPr>
          <w:sz w:val="24"/>
          <w:szCs w:val="24"/>
        </w:rPr>
      </w:pPr>
      <w:r>
        <w:rPr>
          <w:sz w:val="24"/>
          <w:szCs w:val="24"/>
        </w:rPr>
        <w:t>Diante disso, os resultados revelam que o desempenho operacional dos hospitais analisados está relacionado com a situação econômico-financeira, entretanto, no que se refere especificamente as variáveis margem líquida, liquidez corrente e geral, taxa de valores hospitalares e autori</w:t>
      </w:r>
      <w:r w:rsidRPr="00464983">
        <w:rPr>
          <w:sz w:val="24"/>
          <w:szCs w:val="24"/>
        </w:rPr>
        <w:t>zação internação hospitalar</w:t>
      </w:r>
      <w:r>
        <w:rPr>
          <w:sz w:val="24"/>
          <w:szCs w:val="24"/>
        </w:rPr>
        <w:t xml:space="preserve">. As demais variáveis (ROE, ROA, TMP e TM) apresentaram uma força de </w:t>
      </w:r>
      <w:r w:rsidRPr="0089079A">
        <w:rPr>
          <w:sz w:val="24"/>
          <w:szCs w:val="24"/>
        </w:rPr>
        <w:t xml:space="preserve">associação muito baixa e por conta disso, </w:t>
      </w:r>
      <w:r w:rsidR="001B6F07">
        <w:rPr>
          <w:sz w:val="24"/>
          <w:szCs w:val="24"/>
        </w:rPr>
        <w:t>não</w:t>
      </w:r>
      <w:r w:rsidRPr="0089079A">
        <w:rPr>
          <w:sz w:val="24"/>
          <w:szCs w:val="24"/>
        </w:rPr>
        <w:t xml:space="preserve"> serão enfatizadas.</w:t>
      </w:r>
    </w:p>
    <w:p w14:paraId="1C80801C" w14:textId="2D62B88D" w:rsidR="0089079A" w:rsidRPr="00743648" w:rsidRDefault="00E54627" w:rsidP="00743648">
      <w:pPr>
        <w:ind w:firstLine="708"/>
        <w:jc w:val="both"/>
        <w:rPr>
          <w:sz w:val="24"/>
          <w:szCs w:val="24"/>
          <w:shd w:val="clear" w:color="auto" w:fill="FFFFFF"/>
        </w:rPr>
      </w:pPr>
      <w:r w:rsidRPr="0089079A">
        <w:rPr>
          <w:sz w:val="24"/>
          <w:szCs w:val="24"/>
        </w:rPr>
        <w:t>A Liquidez Geral (LG) é uma variável que chama a atenção por ter apresentado um sinal contrário a expectativa, pois quanto maior, melhor seria. Contudo, a mesma obteve um coeficiente negativo quando correlacionado com as variáveis de desempenho operacional, o que pode indicar</w:t>
      </w:r>
      <w:r w:rsidR="001B6F07">
        <w:rPr>
          <w:sz w:val="24"/>
          <w:szCs w:val="24"/>
        </w:rPr>
        <w:t xml:space="preserve"> que, </w:t>
      </w:r>
      <w:r w:rsidRPr="0089079A">
        <w:rPr>
          <w:sz w:val="24"/>
          <w:szCs w:val="24"/>
        </w:rPr>
        <w:t>por exemplo, os hospitais estão investindo em</w:t>
      </w:r>
      <w:r w:rsidRPr="0089079A">
        <w:rPr>
          <w:sz w:val="24"/>
          <w:szCs w:val="24"/>
          <w:shd w:val="clear" w:color="auto" w:fill="FFFFFF"/>
        </w:rPr>
        <w:t xml:space="preserve"> financiamentos de longo prazo para modernização, </w:t>
      </w:r>
      <w:r w:rsidR="001B6F07">
        <w:rPr>
          <w:sz w:val="24"/>
          <w:szCs w:val="24"/>
          <w:shd w:val="clear" w:color="auto" w:fill="FFFFFF"/>
        </w:rPr>
        <w:t>tecnologias</w:t>
      </w:r>
      <w:r w:rsidR="006F3EB8">
        <w:rPr>
          <w:sz w:val="24"/>
          <w:szCs w:val="24"/>
          <w:shd w:val="clear" w:color="auto" w:fill="FFFFFF"/>
        </w:rPr>
        <w:t xml:space="preserve">, </w:t>
      </w:r>
      <w:r w:rsidRPr="0089079A">
        <w:rPr>
          <w:sz w:val="24"/>
          <w:szCs w:val="24"/>
          <w:shd w:val="clear" w:color="auto" w:fill="FFFFFF"/>
        </w:rPr>
        <w:t>melhor atendimento aos pacientes e, os recursos que seriam utilizados para pagar essa dívida (financiamentos, empréstimos), chegarão ao longo dos anos, pois poderão ser embutidos aos poucos nos valores cobrados pela prestação de serviços aos pacientes.</w:t>
      </w:r>
    </w:p>
    <w:p w14:paraId="4EB01E38" w14:textId="130F1D67" w:rsidR="00743648" w:rsidRDefault="00E54627" w:rsidP="00743648">
      <w:pPr>
        <w:ind w:firstLine="709"/>
        <w:jc w:val="both"/>
        <w:rPr>
          <w:sz w:val="24"/>
          <w:szCs w:val="24"/>
        </w:rPr>
      </w:pPr>
      <w:r w:rsidRPr="00743648">
        <w:rPr>
          <w:sz w:val="24"/>
          <w:szCs w:val="24"/>
        </w:rPr>
        <w:t>A partir desses achados, nota-se que o</w:t>
      </w:r>
      <w:r w:rsidR="00743648" w:rsidRPr="00743648">
        <w:rPr>
          <w:sz w:val="24"/>
          <w:szCs w:val="24"/>
        </w:rPr>
        <w:t>s resultados do estudo de Bonacim e Araujo (2011), foram contrários aos achados desta pesquisa, no que se refere a variável Liquidez Geral, visto que, quanto maior fosse a LG, melhor seria para a organização. Contudo, neste estudo, ao relacionar com os indicadores de desempenho operacional, o resultado foi que quanto menor for este indicador, maior será a TVH e AIH. Mas ressalta-se que este resultado pode ter sido inverso, devido as variáveis que foram relacionadas, não podendo ser generalizado para todas as variáveis de desempenho operacional, até porque, a força de associação por mais que negativa, com as variáveis TM e TMP foi muito baixa.</w:t>
      </w:r>
      <w:r w:rsidR="00743648">
        <w:rPr>
          <w:sz w:val="24"/>
          <w:szCs w:val="24"/>
        </w:rPr>
        <w:t xml:space="preserve"> </w:t>
      </w:r>
    </w:p>
    <w:p w14:paraId="4983EFB6" w14:textId="2D09CF91" w:rsidR="00743648" w:rsidRPr="00610E8C" w:rsidRDefault="00743648" w:rsidP="00743648">
      <w:pPr>
        <w:ind w:firstLine="709"/>
        <w:jc w:val="both"/>
        <w:rPr>
          <w:sz w:val="24"/>
          <w:szCs w:val="24"/>
        </w:rPr>
      </w:pPr>
      <w:r w:rsidRPr="00743648">
        <w:rPr>
          <w:sz w:val="24"/>
          <w:szCs w:val="24"/>
        </w:rPr>
        <w:t xml:space="preserve">Já no caso da Liquidez Corrente, o resultado corrobora com os achados de Lima Neto (2011), que verificou que quanto maior for a </w:t>
      </w:r>
      <w:r>
        <w:rPr>
          <w:sz w:val="24"/>
          <w:szCs w:val="24"/>
        </w:rPr>
        <w:t>LC</w:t>
      </w:r>
      <w:r w:rsidRPr="00743648">
        <w:rPr>
          <w:sz w:val="24"/>
          <w:szCs w:val="24"/>
        </w:rPr>
        <w:t>, melhor para as organizações hospitalares</w:t>
      </w:r>
      <w:r w:rsidRPr="00E10441">
        <w:rPr>
          <w:sz w:val="24"/>
          <w:szCs w:val="24"/>
        </w:rPr>
        <w:t xml:space="preserve">. </w:t>
      </w:r>
      <w:r>
        <w:rPr>
          <w:sz w:val="24"/>
          <w:szCs w:val="24"/>
        </w:rPr>
        <w:t xml:space="preserve">No que tange a Margem Líquida, </w:t>
      </w:r>
      <w:r w:rsidRPr="00610E8C">
        <w:rPr>
          <w:sz w:val="24"/>
          <w:szCs w:val="24"/>
        </w:rPr>
        <w:t>Creixans</w:t>
      </w:r>
      <w:r>
        <w:rPr>
          <w:sz w:val="24"/>
          <w:szCs w:val="24"/>
        </w:rPr>
        <w:t>-Tenas</w:t>
      </w:r>
      <w:r w:rsidRPr="00610E8C">
        <w:rPr>
          <w:sz w:val="24"/>
          <w:szCs w:val="24"/>
        </w:rPr>
        <w:t xml:space="preserve"> e Arimany-Serrat (2017) </w:t>
      </w:r>
      <w:r>
        <w:rPr>
          <w:sz w:val="24"/>
          <w:szCs w:val="24"/>
        </w:rPr>
        <w:t xml:space="preserve">indicaram a partir do seu estudo que </w:t>
      </w:r>
      <w:r w:rsidRPr="00610E8C">
        <w:rPr>
          <w:sz w:val="24"/>
          <w:szCs w:val="24"/>
        </w:rPr>
        <w:t>quanto maior, melhor</w:t>
      </w:r>
      <w:r>
        <w:rPr>
          <w:sz w:val="24"/>
          <w:szCs w:val="24"/>
        </w:rPr>
        <w:t xml:space="preserve">, o que também vai ao encontro com os resultados desta pesquisa, o que poderá fazer com que aumente a </w:t>
      </w:r>
      <w:r w:rsidRPr="00610E8C">
        <w:rPr>
          <w:sz w:val="24"/>
          <w:szCs w:val="24"/>
        </w:rPr>
        <w:t>lucratividade</w:t>
      </w:r>
      <w:r>
        <w:rPr>
          <w:sz w:val="24"/>
          <w:szCs w:val="24"/>
        </w:rPr>
        <w:t xml:space="preserve"> e melhore</w:t>
      </w:r>
      <w:r w:rsidRPr="00610E8C">
        <w:rPr>
          <w:sz w:val="24"/>
          <w:szCs w:val="24"/>
        </w:rPr>
        <w:t xml:space="preserve"> a gestão financeira</w:t>
      </w:r>
      <w:r>
        <w:rPr>
          <w:sz w:val="24"/>
          <w:szCs w:val="24"/>
        </w:rPr>
        <w:t xml:space="preserve"> das organizações hospitalares</w:t>
      </w:r>
      <w:r w:rsidRPr="00610E8C">
        <w:rPr>
          <w:sz w:val="24"/>
          <w:szCs w:val="24"/>
        </w:rPr>
        <w:t>.</w:t>
      </w:r>
    </w:p>
    <w:p w14:paraId="77AFF698" w14:textId="2C699480" w:rsidR="0089079A" w:rsidRDefault="00743648" w:rsidP="0089079A">
      <w:pPr>
        <w:ind w:firstLine="709"/>
        <w:jc w:val="both"/>
        <w:rPr>
          <w:sz w:val="24"/>
          <w:szCs w:val="24"/>
          <w:shd w:val="clear" w:color="auto" w:fill="FFFFFF"/>
        </w:rPr>
      </w:pPr>
      <w:r w:rsidRPr="00743648">
        <w:rPr>
          <w:sz w:val="24"/>
          <w:szCs w:val="24"/>
          <w:shd w:val="clear" w:color="auto" w:fill="FFFFFF"/>
        </w:rPr>
        <w:t xml:space="preserve">Em relação a </w:t>
      </w:r>
      <w:r w:rsidR="0089079A" w:rsidRPr="00743648">
        <w:rPr>
          <w:sz w:val="24"/>
          <w:szCs w:val="24"/>
          <w:shd w:val="clear" w:color="auto" w:fill="FFFFFF"/>
        </w:rPr>
        <w:t>Taxa de Valores Hospitalares</w:t>
      </w:r>
      <w:r>
        <w:rPr>
          <w:sz w:val="24"/>
          <w:szCs w:val="24"/>
          <w:shd w:val="clear" w:color="auto" w:fill="FFFFFF"/>
        </w:rPr>
        <w:t xml:space="preserve"> e </w:t>
      </w:r>
      <w:r w:rsidRPr="00743648">
        <w:rPr>
          <w:sz w:val="24"/>
          <w:szCs w:val="24"/>
          <w:shd w:val="clear" w:color="auto" w:fill="FFFFFF"/>
        </w:rPr>
        <w:t>Autorização de Internações Hospitalares</w:t>
      </w:r>
      <w:r w:rsidR="0089079A" w:rsidRPr="00743648">
        <w:rPr>
          <w:sz w:val="24"/>
          <w:szCs w:val="24"/>
          <w:shd w:val="clear" w:color="auto" w:fill="FFFFFF"/>
        </w:rPr>
        <w:t>,</w:t>
      </w:r>
      <w:r w:rsidR="0089079A" w:rsidRPr="00635E77">
        <w:rPr>
          <w:sz w:val="24"/>
          <w:szCs w:val="24"/>
          <w:shd w:val="clear" w:color="auto" w:fill="FFFFFF"/>
        </w:rPr>
        <w:t xml:space="preserve"> </w:t>
      </w:r>
      <w:r>
        <w:rPr>
          <w:sz w:val="24"/>
          <w:szCs w:val="24"/>
          <w:shd w:val="clear" w:color="auto" w:fill="FFFFFF"/>
        </w:rPr>
        <w:t>percebe</w:t>
      </w:r>
      <w:r w:rsidRPr="00941521">
        <w:rPr>
          <w:sz w:val="24"/>
          <w:szCs w:val="24"/>
          <w:shd w:val="clear" w:color="auto" w:fill="FFFFFF"/>
        </w:rPr>
        <w:t xml:space="preserve">-se que os resultados foram os esperados, ou seja, quanto maiores esses índices, melhor para a organização. Sendo assim, quando se trata da TVH, o estudo vai ao encontro dos achados de </w:t>
      </w:r>
      <w:r w:rsidR="0089079A" w:rsidRPr="00941521">
        <w:rPr>
          <w:sz w:val="24"/>
          <w:szCs w:val="24"/>
          <w:shd w:val="clear" w:color="auto" w:fill="FFFFFF"/>
        </w:rPr>
        <w:t xml:space="preserve">Akashi </w:t>
      </w:r>
      <w:r w:rsidR="00761592" w:rsidRPr="00761592">
        <w:rPr>
          <w:i/>
          <w:sz w:val="24"/>
          <w:szCs w:val="24"/>
          <w:shd w:val="clear" w:color="auto" w:fill="FFFFFF"/>
        </w:rPr>
        <w:t>et al.</w:t>
      </w:r>
      <w:r w:rsidR="0089079A" w:rsidRPr="00941521">
        <w:rPr>
          <w:sz w:val="24"/>
          <w:szCs w:val="24"/>
          <w:shd w:val="clear" w:color="auto" w:fill="FFFFFF"/>
        </w:rPr>
        <w:t xml:space="preserve"> (2004)</w:t>
      </w:r>
      <w:r w:rsidR="00DE5747" w:rsidRPr="00941521">
        <w:rPr>
          <w:sz w:val="24"/>
          <w:szCs w:val="24"/>
          <w:shd w:val="clear" w:color="auto" w:fill="FFFFFF"/>
        </w:rPr>
        <w:t xml:space="preserve">, o que demonstra </w:t>
      </w:r>
      <w:r w:rsidR="0089079A" w:rsidRPr="00941521">
        <w:rPr>
          <w:sz w:val="24"/>
          <w:szCs w:val="24"/>
          <w:shd w:val="clear" w:color="auto" w:fill="FFFFFF"/>
        </w:rPr>
        <w:t>que é preciso uma melhor alocação das despesas, maior geração de receita</w:t>
      </w:r>
      <w:r w:rsidR="00DE5747" w:rsidRPr="00941521">
        <w:rPr>
          <w:sz w:val="24"/>
          <w:szCs w:val="24"/>
          <w:shd w:val="clear" w:color="auto" w:fill="FFFFFF"/>
        </w:rPr>
        <w:t>s</w:t>
      </w:r>
      <w:r w:rsidR="0089079A" w:rsidRPr="00941521">
        <w:rPr>
          <w:sz w:val="24"/>
          <w:szCs w:val="24"/>
          <w:shd w:val="clear" w:color="auto" w:fill="FFFFFF"/>
        </w:rPr>
        <w:t xml:space="preserve"> e aumento significativo na quantidade de pacientes.</w:t>
      </w:r>
      <w:r w:rsidR="00DE5747" w:rsidRPr="00941521">
        <w:rPr>
          <w:sz w:val="24"/>
          <w:szCs w:val="24"/>
          <w:shd w:val="clear" w:color="auto" w:fill="FFFFFF"/>
        </w:rPr>
        <w:t xml:space="preserve"> Já no que se refere a </w:t>
      </w:r>
      <w:r w:rsidR="0089079A" w:rsidRPr="00941521">
        <w:rPr>
          <w:sz w:val="24"/>
          <w:szCs w:val="24"/>
          <w:shd w:val="clear" w:color="auto" w:fill="FFFFFF"/>
        </w:rPr>
        <w:t>AIH</w:t>
      </w:r>
      <w:r w:rsidR="00DE5747" w:rsidRPr="00941521">
        <w:rPr>
          <w:sz w:val="24"/>
          <w:szCs w:val="24"/>
          <w:shd w:val="clear" w:color="auto" w:fill="FFFFFF"/>
        </w:rPr>
        <w:t xml:space="preserve">, os achados contradizem com os resultados de </w:t>
      </w:r>
      <w:r w:rsidR="0089079A" w:rsidRPr="00941521">
        <w:rPr>
          <w:sz w:val="24"/>
          <w:szCs w:val="24"/>
          <w:shd w:val="clear" w:color="auto" w:fill="FFFFFF"/>
        </w:rPr>
        <w:t>Cesconetto</w:t>
      </w:r>
      <w:r w:rsidR="00941521" w:rsidRPr="00941521">
        <w:rPr>
          <w:sz w:val="24"/>
          <w:szCs w:val="24"/>
          <w:shd w:val="clear" w:color="auto" w:fill="FFFFFF"/>
        </w:rPr>
        <w:t xml:space="preserve"> </w:t>
      </w:r>
      <w:r w:rsidR="00761592" w:rsidRPr="00761592">
        <w:rPr>
          <w:i/>
          <w:sz w:val="24"/>
          <w:szCs w:val="24"/>
          <w:shd w:val="clear" w:color="auto" w:fill="FFFFFF"/>
        </w:rPr>
        <w:t>et al.</w:t>
      </w:r>
      <w:r w:rsidR="0089079A" w:rsidRPr="00941521">
        <w:rPr>
          <w:sz w:val="24"/>
          <w:szCs w:val="24"/>
          <w:shd w:val="clear" w:color="auto" w:fill="FFFFFF"/>
        </w:rPr>
        <w:t xml:space="preserve"> (2008), </w:t>
      </w:r>
      <w:r w:rsidR="00DE5747" w:rsidRPr="00941521">
        <w:rPr>
          <w:sz w:val="24"/>
          <w:szCs w:val="24"/>
          <w:shd w:val="clear" w:color="auto" w:fill="FFFFFF"/>
        </w:rPr>
        <w:t xml:space="preserve">que verificaram em seu estudo que para aumentar a eficiência do hospital seria preciso reduzir os valores das AIH. Entretanto, os próprios autores consideram que </w:t>
      </w:r>
      <w:r w:rsidR="0089079A" w:rsidRPr="00941521">
        <w:rPr>
          <w:sz w:val="24"/>
          <w:szCs w:val="24"/>
          <w:shd w:val="clear" w:color="auto" w:fill="FFFFFF"/>
        </w:rPr>
        <w:t>é por meio da AIH que hospitais, profissionais e serviços auxiliares conseguem se habilitar para receber pelos serviços prestados</w:t>
      </w:r>
      <w:r w:rsidR="00DE5747" w:rsidRPr="00941521">
        <w:rPr>
          <w:sz w:val="24"/>
          <w:szCs w:val="24"/>
          <w:shd w:val="clear" w:color="auto" w:fill="FFFFFF"/>
        </w:rPr>
        <w:t xml:space="preserve"> (Cesconetto</w:t>
      </w:r>
      <w:r w:rsidR="0080541A" w:rsidRPr="00941521">
        <w:rPr>
          <w:sz w:val="24"/>
          <w:szCs w:val="24"/>
          <w:shd w:val="clear" w:color="auto" w:fill="FFFFFF"/>
        </w:rPr>
        <w:t xml:space="preserve"> </w:t>
      </w:r>
      <w:r w:rsidR="00761592" w:rsidRPr="00761592">
        <w:rPr>
          <w:i/>
          <w:sz w:val="24"/>
          <w:szCs w:val="24"/>
          <w:shd w:val="clear" w:color="auto" w:fill="FFFFFF"/>
        </w:rPr>
        <w:t>et al.</w:t>
      </w:r>
      <w:r w:rsidR="00DE5747" w:rsidRPr="00941521">
        <w:rPr>
          <w:sz w:val="24"/>
          <w:szCs w:val="24"/>
          <w:shd w:val="clear" w:color="auto" w:fill="FFFFFF"/>
        </w:rPr>
        <w:t>, 2008), o que se considera algo importante para essas organizações, devido a melhoria da qualidade dos serviços</w:t>
      </w:r>
      <w:r w:rsidR="00DE5747">
        <w:rPr>
          <w:sz w:val="24"/>
          <w:szCs w:val="24"/>
          <w:shd w:val="clear" w:color="auto" w:fill="FFFFFF"/>
        </w:rPr>
        <w:t xml:space="preserve"> que essas habilitações podem gerar.</w:t>
      </w:r>
    </w:p>
    <w:p w14:paraId="0C17DBB6" w14:textId="77777777" w:rsidR="00E54627" w:rsidRDefault="00E54627" w:rsidP="00E54627">
      <w:pPr>
        <w:ind w:firstLine="709"/>
        <w:jc w:val="both"/>
        <w:rPr>
          <w:sz w:val="24"/>
          <w:szCs w:val="24"/>
        </w:rPr>
      </w:pPr>
    </w:p>
    <w:p w14:paraId="0A548886" w14:textId="77777777" w:rsidR="00E54627" w:rsidRPr="00C86346" w:rsidRDefault="00E54627" w:rsidP="00E54627">
      <w:pPr>
        <w:rPr>
          <w:b/>
          <w:sz w:val="24"/>
          <w:szCs w:val="24"/>
        </w:rPr>
      </w:pPr>
      <w:r w:rsidRPr="00CB1EDD">
        <w:rPr>
          <w:b/>
          <w:sz w:val="24"/>
          <w:szCs w:val="24"/>
        </w:rPr>
        <w:t>5 Conclusão</w:t>
      </w:r>
    </w:p>
    <w:p w14:paraId="68062105" w14:textId="70D73CA6" w:rsidR="00E54627" w:rsidRDefault="00E54627" w:rsidP="00E54627">
      <w:pPr>
        <w:ind w:firstLine="709"/>
        <w:jc w:val="both"/>
        <w:rPr>
          <w:sz w:val="24"/>
          <w:szCs w:val="24"/>
        </w:rPr>
      </w:pPr>
      <w:r>
        <w:rPr>
          <w:sz w:val="24"/>
          <w:szCs w:val="24"/>
        </w:rPr>
        <w:t xml:space="preserve">A partir do objetivo de analisar a relação existente entre o desempenho operacional e a situação econômico-financeira das organizações hospitalares, foi utilizada uma amostra de 121 hospitais da região Sul do Brasil. A partir da correlação canônica foi possível verificar que houve relação entre os dois grupos de variáveis e a mesma foi significativa. Vale ressaltar que foram consideradas para a análise, apenas as variáveis que apresentaram coeficientes acima de 0,21, considerada uma </w:t>
      </w:r>
      <w:r w:rsidR="006F3EB8">
        <w:rPr>
          <w:sz w:val="24"/>
          <w:szCs w:val="24"/>
        </w:rPr>
        <w:t xml:space="preserve">pequena </w:t>
      </w:r>
      <w:r>
        <w:rPr>
          <w:sz w:val="24"/>
          <w:szCs w:val="24"/>
        </w:rPr>
        <w:t>correlação</w:t>
      </w:r>
      <w:r w:rsidR="006F3EB8">
        <w:rPr>
          <w:sz w:val="24"/>
          <w:szCs w:val="24"/>
        </w:rPr>
        <w:t xml:space="preserve">, </w:t>
      </w:r>
      <w:r>
        <w:rPr>
          <w:sz w:val="24"/>
          <w:szCs w:val="24"/>
        </w:rPr>
        <w:t xml:space="preserve">mas definida, de acordo com Hair </w:t>
      </w:r>
      <w:r w:rsidR="00761592" w:rsidRPr="00761592">
        <w:rPr>
          <w:i/>
          <w:sz w:val="24"/>
          <w:szCs w:val="24"/>
        </w:rPr>
        <w:t>et al.</w:t>
      </w:r>
      <w:r>
        <w:rPr>
          <w:sz w:val="24"/>
          <w:szCs w:val="24"/>
        </w:rPr>
        <w:t xml:space="preserve"> (2005).</w:t>
      </w:r>
    </w:p>
    <w:p w14:paraId="4E2D9A54" w14:textId="7A964BA3" w:rsidR="00E54627" w:rsidRPr="00DF580A" w:rsidRDefault="00E54627" w:rsidP="00E54627">
      <w:pPr>
        <w:ind w:firstLine="709"/>
        <w:jc w:val="both"/>
        <w:rPr>
          <w:sz w:val="24"/>
          <w:szCs w:val="24"/>
        </w:rPr>
      </w:pPr>
      <w:r>
        <w:rPr>
          <w:sz w:val="24"/>
          <w:szCs w:val="24"/>
        </w:rPr>
        <w:t xml:space="preserve">Por meio dos resultados verificou-se que as variáveis com maior correlação (associação muito forte) foram Liquidez Corrente e Liquidez Geral do grupo de variáveis de situação econômico-financeira e a Taxa de Valores Hospitalares do grupo de variáveis de desempenho operacional. Entretanto, a variável Liquidez Geral de forma inversa, isto é, negativa. Além disso, foram consideradas as variáveis Margem Líquida e Autorização de Internação Hospitalar por terem apresentado uma força de associação </w:t>
      </w:r>
      <w:r w:rsidR="006F3EB8">
        <w:rPr>
          <w:sz w:val="24"/>
          <w:szCs w:val="24"/>
        </w:rPr>
        <w:t>pequena,</w:t>
      </w:r>
      <w:r>
        <w:rPr>
          <w:sz w:val="24"/>
          <w:szCs w:val="24"/>
        </w:rPr>
        <w:t xml:space="preserve"> mas definida.</w:t>
      </w:r>
    </w:p>
    <w:p w14:paraId="4686565E" w14:textId="6C81E00E" w:rsidR="00E54627" w:rsidRDefault="00E54627" w:rsidP="00E54627">
      <w:pPr>
        <w:ind w:firstLine="709"/>
        <w:jc w:val="both"/>
        <w:rPr>
          <w:sz w:val="24"/>
          <w:szCs w:val="24"/>
        </w:rPr>
      </w:pPr>
      <w:r>
        <w:rPr>
          <w:sz w:val="24"/>
          <w:szCs w:val="24"/>
        </w:rPr>
        <w:t>Diante desses achados, conclui-se que, quanto maior for a margem líquida e liquidez corrente e menor for a liquidez geral, maior será a taxa de valores hospitalares e autorização de internação hospitalar. Para tanto, o resultado que mais chama a atenção é a relação entre a liquidez geral e as variáveis</w:t>
      </w:r>
      <w:r w:rsidR="008A74FE">
        <w:rPr>
          <w:sz w:val="24"/>
          <w:szCs w:val="24"/>
        </w:rPr>
        <w:t xml:space="preserve"> de desempenho operacional.</w:t>
      </w:r>
    </w:p>
    <w:p w14:paraId="2AAC236D" w14:textId="77777777" w:rsidR="00E54627" w:rsidRDefault="00E54627" w:rsidP="00E54627">
      <w:pPr>
        <w:jc w:val="both"/>
        <w:rPr>
          <w:sz w:val="24"/>
          <w:szCs w:val="24"/>
        </w:rPr>
      </w:pPr>
      <w:r>
        <w:rPr>
          <w:sz w:val="24"/>
          <w:szCs w:val="24"/>
        </w:rPr>
        <w:tab/>
        <w:t>A contribuição teórica diz respeito a ampliação da temática para a literatura, por ter encontrado resultados diferentes dos já encontrados nos estudos anteriores, especialmente no caso da variável Liquidez Geral, ser um resultado inverso do que se esperava para essas organizações. Contribui de forma prática para gestores dessas organizações, por fornecer informações sobre as variáveis que melhor expliquem a relação do desempenho operacional com a situação econômico-financeira, bem como, por identificar o aumento ou diminuição de determinado indicador em relação aos demais.</w:t>
      </w:r>
    </w:p>
    <w:p w14:paraId="28D7C6D2" w14:textId="77777777" w:rsidR="00E54627" w:rsidRDefault="00E54627" w:rsidP="00E54627">
      <w:pPr>
        <w:ind w:firstLine="708"/>
        <w:jc w:val="both"/>
        <w:rPr>
          <w:sz w:val="24"/>
          <w:szCs w:val="24"/>
        </w:rPr>
      </w:pPr>
      <w:r>
        <w:rPr>
          <w:sz w:val="24"/>
          <w:szCs w:val="24"/>
        </w:rPr>
        <w:t xml:space="preserve">O estudo contribui para a sociedade pois, formuladores de políticas públicas poderão olhar para esses resultados e variáveis analisadas e rever algumas questões, como o fato de identificar outros possíveis indicadores que expliquem o aumento ou diminuição da Taxa de Mortalidade e Tempo Médio de Permanência, afim de controlar esses indicadores da melhor forma, isto é, reduzindo-os. Isso por que, neste estudo, estas variáveis apresentaram uma força de associação muito baixa (quase nula) com a situação econômico-financeira, não possibilitando obter conclusões sobre as mesmas. </w:t>
      </w:r>
    </w:p>
    <w:p w14:paraId="78F31EEF" w14:textId="77777777" w:rsidR="00E54627" w:rsidRDefault="00E54627" w:rsidP="00E54627">
      <w:pPr>
        <w:ind w:firstLine="708"/>
        <w:jc w:val="both"/>
        <w:rPr>
          <w:sz w:val="24"/>
          <w:szCs w:val="24"/>
        </w:rPr>
      </w:pPr>
      <w:r>
        <w:rPr>
          <w:sz w:val="24"/>
          <w:szCs w:val="24"/>
        </w:rPr>
        <w:t>Como contribuição prática, os resultados fornecem informações aos gestores dos hospitais, indicando as variáveis que melhor explicam a melhoria ou piora no desempenho operacional, podendo assim, dar atenção para tais indicadores, melhorando a gestão administrativa, financeira, gerencial e consequentemente e principalmente, o atendimento aos pacientes, que é o objetivo dessas entidades.</w:t>
      </w:r>
    </w:p>
    <w:p w14:paraId="21F69CF4" w14:textId="23C1A0DE" w:rsidR="00E54627" w:rsidRPr="00071D73" w:rsidRDefault="00E54627" w:rsidP="00E54627">
      <w:pPr>
        <w:jc w:val="both"/>
      </w:pPr>
      <w:r w:rsidRPr="00071D73">
        <w:rPr>
          <w:sz w:val="24"/>
          <w:szCs w:val="24"/>
        </w:rPr>
        <w:tab/>
        <w:t>Devemos considerar que como todo e qualquer estudo, esta pesquisa também apresenta limitações, que neste caso estão relacionadas com a amostra, por serem considerados os hospitais da região Sul do Brasil, além disso, as variáveis para análise dessa relação entre o desempenho operacional e situação econômico-financeira, também pode ser considerada uma limitação. A base de dados utilizada e os anos também são consideradas limitações do estudo, pois não se tem dados mais recentes (após 2014) disponíveis. Como sugestão para estudos futuros tem-se a ampliação da população para todos os hospitais do Brasil ou até mesmo, de outras regiões, para fins de comparabilidade.</w:t>
      </w:r>
      <w:r>
        <w:rPr>
          <w:sz w:val="24"/>
          <w:szCs w:val="24"/>
        </w:rPr>
        <w:t xml:space="preserve"> </w:t>
      </w:r>
    </w:p>
    <w:p w14:paraId="0CF0064C" w14:textId="77777777" w:rsidR="00E54627" w:rsidRPr="00CB1EDD" w:rsidRDefault="00E54627" w:rsidP="00E54627">
      <w:pPr>
        <w:jc w:val="both"/>
        <w:rPr>
          <w:sz w:val="24"/>
          <w:szCs w:val="24"/>
        </w:rPr>
      </w:pPr>
    </w:p>
    <w:p w14:paraId="03A31AE6" w14:textId="2E71AE4D" w:rsidR="00E6136F" w:rsidRPr="00274008" w:rsidRDefault="00E54627">
      <w:pPr>
        <w:rPr>
          <w:b/>
          <w:sz w:val="24"/>
          <w:szCs w:val="24"/>
          <w:lang w:val="en-US"/>
        </w:rPr>
      </w:pPr>
      <w:r w:rsidRPr="000A1AC0">
        <w:rPr>
          <w:b/>
          <w:sz w:val="24"/>
          <w:szCs w:val="24"/>
          <w:lang w:val="en-US"/>
        </w:rPr>
        <w:t>Referências</w:t>
      </w:r>
      <w:bookmarkEnd w:id="0"/>
    </w:p>
    <w:p w14:paraId="241D1F65"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Aiken, L. H., Clarke, S. P., &amp; Sloane, D. M. (2002). Hospital staffing, organization, and quality of care: cross-national findings. </w:t>
      </w:r>
      <w:r w:rsidRPr="00A674BF">
        <w:rPr>
          <w:i/>
          <w:iCs/>
          <w:sz w:val="24"/>
          <w:szCs w:val="24"/>
          <w:shd w:val="clear" w:color="auto" w:fill="FFFFFF"/>
          <w:lang w:val="en-US"/>
        </w:rPr>
        <w:t>Nursing outlook</w:t>
      </w:r>
      <w:r w:rsidRPr="00A674BF">
        <w:rPr>
          <w:sz w:val="24"/>
          <w:szCs w:val="24"/>
          <w:shd w:val="clear" w:color="auto" w:fill="FFFFFF"/>
          <w:lang w:val="en-US"/>
        </w:rPr>
        <w:t>, </w:t>
      </w:r>
      <w:r w:rsidRPr="00A674BF">
        <w:rPr>
          <w:i/>
          <w:iCs/>
          <w:sz w:val="24"/>
          <w:szCs w:val="24"/>
          <w:shd w:val="clear" w:color="auto" w:fill="FFFFFF"/>
          <w:lang w:val="en-US"/>
        </w:rPr>
        <w:t>50</w:t>
      </w:r>
      <w:r w:rsidRPr="00A674BF">
        <w:rPr>
          <w:sz w:val="24"/>
          <w:szCs w:val="24"/>
          <w:shd w:val="clear" w:color="auto" w:fill="FFFFFF"/>
          <w:lang w:val="en-US"/>
        </w:rPr>
        <w:t>(5), 187-194.</w:t>
      </w:r>
    </w:p>
    <w:p w14:paraId="0C4A3665"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Akashi, H., Yamada, T., Huot, E., Kanal, K., &amp; Sugimoto, T. (2004). User fees at a public hospital in Cambodia: effects on hospital performance and provider attitudes. </w:t>
      </w:r>
      <w:r w:rsidRPr="00A674BF">
        <w:rPr>
          <w:i/>
          <w:iCs/>
          <w:sz w:val="24"/>
          <w:szCs w:val="24"/>
          <w:shd w:val="clear" w:color="auto" w:fill="FFFFFF"/>
        </w:rPr>
        <w:t>Social Science &amp; Medicine</w:t>
      </w:r>
      <w:r w:rsidRPr="00A674BF">
        <w:rPr>
          <w:sz w:val="24"/>
          <w:szCs w:val="24"/>
          <w:shd w:val="clear" w:color="auto" w:fill="FFFFFF"/>
        </w:rPr>
        <w:t>, </w:t>
      </w:r>
      <w:r w:rsidRPr="00A674BF">
        <w:rPr>
          <w:i/>
          <w:iCs/>
          <w:sz w:val="24"/>
          <w:szCs w:val="24"/>
          <w:shd w:val="clear" w:color="auto" w:fill="FFFFFF"/>
        </w:rPr>
        <w:t>58</w:t>
      </w:r>
      <w:r w:rsidRPr="00A674BF">
        <w:rPr>
          <w:sz w:val="24"/>
          <w:szCs w:val="24"/>
          <w:shd w:val="clear" w:color="auto" w:fill="FFFFFF"/>
        </w:rPr>
        <w:t>(3), 553-564.</w:t>
      </w:r>
    </w:p>
    <w:p w14:paraId="161565DC"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Azevedo, C. D. S., Sá, M. D. C., Cunha, M., Matta, G. C., Miranda, L., &amp; Grabois, V. (2017). Racionalização e Construção de Sentido na Gestão do Cuidado: uma experiência de mudança em um hospital do SUS. </w:t>
      </w:r>
      <w:r w:rsidRPr="00A674BF">
        <w:rPr>
          <w:i/>
          <w:iCs/>
          <w:sz w:val="24"/>
          <w:szCs w:val="24"/>
          <w:shd w:val="clear" w:color="auto" w:fill="FFFFFF"/>
        </w:rPr>
        <w:t>Ciência &amp; Saúde Coletiva</w:t>
      </w:r>
      <w:r w:rsidRPr="00A674BF">
        <w:rPr>
          <w:sz w:val="24"/>
          <w:szCs w:val="24"/>
          <w:shd w:val="clear" w:color="auto" w:fill="FFFFFF"/>
        </w:rPr>
        <w:t>, </w:t>
      </w:r>
      <w:r w:rsidRPr="00A674BF">
        <w:rPr>
          <w:i/>
          <w:iCs/>
          <w:sz w:val="24"/>
          <w:szCs w:val="24"/>
          <w:shd w:val="clear" w:color="auto" w:fill="FFFFFF"/>
        </w:rPr>
        <w:t>22</w:t>
      </w:r>
      <w:r w:rsidRPr="00A674BF">
        <w:rPr>
          <w:sz w:val="24"/>
          <w:szCs w:val="24"/>
          <w:shd w:val="clear" w:color="auto" w:fill="FFFFFF"/>
        </w:rPr>
        <w:t>, 1991-2002.</w:t>
      </w:r>
    </w:p>
    <w:p w14:paraId="4DF15FFE" w14:textId="77777777" w:rsidR="006250D1" w:rsidRPr="00A674BF" w:rsidRDefault="006250D1" w:rsidP="00A674BF">
      <w:pPr>
        <w:spacing w:after="240"/>
        <w:ind w:left="709" w:hanging="709"/>
        <w:jc w:val="both"/>
        <w:rPr>
          <w:sz w:val="24"/>
          <w:szCs w:val="24"/>
        </w:rPr>
      </w:pPr>
      <w:r w:rsidRPr="00A674BF">
        <w:rPr>
          <w:sz w:val="24"/>
          <w:szCs w:val="24"/>
          <w:shd w:val="clear" w:color="auto" w:fill="FFFFFF"/>
          <w:lang w:val="en-US"/>
        </w:rPr>
        <w:t xml:space="preserve">Bittar, O. J. N. V. (2009). </w:t>
      </w:r>
      <w:r w:rsidRPr="00A674BF">
        <w:rPr>
          <w:sz w:val="24"/>
          <w:szCs w:val="24"/>
          <w:shd w:val="clear" w:color="auto" w:fill="FFFFFF"/>
        </w:rPr>
        <w:t>Indicadores de qualidade e quantidade em saúde. </w:t>
      </w:r>
      <w:r w:rsidRPr="00A674BF">
        <w:rPr>
          <w:i/>
          <w:iCs/>
          <w:sz w:val="24"/>
          <w:szCs w:val="24"/>
          <w:shd w:val="clear" w:color="auto" w:fill="FFFFFF"/>
        </w:rPr>
        <w:t>Rev. adm. saúde</w:t>
      </w:r>
      <w:r w:rsidRPr="00A674BF">
        <w:rPr>
          <w:sz w:val="24"/>
          <w:szCs w:val="24"/>
          <w:shd w:val="clear" w:color="auto" w:fill="FFFFFF"/>
        </w:rPr>
        <w:t>, 87-93.</w:t>
      </w:r>
    </w:p>
    <w:p w14:paraId="3FFC8085" w14:textId="4428012C" w:rsidR="006250D1" w:rsidRPr="00A674BF" w:rsidRDefault="006250D1" w:rsidP="00E95B89">
      <w:pPr>
        <w:spacing w:after="240"/>
        <w:ind w:left="709" w:hanging="709"/>
        <w:jc w:val="both"/>
        <w:rPr>
          <w:sz w:val="24"/>
          <w:szCs w:val="24"/>
          <w:shd w:val="clear" w:color="auto" w:fill="FFFFFF"/>
        </w:rPr>
      </w:pPr>
      <w:r w:rsidRPr="00A674BF">
        <w:rPr>
          <w:sz w:val="24"/>
          <w:szCs w:val="24"/>
          <w:shd w:val="clear" w:color="auto" w:fill="FFFFFF"/>
        </w:rPr>
        <w:t xml:space="preserve">Bonacim, C. A. G., &amp; Araujo, A. M. P. D. (2011). </w:t>
      </w:r>
      <w:r w:rsidR="00E95B89" w:rsidRPr="00E95B89">
        <w:rPr>
          <w:sz w:val="24"/>
          <w:szCs w:val="24"/>
          <w:shd w:val="clear" w:color="auto" w:fill="FFFFFF"/>
        </w:rPr>
        <w:t>Avaliação de desempenho econômico-financeiro dos serviços</w:t>
      </w:r>
      <w:r w:rsidR="00E95B89">
        <w:rPr>
          <w:sz w:val="24"/>
          <w:szCs w:val="24"/>
          <w:shd w:val="clear" w:color="auto" w:fill="FFFFFF"/>
        </w:rPr>
        <w:t xml:space="preserve"> </w:t>
      </w:r>
      <w:r w:rsidR="00E95B89" w:rsidRPr="00E95B89">
        <w:rPr>
          <w:sz w:val="24"/>
          <w:szCs w:val="24"/>
          <w:shd w:val="clear" w:color="auto" w:fill="FFFFFF"/>
        </w:rPr>
        <w:t>de saúde: os reflexos das políticas operacionais no setor hospitalar</w:t>
      </w:r>
      <w:r w:rsidRPr="00A674BF">
        <w:rPr>
          <w:sz w:val="24"/>
          <w:szCs w:val="24"/>
          <w:shd w:val="clear" w:color="auto" w:fill="FFFFFF"/>
        </w:rPr>
        <w:t>. </w:t>
      </w:r>
      <w:r w:rsidRPr="00A674BF">
        <w:rPr>
          <w:i/>
          <w:iCs/>
          <w:sz w:val="24"/>
          <w:szCs w:val="24"/>
          <w:shd w:val="clear" w:color="auto" w:fill="FFFFFF"/>
        </w:rPr>
        <w:t>Ciência &amp; Saúde Coletiva</w:t>
      </w:r>
      <w:r w:rsidRPr="00A674BF">
        <w:rPr>
          <w:sz w:val="24"/>
          <w:szCs w:val="24"/>
          <w:shd w:val="clear" w:color="auto" w:fill="FFFFFF"/>
        </w:rPr>
        <w:t>, </w:t>
      </w:r>
      <w:r w:rsidRPr="00A674BF">
        <w:rPr>
          <w:i/>
          <w:iCs/>
          <w:sz w:val="24"/>
          <w:szCs w:val="24"/>
          <w:shd w:val="clear" w:color="auto" w:fill="FFFFFF"/>
        </w:rPr>
        <w:t>16</w:t>
      </w:r>
      <w:r w:rsidRPr="00A674BF">
        <w:rPr>
          <w:sz w:val="24"/>
          <w:szCs w:val="24"/>
          <w:shd w:val="clear" w:color="auto" w:fill="FFFFFF"/>
        </w:rPr>
        <w:t>, 1055-1069.</w:t>
      </w:r>
    </w:p>
    <w:p w14:paraId="54DB41B6" w14:textId="77777777" w:rsidR="006250D1" w:rsidRPr="00A674BF" w:rsidRDefault="006250D1" w:rsidP="00A674BF">
      <w:pPr>
        <w:spacing w:after="240"/>
        <w:ind w:left="709" w:hanging="709"/>
        <w:jc w:val="both"/>
        <w:rPr>
          <w:sz w:val="24"/>
          <w:szCs w:val="24"/>
          <w:lang w:val="en-US"/>
        </w:rPr>
      </w:pPr>
      <w:r w:rsidRPr="00A674BF">
        <w:rPr>
          <w:sz w:val="24"/>
          <w:szCs w:val="24"/>
        </w:rPr>
        <w:t>Cesconetto, A., dos Santos Lapa, J., &amp; Calvo, M. C. M. (2008). Avaliação da eficiência produtiva de hospitais do SUS de Santa Catarina, Brasil Evaluation of productive efficiency in the Unified National Health System hospitals in the State of Santa Catarina, Brazil. </w:t>
      </w:r>
      <w:r w:rsidRPr="00A674BF">
        <w:rPr>
          <w:i/>
          <w:iCs/>
          <w:sz w:val="24"/>
          <w:szCs w:val="24"/>
          <w:lang w:val="en-US"/>
        </w:rPr>
        <w:t>Cadernos de Saúde pública</w:t>
      </w:r>
      <w:r w:rsidRPr="00A674BF">
        <w:rPr>
          <w:sz w:val="24"/>
          <w:szCs w:val="24"/>
          <w:lang w:val="en-US"/>
        </w:rPr>
        <w:t>, </w:t>
      </w:r>
      <w:r w:rsidRPr="00A674BF">
        <w:rPr>
          <w:i/>
          <w:iCs/>
          <w:sz w:val="24"/>
          <w:szCs w:val="24"/>
          <w:lang w:val="en-US"/>
        </w:rPr>
        <w:t>24</w:t>
      </w:r>
      <w:r w:rsidRPr="00A674BF">
        <w:rPr>
          <w:sz w:val="24"/>
          <w:szCs w:val="24"/>
          <w:lang w:val="en-US"/>
        </w:rPr>
        <w:t>(10), 2407-2417.</w:t>
      </w:r>
    </w:p>
    <w:p w14:paraId="7A74C352" w14:textId="77777777" w:rsidR="006250D1" w:rsidRPr="00A674BF" w:rsidRDefault="006250D1" w:rsidP="00A674BF">
      <w:pPr>
        <w:spacing w:after="240"/>
        <w:ind w:left="709" w:hanging="709"/>
        <w:jc w:val="both"/>
        <w:rPr>
          <w:sz w:val="24"/>
          <w:szCs w:val="24"/>
          <w:lang w:val="en-US"/>
        </w:rPr>
      </w:pPr>
      <w:r w:rsidRPr="00A674BF">
        <w:rPr>
          <w:sz w:val="24"/>
          <w:szCs w:val="24"/>
          <w:lang w:val="en-US"/>
        </w:rPr>
        <w:t>Creixans, J., &amp; Arimany-Serrat, N. (2018). Influential variables in the profitability of hospital companies. </w:t>
      </w:r>
      <w:r w:rsidRPr="00A674BF">
        <w:rPr>
          <w:i/>
          <w:iCs/>
          <w:sz w:val="24"/>
          <w:szCs w:val="24"/>
          <w:lang w:val="en-US"/>
        </w:rPr>
        <w:t>Intangible Capital</w:t>
      </w:r>
      <w:r w:rsidRPr="00A674BF">
        <w:rPr>
          <w:sz w:val="24"/>
          <w:szCs w:val="24"/>
          <w:lang w:val="en-US"/>
        </w:rPr>
        <w:t>, </w:t>
      </w:r>
      <w:r w:rsidRPr="00A674BF">
        <w:rPr>
          <w:i/>
          <w:iCs/>
          <w:sz w:val="24"/>
          <w:szCs w:val="24"/>
          <w:lang w:val="en-US"/>
        </w:rPr>
        <w:t>14</w:t>
      </w:r>
      <w:r w:rsidRPr="00A674BF">
        <w:rPr>
          <w:sz w:val="24"/>
          <w:szCs w:val="24"/>
          <w:lang w:val="en-US"/>
        </w:rPr>
        <w:t>(1), 171-185.</w:t>
      </w:r>
    </w:p>
    <w:p w14:paraId="6C7629AE"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Crowe, D., Garman, A. N., Li, C. C., Helton, J., Anderson, M. M., &amp; Butler, P. (2017). Leadership development practices and hospital financial outcomes. </w:t>
      </w:r>
      <w:r w:rsidRPr="00A674BF">
        <w:rPr>
          <w:i/>
          <w:iCs/>
          <w:sz w:val="24"/>
          <w:szCs w:val="24"/>
          <w:shd w:val="clear" w:color="auto" w:fill="FFFFFF"/>
          <w:lang w:val="en-US"/>
        </w:rPr>
        <w:t>Health services management research</w:t>
      </w:r>
      <w:r w:rsidRPr="00A674BF">
        <w:rPr>
          <w:sz w:val="24"/>
          <w:szCs w:val="24"/>
          <w:shd w:val="clear" w:color="auto" w:fill="FFFFFF"/>
          <w:lang w:val="en-US"/>
        </w:rPr>
        <w:t>, </w:t>
      </w:r>
      <w:r w:rsidRPr="00A674BF">
        <w:rPr>
          <w:i/>
          <w:iCs/>
          <w:sz w:val="24"/>
          <w:szCs w:val="24"/>
          <w:shd w:val="clear" w:color="auto" w:fill="FFFFFF"/>
          <w:lang w:val="en-US"/>
        </w:rPr>
        <w:t>30</w:t>
      </w:r>
      <w:r w:rsidRPr="00A674BF">
        <w:rPr>
          <w:sz w:val="24"/>
          <w:szCs w:val="24"/>
          <w:shd w:val="clear" w:color="auto" w:fill="FFFFFF"/>
          <w:lang w:val="en-US"/>
        </w:rPr>
        <w:t>(3), 140-147.</w:t>
      </w:r>
    </w:p>
    <w:p w14:paraId="0C29F306" w14:textId="1DC5E1AA"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Ferreira, L</w:t>
      </w:r>
      <w:r w:rsidR="00E95B89">
        <w:rPr>
          <w:sz w:val="24"/>
          <w:szCs w:val="24"/>
          <w:shd w:val="clear" w:color="auto" w:fill="FFFFFF"/>
        </w:rPr>
        <w:t xml:space="preserve">. </w:t>
      </w:r>
      <w:r w:rsidRPr="00A674BF">
        <w:rPr>
          <w:sz w:val="24"/>
          <w:szCs w:val="24"/>
          <w:shd w:val="clear" w:color="auto" w:fill="FFFFFF"/>
        </w:rPr>
        <w:t>C</w:t>
      </w:r>
      <w:r w:rsidR="00E95B89">
        <w:rPr>
          <w:sz w:val="24"/>
          <w:szCs w:val="24"/>
          <w:shd w:val="clear" w:color="auto" w:fill="FFFFFF"/>
        </w:rPr>
        <w:t xml:space="preserve">. </w:t>
      </w:r>
      <w:r w:rsidRPr="00A674BF">
        <w:rPr>
          <w:sz w:val="24"/>
          <w:szCs w:val="24"/>
          <w:shd w:val="clear" w:color="auto" w:fill="FFFFFF"/>
        </w:rPr>
        <w:t>M</w:t>
      </w:r>
      <w:r w:rsidR="00E95B89">
        <w:rPr>
          <w:sz w:val="24"/>
          <w:szCs w:val="24"/>
          <w:shd w:val="clear" w:color="auto" w:fill="FFFFFF"/>
        </w:rPr>
        <w:t>.,</w:t>
      </w:r>
      <w:r w:rsidRPr="00A674BF">
        <w:rPr>
          <w:sz w:val="24"/>
          <w:szCs w:val="24"/>
          <w:shd w:val="clear" w:color="auto" w:fill="FFFFFF"/>
        </w:rPr>
        <w:t xml:space="preserve"> </w:t>
      </w:r>
      <w:r w:rsidR="00E95B89" w:rsidRPr="00A674BF">
        <w:rPr>
          <w:sz w:val="24"/>
          <w:szCs w:val="24"/>
          <w:shd w:val="clear" w:color="auto" w:fill="FFFFFF"/>
        </w:rPr>
        <w:t>Coutinho</w:t>
      </w:r>
      <w:r w:rsidRPr="00A674BF">
        <w:rPr>
          <w:sz w:val="24"/>
          <w:szCs w:val="24"/>
          <w:shd w:val="clear" w:color="auto" w:fill="FFFFFF"/>
        </w:rPr>
        <w:t>, F</w:t>
      </w:r>
      <w:r w:rsidR="00E95B89">
        <w:rPr>
          <w:sz w:val="24"/>
          <w:szCs w:val="24"/>
          <w:shd w:val="clear" w:color="auto" w:fill="FFFFFF"/>
        </w:rPr>
        <w:t xml:space="preserve">. </w:t>
      </w:r>
      <w:r w:rsidRPr="00A674BF">
        <w:rPr>
          <w:sz w:val="24"/>
          <w:szCs w:val="24"/>
          <w:shd w:val="clear" w:color="auto" w:fill="FFFFFF"/>
        </w:rPr>
        <w:t>G</w:t>
      </w:r>
      <w:r w:rsidR="00E95B89">
        <w:rPr>
          <w:sz w:val="24"/>
          <w:szCs w:val="24"/>
          <w:shd w:val="clear" w:color="auto" w:fill="FFFFFF"/>
        </w:rPr>
        <w:t>., &amp;</w:t>
      </w:r>
      <w:r w:rsidR="00E95B89" w:rsidRPr="00A674BF">
        <w:rPr>
          <w:sz w:val="24"/>
          <w:szCs w:val="24"/>
          <w:shd w:val="clear" w:color="auto" w:fill="FFFFFF"/>
        </w:rPr>
        <w:t xml:space="preserve"> Vieira</w:t>
      </w:r>
      <w:r w:rsidRPr="00A674BF">
        <w:rPr>
          <w:sz w:val="24"/>
          <w:szCs w:val="24"/>
          <w:shd w:val="clear" w:color="auto" w:fill="FFFFFF"/>
        </w:rPr>
        <w:t>, A. (2010). Relações de poder e decisão: conflitos entre médicos e administradores hospitalares. </w:t>
      </w:r>
      <w:r w:rsidRPr="00A674BF">
        <w:rPr>
          <w:bCs/>
          <w:i/>
          <w:sz w:val="24"/>
          <w:szCs w:val="24"/>
          <w:shd w:val="clear" w:color="auto" w:fill="FFFFFF"/>
        </w:rPr>
        <w:t>RAM. Revista de Administração Mackenzie</w:t>
      </w:r>
      <w:r w:rsidRPr="00E95B89">
        <w:rPr>
          <w:sz w:val="24"/>
          <w:szCs w:val="24"/>
          <w:shd w:val="clear" w:color="auto" w:fill="FFFFFF"/>
        </w:rPr>
        <w:t xml:space="preserve">, </w:t>
      </w:r>
      <w:r w:rsidRPr="00E95B89">
        <w:rPr>
          <w:i/>
          <w:sz w:val="24"/>
          <w:szCs w:val="24"/>
          <w:shd w:val="clear" w:color="auto" w:fill="FFFFFF"/>
        </w:rPr>
        <w:t>11</w:t>
      </w:r>
      <w:r w:rsidR="00E95B89">
        <w:rPr>
          <w:sz w:val="24"/>
          <w:szCs w:val="24"/>
          <w:shd w:val="clear" w:color="auto" w:fill="FFFFFF"/>
        </w:rPr>
        <w:t>(</w:t>
      </w:r>
      <w:r w:rsidRPr="00E95B89">
        <w:rPr>
          <w:sz w:val="24"/>
          <w:szCs w:val="24"/>
          <w:shd w:val="clear" w:color="auto" w:fill="FFFFFF"/>
        </w:rPr>
        <w:t>6</w:t>
      </w:r>
      <w:r w:rsidR="00E95B89">
        <w:rPr>
          <w:sz w:val="24"/>
          <w:szCs w:val="24"/>
          <w:shd w:val="clear" w:color="auto" w:fill="FFFFFF"/>
        </w:rPr>
        <w:t>), 31-54</w:t>
      </w:r>
      <w:r w:rsidRPr="00E95B89">
        <w:rPr>
          <w:sz w:val="24"/>
          <w:szCs w:val="24"/>
          <w:shd w:val="clear" w:color="auto" w:fill="FFFFFF"/>
        </w:rPr>
        <w:t>.</w:t>
      </w:r>
    </w:p>
    <w:p w14:paraId="405CD591" w14:textId="77777777" w:rsidR="006250D1" w:rsidRPr="00A674BF" w:rsidRDefault="006250D1" w:rsidP="00A674BF">
      <w:pPr>
        <w:spacing w:after="240"/>
        <w:ind w:left="709" w:hanging="709"/>
        <w:jc w:val="both"/>
        <w:rPr>
          <w:sz w:val="24"/>
          <w:szCs w:val="24"/>
        </w:rPr>
      </w:pPr>
      <w:r w:rsidRPr="00A674BF">
        <w:rPr>
          <w:sz w:val="24"/>
          <w:szCs w:val="24"/>
          <w:shd w:val="clear" w:color="auto" w:fill="FFFFFF"/>
        </w:rPr>
        <w:t>Feuerwerker, L. C. M., &amp; Cecílio, L. C. D. O. (2007). O hospital e a formação em saúde: desafios atuais. </w:t>
      </w:r>
      <w:r w:rsidRPr="00A674BF">
        <w:rPr>
          <w:i/>
          <w:iCs/>
          <w:sz w:val="24"/>
          <w:szCs w:val="24"/>
          <w:shd w:val="clear" w:color="auto" w:fill="FFFFFF"/>
        </w:rPr>
        <w:t>Ciência &amp; Saúde Coletiva</w:t>
      </w:r>
      <w:r w:rsidRPr="00A674BF">
        <w:rPr>
          <w:sz w:val="24"/>
          <w:szCs w:val="24"/>
          <w:shd w:val="clear" w:color="auto" w:fill="FFFFFF"/>
        </w:rPr>
        <w:t>, </w:t>
      </w:r>
      <w:r w:rsidRPr="00A674BF">
        <w:rPr>
          <w:i/>
          <w:iCs/>
          <w:sz w:val="24"/>
          <w:szCs w:val="24"/>
          <w:shd w:val="clear" w:color="auto" w:fill="FFFFFF"/>
        </w:rPr>
        <w:t>12</w:t>
      </w:r>
      <w:r w:rsidRPr="00A674BF">
        <w:rPr>
          <w:sz w:val="24"/>
          <w:szCs w:val="24"/>
          <w:shd w:val="clear" w:color="auto" w:fill="FFFFFF"/>
        </w:rPr>
        <w:t>, 965-971.</w:t>
      </w:r>
    </w:p>
    <w:p w14:paraId="4479F1D8" w14:textId="6C8DE22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rPr>
        <w:t xml:space="preserve">Fiondella, C., Macchioni, R., Maffei, M., &amp; Spanò, R. (2016). </w:t>
      </w:r>
      <w:r w:rsidRPr="00A674BF">
        <w:rPr>
          <w:sz w:val="24"/>
          <w:szCs w:val="24"/>
          <w:shd w:val="clear" w:color="auto" w:fill="FFFFFF"/>
          <w:lang w:val="en-US"/>
        </w:rPr>
        <w:t xml:space="preserve">Successful changes in management accounting systems: A healthcare case study. </w:t>
      </w:r>
      <w:r w:rsidRPr="00A674BF">
        <w:rPr>
          <w:i/>
          <w:iCs/>
          <w:sz w:val="24"/>
          <w:szCs w:val="24"/>
          <w:shd w:val="clear" w:color="auto" w:fill="FFFFFF"/>
          <w:lang w:val="en-US"/>
        </w:rPr>
        <w:t>Accounting Forum</w:t>
      </w:r>
      <w:r w:rsidR="00E95B89">
        <w:rPr>
          <w:iCs/>
          <w:sz w:val="24"/>
          <w:szCs w:val="24"/>
          <w:shd w:val="clear" w:color="auto" w:fill="FFFFFF"/>
          <w:lang w:val="en-US"/>
        </w:rPr>
        <w:t>,</w:t>
      </w:r>
      <w:r w:rsidRPr="00A674BF">
        <w:rPr>
          <w:sz w:val="24"/>
          <w:szCs w:val="24"/>
          <w:shd w:val="clear" w:color="auto" w:fill="FFFFFF"/>
          <w:lang w:val="en-US"/>
        </w:rPr>
        <w:t> </w:t>
      </w:r>
      <w:r w:rsidRPr="00E95B89">
        <w:rPr>
          <w:i/>
          <w:sz w:val="24"/>
          <w:szCs w:val="24"/>
          <w:shd w:val="clear" w:color="auto" w:fill="FFFFFF"/>
          <w:lang w:val="en-US"/>
        </w:rPr>
        <w:t>40</w:t>
      </w:r>
      <w:r w:rsidR="00E95B89">
        <w:rPr>
          <w:sz w:val="24"/>
          <w:szCs w:val="24"/>
          <w:shd w:val="clear" w:color="auto" w:fill="FFFFFF"/>
          <w:lang w:val="en-US"/>
        </w:rPr>
        <w:t>(</w:t>
      </w:r>
      <w:r w:rsidRPr="00A674BF">
        <w:rPr>
          <w:sz w:val="24"/>
          <w:szCs w:val="24"/>
          <w:shd w:val="clear" w:color="auto" w:fill="FFFFFF"/>
          <w:lang w:val="en-US"/>
        </w:rPr>
        <w:t>3</w:t>
      </w:r>
      <w:r w:rsidR="00E95B89">
        <w:rPr>
          <w:sz w:val="24"/>
          <w:szCs w:val="24"/>
          <w:shd w:val="clear" w:color="auto" w:fill="FFFFFF"/>
          <w:lang w:val="en-US"/>
        </w:rPr>
        <w:t>)</w:t>
      </w:r>
      <w:r w:rsidRPr="00A674BF">
        <w:rPr>
          <w:sz w:val="24"/>
          <w:szCs w:val="24"/>
          <w:shd w:val="clear" w:color="auto" w:fill="FFFFFF"/>
          <w:lang w:val="en-US"/>
        </w:rPr>
        <w:t>, 186-204</w:t>
      </w:r>
      <w:r w:rsidR="00E95B89">
        <w:rPr>
          <w:sz w:val="24"/>
          <w:szCs w:val="24"/>
          <w:shd w:val="clear" w:color="auto" w:fill="FFFFFF"/>
          <w:lang w:val="en-US"/>
        </w:rPr>
        <w:t>.</w:t>
      </w:r>
    </w:p>
    <w:p w14:paraId="153FC0F7"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 xml:space="preserve">Freire, R. P., Pitassi, C., Gonçalves, A. A., &amp; Schout, D. (2012). </w:t>
      </w:r>
      <w:r w:rsidRPr="00A674BF">
        <w:rPr>
          <w:sz w:val="24"/>
          <w:szCs w:val="24"/>
          <w:shd w:val="clear" w:color="auto" w:fill="FFFFFF"/>
        </w:rPr>
        <w:t>Gestão de equipamentos médicos: o papel das práticas de qualidade em um hospital de excelência brasileiro. </w:t>
      </w:r>
      <w:r w:rsidRPr="00A674BF">
        <w:rPr>
          <w:i/>
          <w:iCs/>
          <w:sz w:val="24"/>
          <w:szCs w:val="24"/>
          <w:shd w:val="clear" w:color="auto" w:fill="FFFFFF"/>
        </w:rPr>
        <w:t>RAHIS</w:t>
      </w:r>
      <w:r w:rsidRPr="00A674BF">
        <w:rPr>
          <w:sz w:val="24"/>
          <w:szCs w:val="24"/>
          <w:shd w:val="clear" w:color="auto" w:fill="FFFFFF"/>
        </w:rPr>
        <w:t>, </w:t>
      </w:r>
      <w:r w:rsidRPr="00A674BF">
        <w:rPr>
          <w:i/>
          <w:iCs/>
          <w:sz w:val="24"/>
          <w:szCs w:val="24"/>
          <w:shd w:val="clear" w:color="auto" w:fill="FFFFFF"/>
        </w:rPr>
        <w:t>8</w:t>
      </w:r>
      <w:r w:rsidRPr="00A674BF">
        <w:rPr>
          <w:sz w:val="24"/>
          <w:szCs w:val="24"/>
          <w:shd w:val="clear" w:color="auto" w:fill="FFFFFF"/>
        </w:rPr>
        <w:t>(8), 28-41.</w:t>
      </w:r>
    </w:p>
    <w:p w14:paraId="49DA80DF" w14:textId="00CFD561"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Freitas, M. N. de. (2014). </w:t>
      </w:r>
      <w:r w:rsidRPr="00A674BF">
        <w:rPr>
          <w:i/>
          <w:sz w:val="24"/>
          <w:szCs w:val="24"/>
          <w:shd w:val="clear" w:color="auto" w:fill="FFFFFF"/>
        </w:rPr>
        <w:t>Indicadores de desempenho como instrumento de gestão em unidades hospitalares</w:t>
      </w:r>
      <w:r w:rsidRPr="00A674BF">
        <w:rPr>
          <w:sz w:val="24"/>
          <w:szCs w:val="24"/>
          <w:shd w:val="clear" w:color="auto" w:fill="FFFFFF"/>
        </w:rPr>
        <w:t xml:space="preserve">. </w:t>
      </w:r>
      <w:r w:rsidR="00E95B89">
        <w:rPr>
          <w:sz w:val="24"/>
          <w:szCs w:val="24"/>
          <w:shd w:val="clear" w:color="auto" w:fill="FFFFFF"/>
        </w:rPr>
        <w:t xml:space="preserve">2014. </w:t>
      </w:r>
      <w:r w:rsidRPr="00A674BF">
        <w:rPr>
          <w:sz w:val="24"/>
          <w:szCs w:val="24"/>
          <w:shd w:val="clear" w:color="auto" w:fill="FFFFFF"/>
        </w:rPr>
        <w:t>79 f. Dissertação (Mestrado em Gestão e Economia da Saúde) – Universidade Federal de Pernambuco, CCSA.</w:t>
      </w:r>
    </w:p>
    <w:p w14:paraId="5E8ECD3E"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Gholami, R., Higón, D. A., &amp; Emrouznejad, A. (2015). Hospital performance: Efficiency or quality? Can we have both with IT?. </w:t>
      </w:r>
      <w:r w:rsidRPr="00A674BF">
        <w:rPr>
          <w:i/>
          <w:iCs/>
          <w:sz w:val="24"/>
          <w:szCs w:val="24"/>
          <w:shd w:val="clear" w:color="auto" w:fill="FFFFFF"/>
          <w:lang w:val="en-US"/>
        </w:rPr>
        <w:t>Expert systems with applications</w:t>
      </w:r>
      <w:r w:rsidRPr="00A674BF">
        <w:rPr>
          <w:sz w:val="24"/>
          <w:szCs w:val="24"/>
          <w:shd w:val="clear" w:color="auto" w:fill="FFFFFF"/>
          <w:lang w:val="en-US"/>
        </w:rPr>
        <w:t>, </w:t>
      </w:r>
      <w:r w:rsidRPr="00A674BF">
        <w:rPr>
          <w:i/>
          <w:iCs/>
          <w:sz w:val="24"/>
          <w:szCs w:val="24"/>
          <w:shd w:val="clear" w:color="auto" w:fill="FFFFFF"/>
          <w:lang w:val="en-US"/>
        </w:rPr>
        <w:t>42</w:t>
      </w:r>
      <w:r w:rsidRPr="00A674BF">
        <w:rPr>
          <w:sz w:val="24"/>
          <w:szCs w:val="24"/>
          <w:shd w:val="clear" w:color="auto" w:fill="FFFFFF"/>
          <w:lang w:val="en-US"/>
        </w:rPr>
        <w:t>(12), 5390-5400.</w:t>
      </w:r>
    </w:p>
    <w:p w14:paraId="2764A262"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Groene, O., Skau, J. K., &amp; Frølich, A. (2008). An international review of projects on hospital performance assessment. </w:t>
      </w:r>
      <w:r w:rsidRPr="00A674BF">
        <w:rPr>
          <w:i/>
          <w:iCs/>
          <w:sz w:val="24"/>
          <w:szCs w:val="24"/>
          <w:shd w:val="clear" w:color="auto" w:fill="FFFFFF"/>
        </w:rPr>
        <w:t>International Journal for Quality in Health Care</w:t>
      </w:r>
      <w:r w:rsidRPr="00A674BF">
        <w:rPr>
          <w:sz w:val="24"/>
          <w:szCs w:val="24"/>
          <w:shd w:val="clear" w:color="auto" w:fill="FFFFFF"/>
        </w:rPr>
        <w:t>, </w:t>
      </w:r>
      <w:r w:rsidRPr="00A674BF">
        <w:rPr>
          <w:i/>
          <w:iCs/>
          <w:sz w:val="24"/>
          <w:szCs w:val="24"/>
          <w:shd w:val="clear" w:color="auto" w:fill="FFFFFF"/>
        </w:rPr>
        <w:t>20</w:t>
      </w:r>
      <w:r w:rsidRPr="00A674BF">
        <w:rPr>
          <w:sz w:val="24"/>
          <w:szCs w:val="24"/>
          <w:shd w:val="clear" w:color="auto" w:fill="FFFFFF"/>
        </w:rPr>
        <w:t>(3), 162-171.</w:t>
      </w:r>
    </w:p>
    <w:p w14:paraId="5AB661CA" w14:textId="3A942D3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Guerra, M. (2011). </w:t>
      </w:r>
      <w:r w:rsidRPr="00A674BF">
        <w:rPr>
          <w:i/>
          <w:iCs/>
          <w:sz w:val="24"/>
          <w:szCs w:val="24"/>
          <w:shd w:val="clear" w:color="auto" w:fill="FFFFFF"/>
        </w:rPr>
        <w:t xml:space="preserve">Análise de Desempenho de Organizações Hospitalares. </w:t>
      </w:r>
      <w:r w:rsidR="00E95B89" w:rsidRPr="00E95B89">
        <w:rPr>
          <w:iCs/>
          <w:sz w:val="24"/>
          <w:szCs w:val="24"/>
          <w:shd w:val="clear" w:color="auto" w:fill="FFFFFF"/>
        </w:rPr>
        <w:t>2011.</w:t>
      </w:r>
      <w:r w:rsidR="00E95B89">
        <w:rPr>
          <w:i/>
          <w:iCs/>
          <w:sz w:val="24"/>
          <w:szCs w:val="24"/>
          <w:shd w:val="clear" w:color="auto" w:fill="FFFFFF"/>
        </w:rPr>
        <w:t xml:space="preserve"> </w:t>
      </w:r>
      <w:r w:rsidRPr="00E95B89">
        <w:rPr>
          <w:iCs/>
          <w:sz w:val="24"/>
          <w:szCs w:val="24"/>
          <w:shd w:val="clear" w:color="auto" w:fill="FFFFFF"/>
        </w:rPr>
        <w:t>144</w:t>
      </w:r>
      <w:r w:rsidR="00E95B89">
        <w:rPr>
          <w:iCs/>
          <w:sz w:val="24"/>
          <w:szCs w:val="24"/>
          <w:shd w:val="clear" w:color="auto" w:fill="FFFFFF"/>
        </w:rPr>
        <w:t xml:space="preserve"> f.</w:t>
      </w:r>
      <w:r w:rsidRPr="00A674BF">
        <w:rPr>
          <w:sz w:val="24"/>
          <w:szCs w:val="24"/>
          <w:shd w:val="clear" w:color="auto" w:fill="FFFFFF"/>
        </w:rPr>
        <w:t xml:space="preserve"> </w:t>
      </w:r>
      <w:r w:rsidR="00E95B89">
        <w:rPr>
          <w:sz w:val="24"/>
          <w:szCs w:val="24"/>
          <w:shd w:val="clear" w:color="auto" w:fill="FFFFFF"/>
        </w:rPr>
        <w:t>D</w:t>
      </w:r>
      <w:r w:rsidRPr="00A674BF">
        <w:rPr>
          <w:sz w:val="24"/>
          <w:szCs w:val="24"/>
          <w:shd w:val="clear" w:color="auto" w:fill="FFFFFF"/>
        </w:rPr>
        <w:t>issertação (Mestrado em Contabilidade e Controladoria) - Pós-Graduação e Pesquisas em Contabilidade e Controladoria (CEPCON), da Faculdade de Ciências Econômicas (FACE) da Universidade Federal de Minas Gerais (UFMG), Belo Horizonte</w:t>
      </w:r>
    </w:p>
    <w:p w14:paraId="21D27A92"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Hair, J., Babin, B., Money, A., &amp; Samouel, P. (2005). </w:t>
      </w:r>
      <w:r w:rsidRPr="00A674BF">
        <w:rPr>
          <w:i/>
          <w:iCs/>
          <w:sz w:val="24"/>
          <w:szCs w:val="24"/>
          <w:shd w:val="clear" w:color="auto" w:fill="FFFFFF"/>
        </w:rPr>
        <w:t>Fundamentos de métodos de pesquisa em administração</w:t>
      </w:r>
      <w:r w:rsidRPr="00A674BF">
        <w:rPr>
          <w:sz w:val="24"/>
          <w:szCs w:val="24"/>
          <w:shd w:val="clear" w:color="auto" w:fill="FFFFFF"/>
        </w:rPr>
        <w:t xml:space="preserve">. </w:t>
      </w:r>
      <w:r w:rsidRPr="00A674BF">
        <w:rPr>
          <w:sz w:val="24"/>
          <w:szCs w:val="24"/>
          <w:shd w:val="clear" w:color="auto" w:fill="FFFFFF"/>
          <w:lang w:val="en-US"/>
        </w:rPr>
        <w:t>Bookman Companhia Ed.</w:t>
      </w:r>
    </w:p>
    <w:p w14:paraId="22B4F401"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Hibbard, J. H., Stockard, J., &amp; Tusler, M. (2005). Hospital performance reports: impact on quality, market share, and reputation. </w:t>
      </w:r>
      <w:r w:rsidRPr="00A674BF">
        <w:rPr>
          <w:i/>
          <w:iCs/>
          <w:sz w:val="24"/>
          <w:szCs w:val="24"/>
          <w:shd w:val="clear" w:color="auto" w:fill="FFFFFF"/>
          <w:lang w:val="en-US"/>
        </w:rPr>
        <w:t>Health affairs</w:t>
      </w:r>
      <w:r w:rsidRPr="00A674BF">
        <w:rPr>
          <w:sz w:val="24"/>
          <w:szCs w:val="24"/>
          <w:shd w:val="clear" w:color="auto" w:fill="FFFFFF"/>
          <w:lang w:val="en-US"/>
        </w:rPr>
        <w:t>, </w:t>
      </w:r>
      <w:r w:rsidRPr="00A674BF">
        <w:rPr>
          <w:i/>
          <w:iCs/>
          <w:sz w:val="24"/>
          <w:szCs w:val="24"/>
          <w:shd w:val="clear" w:color="auto" w:fill="FFFFFF"/>
          <w:lang w:val="en-US"/>
        </w:rPr>
        <w:t>24</w:t>
      </w:r>
      <w:r w:rsidRPr="00A674BF">
        <w:rPr>
          <w:sz w:val="24"/>
          <w:szCs w:val="24"/>
          <w:shd w:val="clear" w:color="auto" w:fill="FFFFFF"/>
          <w:lang w:val="en-US"/>
        </w:rPr>
        <w:t>(4), 1150-1160.</w:t>
      </w:r>
    </w:p>
    <w:p w14:paraId="13019059"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lang w:val="en-US"/>
        </w:rPr>
        <w:t>Hvenegaard, A., Arendt, J. N., Street, A., &amp; Gyrd-Hansen, D. (2011). Exploring the relationship between costs and quality: Does the joint evaluation of costs and quality alter the ranking of Danish hospital departments?. </w:t>
      </w:r>
      <w:r w:rsidRPr="00A674BF">
        <w:rPr>
          <w:i/>
          <w:iCs/>
          <w:sz w:val="24"/>
          <w:szCs w:val="24"/>
          <w:shd w:val="clear" w:color="auto" w:fill="FFFFFF"/>
          <w:lang w:val="en-US"/>
        </w:rPr>
        <w:t>The European Journal of Health Economics</w:t>
      </w:r>
      <w:r w:rsidRPr="00A674BF">
        <w:rPr>
          <w:sz w:val="24"/>
          <w:szCs w:val="24"/>
          <w:shd w:val="clear" w:color="auto" w:fill="FFFFFF"/>
          <w:lang w:val="en-US"/>
        </w:rPr>
        <w:t>, </w:t>
      </w:r>
      <w:r w:rsidRPr="00A674BF">
        <w:rPr>
          <w:i/>
          <w:iCs/>
          <w:sz w:val="24"/>
          <w:szCs w:val="24"/>
          <w:shd w:val="clear" w:color="auto" w:fill="FFFFFF"/>
          <w:lang w:val="en-US"/>
        </w:rPr>
        <w:t>12</w:t>
      </w:r>
      <w:r w:rsidRPr="00A674BF">
        <w:rPr>
          <w:sz w:val="24"/>
          <w:szCs w:val="24"/>
          <w:shd w:val="clear" w:color="auto" w:fill="FFFFFF"/>
          <w:lang w:val="en-US"/>
        </w:rPr>
        <w:t>(6), 541-551.</w:t>
      </w:r>
    </w:p>
    <w:p w14:paraId="3E0B72D6"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Li, L. X., Benton, W. C., &amp; Leong, G. K. (2002). The impact of strategic operations management decisions on community hospital performance. </w:t>
      </w:r>
      <w:r w:rsidRPr="00A674BF">
        <w:rPr>
          <w:i/>
          <w:iCs/>
          <w:sz w:val="24"/>
          <w:szCs w:val="24"/>
          <w:shd w:val="clear" w:color="auto" w:fill="FFFFFF"/>
        </w:rPr>
        <w:t>Journal of Operations Management</w:t>
      </w:r>
      <w:r w:rsidRPr="00A674BF">
        <w:rPr>
          <w:sz w:val="24"/>
          <w:szCs w:val="24"/>
          <w:shd w:val="clear" w:color="auto" w:fill="FFFFFF"/>
        </w:rPr>
        <w:t>, </w:t>
      </w:r>
      <w:r w:rsidRPr="00A674BF">
        <w:rPr>
          <w:i/>
          <w:iCs/>
          <w:sz w:val="24"/>
          <w:szCs w:val="24"/>
          <w:shd w:val="clear" w:color="auto" w:fill="FFFFFF"/>
        </w:rPr>
        <w:t>20</w:t>
      </w:r>
      <w:r w:rsidRPr="00A674BF">
        <w:rPr>
          <w:sz w:val="24"/>
          <w:szCs w:val="24"/>
          <w:shd w:val="clear" w:color="auto" w:fill="FFFFFF"/>
        </w:rPr>
        <w:t>(4), 389-408.</w:t>
      </w:r>
    </w:p>
    <w:p w14:paraId="584140AD" w14:textId="09F8382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Lima Neto, L. de. (2011). Análise da situação econômico-financeira de hospitais. </w:t>
      </w:r>
      <w:r w:rsidRPr="00A674BF">
        <w:rPr>
          <w:i/>
          <w:iCs/>
          <w:sz w:val="24"/>
          <w:szCs w:val="24"/>
          <w:shd w:val="clear" w:color="auto" w:fill="FFFFFF"/>
        </w:rPr>
        <w:t>Mundo Da Sa</w:t>
      </w:r>
      <w:r w:rsidR="00E95B89">
        <w:rPr>
          <w:i/>
          <w:iCs/>
          <w:sz w:val="24"/>
          <w:szCs w:val="24"/>
          <w:shd w:val="clear" w:color="auto" w:fill="FFFFFF"/>
        </w:rPr>
        <w:t>ú</w:t>
      </w:r>
      <w:r w:rsidRPr="00A674BF">
        <w:rPr>
          <w:i/>
          <w:iCs/>
          <w:sz w:val="24"/>
          <w:szCs w:val="24"/>
          <w:shd w:val="clear" w:color="auto" w:fill="FFFFFF"/>
        </w:rPr>
        <w:t>de</w:t>
      </w:r>
      <w:r w:rsidRPr="00A674BF">
        <w:rPr>
          <w:sz w:val="24"/>
          <w:szCs w:val="24"/>
          <w:shd w:val="clear" w:color="auto" w:fill="FFFFFF"/>
        </w:rPr>
        <w:t>, </w:t>
      </w:r>
      <w:r w:rsidRPr="00A674BF">
        <w:rPr>
          <w:i/>
          <w:iCs/>
          <w:sz w:val="24"/>
          <w:szCs w:val="24"/>
          <w:shd w:val="clear" w:color="auto" w:fill="FFFFFF"/>
        </w:rPr>
        <w:t>35</w:t>
      </w:r>
      <w:r w:rsidRPr="00A674BF">
        <w:rPr>
          <w:sz w:val="24"/>
          <w:szCs w:val="24"/>
          <w:shd w:val="clear" w:color="auto" w:fill="FFFFFF"/>
        </w:rPr>
        <w:t>(3), 270-277.</w:t>
      </w:r>
    </w:p>
    <w:p w14:paraId="5A5B0AE2" w14:textId="6E9E099C"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Machado, J. P., Martins, A. C. M., &amp; Martins, M. S. (2013). Avaliação da qualidade do cuidado hospitalar no Brasil: uma revisão sistemática Quality assessment of hospital care in Brazil: a systematic review Evaluación de la calidad de la atención hospitalaria. </w:t>
      </w:r>
      <w:r w:rsidRPr="00A674BF">
        <w:rPr>
          <w:i/>
          <w:iCs/>
          <w:sz w:val="24"/>
          <w:szCs w:val="24"/>
          <w:shd w:val="clear" w:color="auto" w:fill="FFFFFF"/>
        </w:rPr>
        <w:t>Cad</w:t>
      </w:r>
      <w:r w:rsidR="00E95B89">
        <w:rPr>
          <w:i/>
          <w:iCs/>
          <w:sz w:val="24"/>
          <w:szCs w:val="24"/>
          <w:shd w:val="clear" w:color="auto" w:fill="FFFFFF"/>
        </w:rPr>
        <w:t>erno da</w:t>
      </w:r>
      <w:r w:rsidRPr="00A674BF">
        <w:rPr>
          <w:i/>
          <w:iCs/>
          <w:sz w:val="24"/>
          <w:szCs w:val="24"/>
          <w:shd w:val="clear" w:color="auto" w:fill="FFFFFF"/>
        </w:rPr>
        <w:t xml:space="preserve"> Saúde Pública</w:t>
      </w:r>
      <w:r w:rsidRPr="00A674BF">
        <w:rPr>
          <w:sz w:val="24"/>
          <w:szCs w:val="24"/>
          <w:shd w:val="clear" w:color="auto" w:fill="FFFFFF"/>
        </w:rPr>
        <w:t>, </w:t>
      </w:r>
      <w:r w:rsidRPr="00A674BF">
        <w:rPr>
          <w:i/>
          <w:iCs/>
          <w:sz w:val="24"/>
          <w:szCs w:val="24"/>
          <w:shd w:val="clear" w:color="auto" w:fill="FFFFFF"/>
        </w:rPr>
        <w:t>29</w:t>
      </w:r>
      <w:r w:rsidRPr="00A674BF">
        <w:rPr>
          <w:sz w:val="24"/>
          <w:szCs w:val="24"/>
          <w:shd w:val="clear" w:color="auto" w:fill="FFFFFF"/>
        </w:rPr>
        <w:t>(6), 1063-1082.</w:t>
      </w:r>
    </w:p>
    <w:p w14:paraId="71BD585D"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Martini, G., Berta, P., Mullahy, J., &amp; Vittadini, G. (2014). </w:t>
      </w:r>
      <w:r w:rsidRPr="00A674BF">
        <w:rPr>
          <w:sz w:val="24"/>
          <w:szCs w:val="24"/>
          <w:shd w:val="clear" w:color="auto" w:fill="FFFFFF"/>
          <w:lang w:val="en-US"/>
        </w:rPr>
        <w:t>The effectiveness–efficiency trade-off in health care: The case of hospitals in Lombardy, Italy. </w:t>
      </w:r>
      <w:r w:rsidRPr="00A674BF">
        <w:rPr>
          <w:i/>
          <w:iCs/>
          <w:sz w:val="24"/>
          <w:szCs w:val="24"/>
          <w:shd w:val="clear" w:color="auto" w:fill="FFFFFF"/>
        </w:rPr>
        <w:t>Regional Science and Urban Economics</w:t>
      </w:r>
      <w:r w:rsidRPr="00A674BF">
        <w:rPr>
          <w:sz w:val="24"/>
          <w:szCs w:val="24"/>
          <w:shd w:val="clear" w:color="auto" w:fill="FFFFFF"/>
        </w:rPr>
        <w:t>, </w:t>
      </w:r>
      <w:r w:rsidRPr="00A674BF">
        <w:rPr>
          <w:i/>
          <w:iCs/>
          <w:sz w:val="24"/>
          <w:szCs w:val="24"/>
          <w:shd w:val="clear" w:color="auto" w:fill="FFFFFF"/>
        </w:rPr>
        <w:t>49</w:t>
      </w:r>
      <w:r w:rsidRPr="00A674BF">
        <w:rPr>
          <w:sz w:val="24"/>
          <w:szCs w:val="24"/>
          <w:shd w:val="clear" w:color="auto" w:fill="FFFFFF"/>
        </w:rPr>
        <w:t>, 217-231.</w:t>
      </w:r>
    </w:p>
    <w:p w14:paraId="07F3E6F1"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Martins, D. (2005). </w:t>
      </w:r>
      <w:r w:rsidRPr="00E95B89">
        <w:rPr>
          <w:i/>
          <w:sz w:val="24"/>
          <w:szCs w:val="24"/>
          <w:shd w:val="clear" w:color="auto" w:fill="FFFFFF"/>
        </w:rPr>
        <w:t>Administração financeira hospitalar.</w:t>
      </w:r>
      <w:r w:rsidRPr="00A674BF">
        <w:rPr>
          <w:sz w:val="24"/>
          <w:szCs w:val="24"/>
          <w:shd w:val="clear" w:color="auto" w:fill="FFFFFF"/>
        </w:rPr>
        <w:t xml:space="preserve"> </w:t>
      </w:r>
      <w:r w:rsidRPr="00E95B89">
        <w:rPr>
          <w:sz w:val="24"/>
          <w:szCs w:val="24"/>
          <w:shd w:val="clear" w:color="auto" w:fill="FFFFFF"/>
        </w:rPr>
        <w:t>São Paulo, Ed. Atlas.</w:t>
      </w:r>
    </w:p>
    <w:p w14:paraId="32EF6878" w14:textId="77777777" w:rsidR="006250D1" w:rsidRPr="00E95B89"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rPr>
        <w:t xml:space="preserve">Medici, A., &amp; Murray, R. (2013). </w:t>
      </w:r>
      <w:r w:rsidRPr="00E95B89">
        <w:rPr>
          <w:i/>
          <w:sz w:val="24"/>
          <w:szCs w:val="24"/>
          <w:shd w:val="clear" w:color="auto" w:fill="FFFFFF"/>
        </w:rPr>
        <w:t>Desempenho de hospitais e melhorias na qualidade de saúde em São Paulo (Brasil) e Maryland (EUA)</w:t>
      </w:r>
      <w:r w:rsidRPr="00A674BF">
        <w:rPr>
          <w:sz w:val="24"/>
          <w:szCs w:val="24"/>
          <w:shd w:val="clear" w:color="auto" w:fill="FFFFFF"/>
        </w:rPr>
        <w:t>.</w:t>
      </w:r>
      <w:r w:rsidRPr="00E95B89">
        <w:rPr>
          <w:sz w:val="24"/>
          <w:szCs w:val="24"/>
          <w:shd w:val="clear" w:color="auto" w:fill="FFFFFF"/>
        </w:rPr>
        <w:t> </w:t>
      </w:r>
      <w:r w:rsidRPr="00E95B89">
        <w:rPr>
          <w:iCs/>
          <w:sz w:val="24"/>
          <w:szCs w:val="24"/>
          <w:shd w:val="clear" w:color="auto" w:fill="FFFFFF"/>
          <w:lang w:val="en-US"/>
        </w:rPr>
        <w:t>Washington: The World Bank.</w:t>
      </w:r>
    </w:p>
    <w:p w14:paraId="258790EC"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Miller, M. R., Pronovost, P., Donithan, M., Zeger, S., Zhan, C., Morlock, L., &amp; Meyer, G. S. (2005). Relationship between performance measurement and accreditation: implications for quality of care and patient safety. </w:t>
      </w:r>
      <w:r w:rsidRPr="00A674BF">
        <w:rPr>
          <w:i/>
          <w:iCs/>
          <w:sz w:val="24"/>
          <w:szCs w:val="24"/>
          <w:shd w:val="clear" w:color="auto" w:fill="FFFFFF"/>
        </w:rPr>
        <w:t>American Journal of Medical Quality</w:t>
      </w:r>
      <w:r w:rsidRPr="00A674BF">
        <w:rPr>
          <w:sz w:val="24"/>
          <w:szCs w:val="24"/>
          <w:shd w:val="clear" w:color="auto" w:fill="FFFFFF"/>
        </w:rPr>
        <w:t>, </w:t>
      </w:r>
      <w:r w:rsidRPr="00A674BF">
        <w:rPr>
          <w:i/>
          <w:iCs/>
          <w:sz w:val="24"/>
          <w:szCs w:val="24"/>
          <w:shd w:val="clear" w:color="auto" w:fill="FFFFFF"/>
        </w:rPr>
        <w:t>20</w:t>
      </w:r>
      <w:r w:rsidRPr="00A674BF">
        <w:rPr>
          <w:sz w:val="24"/>
          <w:szCs w:val="24"/>
          <w:shd w:val="clear" w:color="auto" w:fill="FFFFFF"/>
        </w:rPr>
        <w:t>(5), 239-252.</w:t>
      </w:r>
    </w:p>
    <w:p w14:paraId="5CCF7298"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Mingoti, S. A. (2005). </w:t>
      </w:r>
      <w:r w:rsidRPr="00A674BF">
        <w:rPr>
          <w:i/>
          <w:iCs/>
          <w:sz w:val="24"/>
          <w:szCs w:val="24"/>
          <w:shd w:val="clear" w:color="auto" w:fill="FFFFFF"/>
        </w:rPr>
        <w:t>Análise de dados através de métodos de estatística multivariada</w:t>
      </w:r>
      <w:r w:rsidRPr="00E95B89">
        <w:rPr>
          <w:iCs/>
          <w:sz w:val="24"/>
          <w:szCs w:val="24"/>
          <w:shd w:val="clear" w:color="auto" w:fill="FFFFFF"/>
        </w:rPr>
        <w:t>: uma abordagem aplicada</w:t>
      </w:r>
      <w:r w:rsidRPr="00E95B89">
        <w:rPr>
          <w:sz w:val="24"/>
          <w:szCs w:val="24"/>
          <w:shd w:val="clear" w:color="auto" w:fill="FFFFFF"/>
        </w:rPr>
        <w:t>.</w:t>
      </w:r>
      <w:r w:rsidRPr="00A674BF">
        <w:rPr>
          <w:sz w:val="24"/>
          <w:szCs w:val="24"/>
          <w:shd w:val="clear" w:color="auto" w:fill="FFFFFF"/>
        </w:rPr>
        <w:t xml:space="preserve"> Editora UFMG.</w:t>
      </w:r>
    </w:p>
    <w:p w14:paraId="1D6C084A" w14:textId="576AB72D" w:rsidR="006250D1" w:rsidRPr="00A674BF" w:rsidRDefault="00E95B89" w:rsidP="00A674BF">
      <w:pPr>
        <w:spacing w:after="240"/>
        <w:ind w:left="709" w:hanging="709"/>
        <w:jc w:val="both"/>
        <w:rPr>
          <w:sz w:val="24"/>
          <w:szCs w:val="24"/>
        </w:rPr>
      </w:pPr>
      <w:r w:rsidRPr="00A674BF">
        <w:rPr>
          <w:sz w:val="24"/>
          <w:szCs w:val="24"/>
        </w:rPr>
        <w:t xml:space="preserve">Ministério </w:t>
      </w:r>
      <w:r>
        <w:rPr>
          <w:sz w:val="24"/>
          <w:szCs w:val="24"/>
        </w:rPr>
        <w:t>d</w:t>
      </w:r>
      <w:r w:rsidRPr="00A674BF">
        <w:rPr>
          <w:sz w:val="24"/>
          <w:szCs w:val="24"/>
        </w:rPr>
        <w:t>a Justiça</w:t>
      </w:r>
      <w:r w:rsidR="006250D1" w:rsidRPr="00A674BF">
        <w:rPr>
          <w:sz w:val="24"/>
          <w:szCs w:val="24"/>
        </w:rPr>
        <w:t xml:space="preserve">. (2016). Comunicado. </w:t>
      </w:r>
      <w:r w:rsidR="006250D1" w:rsidRPr="00E95B89">
        <w:rPr>
          <w:i/>
          <w:sz w:val="24"/>
          <w:szCs w:val="24"/>
        </w:rPr>
        <w:t>Às entidades que detinham título de Utilidade Pública Federal</w:t>
      </w:r>
      <w:r w:rsidR="006250D1" w:rsidRPr="00A674BF">
        <w:rPr>
          <w:i/>
          <w:sz w:val="24"/>
          <w:szCs w:val="24"/>
        </w:rPr>
        <w:t xml:space="preserve">. </w:t>
      </w:r>
      <w:r>
        <w:rPr>
          <w:sz w:val="24"/>
          <w:szCs w:val="24"/>
        </w:rPr>
        <w:t>Recuperado</w:t>
      </w:r>
      <w:r w:rsidR="006250D1" w:rsidRPr="00A674BF">
        <w:rPr>
          <w:sz w:val="24"/>
          <w:szCs w:val="24"/>
        </w:rPr>
        <w:t xml:space="preserve"> em</w:t>
      </w:r>
      <w:r>
        <w:rPr>
          <w:sz w:val="24"/>
          <w:szCs w:val="24"/>
        </w:rPr>
        <w:t xml:space="preserve"> 23 abril, 2018, de </w:t>
      </w:r>
      <w:r w:rsidR="006250D1" w:rsidRPr="00A674BF">
        <w:rPr>
          <w:sz w:val="24"/>
          <w:szCs w:val="24"/>
        </w:rPr>
        <w:t>http://www.justica.gov.br/central-de-atendimento/entidades/comunicado-entidades-sociais.pdf.</w:t>
      </w:r>
    </w:p>
    <w:p w14:paraId="5486B4E8"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lang w:val="en-US"/>
        </w:rPr>
        <w:t>Roggenkamp, S. D., White, K. R., &amp; Bazzoli, G. J. (2005). Adoption of hospital case management: economic and institutional influences. </w:t>
      </w:r>
      <w:r w:rsidRPr="00A674BF">
        <w:rPr>
          <w:i/>
          <w:iCs/>
          <w:sz w:val="24"/>
          <w:szCs w:val="24"/>
          <w:shd w:val="clear" w:color="auto" w:fill="FFFFFF"/>
        </w:rPr>
        <w:t>Social Science &amp; Medicine</w:t>
      </w:r>
      <w:r w:rsidRPr="00A674BF">
        <w:rPr>
          <w:sz w:val="24"/>
          <w:szCs w:val="24"/>
          <w:shd w:val="clear" w:color="auto" w:fill="FFFFFF"/>
        </w:rPr>
        <w:t>, </w:t>
      </w:r>
      <w:r w:rsidRPr="00A674BF">
        <w:rPr>
          <w:i/>
          <w:iCs/>
          <w:sz w:val="24"/>
          <w:szCs w:val="24"/>
          <w:shd w:val="clear" w:color="auto" w:fill="FFFFFF"/>
        </w:rPr>
        <w:t>60</w:t>
      </w:r>
      <w:r w:rsidRPr="00A674BF">
        <w:rPr>
          <w:sz w:val="24"/>
          <w:szCs w:val="24"/>
          <w:shd w:val="clear" w:color="auto" w:fill="FFFFFF"/>
        </w:rPr>
        <w:t>(11), 2489-2500.</w:t>
      </w:r>
    </w:p>
    <w:p w14:paraId="4ED700B2" w14:textId="1742CD7E"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Silva, M. Z., Borget, A., </w:t>
      </w:r>
      <w:r w:rsidR="00E95B89">
        <w:rPr>
          <w:sz w:val="24"/>
          <w:szCs w:val="24"/>
          <w:shd w:val="clear" w:color="auto" w:fill="FFFFFF"/>
        </w:rPr>
        <w:t xml:space="preserve">&amp; </w:t>
      </w:r>
      <w:r w:rsidRPr="00A674BF">
        <w:rPr>
          <w:sz w:val="24"/>
          <w:szCs w:val="24"/>
          <w:shd w:val="clear" w:color="auto" w:fill="FFFFFF"/>
        </w:rPr>
        <w:t>Schultz, C. A. (2009). Sistemarização de um método de custeio híbrido para o custeamento de procedimentos médicos: uma aplicação conjunta das metodologias ABC e UEP. </w:t>
      </w:r>
      <w:r w:rsidRPr="00A674BF">
        <w:rPr>
          <w:i/>
          <w:iCs/>
          <w:sz w:val="24"/>
          <w:szCs w:val="24"/>
          <w:shd w:val="clear" w:color="auto" w:fill="FFFFFF"/>
        </w:rPr>
        <w:t>Revista de Ciências da Administração</w:t>
      </w:r>
      <w:r w:rsidRPr="00A674BF">
        <w:rPr>
          <w:sz w:val="24"/>
          <w:szCs w:val="24"/>
          <w:shd w:val="clear" w:color="auto" w:fill="FFFFFF"/>
        </w:rPr>
        <w:t>, </w:t>
      </w:r>
      <w:r w:rsidRPr="00A674BF">
        <w:rPr>
          <w:i/>
          <w:iCs/>
          <w:sz w:val="24"/>
          <w:szCs w:val="24"/>
          <w:shd w:val="clear" w:color="auto" w:fill="FFFFFF"/>
        </w:rPr>
        <w:t>11</w:t>
      </w:r>
      <w:r w:rsidRPr="00A674BF">
        <w:rPr>
          <w:sz w:val="24"/>
          <w:szCs w:val="24"/>
          <w:shd w:val="clear" w:color="auto" w:fill="FFFFFF"/>
        </w:rPr>
        <w:t>(23)</w:t>
      </w:r>
      <w:r w:rsidR="00E95B89">
        <w:rPr>
          <w:sz w:val="24"/>
          <w:szCs w:val="24"/>
          <w:shd w:val="clear" w:color="auto" w:fill="FFFFFF"/>
        </w:rPr>
        <w:t>, 217-244</w:t>
      </w:r>
      <w:r w:rsidRPr="00A674BF">
        <w:rPr>
          <w:sz w:val="24"/>
          <w:szCs w:val="24"/>
          <w:shd w:val="clear" w:color="auto" w:fill="FFFFFF"/>
        </w:rPr>
        <w:t>.</w:t>
      </w:r>
    </w:p>
    <w:p w14:paraId="29429364" w14:textId="6695DBFD"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Silva, S. R. A., Gonçalves, M. A., Siqueira, P. C., &amp; </w:t>
      </w:r>
      <w:r w:rsidR="00E95B89" w:rsidRPr="00A674BF">
        <w:rPr>
          <w:sz w:val="24"/>
          <w:szCs w:val="24"/>
          <w:shd w:val="clear" w:color="auto" w:fill="FFFFFF"/>
        </w:rPr>
        <w:t>Silveira,</w:t>
      </w:r>
      <w:r w:rsidRPr="00A674BF">
        <w:rPr>
          <w:sz w:val="24"/>
          <w:szCs w:val="24"/>
          <w:shd w:val="clear" w:color="auto" w:fill="FFFFFF"/>
        </w:rPr>
        <w:t xml:space="preserve"> C. D. (2008). As decisões de investimento na Fundação Hospitalar de Minas Gerais e seus reflexos nos indicadores de qualidade. </w:t>
      </w:r>
      <w:r w:rsidRPr="00A674BF">
        <w:rPr>
          <w:i/>
          <w:iCs/>
          <w:sz w:val="24"/>
          <w:szCs w:val="24"/>
          <w:shd w:val="clear" w:color="auto" w:fill="FFFFFF"/>
        </w:rPr>
        <w:t>RAHIS–Revista de Administração Hospitalar e Inovação em Saúde</w:t>
      </w:r>
      <w:r w:rsidRPr="00A674BF">
        <w:rPr>
          <w:sz w:val="24"/>
          <w:szCs w:val="24"/>
          <w:shd w:val="clear" w:color="auto" w:fill="FFFFFF"/>
        </w:rPr>
        <w:t>, </w:t>
      </w:r>
      <w:r w:rsidRPr="00A674BF">
        <w:rPr>
          <w:i/>
          <w:iCs/>
          <w:sz w:val="24"/>
          <w:szCs w:val="24"/>
          <w:shd w:val="clear" w:color="auto" w:fill="FFFFFF"/>
        </w:rPr>
        <w:t>1</w:t>
      </w:r>
      <w:r w:rsidRPr="00A674BF">
        <w:rPr>
          <w:sz w:val="24"/>
          <w:szCs w:val="24"/>
          <w:shd w:val="clear" w:color="auto" w:fill="FFFFFF"/>
        </w:rPr>
        <w:t>(1), 46-57.</w:t>
      </w:r>
    </w:p>
    <w:p w14:paraId="7A1D3E4A" w14:textId="77777777" w:rsidR="006250D1" w:rsidRPr="00A674BF" w:rsidRDefault="006250D1" w:rsidP="00A674BF">
      <w:pPr>
        <w:spacing w:after="240"/>
        <w:ind w:left="709" w:hanging="709"/>
        <w:jc w:val="both"/>
        <w:rPr>
          <w:sz w:val="24"/>
          <w:szCs w:val="24"/>
          <w:shd w:val="clear" w:color="auto" w:fill="FFFFFF"/>
          <w:lang w:val="en-US"/>
        </w:rPr>
      </w:pPr>
      <w:r w:rsidRPr="00A674BF">
        <w:rPr>
          <w:sz w:val="24"/>
          <w:szCs w:val="24"/>
          <w:shd w:val="clear" w:color="auto" w:fill="FFFFFF"/>
        </w:rPr>
        <w:t xml:space="preserve">Smet, M. (2002). </w:t>
      </w:r>
      <w:r w:rsidRPr="00A674BF">
        <w:rPr>
          <w:sz w:val="24"/>
          <w:szCs w:val="24"/>
          <w:shd w:val="clear" w:color="auto" w:fill="FFFFFF"/>
          <w:lang w:val="en-US"/>
        </w:rPr>
        <w:t>Cost characteristics of hospitals. </w:t>
      </w:r>
      <w:r w:rsidRPr="00A674BF">
        <w:rPr>
          <w:i/>
          <w:iCs/>
          <w:sz w:val="24"/>
          <w:szCs w:val="24"/>
          <w:shd w:val="clear" w:color="auto" w:fill="FFFFFF"/>
          <w:lang w:val="en-US"/>
        </w:rPr>
        <w:t>Social Science &amp; Medicine</w:t>
      </w:r>
      <w:r w:rsidRPr="00A674BF">
        <w:rPr>
          <w:sz w:val="24"/>
          <w:szCs w:val="24"/>
          <w:shd w:val="clear" w:color="auto" w:fill="FFFFFF"/>
          <w:lang w:val="en-US"/>
        </w:rPr>
        <w:t>, </w:t>
      </w:r>
      <w:r w:rsidRPr="00A674BF">
        <w:rPr>
          <w:i/>
          <w:iCs/>
          <w:sz w:val="24"/>
          <w:szCs w:val="24"/>
          <w:shd w:val="clear" w:color="auto" w:fill="FFFFFF"/>
          <w:lang w:val="en-US"/>
        </w:rPr>
        <w:t>55</w:t>
      </w:r>
      <w:r w:rsidRPr="00A674BF">
        <w:rPr>
          <w:sz w:val="24"/>
          <w:szCs w:val="24"/>
          <w:shd w:val="clear" w:color="auto" w:fill="FFFFFF"/>
          <w:lang w:val="en-US"/>
        </w:rPr>
        <w:t>(6), 895-906.</w:t>
      </w:r>
    </w:p>
    <w:p w14:paraId="4EEB8A5A" w14:textId="1BDBAB0C"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Souza, A. A. de, Avelar, E. A., Tormin, B. F., &amp; da Silva, E. A. (2014). Análise financeira e de desempenho em hospitais públicos e filantrópicos brasileiros entre os anos de 2006 a 2011. </w:t>
      </w:r>
      <w:r w:rsidRPr="00A674BF">
        <w:rPr>
          <w:i/>
          <w:iCs/>
          <w:sz w:val="24"/>
          <w:szCs w:val="24"/>
          <w:shd w:val="clear" w:color="auto" w:fill="FFFFFF"/>
        </w:rPr>
        <w:t>FACEF Pesquisa-Desenvolvimento e Gestão</w:t>
      </w:r>
      <w:r w:rsidRPr="00A674BF">
        <w:rPr>
          <w:sz w:val="24"/>
          <w:szCs w:val="24"/>
          <w:shd w:val="clear" w:color="auto" w:fill="FFFFFF"/>
        </w:rPr>
        <w:t>, </w:t>
      </w:r>
      <w:r w:rsidRPr="00A674BF">
        <w:rPr>
          <w:i/>
          <w:iCs/>
          <w:sz w:val="24"/>
          <w:szCs w:val="24"/>
          <w:shd w:val="clear" w:color="auto" w:fill="FFFFFF"/>
        </w:rPr>
        <w:t>17</w:t>
      </w:r>
      <w:r w:rsidRPr="00A674BF">
        <w:rPr>
          <w:sz w:val="24"/>
          <w:szCs w:val="24"/>
          <w:shd w:val="clear" w:color="auto" w:fill="FFFFFF"/>
        </w:rPr>
        <w:t>(1)</w:t>
      </w:r>
      <w:r w:rsidR="00E95B89">
        <w:rPr>
          <w:sz w:val="24"/>
          <w:szCs w:val="24"/>
          <w:shd w:val="clear" w:color="auto" w:fill="FFFFFF"/>
        </w:rPr>
        <w:t>, 118-130</w:t>
      </w:r>
      <w:r w:rsidRPr="00A674BF">
        <w:rPr>
          <w:sz w:val="24"/>
          <w:szCs w:val="24"/>
          <w:shd w:val="clear" w:color="auto" w:fill="FFFFFF"/>
        </w:rPr>
        <w:t>.</w:t>
      </w:r>
    </w:p>
    <w:p w14:paraId="3D278712" w14:textId="18461824"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Souza, A. A. de, Guerra, M., Oliveira, C., Gomide, P. L. R., Pereira, C. M., &amp; Freitas, D. A. (2009). Controle de gestão em organizações hospitalares. </w:t>
      </w:r>
      <w:r w:rsidRPr="00A674BF">
        <w:rPr>
          <w:i/>
          <w:iCs/>
          <w:sz w:val="24"/>
          <w:szCs w:val="24"/>
          <w:shd w:val="clear" w:color="auto" w:fill="FFFFFF"/>
        </w:rPr>
        <w:t>REGE. Revista de Gestão</w:t>
      </w:r>
      <w:r w:rsidRPr="00A674BF">
        <w:rPr>
          <w:sz w:val="24"/>
          <w:szCs w:val="24"/>
          <w:shd w:val="clear" w:color="auto" w:fill="FFFFFF"/>
        </w:rPr>
        <w:t>, </w:t>
      </w:r>
      <w:r w:rsidRPr="00A674BF">
        <w:rPr>
          <w:i/>
          <w:iCs/>
          <w:sz w:val="24"/>
          <w:szCs w:val="24"/>
          <w:shd w:val="clear" w:color="auto" w:fill="FFFFFF"/>
        </w:rPr>
        <w:t>16</w:t>
      </w:r>
      <w:r w:rsidRPr="00A674BF">
        <w:rPr>
          <w:sz w:val="24"/>
          <w:szCs w:val="24"/>
          <w:shd w:val="clear" w:color="auto" w:fill="FFFFFF"/>
        </w:rPr>
        <w:t>(3), 15</w:t>
      </w:r>
      <w:r w:rsidR="00E95B89">
        <w:rPr>
          <w:sz w:val="24"/>
          <w:szCs w:val="24"/>
          <w:shd w:val="clear" w:color="auto" w:fill="FFFFFF"/>
        </w:rPr>
        <w:t>-29</w:t>
      </w:r>
      <w:r w:rsidRPr="00A674BF">
        <w:rPr>
          <w:sz w:val="24"/>
          <w:szCs w:val="24"/>
          <w:shd w:val="clear" w:color="auto" w:fill="FFFFFF"/>
        </w:rPr>
        <w:t>.</w:t>
      </w:r>
    </w:p>
    <w:p w14:paraId="3075985A" w14:textId="03337338"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Veloso, G. G., &amp; Malik, A. M. (2010). Análise do desempenho econômico-financeiro de empresas de saúde. </w:t>
      </w:r>
      <w:r w:rsidRPr="00A674BF">
        <w:rPr>
          <w:i/>
          <w:iCs/>
          <w:sz w:val="24"/>
          <w:szCs w:val="24"/>
          <w:shd w:val="clear" w:color="auto" w:fill="FFFFFF"/>
        </w:rPr>
        <w:t>RAE-eletrônica</w:t>
      </w:r>
      <w:r w:rsidRPr="00A674BF">
        <w:rPr>
          <w:sz w:val="24"/>
          <w:szCs w:val="24"/>
          <w:shd w:val="clear" w:color="auto" w:fill="FFFFFF"/>
        </w:rPr>
        <w:t>, </w:t>
      </w:r>
      <w:r w:rsidRPr="00A674BF">
        <w:rPr>
          <w:i/>
          <w:iCs/>
          <w:sz w:val="24"/>
          <w:szCs w:val="24"/>
          <w:shd w:val="clear" w:color="auto" w:fill="FFFFFF"/>
        </w:rPr>
        <w:t>9</w:t>
      </w:r>
      <w:r w:rsidRPr="00A674BF">
        <w:rPr>
          <w:sz w:val="24"/>
          <w:szCs w:val="24"/>
          <w:shd w:val="clear" w:color="auto" w:fill="FFFFFF"/>
        </w:rPr>
        <w:t>(1)</w:t>
      </w:r>
      <w:r w:rsidR="00E95B89">
        <w:rPr>
          <w:sz w:val="24"/>
          <w:szCs w:val="24"/>
          <w:shd w:val="clear" w:color="auto" w:fill="FFFFFF"/>
        </w:rPr>
        <w:t>, 1-22</w:t>
      </w:r>
      <w:r w:rsidRPr="00A674BF">
        <w:rPr>
          <w:sz w:val="24"/>
          <w:szCs w:val="24"/>
          <w:shd w:val="clear" w:color="auto" w:fill="FFFFFF"/>
        </w:rPr>
        <w:t>.</w:t>
      </w:r>
    </w:p>
    <w:p w14:paraId="2A62943B"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Vendemiatti, M., Siqueira, E. S., Filardi, F., Binotto, E., &amp; Simioni, F. J. (2010). Conflito na gestão hospitalar: o papel da liderança. </w:t>
      </w:r>
      <w:r w:rsidRPr="00A674BF">
        <w:rPr>
          <w:i/>
          <w:iCs/>
          <w:sz w:val="24"/>
          <w:szCs w:val="24"/>
          <w:shd w:val="clear" w:color="auto" w:fill="FFFFFF"/>
        </w:rPr>
        <w:t>Ciência &amp; Saúde Coletiva</w:t>
      </w:r>
      <w:r w:rsidRPr="00A674BF">
        <w:rPr>
          <w:sz w:val="24"/>
          <w:szCs w:val="24"/>
          <w:shd w:val="clear" w:color="auto" w:fill="FFFFFF"/>
        </w:rPr>
        <w:t>, </w:t>
      </w:r>
      <w:r w:rsidRPr="00A674BF">
        <w:rPr>
          <w:i/>
          <w:iCs/>
          <w:sz w:val="24"/>
          <w:szCs w:val="24"/>
          <w:shd w:val="clear" w:color="auto" w:fill="FFFFFF"/>
        </w:rPr>
        <w:t>15</w:t>
      </w:r>
      <w:r w:rsidRPr="00A674BF">
        <w:rPr>
          <w:sz w:val="24"/>
          <w:szCs w:val="24"/>
          <w:shd w:val="clear" w:color="auto" w:fill="FFFFFF"/>
        </w:rPr>
        <w:t>, 1301-1314.</w:t>
      </w:r>
    </w:p>
    <w:p w14:paraId="22DD659D"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Vignochi, L., Gonçalo, C. R., &amp; Lezana, Á. G. R. (2014). Como gestores hospitalares utilizam indicadores de desempenho?. </w:t>
      </w:r>
      <w:r w:rsidRPr="00A674BF">
        <w:rPr>
          <w:i/>
          <w:iCs/>
          <w:sz w:val="24"/>
          <w:szCs w:val="24"/>
          <w:shd w:val="clear" w:color="auto" w:fill="FFFFFF"/>
        </w:rPr>
        <w:t>RAE-Revista de Administração de Empresas</w:t>
      </w:r>
      <w:r w:rsidRPr="00A674BF">
        <w:rPr>
          <w:sz w:val="24"/>
          <w:szCs w:val="24"/>
          <w:shd w:val="clear" w:color="auto" w:fill="FFFFFF"/>
        </w:rPr>
        <w:t>, </w:t>
      </w:r>
      <w:r w:rsidRPr="00A674BF">
        <w:rPr>
          <w:i/>
          <w:iCs/>
          <w:sz w:val="24"/>
          <w:szCs w:val="24"/>
          <w:shd w:val="clear" w:color="auto" w:fill="FFFFFF"/>
        </w:rPr>
        <w:t>54</w:t>
      </w:r>
      <w:r w:rsidRPr="00A674BF">
        <w:rPr>
          <w:sz w:val="24"/>
          <w:szCs w:val="24"/>
          <w:shd w:val="clear" w:color="auto" w:fill="FFFFFF"/>
        </w:rPr>
        <w:t>(5), 496-509.</w:t>
      </w:r>
    </w:p>
    <w:p w14:paraId="22900B22" w14:textId="77777777" w:rsidR="006250D1" w:rsidRPr="00A674BF" w:rsidRDefault="006250D1" w:rsidP="00A674BF">
      <w:pPr>
        <w:spacing w:after="240"/>
        <w:ind w:left="709" w:hanging="709"/>
        <w:jc w:val="both"/>
        <w:rPr>
          <w:sz w:val="24"/>
          <w:szCs w:val="24"/>
          <w:shd w:val="clear" w:color="auto" w:fill="FFFFFF"/>
        </w:rPr>
      </w:pPr>
      <w:r w:rsidRPr="00A674BF">
        <w:rPr>
          <w:sz w:val="24"/>
          <w:szCs w:val="24"/>
          <w:shd w:val="clear" w:color="auto" w:fill="FFFFFF"/>
        </w:rPr>
        <w:t xml:space="preserve">Watterson, D., Gabbe, B. J., Cleland, H., Edgar, D., &amp; Cameron, P. (2012). </w:t>
      </w:r>
      <w:r w:rsidRPr="00A674BF">
        <w:rPr>
          <w:sz w:val="24"/>
          <w:szCs w:val="24"/>
          <w:shd w:val="clear" w:color="auto" w:fill="FFFFFF"/>
          <w:lang w:val="en-US"/>
        </w:rPr>
        <w:t>Developing the first Bi-National clinical quality registry for burns—lessons learned so far. </w:t>
      </w:r>
      <w:r w:rsidRPr="00A674BF">
        <w:rPr>
          <w:i/>
          <w:iCs/>
          <w:sz w:val="24"/>
          <w:szCs w:val="24"/>
          <w:shd w:val="clear" w:color="auto" w:fill="FFFFFF"/>
        </w:rPr>
        <w:t>Burns</w:t>
      </w:r>
      <w:r w:rsidRPr="00A674BF">
        <w:rPr>
          <w:sz w:val="24"/>
          <w:szCs w:val="24"/>
          <w:shd w:val="clear" w:color="auto" w:fill="FFFFFF"/>
        </w:rPr>
        <w:t>, </w:t>
      </w:r>
      <w:r w:rsidRPr="00A674BF">
        <w:rPr>
          <w:i/>
          <w:iCs/>
          <w:sz w:val="24"/>
          <w:szCs w:val="24"/>
          <w:shd w:val="clear" w:color="auto" w:fill="FFFFFF"/>
        </w:rPr>
        <w:t>38</w:t>
      </w:r>
      <w:r w:rsidRPr="00A674BF">
        <w:rPr>
          <w:sz w:val="24"/>
          <w:szCs w:val="24"/>
          <w:shd w:val="clear" w:color="auto" w:fill="FFFFFF"/>
        </w:rPr>
        <w:t>(1), 52-60.</w:t>
      </w:r>
    </w:p>
    <w:p w14:paraId="2174FEAE" w14:textId="77777777" w:rsidR="00017AEF" w:rsidRPr="00A674BF" w:rsidRDefault="00017AEF" w:rsidP="00A674BF">
      <w:pPr>
        <w:spacing w:after="240"/>
        <w:ind w:left="709" w:hanging="709"/>
        <w:jc w:val="both"/>
        <w:rPr>
          <w:sz w:val="24"/>
          <w:szCs w:val="24"/>
          <w:shd w:val="clear" w:color="auto" w:fill="FFFFFF"/>
        </w:rPr>
      </w:pPr>
    </w:p>
    <w:p w14:paraId="205B19A7" w14:textId="77777777" w:rsidR="00017AEF" w:rsidRPr="00A674BF" w:rsidRDefault="00017AEF" w:rsidP="00A674BF">
      <w:pPr>
        <w:spacing w:after="240"/>
        <w:ind w:left="709" w:hanging="709"/>
        <w:jc w:val="both"/>
        <w:rPr>
          <w:sz w:val="24"/>
          <w:szCs w:val="24"/>
        </w:rPr>
      </w:pPr>
    </w:p>
    <w:p w14:paraId="61F3D73C" w14:textId="77777777" w:rsidR="00017AEF" w:rsidRPr="00A674BF" w:rsidRDefault="00017AEF" w:rsidP="00A674BF">
      <w:pPr>
        <w:spacing w:after="240"/>
        <w:ind w:left="709" w:hanging="709"/>
        <w:jc w:val="both"/>
        <w:rPr>
          <w:b/>
          <w:sz w:val="24"/>
          <w:szCs w:val="24"/>
          <w:shd w:val="clear" w:color="auto" w:fill="FFFFFF"/>
        </w:rPr>
      </w:pPr>
    </w:p>
    <w:p w14:paraId="62950225" w14:textId="77777777" w:rsidR="00017AEF" w:rsidRPr="00A674BF" w:rsidRDefault="00017AEF" w:rsidP="00A674BF">
      <w:pPr>
        <w:spacing w:after="240"/>
        <w:ind w:left="709" w:hanging="709"/>
        <w:jc w:val="both"/>
        <w:rPr>
          <w:sz w:val="24"/>
          <w:szCs w:val="24"/>
        </w:rPr>
      </w:pPr>
    </w:p>
    <w:p w14:paraId="7B3DC66B" w14:textId="77777777" w:rsidR="00017AEF" w:rsidRPr="00A674BF" w:rsidRDefault="00017AEF" w:rsidP="00A674BF">
      <w:pPr>
        <w:ind w:left="709" w:hanging="709"/>
      </w:pPr>
    </w:p>
    <w:sectPr w:rsidR="00017AEF" w:rsidRPr="00A674BF"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1FF45" w14:textId="77777777" w:rsidR="001D41A2" w:rsidRDefault="001D41A2" w:rsidP="008A5824">
      <w:r>
        <w:separator/>
      </w:r>
    </w:p>
  </w:endnote>
  <w:endnote w:type="continuationSeparator" w:id="0">
    <w:p w14:paraId="386D2105" w14:textId="77777777" w:rsidR="001D41A2" w:rsidRDefault="001D41A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59DD301D" w14:textId="77777777" w:rsidR="00017AEF" w:rsidRDefault="00017AEF">
        <w:pPr>
          <w:pStyle w:val="Rodap"/>
          <w:jc w:val="right"/>
          <w:rPr>
            <w:rFonts w:ascii="Times New Roman" w:hAnsi="Times New Roman" w:cs="Times New Roman"/>
          </w:rPr>
        </w:pPr>
      </w:p>
      <w:p w14:paraId="158BA60C" w14:textId="77777777" w:rsidR="00017AEF" w:rsidRPr="00C04F45" w:rsidRDefault="00017AEF">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26CC88CB" wp14:editId="0FA89623">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14:paraId="296DE836" w14:textId="77777777" w:rsidR="00017AEF" w:rsidRDefault="00017AEF">
    <w:pPr>
      <w:pStyle w:val="Rodap"/>
      <w:rPr>
        <w:rFonts w:ascii="Times New Roman" w:hAnsi="Times New Roman" w:cs="Times New Roman"/>
      </w:rPr>
    </w:pPr>
  </w:p>
  <w:p w14:paraId="78722EE3" w14:textId="77777777" w:rsidR="00017AEF" w:rsidRPr="00C04F45" w:rsidRDefault="00017AEF"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E1709" w14:textId="77777777" w:rsidR="001D41A2" w:rsidRDefault="001D41A2" w:rsidP="008A5824">
      <w:r>
        <w:separator/>
      </w:r>
    </w:p>
  </w:footnote>
  <w:footnote w:type="continuationSeparator" w:id="0">
    <w:p w14:paraId="09E83017" w14:textId="77777777" w:rsidR="001D41A2" w:rsidRDefault="001D41A2"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81E0D" w14:textId="77777777" w:rsidR="00017AEF" w:rsidRPr="00E361F4" w:rsidRDefault="00017AEF" w:rsidP="00E361F4">
    <w:pPr>
      <w:pStyle w:val="Cabealho"/>
    </w:pPr>
    <w:r>
      <w:rPr>
        <w:noProof/>
        <w:lang w:eastAsia="pt-BR"/>
      </w:rPr>
      <w:drawing>
        <wp:inline distT="0" distB="0" distL="0" distR="0" wp14:anchorId="73B5762A" wp14:editId="13831515">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72DA1"/>
    <w:multiLevelType w:val="hybridMultilevel"/>
    <w:tmpl w:val="E72048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143582"/>
    <w:multiLevelType w:val="hybridMultilevel"/>
    <w:tmpl w:val="EAE860B0"/>
    <w:lvl w:ilvl="0" w:tplc="D932E594">
      <w:start w:val="1"/>
      <w:numFmt w:val="bullet"/>
      <w:lvlText w:val="•"/>
      <w:lvlJc w:val="left"/>
      <w:pPr>
        <w:tabs>
          <w:tab w:val="num" w:pos="720"/>
        </w:tabs>
        <w:ind w:left="720" w:hanging="360"/>
      </w:pPr>
      <w:rPr>
        <w:rFonts w:ascii="Times New Roman" w:hAnsi="Times New Roman" w:hint="default"/>
      </w:rPr>
    </w:lvl>
    <w:lvl w:ilvl="1" w:tplc="F132CB68" w:tentative="1">
      <w:start w:val="1"/>
      <w:numFmt w:val="bullet"/>
      <w:lvlText w:val="•"/>
      <w:lvlJc w:val="left"/>
      <w:pPr>
        <w:tabs>
          <w:tab w:val="num" w:pos="1440"/>
        </w:tabs>
        <w:ind w:left="1440" w:hanging="360"/>
      </w:pPr>
      <w:rPr>
        <w:rFonts w:ascii="Times New Roman" w:hAnsi="Times New Roman" w:hint="default"/>
      </w:rPr>
    </w:lvl>
    <w:lvl w:ilvl="2" w:tplc="E66433EA" w:tentative="1">
      <w:start w:val="1"/>
      <w:numFmt w:val="bullet"/>
      <w:lvlText w:val="•"/>
      <w:lvlJc w:val="left"/>
      <w:pPr>
        <w:tabs>
          <w:tab w:val="num" w:pos="2160"/>
        </w:tabs>
        <w:ind w:left="2160" w:hanging="360"/>
      </w:pPr>
      <w:rPr>
        <w:rFonts w:ascii="Times New Roman" w:hAnsi="Times New Roman" w:hint="default"/>
      </w:rPr>
    </w:lvl>
    <w:lvl w:ilvl="3" w:tplc="1598C230" w:tentative="1">
      <w:start w:val="1"/>
      <w:numFmt w:val="bullet"/>
      <w:lvlText w:val="•"/>
      <w:lvlJc w:val="left"/>
      <w:pPr>
        <w:tabs>
          <w:tab w:val="num" w:pos="2880"/>
        </w:tabs>
        <w:ind w:left="2880" w:hanging="360"/>
      </w:pPr>
      <w:rPr>
        <w:rFonts w:ascii="Times New Roman" w:hAnsi="Times New Roman" w:hint="default"/>
      </w:rPr>
    </w:lvl>
    <w:lvl w:ilvl="4" w:tplc="2A543944" w:tentative="1">
      <w:start w:val="1"/>
      <w:numFmt w:val="bullet"/>
      <w:lvlText w:val="•"/>
      <w:lvlJc w:val="left"/>
      <w:pPr>
        <w:tabs>
          <w:tab w:val="num" w:pos="3600"/>
        </w:tabs>
        <w:ind w:left="3600" w:hanging="360"/>
      </w:pPr>
      <w:rPr>
        <w:rFonts w:ascii="Times New Roman" w:hAnsi="Times New Roman" w:hint="default"/>
      </w:rPr>
    </w:lvl>
    <w:lvl w:ilvl="5" w:tplc="3336E81C" w:tentative="1">
      <w:start w:val="1"/>
      <w:numFmt w:val="bullet"/>
      <w:lvlText w:val="•"/>
      <w:lvlJc w:val="left"/>
      <w:pPr>
        <w:tabs>
          <w:tab w:val="num" w:pos="4320"/>
        </w:tabs>
        <w:ind w:left="4320" w:hanging="360"/>
      </w:pPr>
      <w:rPr>
        <w:rFonts w:ascii="Times New Roman" w:hAnsi="Times New Roman" w:hint="default"/>
      </w:rPr>
    </w:lvl>
    <w:lvl w:ilvl="6" w:tplc="2A9ADDCA" w:tentative="1">
      <w:start w:val="1"/>
      <w:numFmt w:val="bullet"/>
      <w:lvlText w:val="•"/>
      <w:lvlJc w:val="left"/>
      <w:pPr>
        <w:tabs>
          <w:tab w:val="num" w:pos="5040"/>
        </w:tabs>
        <w:ind w:left="5040" w:hanging="360"/>
      </w:pPr>
      <w:rPr>
        <w:rFonts w:ascii="Times New Roman" w:hAnsi="Times New Roman" w:hint="default"/>
      </w:rPr>
    </w:lvl>
    <w:lvl w:ilvl="7" w:tplc="2F16D846" w:tentative="1">
      <w:start w:val="1"/>
      <w:numFmt w:val="bullet"/>
      <w:lvlText w:val="•"/>
      <w:lvlJc w:val="left"/>
      <w:pPr>
        <w:tabs>
          <w:tab w:val="num" w:pos="5760"/>
        </w:tabs>
        <w:ind w:left="5760" w:hanging="360"/>
      </w:pPr>
      <w:rPr>
        <w:rFonts w:ascii="Times New Roman" w:hAnsi="Times New Roman" w:hint="default"/>
      </w:rPr>
    </w:lvl>
    <w:lvl w:ilvl="8" w:tplc="8CFE75B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47A26"/>
    <w:multiLevelType w:val="hybridMultilevel"/>
    <w:tmpl w:val="D30C10BC"/>
    <w:lvl w:ilvl="0" w:tplc="76A28C7E">
      <w:start w:val="1"/>
      <w:numFmt w:val="bullet"/>
      <w:lvlText w:val="•"/>
      <w:lvlJc w:val="left"/>
      <w:pPr>
        <w:tabs>
          <w:tab w:val="num" w:pos="720"/>
        </w:tabs>
        <w:ind w:left="720" w:hanging="360"/>
      </w:pPr>
      <w:rPr>
        <w:rFonts w:ascii="Times New Roman" w:hAnsi="Times New Roman" w:hint="default"/>
      </w:rPr>
    </w:lvl>
    <w:lvl w:ilvl="1" w:tplc="2FBCC092" w:tentative="1">
      <w:start w:val="1"/>
      <w:numFmt w:val="bullet"/>
      <w:lvlText w:val="•"/>
      <w:lvlJc w:val="left"/>
      <w:pPr>
        <w:tabs>
          <w:tab w:val="num" w:pos="1440"/>
        </w:tabs>
        <w:ind w:left="1440" w:hanging="360"/>
      </w:pPr>
      <w:rPr>
        <w:rFonts w:ascii="Times New Roman" w:hAnsi="Times New Roman" w:hint="default"/>
      </w:rPr>
    </w:lvl>
    <w:lvl w:ilvl="2" w:tplc="34C85DE4" w:tentative="1">
      <w:start w:val="1"/>
      <w:numFmt w:val="bullet"/>
      <w:lvlText w:val="•"/>
      <w:lvlJc w:val="left"/>
      <w:pPr>
        <w:tabs>
          <w:tab w:val="num" w:pos="2160"/>
        </w:tabs>
        <w:ind w:left="2160" w:hanging="360"/>
      </w:pPr>
      <w:rPr>
        <w:rFonts w:ascii="Times New Roman" w:hAnsi="Times New Roman" w:hint="default"/>
      </w:rPr>
    </w:lvl>
    <w:lvl w:ilvl="3" w:tplc="64D4A6A4" w:tentative="1">
      <w:start w:val="1"/>
      <w:numFmt w:val="bullet"/>
      <w:lvlText w:val="•"/>
      <w:lvlJc w:val="left"/>
      <w:pPr>
        <w:tabs>
          <w:tab w:val="num" w:pos="2880"/>
        </w:tabs>
        <w:ind w:left="2880" w:hanging="360"/>
      </w:pPr>
      <w:rPr>
        <w:rFonts w:ascii="Times New Roman" w:hAnsi="Times New Roman" w:hint="default"/>
      </w:rPr>
    </w:lvl>
    <w:lvl w:ilvl="4" w:tplc="507868CE" w:tentative="1">
      <w:start w:val="1"/>
      <w:numFmt w:val="bullet"/>
      <w:lvlText w:val="•"/>
      <w:lvlJc w:val="left"/>
      <w:pPr>
        <w:tabs>
          <w:tab w:val="num" w:pos="3600"/>
        </w:tabs>
        <w:ind w:left="3600" w:hanging="360"/>
      </w:pPr>
      <w:rPr>
        <w:rFonts w:ascii="Times New Roman" w:hAnsi="Times New Roman" w:hint="default"/>
      </w:rPr>
    </w:lvl>
    <w:lvl w:ilvl="5" w:tplc="0AD2769A" w:tentative="1">
      <w:start w:val="1"/>
      <w:numFmt w:val="bullet"/>
      <w:lvlText w:val="•"/>
      <w:lvlJc w:val="left"/>
      <w:pPr>
        <w:tabs>
          <w:tab w:val="num" w:pos="4320"/>
        </w:tabs>
        <w:ind w:left="4320" w:hanging="360"/>
      </w:pPr>
      <w:rPr>
        <w:rFonts w:ascii="Times New Roman" w:hAnsi="Times New Roman" w:hint="default"/>
      </w:rPr>
    </w:lvl>
    <w:lvl w:ilvl="6" w:tplc="69D81C80" w:tentative="1">
      <w:start w:val="1"/>
      <w:numFmt w:val="bullet"/>
      <w:lvlText w:val="•"/>
      <w:lvlJc w:val="left"/>
      <w:pPr>
        <w:tabs>
          <w:tab w:val="num" w:pos="5040"/>
        </w:tabs>
        <w:ind w:left="5040" w:hanging="360"/>
      </w:pPr>
      <w:rPr>
        <w:rFonts w:ascii="Times New Roman" w:hAnsi="Times New Roman" w:hint="default"/>
      </w:rPr>
    </w:lvl>
    <w:lvl w:ilvl="7" w:tplc="C4C075BC" w:tentative="1">
      <w:start w:val="1"/>
      <w:numFmt w:val="bullet"/>
      <w:lvlText w:val="•"/>
      <w:lvlJc w:val="left"/>
      <w:pPr>
        <w:tabs>
          <w:tab w:val="num" w:pos="5760"/>
        </w:tabs>
        <w:ind w:left="5760" w:hanging="360"/>
      </w:pPr>
      <w:rPr>
        <w:rFonts w:ascii="Times New Roman" w:hAnsi="Times New Roman" w:hint="default"/>
      </w:rPr>
    </w:lvl>
    <w:lvl w:ilvl="8" w:tplc="4E92A0D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599F"/>
    <w:multiLevelType w:val="hybridMultilevel"/>
    <w:tmpl w:val="3DFA13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17AEF"/>
    <w:rsid w:val="00023230"/>
    <w:rsid w:val="00037B57"/>
    <w:rsid w:val="0006499B"/>
    <w:rsid w:val="00067126"/>
    <w:rsid w:val="00115CC7"/>
    <w:rsid w:val="0016220D"/>
    <w:rsid w:val="00194BA9"/>
    <w:rsid w:val="001A4423"/>
    <w:rsid w:val="001B6F07"/>
    <w:rsid w:val="001C328B"/>
    <w:rsid w:val="001D41A2"/>
    <w:rsid w:val="001F24ED"/>
    <w:rsid w:val="001F3BB1"/>
    <w:rsid w:val="001F6A6D"/>
    <w:rsid w:val="0026422B"/>
    <w:rsid w:val="00270EC2"/>
    <w:rsid w:val="00274008"/>
    <w:rsid w:val="00290B88"/>
    <w:rsid w:val="00296A91"/>
    <w:rsid w:val="002B0015"/>
    <w:rsid w:val="002B2B78"/>
    <w:rsid w:val="002E3AE0"/>
    <w:rsid w:val="002E7A08"/>
    <w:rsid w:val="0036377D"/>
    <w:rsid w:val="0038579D"/>
    <w:rsid w:val="004020EB"/>
    <w:rsid w:val="00440E92"/>
    <w:rsid w:val="00472880"/>
    <w:rsid w:val="00473887"/>
    <w:rsid w:val="00482F04"/>
    <w:rsid w:val="00485206"/>
    <w:rsid w:val="00491708"/>
    <w:rsid w:val="0056754D"/>
    <w:rsid w:val="006064A3"/>
    <w:rsid w:val="006250D1"/>
    <w:rsid w:val="00631DCF"/>
    <w:rsid w:val="00635E77"/>
    <w:rsid w:val="00686527"/>
    <w:rsid w:val="006F3EB8"/>
    <w:rsid w:val="0072578D"/>
    <w:rsid w:val="00727685"/>
    <w:rsid w:val="00743648"/>
    <w:rsid w:val="007503E6"/>
    <w:rsid w:val="00761592"/>
    <w:rsid w:val="007D5F77"/>
    <w:rsid w:val="0080541A"/>
    <w:rsid w:val="00847F0E"/>
    <w:rsid w:val="00860B20"/>
    <w:rsid w:val="00862FBC"/>
    <w:rsid w:val="0089079A"/>
    <w:rsid w:val="008A5824"/>
    <w:rsid w:val="008A74FE"/>
    <w:rsid w:val="008D1376"/>
    <w:rsid w:val="008D4752"/>
    <w:rsid w:val="008D4F05"/>
    <w:rsid w:val="00941521"/>
    <w:rsid w:val="009833D5"/>
    <w:rsid w:val="009F2AAB"/>
    <w:rsid w:val="00A06CEB"/>
    <w:rsid w:val="00A22681"/>
    <w:rsid w:val="00A5462E"/>
    <w:rsid w:val="00A674BF"/>
    <w:rsid w:val="00A86ECF"/>
    <w:rsid w:val="00B11275"/>
    <w:rsid w:val="00B32719"/>
    <w:rsid w:val="00B41CAF"/>
    <w:rsid w:val="00B853D7"/>
    <w:rsid w:val="00BB2165"/>
    <w:rsid w:val="00BD0F13"/>
    <w:rsid w:val="00C04F45"/>
    <w:rsid w:val="00C30374"/>
    <w:rsid w:val="00C76C33"/>
    <w:rsid w:val="00CA2367"/>
    <w:rsid w:val="00CA25AA"/>
    <w:rsid w:val="00CE5296"/>
    <w:rsid w:val="00CF645C"/>
    <w:rsid w:val="00D54B36"/>
    <w:rsid w:val="00D91EAD"/>
    <w:rsid w:val="00DB301E"/>
    <w:rsid w:val="00DE5747"/>
    <w:rsid w:val="00DF517A"/>
    <w:rsid w:val="00E32BF7"/>
    <w:rsid w:val="00E361F4"/>
    <w:rsid w:val="00E54627"/>
    <w:rsid w:val="00E6136F"/>
    <w:rsid w:val="00E95B89"/>
    <w:rsid w:val="00EC010C"/>
    <w:rsid w:val="00ED7A83"/>
    <w:rsid w:val="00EF0F59"/>
    <w:rsid w:val="00F22048"/>
    <w:rsid w:val="00FC0D82"/>
    <w:rsid w:val="00FE1CF2"/>
    <w:rsid w:val="00FE61C1"/>
    <w:rsid w:val="00FE6EBB"/>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EAAB49"/>
  <w15:docId w15:val="{AF8BFA16-4196-496A-9F50-800333F0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apple-converted-space">
    <w:name w:val="apple-converted-space"/>
    <w:basedOn w:val="Fontepargpadro"/>
    <w:rsid w:val="00E54627"/>
  </w:style>
  <w:style w:type="character" w:styleId="Refdecomentrio">
    <w:name w:val="annotation reference"/>
    <w:basedOn w:val="Fontepargpadro"/>
    <w:uiPriority w:val="99"/>
    <w:semiHidden/>
    <w:unhideWhenUsed/>
    <w:rsid w:val="00E54627"/>
    <w:rPr>
      <w:sz w:val="16"/>
      <w:szCs w:val="16"/>
    </w:rPr>
  </w:style>
  <w:style w:type="paragraph" w:styleId="Textodecomentrio">
    <w:name w:val="annotation text"/>
    <w:basedOn w:val="Normal"/>
    <w:link w:val="TextodecomentrioChar"/>
    <w:uiPriority w:val="99"/>
    <w:semiHidden/>
    <w:unhideWhenUsed/>
    <w:rsid w:val="00E54627"/>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E54627"/>
    <w:rPr>
      <w:sz w:val="20"/>
      <w:szCs w:val="20"/>
    </w:rPr>
  </w:style>
  <w:style w:type="character" w:customStyle="1" w:styleId="AssuntodocomentrioChar">
    <w:name w:val="Assunto do comentário Char"/>
    <w:basedOn w:val="TextodecomentrioChar"/>
    <w:link w:val="Assuntodocomentrio"/>
    <w:uiPriority w:val="99"/>
    <w:semiHidden/>
    <w:rsid w:val="00E54627"/>
    <w:rPr>
      <w:b/>
      <w:bCs/>
      <w:sz w:val="20"/>
      <w:szCs w:val="20"/>
    </w:rPr>
  </w:style>
  <w:style w:type="paragraph" w:styleId="Assuntodocomentrio">
    <w:name w:val="annotation subject"/>
    <w:basedOn w:val="Textodecomentrio"/>
    <w:next w:val="Textodecomentrio"/>
    <w:link w:val="AssuntodocomentrioChar"/>
    <w:uiPriority w:val="99"/>
    <w:semiHidden/>
    <w:unhideWhenUsed/>
    <w:rsid w:val="00E54627"/>
    <w:rPr>
      <w:b/>
      <w:bCs/>
    </w:rPr>
  </w:style>
  <w:style w:type="character" w:styleId="Forte">
    <w:name w:val="Strong"/>
    <w:basedOn w:val="Fontepargpadro"/>
    <w:uiPriority w:val="22"/>
    <w:qFormat/>
    <w:rsid w:val="00E54627"/>
    <w:rPr>
      <w:b/>
      <w:bCs/>
    </w:rPr>
  </w:style>
  <w:style w:type="paragraph" w:customStyle="1" w:styleId="Ttulo-1">
    <w:name w:val="Título - 1"/>
    <w:basedOn w:val="Normal"/>
    <w:link w:val="Ttulo-1Char"/>
    <w:qFormat/>
    <w:rsid w:val="00E54627"/>
    <w:pPr>
      <w:suppressAutoHyphens w:val="0"/>
      <w:spacing w:line="360" w:lineRule="auto"/>
      <w:jc w:val="both"/>
    </w:pPr>
    <w:rPr>
      <w:b/>
      <w:sz w:val="24"/>
      <w:szCs w:val="24"/>
    </w:rPr>
  </w:style>
  <w:style w:type="character" w:customStyle="1" w:styleId="Ttulo-1Char">
    <w:name w:val="Título - 1 Char"/>
    <w:link w:val="Ttulo-1"/>
    <w:rsid w:val="00E54627"/>
    <w:rPr>
      <w:rFonts w:ascii="Times New Roman" w:eastAsia="Times New Roman" w:hAnsi="Times New Roman" w:cs="Times New Roman"/>
      <w:b/>
      <w:lang w:eastAsia="pt-BR"/>
    </w:rPr>
  </w:style>
  <w:style w:type="character" w:customStyle="1" w:styleId="Textodocorpo41">
    <w:name w:val="Texto do corpo (4)1"/>
    <w:basedOn w:val="Fontepargpadro"/>
    <w:rsid w:val="00E54627"/>
    <w:rPr>
      <w:rFonts w:ascii="Franklin Gothic Demi" w:hAnsi="Franklin Gothic Demi" w:hint="default"/>
      <w:b w:val="0"/>
      <w:bCs w:val="0"/>
      <w:i w:val="0"/>
      <w:iCs w:val="0"/>
      <w:smallCaps w:val="0"/>
      <w:strike w:val="0"/>
      <w:dstrike w:val="0"/>
      <w:color w:val="000000"/>
      <w:spacing w:val="0"/>
      <w:u w:val="none"/>
      <w:effect w:val="none"/>
    </w:rPr>
  </w:style>
  <w:style w:type="paragraph" w:customStyle="1" w:styleId="TextoartigoEnanpad">
    <w:name w:val="Texto artigo Enanpad"/>
    <w:basedOn w:val="Normal"/>
    <w:rsid w:val="00E54627"/>
    <w:pPr>
      <w:suppressAutoHyphens w:val="0"/>
      <w:ind w:firstLine="720"/>
      <w:jc w:val="both"/>
    </w:pPr>
    <w:rPr>
      <w:sz w:val="24"/>
      <w:szCs w:val="24"/>
      <w:lang w:eastAsia="en-US"/>
    </w:rPr>
  </w:style>
  <w:style w:type="paragraph" w:customStyle="1" w:styleId="TextoNormal">
    <w:name w:val="Texto Normal"/>
    <w:basedOn w:val="Normal"/>
    <w:rsid w:val="00E54627"/>
    <w:pPr>
      <w:suppressAutoHyphens w:val="0"/>
      <w:spacing w:line="480" w:lineRule="auto"/>
      <w:ind w:firstLine="851"/>
      <w:jc w:val="both"/>
    </w:pPr>
    <w:rPr>
      <w:sz w:val="24"/>
      <w:szCs w:val="24"/>
      <w:lang w:eastAsia="en-US"/>
    </w:rPr>
  </w:style>
  <w:style w:type="paragraph" w:customStyle="1" w:styleId="Default">
    <w:name w:val="Default"/>
    <w:rsid w:val="00E54627"/>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893">
      <w:bodyDiv w:val="1"/>
      <w:marLeft w:val="0"/>
      <w:marRight w:val="0"/>
      <w:marTop w:val="0"/>
      <w:marBottom w:val="0"/>
      <w:divBdr>
        <w:top w:val="none" w:sz="0" w:space="0" w:color="auto"/>
        <w:left w:val="none" w:sz="0" w:space="0" w:color="auto"/>
        <w:bottom w:val="none" w:sz="0" w:space="0" w:color="auto"/>
        <w:right w:val="none" w:sz="0" w:space="0" w:color="auto"/>
      </w:divBdr>
    </w:div>
    <w:div w:id="987322799">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430076720">
      <w:bodyDiv w:val="1"/>
      <w:marLeft w:val="0"/>
      <w:marRight w:val="0"/>
      <w:marTop w:val="0"/>
      <w:marBottom w:val="0"/>
      <w:divBdr>
        <w:top w:val="none" w:sz="0" w:space="0" w:color="auto"/>
        <w:left w:val="none" w:sz="0" w:space="0" w:color="auto"/>
        <w:bottom w:val="none" w:sz="0" w:space="0" w:color="auto"/>
        <w:right w:val="none" w:sz="0" w:space="0" w:color="auto"/>
      </w:divBdr>
    </w:div>
    <w:div w:id="1594699970">
      <w:bodyDiv w:val="1"/>
      <w:marLeft w:val="0"/>
      <w:marRight w:val="0"/>
      <w:marTop w:val="0"/>
      <w:marBottom w:val="0"/>
      <w:divBdr>
        <w:top w:val="none" w:sz="0" w:space="0" w:color="auto"/>
        <w:left w:val="none" w:sz="0" w:space="0" w:color="auto"/>
        <w:bottom w:val="none" w:sz="0" w:space="0" w:color="auto"/>
        <w:right w:val="none" w:sz="0" w:space="0" w:color="auto"/>
      </w:divBdr>
      <w:divsChild>
        <w:div w:id="468524256">
          <w:marLeft w:val="0"/>
          <w:marRight w:val="0"/>
          <w:marTop w:val="0"/>
          <w:marBottom w:val="0"/>
          <w:divBdr>
            <w:top w:val="none" w:sz="0" w:space="0" w:color="auto"/>
            <w:left w:val="none" w:sz="0" w:space="0" w:color="auto"/>
            <w:bottom w:val="none" w:sz="0" w:space="0" w:color="auto"/>
            <w:right w:val="none" w:sz="0" w:space="0" w:color="auto"/>
          </w:divBdr>
        </w:div>
      </w:divsChild>
    </w:div>
    <w:div w:id="1779565045">
      <w:bodyDiv w:val="1"/>
      <w:marLeft w:val="0"/>
      <w:marRight w:val="0"/>
      <w:marTop w:val="0"/>
      <w:marBottom w:val="0"/>
      <w:divBdr>
        <w:top w:val="none" w:sz="0" w:space="0" w:color="auto"/>
        <w:left w:val="none" w:sz="0" w:space="0" w:color="auto"/>
        <w:bottom w:val="none" w:sz="0" w:space="0" w:color="auto"/>
        <w:right w:val="none" w:sz="0" w:space="0" w:color="auto"/>
      </w:divBdr>
    </w:div>
    <w:div w:id="1860779189">
      <w:bodyDiv w:val="1"/>
      <w:marLeft w:val="0"/>
      <w:marRight w:val="0"/>
      <w:marTop w:val="0"/>
      <w:marBottom w:val="0"/>
      <w:divBdr>
        <w:top w:val="none" w:sz="0" w:space="0" w:color="auto"/>
        <w:left w:val="none" w:sz="0" w:space="0" w:color="auto"/>
        <w:bottom w:val="none" w:sz="0" w:space="0" w:color="auto"/>
        <w:right w:val="none" w:sz="0" w:space="0" w:color="auto"/>
      </w:divBdr>
    </w:div>
    <w:div w:id="1895695187">
      <w:bodyDiv w:val="1"/>
      <w:marLeft w:val="0"/>
      <w:marRight w:val="0"/>
      <w:marTop w:val="0"/>
      <w:marBottom w:val="0"/>
      <w:divBdr>
        <w:top w:val="none" w:sz="0" w:space="0" w:color="auto"/>
        <w:left w:val="none" w:sz="0" w:space="0" w:color="auto"/>
        <w:bottom w:val="none" w:sz="0" w:space="0" w:color="auto"/>
        <w:right w:val="none" w:sz="0" w:space="0" w:color="auto"/>
      </w:divBdr>
    </w:div>
    <w:div w:id="1995645578">
      <w:bodyDiv w:val="1"/>
      <w:marLeft w:val="0"/>
      <w:marRight w:val="0"/>
      <w:marTop w:val="0"/>
      <w:marBottom w:val="0"/>
      <w:divBdr>
        <w:top w:val="none" w:sz="0" w:space="0" w:color="auto"/>
        <w:left w:val="none" w:sz="0" w:space="0" w:color="auto"/>
        <w:bottom w:val="none" w:sz="0" w:space="0" w:color="auto"/>
        <w:right w:val="none" w:sz="0" w:space="0" w:color="auto"/>
      </w:divBdr>
    </w:div>
    <w:div w:id="2018313455">
      <w:bodyDiv w:val="1"/>
      <w:marLeft w:val="0"/>
      <w:marRight w:val="0"/>
      <w:marTop w:val="0"/>
      <w:marBottom w:val="0"/>
      <w:divBdr>
        <w:top w:val="none" w:sz="0" w:space="0" w:color="auto"/>
        <w:left w:val="none" w:sz="0" w:space="0" w:color="auto"/>
        <w:bottom w:val="none" w:sz="0" w:space="0" w:color="auto"/>
        <w:right w:val="none" w:sz="0" w:space="0" w:color="auto"/>
      </w:divBdr>
    </w:div>
    <w:div w:id="2086145586">
      <w:bodyDiv w:val="1"/>
      <w:marLeft w:val="0"/>
      <w:marRight w:val="0"/>
      <w:marTop w:val="0"/>
      <w:marBottom w:val="0"/>
      <w:divBdr>
        <w:top w:val="none" w:sz="0" w:space="0" w:color="auto"/>
        <w:left w:val="none" w:sz="0" w:space="0" w:color="auto"/>
        <w:bottom w:val="none" w:sz="0" w:space="0" w:color="auto"/>
        <w:right w:val="none" w:sz="0" w:space="0" w:color="auto"/>
      </w:divBdr>
    </w:div>
    <w:div w:id="2144232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7880</Words>
  <Characters>42557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Mara</cp:lastModifiedBy>
  <cp:revision>6</cp:revision>
  <cp:lastPrinted>2018-05-01T00:07:00Z</cp:lastPrinted>
  <dcterms:created xsi:type="dcterms:W3CDTF">2018-04-30T23:54:00Z</dcterms:created>
  <dcterms:modified xsi:type="dcterms:W3CDTF">2018-05-01T00:15:00Z</dcterms:modified>
</cp:coreProperties>
</file>