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D" w:rsidRDefault="0036377D" w:rsidP="007A0C15">
      <w:pPr>
        <w:jc w:val="center"/>
        <w:rPr>
          <w:b/>
          <w:sz w:val="24"/>
        </w:rPr>
      </w:pPr>
    </w:p>
    <w:p w:rsidR="0036377D" w:rsidRDefault="00DB3EB6" w:rsidP="007A0C15">
      <w:pPr>
        <w:widowControl w:val="0"/>
        <w:jc w:val="center"/>
        <w:rPr>
          <w:color w:val="999999"/>
        </w:rPr>
      </w:pPr>
      <w:r w:rsidRPr="00DB3EB6">
        <w:rPr>
          <w:b/>
          <w:sz w:val="24"/>
        </w:rPr>
        <w:t xml:space="preserve">Gestão </w:t>
      </w:r>
      <w:r>
        <w:rPr>
          <w:b/>
          <w:sz w:val="24"/>
        </w:rPr>
        <w:t>d</w:t>
      </w:r>
      <w:r w:rsidRPr="00DB3EB6">
        <w:rPr>
          <w:b/>
          <w:sz w:val="24"/>
        </w:rPr>
        <w:t xml:space="preserve">e Risco </w:t>
      </w:r>
      <w:r>
        <w:rPr>
          <w:b/>
          <w:sz w:val="24"/>
        </w:rPr>
        <w:t>e</w:t>
      </w:r>
      <w:r w:rsidRPr="00DB3EB6">
        <w:rPr>
          <w:b/>
          <w:sz w:val="24"/>
        </w:rPr>
        <w:t xml:space="preserve">m Instituições Financeiras: Um Estudo </w:t>
      </w:r>
      <w:r>
        <w:rPr>
          <w:b/>
          <w:sz w:val="24"/>
        </w:rPr>
        <w:t>s</w:t>
      </w:r>
      <w:r w:rsidRPr="00DB3EB6">
        <w:rPr>
          <w:b/>
          <w:sz w:val="24"/>
        </w:rPr>
        <w:t xml:space="preserve">ob </w:t>
      </w:r>
      <w:r>
        <w:rPr>
          <w:b/>
          <w:sz w:val="24"/>
        </w:rPr>
        <w:t>a</w:t>
      </w:r>
      <w:r w:rsidRPr="00DB3EB6">
        <w:rPr>
          <w:b/>
          <w:sz w:val="24"/>
        </w:rPr>
        <w:t xml:space="preserve"> Ótica </w:t>
      </w:r>
      <w:r>
        <w:rPr>
          <w:b/>
          <w:sz w:val="24"/>
        </w:rPr>
        <w:t>d</w:t>
      </w:r>
      <w:r w:rsidRPr="00DB3EB6">
        <w:rPr>
          <w:b/>
          <w:sz w:val="24"/>
        </w:rPr>
        <w:t>a Teoria Contingencial</w:t>
      </w:r>
    </w:p>
    <w:p w:rsidR="0036377D" w:rsidRDefault="0036377D" w:rsidP="007A0C15">
      <w:pPr>
        <w:jc w:val="center"/>
        <w:rPr>
          <w:color w:val="999999"/>
        </w:rPr>
      </w:pPr>
    </w:p>
    <w:p w:rsidR="0036377D" w:rsidRDefault="00DB3EB6" w:rsidP="007A0C15">
      <w:pPr>
        <w:jc w:val="right"/>
        <w:rPr>
          <w:b/>
          <w:sz w:val="24"/>
          <w:szCs w:val="24"/>
        </w:rPr>
      </w:pPr>
      <w:r>
        <w:rPr>
          <w:b/>
          <w:sz w:val="24"/>
          <w:szCs w:val="24"/>
        </w:rPr>
        <w:t xml:space="preserve">Suzana </w:t>
      </w:r>
      <w:proofErr w:type="spellStart"/>
      <w:r w:rsidRPr="00DB3EB6">
        <w:rPr>
          <w:b/>
          <w:sz w:val="24"/>
          <w:szCs w:val="24"/>
        </w:rPr>
        <w:t>Habitzreuter</w:t>
      </w:r>
      <w:proofErr w:type="spellEnd"/>
      <w:r w:rsidRPr="00DB3EB6">
        <w:rPr>
          <w:b/>
          <w:sz w:val="24"/>
          <w:szCs w:val="24"/>
        </w:rPr>
        <w:t xml:space="preserve"> Muller</w:t>
      </w:r>
    </w:p>
    <w:p w:rsidR="0036377D" w:rsidRDefault="00DB3EB6" w:rsidP="007A0C15">
      <w:pPr>
        <w:jc w:val="right"/>
        <w:rPr>
          <w:b/>
          <w:i/>
          <w:sz w:val="24"/>
          <w:szCs w:val="24"/>
        </w:rPr>
      </w:pPr>
      <w:r>
        <w:rPr>
          <w:b/>
          <w:sz w:val="24"/>
          <w:szCs w:val="24"/>
        </w:rPr>
        <w:t xml:space="preserve">Universidade Regional de Blumenau </w:t>
      </w:r>
      <w:r w:rsidR="0036377D">
        <w:rPr>
          <w:b/>
          <w:sz w:val="24"/>
          <w:szCs w:val="24"/>
        </w:rPr>
        <w:t>(</w:t>
      </w:r>
      <w:r>
        <w:rPr>
          <w:b/>
          <w:sz w:val="24"/>
          <w:szCs w:val="24"/>
        </w:rPr>
        <w:t>FURB</w:t>
      </w:r>
      <w:r w:rsidR="0036377D">
        <w:rPr>
          <w:b/>
          <w:sz w:val="24"/>
          <w:szCs w:val="24"/>
        </w:rPr>
        <w:t>)</w:t>
      </w:r>
    </w:p>
    <w:p w:rsidR="0036377D" w:rsidRDefault="00C04F45" w:rsidP="007A0C15">
      <w:pPr>
        <w:jc w:val="right"/>
        <w:rPr>
          <w:b/>
          <w:sz w:val="24"/>
          <w:szCs w:val="24"/>
        </w:rPr>
      </w:pPr>
      <w:r>
        <w:rPr>
          <w:b/>
          <w:i/>
          <w:sz w:val="24"/>
          <w:szCs w:val="24"/>
        </w:rPr>
        <w:t>E</w:t>
      </w:r>
      <w:r w:rsidR="0036377D">
        <w:rPr>
          <w:b/>
          <w:i/>
          <w:sz w:val="24"/>
          <w:szCs w:val="24"/>
        </w:rPr>
        <w:t>-mail</w:t>
      </w:r>
      <w:r>
        <w:rPr>
          <w:b/>
          <w:i/>
          <w:sz w:val="24"/>
          <w:szCs w:val="24"/>
        </w:rPr>
        <w:t>:</w:t>
      </w:r>
      <w:r w:rsidR="00DB3EB6">
        <w:rPr>
          <w:b/>
          <w:i/>
          <w:sz w:val="24"/>
          <w:szCs w:val="24"/>
        </w:rPr>
        <w:t xml:space="preserve"> </w:t>
      </w:r>
      <w:r w:rsidR="00DB3EB6" w:rsidRPr="00DB3EB6">
        <w:rPr>
          <w:b/>
          <w:i/>
          <w:sz w:val="24"/>
          <w:szCs w:val="24"/>
        </w:rPr>
        <w:t>suzanahm2013@gmail.com</w:t>
      </w:r>
    </w:p>
    <w:p w:rsidR="0036377D" w:rsidRDefault="0036377D" w:rsidP="007A0C15">
      <w:pPr>
        <w:jc w:val="right"/>
        <w:rPr>
          <w:b/>
          <w:sz w:val="24"/>
          <w:szCs w:val="24"/>
        </w:rPr>
      </w:pPr>
    </w:p>
    <w:p w:rsidR="0036377D" w:rsidRDefault="00DB3EB6" w:rsidP="007A0C15">
      <w:pPr>
        <w:widowControl w:val="0"/>
        <w:jc w:val="right"/>
        <w:rPr>
          <w:b/>
          <w:sz w:val="24"/>
          <w:szCs w:val="24"/>
        </w:rPr>
      </w:pPr>
      <w:r>
        <w:rPr>
          <w:b/>
          <w:sz w:val="24"/>
          <w:szCs w:val="24"/>
        </w:rPr>
        <w:t xml:space="preserve">Marcia </w:t>
      </w:r>
      <w:proofErr w:type="spellStart"/>
      <w:r>
        <w:rPr>
          <w:b/>
          <w:sz w:val="24"/>
          <w:szCs w:val="24"/>
        </w:rPr>
        <w:t>Zanievicz</w:t>
      </w:r>
      <w:proofErr w:type="spellEnd"/>
      <w:r>
        <w:rPr>
          <w:b/>
          <w:sz w:val="24"/>
          <w:szCs w:val="24"/>
        </w:rPr>
        <w:t xml:space="preserve"> da Silva</w:t>
      </w:r>
    </w:p>
    <w:p w:rsidR="00DB3EB6" w:rsidRDefault="00DB3EB6" w:rsidP="007A0C15">
      <w:pPr>
        <w:jc w:val="right"/>
        <w:rPr>
          <w:b/>
          <w:i/>
          <w:sz w:val="24"/>
          <w:szCs w:val="24"/>
        </w:rPr>
      </w:pPr>
      <w:r>
        <w:rPr>
          <w:b/>
          <w:sz w:val="24"/>
          <w:szCs w:val="24"/>
        </w:rPr>
        <w:t>Universidade Regional de Blumenau (FURB)</w:t>
      </w:r>
    </w:p>
    <w:p w:rsidR="0036377D" w:rsidRDefault="00C04F45" w:rsidP="007A0C15">
      <w:pPr>
        <w:widowControl w:val="0"/>
        <w:jc w:val="right"/>
        <w:rPr>
          <w:b/>
          <w:sz w:val="24"/>
          <w:szCs w:val="24"/>
        </w:rPr>
      </w:pPr>
      <w:r>
        <w:rPr>
          <w:b/>
          <w:i/>
          <w:sz w:val="24"/>
          <w:szCs w:val="24"/>
        </w:rPr>
        <w:t>E</w:t>
      </w:r>
      <w:r w:rsidR="0036377D">
        <w:rPr>
          <w:b/>
          <w:i/>
          <w:sz w:val="24"/>
          <w:szCs w:val="24"/>
        </w:rPr>
        <w:t>-mail</w:t>
      </w:r>
      <w:r>
        <w:rPr>
          <w:b/>
          <w:i/>
          <w:sz w:val="24"/>
          <w:szCs w:val="24"/>
        </w:rPr>
        <w:t>:</w:t>
      </w:r>
      <w:r w:rsidR="00DB3EB6">
        <w:rPr>
          <w:b/>
          <w:i/>
          <w:sz w:val="24"/>
          <w:szCs w:val="24"/>
        </w:rPr>
        <w:t xml:space="preserve"> marciaza@gmail.com</w:t>
      </w:r>
    </w:p>
    <w:p w:rsidR="00DB3EB6" w:rsidRDefault="00DB3EB6" w:rsidP="007A0C15">
      <w:pPr>
        <w:jc w:val="right"/>
        <w:rPr>
          <w:b/>
          <w:sz w:val="24"/>
          <w:szCs w:val="24"/>
        </w:rPr>
      </w:pPr>
    </w:p>
    <w:p w:rsidR="00DB3EB6" w:rsidRDefault="00DB3EB6" w:rsidP="007A0C15">
      <w:pPr>
        <w:widowControl w:val="0"/>
        <w:jc w:val="right"/>
        <w:rPr>
          <w:b/>
          <w:sz w:val="24"/>
          <w:szCs w:val="24"/>
        </w:rPr>
      </w:pPr>
      <w:r>
        <w:rPr>
          <w:b/>
          <w:sz w:val="24"/>
          <w:szCs w:val="24"/>
        </w:rPr>
        <w:t>Mara Vogt</w:t>
      </w:r>
    </w:p>
    <w:p w:rsidR="00DB3EB6" w:rsidRDefault="00DB3EB6" w:rsidP="007A0C15">
      <w:pPr>
        <w:jc w:val="right"/>
        <w:rPr>
          <w:b/>
          <w:i/>
          <w:sz w:val="24"/>
          <w:szCs w:val="24"/>
        </w:rPr>
      </w:pPr>
      <w:r>
        <w:rPr>
          <w:b/>
          <w:sz w:val="24"/>
          <w:szCs w:val="24"/>
        </w:rPr>
        <w:t>Universidade Regional de Blumenau (FURB)</w:t>
      </w:r>
    </w:p>
    <w:p w:rsidR="00DB3EB6" w:rsidRDefault="00DB3EB6" w:rsidP="007A0C15">
      <w:pPr>
        <w:widowControl w:val="0"/>
        <w:jc w:val="right"/>
        <w:rPr>
          <w:b/>
          <w:sz w:val="24"/>
          <w:szCs w:val="24"/>
        </w:rPr>
      </w:pPr>
      <w:r>
        <w:rPr>
          <w:b/>
          <w:i/>
          <w:sz w:val="24"/>
          <w:szCs w:val="24"/>
        </w:rPr>
        <w:t>E-mail: maravogtcco@gmail.com</w:t>
      </w:r>
    </w:p>
    <w:p w:rsidR="0036377D" w:rsidRDefault="0036377D" w:rsidP="007A0C15">
      <w:pPr>
        <w:widowControl w:val="0"/>
        <w:jc w:val="center"/>
        <w:rPr>
          <w:b/>
          <w:color w:val="999999"/>
        </w:rPr>
      </w:pPr>
    </w:p>
    <w:p w:rsidR="00DB3EB6" w:rsidRDefault="00DB3EB6" w:rsidP="007A0C15">
      <w:pPr>
        <w:widowControl w:val="0"/>
        <w:jc w:val="center"/>
        <w:rPr>
          <w:b/>
          <w:color w:val="999999"/>
        </w:rPr>
      </w:pPr>
    </w:p>
    <w:p w:rsidR="00DB3EB6" w:rsidRDefault="00DB3EB6" w:rsidP="007A0C15">
      <w:pPr>
        <w:widowControl w:val="0"/>
        <w:jc w:val="center"/>
        <w:rPr>
          <w:b/>
          <w:color w:val="999999"/>
        </w:rPr>
      </w:pPr>
    </w:p>
    <w:p w:rsidR="00C04F45" w:rsidRDefault="0036377D" w:rsidP="007A0C15">
      <w:pPr>
        <w:widowControl w:val="0"/>
        <w:jc w:val="both"/>
        <w:rPr>
          <w:b/>
          <w:sz w:val="24"/>
          <w:szCs w:val="24"/>
        </w:rPr>
      </w:pPr>
      <w:r>
        <w:rPr>
          <w:b/>
          <w:sz w:val="24"/>
          <w:szCs w:val="24"/>
        </w:rPr>
        <w:t xml:space="preserve">Resumo </w:t>
      </w:r>
    </w:p>
    <w:p w:rsidR="00DB3EB6" w:rsidRPr="00DB3EB6" w:rsidRDefault="00DB3EB6" w:rsidP="007A0C15">
      <w:pPr>
        <w:widowControl w:val="0"/>
        <w:jc w:val="both"/>
        <w:rPr>
          <w:sz w:val="24"/>
          <w:szCs w:val="24"/>
        </w:rPr>
      </w:pPr>
      <w:r w:rsidRPr="00DB3EB6">
        <w:rPr>
          <w:sz w:val="24"/>
          <w:szCs w:val="24"/>
        </w:rPr>
        <w:t xml:space="preserve">Este estudo teve como objetivo avaliar a relação entre variáveis contingenciais e os processos de Gestão de Riscos em instituições financeiras. </w:t>
      </w:r>
      <w:r>
        <w:rPr>
          <w:sz w:val="24"/>
          <w:szCs w:val="24"/>
        </w:rPr>
        <w:t xml:space="preserve">Realizou-se </w:t>
      </w:r>
      <w:r w:rsidRPr="00DB3EB6">
        <w:rPr>
          <w:sz w:val="24"/>
          <w:szCs w:val="24"/>
        </w:rPr>
        <w:t xml:space="preserve">uma pesquisa </w:t>
      </w:r>
      <w:proofErr w:type="spellStart"/>
      <w:r w:rsidRPr="00DB3EB6">
        <w:rPr>
          <w:sz w:val="24"/>
          <w:szCs w:val="24"/>
        </w:rPr>
        <w:t>survey</w:t>
      </w:r>
      <w:proofErr w:type="spellEnd"/>
      <w:r w:rsidRPr="00DB3EB6">
        <w:rPr>
          <w:sz w:val="24"/>
          <w:szCs w:val="24"/>
        </w:rPr>
        <w:t>, descritiva e quantitativa. A coleta de dados foi realizada por meio de questionários encaminhados aos gerentes vinculados às agências bancárias brasileir</w:t>
      </w:r>
      <w:r>
        <w:rPr>
          <w:sz w:val="24"/>
          <w:szCs w:val="24"/>
        </w:rPr>
        <w:t>as</w:t>
      </w:r>
      <w:r w:rsidRPr="00DB3EB6">
        <w:rPr>
          <w:sz w:val="24"/>
          <w:szCs w:val="24"/>
        </w:rPr>
        <w:t xml:space="preserve">. A análise dos dados estabeleceu-se por meio de estatísticas descritivas, análise fatorial, correlação canônica e regressão linear múltipla. Os resultados apontaram que na variável ambiente, a principal dimensão com maior impacto no processo de gestão das instituições financeiras é a estabilidade do ambiente político, na variável estratégia tem-se o método de prestação de serviços, a variável tamanho foi mensurada pelo número de agências e de funcionários e a variável tecnologia mostrou que as instituições financeiras analisadas conseguem prever as mudanças tecnológicas no ambiente de sua organização, principalmente na dimensão tecnologia de transações. </w:t>
      </w:r>
      <w:r w:rsidR="00F60535">
        <w:rPr>
          <w:sz w:val="24"/>
          <w:szCs w:val="24"/>
        </w:rPr>
        <w:t xml:space="preserve">O </w:t>
      </w:r>
      <w:r w:rsidRPr="00DB3EB6">
        <w:rPr>
          <w:sz w:val="24"/>
          <w:szCs w:val="24"/>
        </w:rPr>
        <w:t xml:space="preserve">risco com maior probabilidade de ocorrência é o de crédito e os métodos de identificação de riscos são realizados por meio do levantamento de riscos. Quanto à resposta aos riscos, as medidas adotadas visam reduzir a probabilidade ou o impacto dos riscos, buscando investir em tecnologia. A comunicação dos riscos é realizada por meio de instrução aos funcionários sobre seus deveres e obrigações, por meio de reuniões, mensagens de correio eletrônico e manuais de políticas. Em suma, </w:t>
      </w:r>
      <w:r w:rsidR="00A6533A">
        <w:rPr>
          <w:sz w:val="24"/>
          <w:szCs w:val="24"/>
        </w:rPr>
        <w:t xml:space="preserve">é </w:t>
      </w:r>
      <w:r w:rsidRPr="00DB3EB6">
        <w:rPr>
          <w:sz w:val="24"/>
          <w:szCs w:val="24"/>
        </w:rPr>
        <w:t>a estratégia que define os tipos de riscos à que as instituições financeiras estão expostas, pois de acordo com a estratégia adotada, e em decorrência desta, as instituições financeiras são vulneráveis a um conjunto específico de riscos.</w:t>
      </w:r>
    </w:p>
    <w:p w:rsidR="0036377D" w:rsidRDefault="0036377D" w:rsidP="007A0C15">
      <w:pPr>
        <w:widowControl w:val="0"/>
        <w:rPr>
          <w:b/>
          <w:sz w:val="24"/>
          <w:szCs w:val="24"/>
        </w:rPr>
      </w:pPr>
    </w:p>
    <w:p w:rsidR="0036377D" w:rsidRDefault="0036377D" w:rsidP="007A0C15">
      <w:pPr>
        <w:widowControl w:val="0"/>
        <w:rPr>
          <w:sz w:val="24"/>
          <w:szCs w:val="24"/>
        </w:rPr>
      </w:pPr>
      <w:r>
        <w:rPr>
          <w:b/>
          <w:sz w:val="24"/>
          <w:szCs w:val="24"/>
        </w:rPr>
        <w:t xml:space="preserve">Palavras-chave: </w:t>
      </w:r>
      <w:r w:rsidR="00A6533A" w:rsidRPr="00A6533A">
        <w:rPr>
          <w:sz w:val="24"/>
          <w:szCs w:val="24"/>
        </w:rPr>
        <w:t>Riscos</w:t>
      </w:r>
      <w:r w:rsidR="00A6533A">
        <w:rPr>
          <w:sz w:val="24"/>
          <w:szCs w:val="24"/>
        </w:rPr>
        <w:t>;</w:t>
      </w:r>
      <w:r w:rsidR="00A6533A" w:rsidRPr="00A6533A">
        <w:rPr>
          <w:sz w:val="24"/>
          <w:szCs w:val="24"/>
        </w:rPr>
        <w:t xml:space="preserve"> Gestão de Riscos</w:t>
      </w:r>
      <w:r w:rsidR="00A6533A">
        <w:rPr>
          <w:sz w:val="24"/>
          <w:szCs w:val="24"/>
        </w:rPr>
        <w:t>;</w:t>
      </w:r>
      <w:r w:rsidR="00A6533A" w:rsidRPr="00A6533A">
        <w:rPr>
          <w:sz w:val="24"/>
          <w:szCs w:val="24"/>
        </w:rPr>
        <w:t xml:space="preserve"> Teoria Contingencial</w:t>
      </w:r>
      <w:r w:rsidR="00A6533A">
        <w:rPr>
          <w:sz w:val="24"/>
          <w:szCs w:val="24"/>
        </w:rPr>
        <w:t>;</w:t>
      </w:r>
      <w:r w:rsidR="00A6533A" w:rsidRPr="00A6533A">
        <w:rPr>
          <w:sz w:val="24"/>
          <w:szCs w:val="24"/>
        </w:rPr>
        <w:t xml:space="preserve"> Instituições Financeiras</w:t>
      </w:r>
      <w:r w:rsidR="00A6533A">
        <w:rPr>
          <w:sz w:val="24"/>
          <w:szCs w:val="24"/>
        </w:rPr>
        <w:t>.</w:t>
      </w:r>
    </w:p>
    <w:p w:rsidR="0036377D" w:rsidRDefault="0036377D" w:rsidP="007A0C15">
      <w:pPr>
        <w:widowControl w:val="0"/>
        <w:rPr>
          <w:sz w:val="24"/>
          <w:szCs w:val="24"/>
        </w:rPr>
      </w:pPr>
    </w:p>
    <w:p w:rsidR="0036377D" w:rsidRPr="0036377D" w:rsidRDefault="0036377D" w:rsidP="007A0C15">
      <w:pPr>
        <w:widowControl w:val="0"/>
        <w:rPr>
          <w:sz w:val="24"/>
          <w:szCs w:val="24"/>
        </w:rPr>
      </w:pPr>
      <w:r w:rsidRPr="00FF180F">
        <w:rPr>
          <w:b/>
          <w:sz w:val="24"/>
          <w:szCs w:val="24"/>
        </w:rPr>
        <w:t xml:space="preserve">Linha Temática: </w:t>
      </w:r>
      <w:r w:rsidR="00FF180F" w:rsidRPr="00FF180F">
        <w:rPr>
          <w:sz w:val="24"/>
          <w:szCs w:val="24"/>
        </w:rPr>
        <w:t>g) Gestão Estratégica (Planejamento e Controle Empresarial)</w:t>
      </w:r>
    </w:p>
    <w:p w:rsidR="007A0C15" w:rsidRDefault="007A0C15" w:rsidP="007A0C15">
      <w:pPr>
        <w:widowControl w:val="0"/>
      </w:pPr>
    </w:p>
    <w:p w:rsidR="003B0DF6" w:rsidRDefault="003B0DF6">
      <w:pPr>
        <w:suppressAutoHyphens w:val="0"/>
        <w:rPr>
          <w:b/>
          <w:sz w:val="24"/>
          <w:szCs w:val="24"/>
        </w:rPr>
      </w:pPr>
      <w:r>
        <w:rPr>
          <w:b/>
          <w:sz w:val="24"/>
          <w:szCs w:val="24"/>
        </w:rPr>
        <w:br w:type="page"/>
      </w:r>
    </w:p>
    <w:p w:rsidR="00E6136F" w:rsidRPr="00C04F45" w:rsidRDefault="001C328B" w:rsidP="007A0C15">
      <w:pPr>
        <w:widowControl w:val="0"/>
        <w:rPr>
          <w:b/>
          <w:sz w:val="24"/>
          <w:szCs w:val="24"/>
        </w:rPr>
      </w:pPr>
      <w:bookmarkStart w:id="0" w:name="_GoBack"/>
      <w:bookmarkEnd w:id="0"/>
      <w:r w:rsidRPr="00C04F45">
        <w:rPr>
          <w:b/>
          <w:sz w:val="24"/>
          <w:szCs w:val="24"/>
        </w:rPr>
        <w:lastRenderedPageBreak/>
        <w:t>1 Introdução</w:t>
      </w:r>
    </w:p>
    <w:p w:rsidR="008C479E" w:rsidRPr="008C479E" w:rsidRDefault="008C479E" w:rsidP="007A0C15">
      <w:pPr>
        <w:suppressAutoHyphens w:val="0"/>
        <w:ind w:firstLine="709"/>
        <w:jc w:val="both"/>
        <w:rPr>
          <w:sz w:val="24"/>
          <w:szCs w:val="22"/>
        </w:rPr>
      </w:pPr>
      <w:r w:rsidRPr="008C479E">
        <w:rPr>
          <w:sz w:val="24"/>
          <w:szCs w:val="22"/>
        </w:rPr>
        <w:t xml:space="preserve">Uma entidade corresponde a uma configuração de diferentes aspectos, onde observa-se o contexto externo (ambiente, concorrentes, tecnologias, economia) e características organizacionais internas, como estratégia, estrutura, cultura, processos, práticas e resultados </w:t>
      </w:r>
      <w:r w:rsidRPr="005635CB">
        <w:rPr>
          <w:sz w:val="24"/>
          <w:szCs w:val="22"/>
        </w:rPr>
        <w:t>(</w:t>
      </w:r>
      <w:proofErr w:type="spellStart"/>
      <w:r w:rsidR="005635CB" w:rsidRPr="005635CB">
        <w:rPr>
          <w:sz w:val="24"/>
          <w:szCs w:val="22"/>
        </w:rPr>
        <w:t>Donaldson</w:t>
      </w:r>
      <w:proofErr w:type="spellEnd"/>
      <w:r w:rsidR="009D2CB2" w:rsidRPr="005635CB">
        <w:rPr>
          <w:sz w:val="24"/>
          <w:szCs w:val="22"/>
        </w:rPr>
        <w:t xml:space="preserve">, 1999; </w:t>
      </w:r>
      <w:proofErr w:type="spellStart"/>
      <w:r w:rsidR="005635CB" w:rsidRPr="005635CB">
        <w:rPr>
          <w:sz w:val="24"/>
          <w:szCs w:val="22"/>
        </w:rPr>
        <w:t>Moores</w:t>
      </w:r>
      <w:proofErr w:type="spellEnd"/>
      <w:r w:rsidR="005635CB" w:rsidRPr="005635CB">
        <w:rPr>
          <w:sz w:val="24"/>
          <w:szCs w:val="22"/>
        </w:rPr>
        <w:t xml:space="preserve"> &amp; </w:t>
      </w:r>
      <w:proofErr w:type="spellStart"/>
      <w:r w:rsidR="005635CB" w:rsidRPr="005635CB">
        <w:rPr>
          <w:sz w:val="24"/>
          <w:szCs w:val="22"/>
        </w:rPr>
        <w:t>Yuen</w:t>
      </w:r>
      <w:proofErr w:type="spellEnd"/>
      <w:r w:rsidR="005635CB" w:rsidRPr="005635CB">
        <w:rPr>
          <w:sz w:val="24"/>
          <w:szCs w:val="22"/>
        </w:rPr>
        <w:t xml:space="preserve">, </w:t>
      </w:r>
      <w:r w:rsidRPr="005635CB">
        <w:rPr>
          <w:sz w:val="24"/>
          <w:szCs w:val="22"/>
        </w:rPr>
        <w:t>2001). A Teoria Contingencial contribui para analisar a estrutura d</w:t>
      </w:r>
      <w:r w:rsidR="00FD12D7" w:rsidRPr="005635CB">
        <w:rPr>
          <w:sz w:val="24"/>
          <w:szCs w:val="22"/>
        </w:rPr>
        <w:t>ess</w:t>
      </w:r>
      <w:r w:rsidRPr="005635CB">
        <w:rPr>
          <w:sz w:val="24"/>
          <w:szCs w:val="22"/>
        </w:rPr>
        <w:t>as organizações</w:t>
      </w:r>
      <w:r w:rsidR="009D2CB2" w:rsidRPr="005635CB">
        <w:rPr>
          <w:sz w:val="24"/>
          <w:szCs w:val="22"/>
        </w:rPr>
        <w:t>, que são</w:t>
      </w:r>
      <w:r w:rsidRPr="005635CB">
        <w:rPr>
          <w:sz w:val="24"/>
          <w:szCs w:val="22"/>
        </w:rPr>
        <w:t xml:space="preserve"> contingente</w:t>
      </w:r>
      <w:r w:rsidR="009D2CB2" w:rsidRPr="005635CB">
        <w:rPr>
          <w:sz w:val="24"/>
          <w:szCs w:val="22"/>
        </w:rPr>
        <w:t xml:space="preserve">s pois </w:t>
      </w:r>
      <w:r w:rsidRPr="005635CB">
        <w:rPr>
          <w:sz w:val="24"/>
          <w:szCs w:val="22"/>
        </w:rPr>
        <w:t>depende</w:t>
      </w:r>
      <w:r w:rsidR="009D2CB2" w:rsidRPr="005635CB">
        <w:rPr>
          <w:sz w:val="24"/>
          <w:szCs w:val="22"/>
        </w:rPr>
        <w:t>m</w:t>
      </w:r>
      <w:r w:rsidRPr="005635CB">
        <w:rPr>
          <w:sz w:val="24"/>
          <w:szCs w:val="22"/>
        </w:rPr>
        <w:t xml:space="preserve"> de diversos fatores, entre e</w:t>
      </w:r>
      <w:r w:rsidR="00F50C9B" w:rsidRPr="005635CB">
        <w:rPr>
          <w:sz w:val="24"/>
          <w:szCs w:val="22"/>
        </w:rPr>
        <w:t>st</w:t>
      </w:r>
      <w:r w:rsidRPr="005635CB">
        <w:rPr>
          <w:sz w:val="24"/>
          <w:szCs w:val="22"/>
        </w:rPr>
        <w:t>es</w:t>
      </w:r>
      <w:r w:rsidR="00F50C9B" w:rsidRPr="005635CB">
        <w:rPr>
          <w:sz w:val="24"/>
          <w:szCs w:val="22"/>
        </w:rPr>
        <w:t>,</w:t>
      </w:r>
      <w:r w:rsidRPr="005635CB">
        <w:rPr>
          <w:sz w:val="24"/>
          <w:szCs w:val="22"/>
        </w:rPr>
        <w:t xml:space="preserve"> externos e internos a entidade (</w:t>
      </w:r>
      <w:proofErr w:type="spellStart"/>
      <w:r w:rsidRPr="005635CB">
        <w:rPr>
          <w:sz w:val="24"/>
          <w:szCs w:val="22"/>
        </w:rPr>
        <w:t>D</w:t>
      </w:r>
      <w:r w:rsidR="005635CB" w:rsidRPr="005635CB">
        <w:rPr>
          <w:sz w:val="24"/>
          <w:szCs w:val="22"/>
        </w:rPr>
        <w:t>onaldson</w:t>
      </w:r>
      <w:proofErr w:type="spellEnd"/>
      <w:r w:rsidRPr="005635CB">
        <w:rPr>
          <w:sz w:val="24"/>
          <w:szCs w:val="22"/>
        </w:rPr>
        <w:t>, 2001).</w:t>
      </w:r>
    </w:p>
    <w:p w:rsidR="008C479E" w:rsidRPr="008C479E" w:rsidRDefault="008C479E" w:rsidP="009D2CB2">
      <w:pPr>
        <w:suppressAutoHyphens w:val="0"/>
        <w:ind w:firstLine="709"/>
        <w:jc w:val="both"/>
        <w:rPr>
          <w:sz w:val="24"/>
          <w:szCs w:val="22"/>
        </w:rPr>
      </w:pPr>
      <w:r w:rsidRPr="008C479E">
        <w:rPr>
          <w:sz w:val="24"/>
          <w:szCs w:val="22"/>
        </w:rPr>
        <w:t>As organizações preocupam-se com as variáveis que afetam o sistema de controle, buscando mitigar o impacto sobre as atividades organizacionais (</w:t>
      </w:r>
      <w:proofErr w:type="spellStart"/>
      <w:r w:rsidRPr="008C479E">
        <w:rPr>
          <w:sz w:val="24"/>
          <w:szCs w:val="22"/>
        </w:rPr>
        <w:t>H</w:t>
      </w:r>
      <w:r w:rsidR="005635CB" w:rsidRPr="008C479E">
        <w:rPr>
          <w:sz w:val="24"/>
          <w:szCs w:val="22"/>
        </w:rPr>
        <w:t>erath</w:t>
      </w:r>
      <w:proofErr w:type="spellEnd"/>
      <w:r w:rsidRPr="008C479E">
        <w:rPr>
          <w:sz w:val="24"/>
          <w:szCs w:val="22"/>
        </w:rPr>
        <w:t>, 2007), adapta</w:t>
      </w:r>
      <w:r w:rsidR="009D2CB2">
        <w:rPr>
          <w:sz w:val="24"/>
          <w:szCs w:val="22"/>
        </w:rPr>
        <w:t>ndo</w:t>
      </w:r>
      <w:r w:rsidRPr="008C479E">
        <w:rPr>
          <w:sz w:val="24"/>
          <w:szCs w:val="22"/>
        </w:rPr>
        <w:t xml:space="preserve"> às mudanças contingenciais (</w:t>
      </w:r>
      <w:proofErr w:type="spellStart"/>
      <w:r w:rsidRPr="008C479E">
        <w:rPr>
          <w:sz w:val="24"/>
          <w:szCs w:val="22"/>
        </w:rPr>
        <w:t>C</w:t>
      </w:r>
      <w:r w:rsidR="005635CB" w:rsidRPr="008C479E">
        <w:rPr>
          <w:sz w:val="24"/>
          <w:szCs w:val="22"/>
        </w:rPr>
        <w:t>henhall</w:t>
      </w:r>
      <w:proofErr w:type="spellEnd"/>
      <w:r w:rsidRPr="008C479E">
        <w:rPr>
          <w:sz w:val="24"/>
          <w:szCs w:val="22"/>
        </w:rPr>
        <w:t>, 2003). Na Teoria Contingencial, o ambiente é um dos fatores que determina o Sistema de Controle Gerencial (SCG) utilizado pelas organizações (</w:t>
      </w:r>
      <w:proofErr w:type="spellStart"/>
      <w:r w:rsidRPr="008C479E">
        <w:rPr>
          <w:sz w:val="24"/>
          <w:szCs w:val="22"/>
        </w:rPr>
        <w:t>K</w:t>
      </w:r>
      <w:r w:rsidR="005635CB" w:rsidRPr="008C479E">
        <w:rPr>
          <w:sz w:val="24"/>
          <w:szCs w:val="22"/>
        </w:rPr>
        <w:t>loot</w:t>
      </w:r>
      <w:proofErr w:type="spellEnd"/>
      <w:r w:rsidRPr="008C479E">
        <w:rPr>
          <w:sz w:val="24"/>
          <w:szCs w:val="22"/>
        </w:rPr>
        <w:t>, 1997).</w:t>
      </w:r>
      <w:r w:rsidR="009D2CB2">
        <w:rPr>
          <w:sz w:val="24"/>
          <w:szCs w:val="22"/>
        </w:rPr>
        <w:t xml:space="preserve"> Essa variável </w:t>
      </w:r>
      <w:r w:rsidRPr="008C479E">
        <w:rPr>
          <w:sz w:val="24"/>
          <w:szCs w:val="22"/>
        </w:rPr>
        <w:t>é composta pela totalidade de fatores físicos e sociais que são diretamente considerados na tomada de decisão dos indivíduos em uma organização (D</w:t>
      </w:r>
      <w:r w:rsidR="005635CB" w:rsidRPr="008C479E">
        <w:rPr>
          <w:sz w:val="24"/>
          <w:szCs w:val="22"/>
        </w:rPr>
        <w:t>uncan</w:t>
      </w:r>
      <w:r w:rsidRPr="008C479E">
        <w:rPr>
          <w:sz w:val="24"/>
          <w:szCs w:val="22"/>
        </w:rPr>
        <w:t xml:space="preserve">, 1972). </w:t>
      </w:r>
      <w:r w:rsidR="000F7084">
        <w:rPr>
          <w:sz w:val="24"/>
          <w:szCs w:val="22"/>
        </w:rPr>
        <w:t xml:space="preserve">Para </w:t>
      </w:r>
      <w:proofErr w:type="spellStart"/>
      <w:r w:rsidRPr="008C479E">
        <w:rPr>
          <w:sz w:val="24"/>
          <w:szCs w:val="22"/>
        </w:rPr>
        <w:t>Ewusi-Mensah</w:t>
      </w:r>
      <w:proofErr w:type="spellEnd"/>
      <w:r w:rsidRPr="008C479E">
        <w:rPr>
          <w:sz w:val="24"/>
          <w:szCs w:val="22"/>
        </w:rPr>
        <w:t xml:space="preserve"> (1981), o sucesso de uma organização depende de como o ambiente é percebido. No contexto das pesquisas sobre SCG, Gordon e </w:t>
      </w:r>
      <w:proofErr w:type="spellStart"/>
      <w:r w:rsidRPr="008C479E">
        <w:rPr>
          <w:sz w:val="24"/>
          <w:szCs w:val="22"/>
        </w:rPr>
        <w:t>Narayanan</w:t>
      </w:r>
      <w:proofErr w:type="spellEnd"/>
      <w:r w:rsidRPr="008C479E">
        <w:rPr>
          <w:sz w:val="24"/>
          <w:szCs w:val="22"/>
        </w:rPr>
        <w:t xml:space="preserve"> (1984), </w:t>
      </w:r>
      <w:proofErr w:type="spellStart"/>
      <w:r w:rsidRPr="008C479E">
        <w:rPr>
          <w:sz w:val="24"/>
          <w:szCs w:val="22"/>
        </w:rPr>
        <w:t>Chenhall</w:t>
      </w:r>
      <w:proofErr w:type="spellEnd"/>
      <w:r w:rsidRPr="008C479E">
        <w:rPr>
          <w:sz w:val="24"/>
          <w:szCs w:val="22"/>
        </w:rPr>
        <w:t xml:space="preserve"> e Morris (1986) e </w:t>
      </w:r>
      <w:proofErr w:type="spellStart"/>
      <w:r w:rsidRPr="008C479E">
        <w:rPr>
          <w:sz w:val="24"/>
          <w:szCs w:val="22"/>
        </w:rPr>
        <w:t>Gosselin</w:t>
      </w:r>
      <w:proofErr w:type="spellEnd"/>
      <w:r w:rsidRPr="008C479E">
        <w:rPr>
          <w:sz w:val="24"/>
          <w:szCs w:val="22"/>
        </w:rPr>
        <w:t xml:space="preserve"> (2011) consideram que a Incerteza Ambiental Percebida afeta a compreensão dos sistemas de mensuração de desempenho e controle gerencial, porém poucas pesquisas a relacionam com o sistema de Gerenciamento de Riscos Corporativos (GRC).</w:t>
      </w:r>
    </w:p>
    <w:p w:rsidR="008C479E" w:rsidRPr="008C479E" w:rsidRDefault="008C479E" w:rsidP="00F50C9B">
      <w:pPr>
        <w:suppressAutoHyphens w:val="0"/>
        <w:ind w:firstLine="709"/>
        <w:jc w:val="both"/>
        <w:rPr>
          <w:sz w:val="24"/>
          <w:szCs w:val="22"/>
        </w:rPr>
      </w:pPr>
      <w:r w:rsidRPr="008C479E">
        <w:rPr>
          <w:sz w:val="24"/>
          <w:szCs w:val="22"/>
        </w:rPr>
        <w:t>A estratégia corresponde a como a organização posiciona-se no mercado (P</w:t>
      </w:r>
      <w:r w:rsidR="005635CB" w:rsidRPr="008C479E">
        <w:rPr>
          <w:sz w:val="24"/>
          <w:szCs w:val="22"/>
        </w:rPr>
        <w:t>orter</w:t>
      </w:r>
      <w:r w:rsidRPr="008C479E">
        <w:rPr>
          <w:sz w:val="24"/>
          <w:szCs w:val="22"/>
        </w:rPr>
        <w:t>, 1994). Considerando-se que a postura estratégica de uma empresa pode afetar seu SCG (</w:t>
      </w:r>
      <w:r w:rsidR="005635CB" w:rsidRPr="008C479E">
        <w:rPr>
          <w:sz w:val="24"/>
          <w:szCs w:val="22"/>
        </w:rPr>
        <w:t>Ferreira</w:t>
      </w:r>
      <w:r w:rsidR="005635CB">
        <w:rPr>
          <w:sz w:val="24"/>
          <w:szCs w:val="22"/>
        </w:rPr>
        <w:t xml:space="preserve"> &amp;</w:t>
      </w:r>
      <w:r w:rsidR="005635CB" w:rsidRPr="008C479E">
        <w:rPr>
          <w:sz w:val="24"/>
          <w:szCs w:val="22"/>
        </w:rPr>
        <w:t xml:space="preserve"> </w:t>
      </w:r>
      <w:proofErr w:type="spellStart"/>
      <w:r w:rsidR="005635CB" w:rsidRPr="008C479E">
        <w:rPr>
          <w:sz w:val="24"/>
          <w:szCs w:val="22"/>
        </w:rPr>
        <w:t>Otley</w:t>
      </w:r>
      <w:proofErr w:type="spellEnd"/>
      <w:r w:rsidR="005635CB" w:rsidRPr="008C479E">
        <w:rPr>
          <w:sz w:val="24"/>
          <w:szCs w:val="22"/>
        </w:rPr>
        <w:t>, 2009</w:t>
      </w:r>
      <w:r w:rsidRPr="008C479E">
        <w:rPr>
          <w:sz w:val="24"/>
          <w:szCs w:val="22"/>
        </w:rPr>
        <w:t xml:space="preserve">; </w:t>
      </w:r>
      <w:proofErr w:type="spellStart"/>
      <w:r w:rsidRPr="008C479E">
        <w:rPr>
          <w:sz w:val="24"/>
          <w:szCs w:val="22"/>
        </w:rPr>
        <w:t>G</w:t>
      </w:r>
      <w:r w:rsidR="005635CB" w:rsidRPr="008C479E">
        <w:rPr>
          <w:sz w:val="24"/>
          <w:szCs w:val="22"/>
        </w:rPr>
        <w:t>osselin</w:t>
      </w:r>
      <w:proofErr w:type="spellEnd"/>
      <w:r w:rsidRPr="008C479E">
        <w:rPr>
          <w:sz w:val="24"/>
          <w:szCs w:val="22"/>
        </w:rPr>
        <w:t>, 2011), torna-se interessante observar sua interação com o sistema de GRC.</w:t>
      </w:r>
      <w:r w:rsidR="00F50C9B">
        <w:rPr>
          <w:sz w:val="24"/>
          <w:szCs w:val="22"/>
        </w:rPr>
        <w:t xml:space="preserve"> </w:t>
      </w:r>
      <w:r w:rsidRPr="008C479E">
        <w:rPr>
          <w:sz w:val="24"/>
          <w:szCs w:val="22"/>
        </w:rPr>
        <w:t>A tecnologia possui muitas definições no contexto de comportamento organizacional (</w:t>
      </w:r>
      <w:proofErr w:type="spellStart"/>
      <w:r w:rsidR="005635CB" w:rsidRPr="008C479E">
        <w:rPr>
          <w:sz w:val="24"/>
          <w:szCs w:val="22"/>
        </w:rPr>
        <w:t>Hammad</w:t>
      </w:r>
      <w:proofErr w:type="spellEnd"/>
      <w:r w:rsidR="005635CB">
        <w:rPr>
          <w:sz w:val="24"/>
          <w:szCs w:val="22"/>
        </w:rPr>
        <w:t>,</w:t>
      </w:r>
      <w:r w:rsidR="005635CB" w:rsidRPr="008C479E">
        <w:rPr>
          <w:sz w:val="24"/>
          <w:szCs w:val="22"/>
        </w:rPr>
        <w:t xml:space="preserve"> </w:t>
      </w:r>
      <w:proofErr w:type="spellStart"/>
      <w:r w:rsidR="005635CB" w:rsidRPr="008C479E">
        <w:rPr>
          <w:sz w:val="24"/>
          <w:szCs w:val="22"/>
        </w:rPr>
        <w:t>Jusoh</w:t>
      </w:r>
      <w:proofErr w:type="spellEnd"/>
      <w:r w:rsidR="005635CB">
        <w:rPr>
          <w:sz w:val="24"/>
          <w:szCs w:val="22"/>
        </w:rPr>
        <w:t xml:space="preserve"> &amp;</w:t>
      </w:r>
      <w:r w:rsidR="005635CB" w:rsidRPr="008C479E">
        <w:rPr>
          <w:sz w:val="24"/>
          <w:szCs w:val="22"/>
        </w:rPr>
        <w:t xml:space="preserve"> </w:t>
      </w:r>
      <w:proofErr w:type="spellStart"/>
      <w:r w:rsidR="005635CB" w:rsidRPr="008C479E">
        <w:rPr>
          <w:sz w:val="24"/>
          <w:szCs w:val="22"/>
        </w:rPr>
        <w:t>Oon</w:t>
      </w:r>
      <w:proofErr w:type="spellEnd"/>
      <w:r w:rsidRPr="008C479E">
        <w:rPr>
          <w:sz w:val="24"/>
          <w:szCs w:val="22"/>
        </w:rPr>
        <w:t xml:space="preserve">, 2010). </w:t>
      </w:r>
      <w:r w:rsidR="000F7084">
        <w:rPr>
          <w:sz w:val="24"/>
          <w:szCs w:val="22"/>
        </w:rPr>
        <w:t>Para</w:t>
      </w:r>
      <w:r w:rsidRPr="008C479E">
        <w:rPr>
          <w:sz w:val="24"/>
          <w:szCs w:val="22"/>
        </w:rPr>
        <w:t xml:space="preserve"> Woods (2009) e Arena, </w:t>
      </w:r>
      <w:proofErr w:type="spellStart"/>
      <w:r w:rsidRPr="008C479E">
        <w:rPr>
          <w:sz w:val="24"/>
          <w:szCs w:val="22"/>
        </w:rPr>
        <w:t>Arnaboldi</w:t>
      </w:r>
      <w:proofErr w:type="spellEnd"/>
      <w:r w:rsidRPr="008C479E">
        <w:rPr>
          <w:sz w:val="24"/>
          <w:szCs w:val="22"/>
        </w:rPr>
        <w:t xml:space="preserve"> e </w:t>
      </w:r>
      <w:proofErr w:type="spellStart"/>
      <w:r w:rsidRPr="008C479E">
        <w:rPr>
          <w:sz w:val="24"/>
          <w:szCs w:val="22"/>
        </w:rPr>
        <w:t>Azzone</w:t>
      </w:r>
      <w:proofErr w:type="spellEnd"/>
      <w:r w:rsidRPr="008C479E">
        <w:rPr>
          <w:sz w:val="24"/>
          <w:szCs w:val="22"/>
        </w:rPr>
        <w:t xml:space="preserve"> (2010), o sentido atribuído à GRC </w:t>
      </w:r>
      <w:r w:rsidR="000F7084">
        <w:rPr>
          <w:sz w:val="24"/>
          <w:szCs w:val="22"/>
        </w:rPr>
        <w:t xml:space="preserve">se </w:t>
      </w:r>
      <w:r w:rsidRPr="008C479E">
        <w:rPr>
          <w:sz w:val="24"/>
          <w:szCs w:val="22"/>
        </w:rPr>
        <w:t>difere</w:t>
      </w:r>
      <w:r w:rsidR="000F7084">
        <w:rPr>
          <w:sz w:val="24"/>
          <w:szCs w:val="22"/>
        </w:rPr>
        <w:t>,</w:t>
      </w:r>
      <w:r w:rsidRPr="008C479E">
        <w:rPr>
          <w:sz w:val="24"/>
          <w:szCs w:val="22"/>
        </w:rPr>
        <w:t xml:space="preserve"> depende</w:t>
      </w:r>
      <w:r w:rsidR="000F7084">
        <w:rPr>
          <w:sz w:val="24"/>
          <w:szCs w:val="22"/>
        </w:rPr>
        <w:t>ndo</w:t>
      </w:r>
      <w:r w:rsidRPr="008C479E">
        <w:rPr>
          <w:sz w:val="24"/>
          <w:szCs w:val="22"/>
        </w:rPr>
        <w:t xml:space="preserve"> da tecnologia de informação adotada. </w:t>
      </w:r>
    </w:p>
    <w:p w:rsidR="008C479E" w:rsidRPr="008C479E" w:rsidRDefault="00F50C9B" w:rsidP="007A0C15">
      <w:pPr>
        <w:suppressAutoHyphens w:val="0"/>
        <w:ind w:firstLine="709"/>
        <w:jc w:val="both"/>
        <w:rPr>
          <w:sz w:val="24"/>
          <w:szCs w:val="22"/>
        </w:rPr>
      </w:pPr>
      <w:r>
        <w:rPr>
          <w:sz w:val="24"/>
          <w:szCs w:val="22"/>
        </w:rPr>
        <w:t>Derivado do ambiente, a</w:t>
      </w:r>
      <w:r w:rsidR="008C479E" w:rsidRPr="008C479E">
        <w:rPr>
          <w:sz w:val="24"/>
          <w:szCs w:val="22"/>
        </w:rPr>
        <w:t>s fontes de risco podem afetar diversos aspectos e operações da organização (</w:t>
      </w:r>
      <w:r w:rsidR="005635CB" w:rsidRPr="008C479E">
        <w:rPr>
          <w:sz w:val="24"/>
          <w:szCs w:val="22"/>
        </w:rPr>
        <w:t>Berry</w:t>
      </w:r>
      <w:r w:rsidR="005635CB">
        <w:rPr>
          <w:sz w:val="24"/>
          <w:szCs w:val="22"/>
        </w:rPr>
        <w:t xml:space="preserve"> &amp;</w:t>
      </w:r>
      <w:r w:rsidR="005635CB" w:rsidRPr="008C479E">
        <w:rPr>
          <w:sz w:val="24"/>
          <w:szCs w:val="22"/>
        </w:rPr>
        <w:t xml:space="preserve"> Phillips</w:t>
      </w:r>
      <w:r w:rsidR="008C479E" w:rsidRPr="008C479E">
        <w:rPr>
          <w:sz w:val="24"/>
          <w:szCs w:val="22"/>
        </w:rPr>
        <w:t>, 1998). Por sua vez, o termo risco contêm inúmeras definições, sendo genérico e abrangente. Em um contexto positivista</w:t>
      </w:r>
      <w:r w:rsidR="009D2CB2">
        <w:rPr>
          <w:sz w:val="24"/>
          <w:szCs w:val="22"/>
        </w:rPr>
        <w:t xml:space="preserve"> o termo</w:t>
      </w:r>
      <w:r w:rsidR="008C479E" w:rsidRPr="008C479E">
        <w:rPr>
          <w:sz w:val="24"/>
          <w:szCs w:val="22"/>
        </w:rPr>
        <w:t xml:space="preserve"> é considerando concreto e mensurável, </w:t>
      </w:r>
      <w:r w:rsidR="009D2CB2">
        <w:rPr>
          <w:sz w:val="24"/>
          <w:szCs w:val="22"/>
        </w:rPr>
        <w:t>contudo</w:t>
      </w:r>
      <w:r w:rsidR="008C479E" w:rsidRPr="008C479E">
        <w:rPr>
          <w:sz w:val="24"/>
          <w:szCs w:val="22"/>
        </w:rPr>
        <w:t xml:space="preserve"> sob aspecto construtivista, significa uma expressão de incerteza e está atrelado a uma perspectiva cultural (</w:t>
      </w:r>
      <w:proofErr w:type="spellStart"/>
      <w:r w:rsidR="005635CB" w:rsidRPr="008C479E">
        <w:rPr>
          <w:sz w:val="24"/>
          <w:szCs w:val="22"/>
        </w:rPr>
        <w:t>Renn</w:t>
      </w:r>
      <w:proofErr w:type="spellEnd"/>
      <w:r w:rsidR="008C479E" w:rsidRPr="008C479E">
        <w:rPr>
          <w:sz w:val="24"/>
          <w:szCs w:val="22"/>
        </w:rPr>
        <w:t>, 1992).</w:t>
      </w:r>
    </w:p>
    <w:p w:rsidR="008C479E" w:rsidRPr="008C479E" w:rsidRDefault="008C479E" w:rsidP="007A0C15">
      <w:pPr>
        <w:suppressAutoHyphens w:val="0"/>
        <w:ind w:firstLine="709"/>
        <w:jc w:val="both"/>
        <w:rPr>
          <w:sz w:val="24"/>
          <w:szCs w:val="22"/>
        </w:rPr>
      </w:pPr>
      <w:r w:rsidRPr="008C479E">
        <w:rPr>
          <w:sz w:val="24"/>
          <w:szCs w:val="22"/>
        </w:rPr>
        <w:t xml:space="preserve">O risco é </w:t>
      </w:r>
      <w:r w:rsidR="00782050">
        <w:rPr>
          <w:sz w:val="24"/>
          <w:szCs w:val="22"/>
        </w:rPr>
        <w:t>visto por</w:t>
      </w:r>
      <w:r w:rsidRPr="008C479E">
        <w:rPr>
          <w:sz w:val="24"/>
          <w:szCs w:val="22"/>
        </w:rPr>
        <w:t xml:space="preserve"> </w:t>
      </w:r>
      <w:proofErr w:type="spellStart"/>
      <w:r w:rsidRPr="008C479E">
        <w:rPr>
          <w:sz w:val="24"/>
          <w:szCs w:val="22"/>
        </w:rPr>
        <w:t>Renn</w:t>
      </w:r>
      <w:proofErr w:type="spellEnd"/>
      <w:r w:rsidRPr="008C479E">
        <w:rPr>
          <w:sz w:val="24"/>
          <w:szCs w:val="22"/>
        </w:rPr>
        <w:t xml:space="preserve"> (1992) como </w:t>
      </w:r>
      <w:r w:rsidR="00782050">
        <w:rPr>
          <w:sz w:val="24"/>
          <w:szCs w:val="22"/>
        </w:rPr>
        <w:t xml:space="preserve">algo </w:t>
      </w:r>
      <w:r w:rsidRPr="008C479E">
        <w:rPr>
          <w:sz w:val="24"/>
          <w:szCs w:val="22"/>
        </w:rPr>
        <w:t>indesejável</w:t>
      </w:r>
      <w:r w:rsidR="00782050">
        <w:rPr>
          <w:sz w:val="24"/>
          <w:szCs w:val="22"/>
        </w:rPr>
        <w:t xml:space="preserve">, </w:t>
      </w:r>
      <w:r w:rsidRPr="008C479E">
        <w:rPr>
          <w:sz w:val="24"/>
          <w:szCs w:val="22"/>
        </w:rPr>
        <w:t xml:space="preserve">resultante de efeitos naturais ou por interferência humana. </w:t>
      </w:r>
      <w:r w:rsidR="00782050">
        <w:rPr>
          <w:sz w:val="24"/>
          <w:szCs w:val="22"/>
        </w:rPr>
        <w:t>P</w:t>
      </w:r>
      <w:r w:rsidRPr="008C479E">
        <w:rPr>
          <w:sz w:val="24"/>
          <w:szCs w:val="22"/>
        </w:rPr>
        <w:t xml:space="preserve">ode </w:t>
      </w:r>
      <w:r w:rsidR="00782050">
        <w:rPr>
          <w:sz w:val="24"/>
          <w:szCs w:val="22"/>
        </w:rPr>
        <w:t xml:space="preserve">ainda </w:t>
      </w:r>
      <w:r w:rsidRPr="008C479E">
        <w:rPr>
          <w:sz w:val="24"/>
          <w:szCs w:val="22"/>
        </w:rPr>
        <w:t xml:space="preserve">ser conceituado como uma probabilidade de perigo, perda, prejuízo ou outras causas adversas, </w:t>
      </w:r>
      <w:r w:rsidR="00782050">
        <w:rPr>
          <w:sz w:val="24"/>
          <w:szCs w:val="22"/>
        </w:rPr>
        <w:t>sendo</w:t>
      </w:r>
      <w:r w:rsidRPr="008C479E">
        <w:rPr>
          <w:sz w:val="24"/>
          <w:szCs w:val="22"/>
        </w:rPr>
        <w:t xml:space="preserve"> expresso pela combinação das consequências de um evento e a probabilidade de sua concretização (</w:t>
      </w:r>
      <w:proofErr w:type="spellStart"/>
      <w:r w:rsidR="005635CB" w:rsidRPr="008C479E">
        <w:rPr>
          <w:sz w:val="24"/>
          <w:szCs w:val="22"/>
        </w:rPr>
        <w:t>Ferma</w:t>
      </w:r>
      <w:proofErr w:type="spellEnd"/>
      <w:r w:rsidRPr="008C479E">
        <w:rPr>
          <w:sz w:val="24"/>
          <w:szCs w:val="22"/>
        </w:rPr>
        <w:t xml:space="preserve">, 2002; </w:t>
      </w:r>
      <w:proofErr w:type="spellStart"/>
      <w:r w:rsidR="005635CB" w:rsidRPr="008C479E">
        <w:rPr>
          <w:sz w:val="24"/>
          <w:szCs w:val="22"/>
        </w:rPr>
        <w:t>Subramaniam</w:t>
      </w:r>
      <w:proofErr w:type="spellEnd"/>
      <w:r w:rsidR="005635CB">
        <w:rPr>
          <w:sz w:val="24"/>
          <w:szCs w:val="22"/>
        </w:rPr>
        <w:t>,</w:t>
      </w:r>
      <w:r w:rsidR="005635CB" w:rsidRPr="008C479E">
        <w:rPr>
          <w:sz w:val="24"/>
          <w:szCs w:val="22"/>
        </w:rPr>
        <w:t xml:space="preserve"> </w:t>
      </w:r>
      <w:proofErr w:type="spellStart"/>
      <w:r w:rsidR="005635CB" w:rsidRPr="008C479E">
        <w:rPr>
          <w:sz w:val="24"/>
          <w:szCs w:val="22"/>
        </w:rPr>
        <w:t>Collier</w:t>
      </w:r>
      <w:proofErr w:type="spellEnd"/>
      <w:r w:rsidR="005635CB">
        <w:rPr>
          <w:sz w:val="24"/>
          <w:szCs w:val="22"/>
        </w:rPr>
        <w:t xml:space="preserve"> &amp;</w:t>
      </w:r>
      <w:r w:rsidR="005635CB" w:rsidRPr="008C479E">
        <w:rPr>
          <w:sz w:val="24"/>
          <w:szCs w:val="22"/>
        </w:rPr>
        <w:t xml:space="preserve"> </w:t>
      </w:r>
      <w:proofErr w:type="spellStart"/>
      <w:r w:rsidR="005635CB" w:rsidRPr="008C479E">
        <w:rPr>
          <w:sz w:val="24"/>
          <w:szCs w:val="22"/>
        </w:rPr>
        <w:t>Phang</w:t>
      </w:r>
      <w:proofErr w:type="spellEnd"/>
      <w:r w:rsidRPr="008C479E">
        <w:rPr>
          <w:sz w:val="24"/>
          <w:szCs w:val="22"/>
        </w:rPr>
        <w:t xml:space="preserve">, 2011). </w:t>
      </w:r>
      <w:r w:rsidR="000F7084">
        <w:rPr>
          <w:sz w:val="24"/>
          <w:szCs w:val="22"/>
        </w:rPr>
        <w:t>Assim</w:t>
      </w:r>
      <w:r w:rsidRPr="008C479E">
        <w:rPr>
          <w:sz w:val="24"/>
          <w:szCs w:val="22"/>
        </w:rPr>
        <w:t>, a gestão de riscos é um artefato gerencial que tem sido objeto de estudos que buscam explorar um ambiente organizacional dinâmico (</w:t>
      </w:r>
      <w:r w:rsidR="005635CB" w:rsidRPr="008C479E">
        <w:rPr>
          <w:sz w:val="24"/>
          <w:szCs w:val="22"/>
        </w:rPr>
        <w:t>Gordon</w:t>
      </w:r>
      <w:r w:rsidR="005635CB">
        <w:rPr>
          <w:sz w:val="24"/>
          <w:szCs w:val="22"/>
        </w:rPr>
        <w:t>,</w:t>
      </w:r>
      <w:r w:rsidR="005635CB" w:rsidRPr="008C479E">
        <w:rPr>
          <w:sz w:val="24"/>
          <w:szCs w:val="22"/>
        </w:rPr>
        <w:t xml:space="preserve"> </w:t>
      </w:r>
      <w:proofErr w:type="spellStart"/>
      <w:r w:rsidR="005635CB" w:rsidRPr="008C479E">
        <w:rPr>
          <w:sz w:val="24"/>
          <w:szCs w:val="22"/>
        </w:rPr>
        <w:t>Loeb</w:t>
      </w:r>
      <w:proofErr w:type="spellEnd"/>
      <w:r w:rsidR="005635CB">
        <w:rPr>
          <w:sz w:val="24"/>
          <w:szCs w:val="22"/>
        </w:rPr>
        <w:t xml:space="preserve"> &amp;</w:t>
      </w:r>
      <w:r w:rsidR="005635CB" w:rsidRPr="008C479E">
        <w:rPr>
          <w:sz w:val="24"/>
          <w:szCs w:val="22"/>
        </w:rPr>
        <w:t xml:space="preserve"> </w:t>
      </w:r>
      <w:proofErr w:type="spellStart"/>
      <w:r w:rsidR="005635CB" w:rsidRPr="008C479E">
        <w:rPr>
          <w:sz w:val="24"/>
          <w:szCs w:val="22"/>
        </w:rPr>
        <w:t>Tseng</w:t>
      </w:r>
      <w:proofErr w:type="spellEnd"/>
      <w:r w:rsidRPr="008C479E">
        <w:rPr>
          <w:sz w:val="24"/>
          <w:szCs w:val="22"/>
        </w:rPr>
        <w:t>, 2009).</w:t>
      </w:r>
    </w:p>
    <w:p w:rsidR="008C479E" w:rsidRPr="008C479E" w:rsidRDefault="009D2CB2" w:rsidP="009D2CB2">
      <w:pPr>
        <w:suppressAutoHyphens w:val="0"/>
        <w:ind w:firstLine="709"/>
        <w:jc w:val="both"/>
        <w:rPr>
          <w:sz w:val="24"/>
          <w:szCs w:val="22"/>
        </w:rPr>
      </w:pPr>
      <w:r>
        <w:rPr>
          <w:sz w:val="24"/>
          <w:szCs w:val="22"/>
        </w:rPr>
        <w:t>Nesse sentido, o</w:t>
      </w:r>
      <w:r w:rsidR="008C479E" w:rsidRPr="008C479E">
        <w:rPr>
          <w:sz w:val="24"/>
          <w:szCs w:val="22"/>
        </w:rPr>
        <w:t xml:space="preserve"> processo de GRC busca identificar eventos que possam impactar a organização, com a finalidade de proporcionar segurança razoável para que a entidade maximize seus objetivos estratégicos, sem deixar de mitigar as incertezas e prevenindo resultados indesejados (</w:t>
      </w:r>
      <w:r w:rsidR="005635CB" w:rsidRPr="008C479E">
        <w:rPr>
          <w:sz w:val="24"/>
          <w:szCs w:val="22"/>
        </w:rPr>
        <w:t>Berry</w:t>
      </w:r>
      <w:r w:rsidR="005635CB">
        <w:rPr>
          <w:sz w:val="24"/>
          <w:szCs w:val="22"/>
        </w:rPr>
        <w:t xml:space="preserve"> &amp;</w:t>
      </w:r>
      <w:r w:rsidR="005635CB" w:rsidRPr="008C479E">
        <w:rPr>
          <w:sz w:val="24"/>
          <w:szCs w:val="22"/>
        </w:rPr>
        <w:t xml:space="preserve"> Phillips</w:t>
      </w:r>
      <w:r w:rsidR="008C479E" w:rsidRPr="008C479E">
        <w:rPr>
          <w:sz w:val="24"/>
          <w:szCs w:val="22"/>
        </w:rPr>
        <w:t xml:space="preserve">, 1998; </w:t>
      </w:r>
      <w:proofErr w:type="gramStart"/>
      <w:r w:rsidR="005635CB" w:rsidRPr="008C479E">
        <w:rPr>
          <w:sz w:val="24"/>
          <w:szCs w:val="22"/>
        </w:rPr>
        <w:t>Coso</w:t>
      </w:r>
      <w:proofErr w:type="gramEnd"/>
      <w:r w:rsidR="005635CB" w:rsidRPr="008C479E">
        <w:rPr>
          <w:sz w:val="24"/>
          <w:szCs w:val="22"/>
        </w:rPr>
        <w:t>,</w:t>
      </w:r>
      <w:r w:rsidR="008C479E" w:rsidRPr="008C479E">
        <w:rPr>
          <w:sz w:val="24"/>
          <w:szCs w:val="22"/>
        </w:rPr>
        <w:t xml:space="preserve"> 2007). </w:t>
      </w:r>
      <w:r>
        <w:rPr>
          <w:sz w:val="24"/>
          <w:szCs w:val="22"/>
        </w:rPr>
        <w:t xml:space="preserve">Entretanto, </w:t>
      </w:r>
      <w:r w:rsidR="008C479E" w:rsidRPr="008C479E">
        <w:rPr>
          <w:sz w:val="24"/>
          <w:szCs w:val="22"/>
        </w:rPr>
        <w:t>o sucesso de sua adoção depende do seu ajuste às variáveis contingenciais preconizadas pela Teoria Contingencial</w:t>
      </w:r>
      <w:r w:rsidR="00782050">
        <w:rPr>
          <w:sz w:val="24"/>
          <w:szCs w:val="22"/>
        </w:rPr>
        <w:t xml:space="preserve">. </w:t>
      </w:r>
      <w:r w:rsidR="005B19AD">
        <w:rPr>
          <w:sz w:val="24"/>
          <w:szCs w:val="22"/>
        </w:rPr>
        <w:t>P</w:t>
      </w:r>
      <w:r w:rsidR="008C479E" w:rsidRPr="008C479E">
        <w:rPr>
          <w:sz w:val="24"/>
          <w:szCs w:val="22"/>
        </w:rPr>
        <w:t>resume-se que observá-las no contexto de organizações específicas pode contribuir para compreensão de sua funcionalidade na prática (</w:t>
      </w:r>
      <w:proofErr w:type="spellStart"/>
      <w:r w:rsidR="008C479E" w:rsidRPr="008C479E">
        <w:rPr>
          <w:sz w:val="24"/>
          <w:szCs w:val="22"/>
        </w:rPr>
        <w:t>C</w:t>
      </w:r>
      <w:r w:rsidR="005635CB" w:rsidRPr="008C479E">
        <w:rPr>
          <w:sz w:val="24"/>
          <w:szCs w:val="22"/>
        </w:rPr>
        <w:t>henhall</w:t>
      </w:r>
      <w:proofErr w:type="spellEnd"/>
      <w:r w:rsidR="008C479E" w:rsidRPr="008C479E">
        <w:rPr>
          <w:sz w:val="24"/>
          <w:szCs w:val="22"/>
        </w:rPr>
        <w:t>, 2003).</w:t>
      </w:r>
    </w:p>
    <w:p w:rsidR="008C479E" w:rsidRPr="008C479E" w:rsidRDefault="009D2CB2" w:rsidP="009D2CB2">
      <w:pPr>
        <w:suppressAutoHyphens w:val="0"/>
        <w:ind w:firstLine="708"/>
        <w:jc w:val="both"/>
        <w:rPr>
          <w:sz w:val="24"/>
          <w:szCs w:val="22"/>
        </w:rPr>
      </w:pPr>
      <w:r>
        <w:rPr>
          <w:sz w:val="24"/>
          <w:szCs w:val="26"/>
        </w:rPr>
        <w:t>Vale ressaltar que a</w:t>
      </w:r>
      <w:r w:rsidR="008C479E" w:rsidRPr="008C479E">
        <w:rPr>
          <w:sz w:val="24"/>
          <w:szCs w:val="22"/>
        </w:rPr>
        <w:t xml:space="preserve"> GRC é fundamental para uma prática bancária prudente. Como os bancos estão inseridos em um ambiente volátil, enfrentam um considerável número de riscos que podem ameaçar sua sobrevivência e o sucesso, como risco de crédito, risco de liquidez, </w:t>
      </w:r>
      <w:r w:rsidR="008C479E" w:rsidRPr="008C479E">
        <w:rPr>
          <w:sz w:val="24"/>
          <w:szCs w:val="22"/>
        </w:rPr>
        <w:lastRenderedPageBreak/>
        <w:t>risco cambial, risco de mercado e risco de taxa de juros, entre outros (</w:t>
      </w:r>
      <w:r w:rsidR="005635CB" w:rsidRPr="008C479E">
        <w:rPr>
          <w:sz w:val="24"/>
          <w:szCs w:val="22"/>
        </w:rPr>
        <w:t>Al-</w:t>
      </w:r>
      <w:proofErr w:type="spellStart"/>
      <w:r w:rsidR="005635CB" w:rsidRPr="008C479E">
        <w:rPr>
          <w:sz w:val="24"/>
          <w:szCs w:val="22"/>
        </w:rPr>
        <w:t>Tamimi</w:t>
      </w:r>
      <w:proofErr w:type="spellEnd"/>
      <w:r w:rsidR="005635CB">
        <w:rPr>
          <w:sz w:val="24"/>
          <w:szCs w:val="22"/>
        </w:rPr>
        <w:t xml:space="preserve"> &amp;</w:t>
      </w:r>
      <w:r w:rsidR="008C479E" w:rsidRPr="008C479E">
        <w:rPr>
          <w:sz w:val="24"/>
          <w:szCs w:val="22"/>
        </w:rPr>
        <w:t xml:space="preserve"> </w:t>
      </w:r>
      <w:r w:rsidR="005635CB" w:rsidRPr="008C479E">
        <w:rPr>
          <w:sz w:val="24"/>
          <w:szCs w:val="22"/>
        </w:rPr>
        <w:t>Al-</w:t>
      </w:r>
      <w:proofErr w:type="spellStart"/>
      <w:r w:rsidR="005635CB" w:rsidRPr="008C479E">
        <w:rPr>
          <w:sz w:val="24"/>
          <w:szCs w:val="22"/>
        </w:rPr>
        <w:t>Mazrooel</w:t>
      </w:r>
      <w:proofErr w:type="spellEnd"/>
      <w:r w:rsidR="008C479E" w:rsidRPr="008C479E">
        <w:rPr>
          <w:sz w:val="24"/>
          <w:szCs w:val="22"/>
        </w:rPr>
        <w:t xml:space="preserve">, 2007). </w:t>
      </w:r>
      <w:r>
        <w:rPr>
          <w:sz w:val="24"/>
          <w:szCs w:val="22"/>
        </w:rPr>
        <w:t>Sendo assim</w:t>
      </w:r>
      <w:r w:rsidR="008C479E" w:rsidRPr="008C479E">
        <w:rPr>
          <w:sz w:val="24"/>
          <w:szCs w:val="22"/>
        </w:rPr>
        <w:t>, Carey (2001) indica que a GRC é importante no setor financeiro, pois o objetivo das instituições financeiras é maximizar as receitas e oferecer o maior valor para os acionistas</w:t>
      </w:r>
      <w:r w:rsidR="000F7084">
        <w:rPr>
          <w:sz w:val="24"/>
          <w:szCs w:val="22"/>
        </w:rPr>
        <w:t xml:space="preserve"> e</w:t>
      </w:r>
      <w:r w:rsidR="008C479E" w:rsidRPr="008C479E">
        <w:rPr>
          <w:sz w:val="24"/>
          <w:szCs w:val="22"/>
        </w:rPr>
        <w:t xml:space="preserve"> uma variedade de serviços financeiros. </w:t>
      </w:r>
      <w:r>
        <w:rPr>
          <w:sz w:val="24"/>
          <w:szCs w:val="22"/>
        </w:rPr>
        <w:t>Contudo, é preciso levar em consideração que a</w:t>
      </w:r>
      <w:r w:rsidR="008C479E" w:rsidRPr="008C479E">
        <w:rPr>
          <w:sz w:val="24"/>
          <w:szCs w:val="22"/>
        </w:rPr>
        <w:t xml:space="preserve"> descontinuidade das organizações está ligada ao fato de que em alguns casos, estas entidades limitam-se no que se refere à adaptação de mudanças (</w:t>
      </w:r>
      <w:proofErr w:type="spellStart"/>
      <w:r w:rsidR="005635CB" w:rsidRPr="008C479E">
        <w:rPr>
          <w:sz w:val="24"/>
          <w:szCs w:val="22"/>
        </w:rPr>
        <w:t>Frezatti</w:t>
      </w:r>
      <w:proofErr w:type="spellEnd"/>
      <w:r w:rsidR="005635CB">
        <w:rPr>
          <w:sz w:val="24"/>
          <w:szCs w:val="22"/>
        </w:rPr>
        <w:t>,</w:t>
      </w:r>
      <w:r w:rsidR="008C479E" w:rsidRPr="008C479E">
        <w:rPr>
          <w:sz w:val="24"/>
          <w:szCs w:val="22"/>
        </w:rPr>
        <w:t xml:space="preserve"> </w:t>
      </w:r>
      <w:r w:rsidR="005635CB" w:rsidRPr="005635CB">
        <w:rPr>
          <w:sz w:val="24"/>
          <w:szCs w:val="22"/>
        </w:rPr>
        <w:t>Rocha</w:t>
      </w:r>
      <w:r w:rsidR="005635CB">
        <w:rPr>
          <w:sz w:val="24"/>
          <w:szCs w:val="22"/>
        </w:rPr>
        <w:t>,</w:t>
      </w:r>
      <w:r w:rsidR="005635CB" w:rsidRPr="005635CB">
        <w:rPr>
          <w:sz w:val="24"/>
          <w:szCs w:val="22"/>
        </w:rPr>
        <w:t xml:space="preserve"> Nascimento</w:t>
      </w:r>
      <w:r w:rsidR="005635CB">
        <w:rPr>
          <w:sz w:val="24"/>
          <w:szCs w:val="22"/>
        </w:rPr>
        <w:t xml:space="preserve"> &amp; </w:t>
      </w:r>
      <w:r w:rsidR="005635CB" w:rsidRPr="005635CB">
        <w:rPr>
          <w:sz w:val="24"/>
          <w:szCs w:val="22"/>
        </w:rPr>
        <w:t>Junqueira</w:t>
      </w:r>
      <w:r w:rsidR="005635CB">
        <w:rPr>
          <w:sz w:val="24"/>
          <w:szCs w:val="22"/>
        </w:rPr>
        <w:t>,</w:t>
      </w:r>
      <w:r w:rsidR="005635CB" w:rsidRPr="005635CB">
        <w:rPr>
          <w:sz w:val="24"/>
          <w:szCs w:val="22"/>
        </w:rPr>
        <w:t xml:space="preserve"> </w:t>
      </w:r>
      <w:r w:rsidR="008C479E" w:rsidRPr="008C479E">
        <w:rPr>
          <w:sz w:val="24"/>
          <w:szCs w:val="22"/>
        </w:rPr>
        <w:t>2009).</w:t>
      </w:r>
    </w:p>
    <w:p w:rsidR="008C479E" w:rsidRPr="008C479E" w:rsidRDefault="008C479E" w:rsidP="007A0C15">
      <w:pPr>
        <w:suppressAutoHyphens w:val="0"/>
        <w:ind w:firstLine="708"/>
        <w:jc w:val="both"/>
        <w:rPr>
          <w:sz w:val="24"/>
          <w:szCs w:val="22"/>
        </w:rPr>
      </w:pPr>
      <w:r w:rsidRPr="008C479E">
        <w:rPr>
          <w:sz w:val="24"/>
          <w:szCs w:val="22"/>
        </w:rPr>
        <w:t xml:space="preserve">Para </w:t>
      </w:r>
      <w:proofErr w:type="spellStart"/>
      <w:r w:rsidRPr="008C479E">
        <w:rPr>
          <w:sz w:val="24"/>
          <w:szCs w:val="22"/>
        </w:rPr>
        <w:t>Quattrone</w:t>
      </w:r>
      <w:proofErr w:type="spellEnd"/>
      <w:r w:rsidRPr="008C479E">
        <w:rPr>
          <w:sz w:val="24"/>
          <w:szCs w:val="22"/>
        </w:rPr>
        <w:t xml:space="preserve"> e Hopper (2005), a Teoria Contingencial combina os sistemas de controle com o contexto em que a organização está inserida, o que conforme </w:t>
      </w:r>
      <w:proofErr w:type="spellStart"/>
      <w:r w:rsidRPr="008C479E">
        <w:rPr>
          <w:sz w:val="24"/>
          <w:szCs w:val="22"/>
        </w:rPr>
        <w:t>Widener</w:t>
      </w:r>
      <w:proofErr w:type="spellEnd"/>
      <w:r w:rsidRPr="008C479E">
        <w:rPr>
          <w:sz w:val="24"/>
          <w:szCs w:val="22"/>
        </w:rPr>
        <w:t xml:space="preserve"> (2007) leva à necessidade de compreender melhor o papel dos SCG e como eles podem melhor atender as necessidades de gestão. Para Berry e Phillips (1998), o Gerenciamento dos Riscos Corporativos pode evitar resultados indesejáveis e torna-se um artefato para mitigar as incertezas. Corroborando com esta perspectiva, Gordon</w:t>
      </w:r>
      <w:r w:rsidR="005635CB">
        <w:rPr>
          <w:sz w:val="24"/>
          <w:szCs w:val="22"/>
        </w:rPr>
        <w:t xml:space="preserve"> </w:t>
      </w:r>
      <w:r w:rsidR="005635CB" w:rsidRPr="005635CB">
        <w:rPr>
          <w:i/>
          <w:sz w:val="24"/>
          <w:szCs w:val="22"/>
        </w:rPr>
        <w:t>et al.</w:t>
      </w:r>
      <w:r w:rsidR="005635CB">
        <w:rPr>
          <w:sz w:val="24"/>
          <w:szCs w:val="22"/>
        </w:rPr>
        <w:t xml:space="preserve"> </w:t>
      </w:r>
      <w:r w:rsidRPr="008C479E">
        <w:rPr>
          <w:sz w:val="24"/>
          <w:szCs w:val="22"/>
        </w:rPr>
        <w:t>(2009) mencionam que a GRC é um SCG que contribui para a eficiência das operações, uma vez que tem por finalidade detectar e gerir eventos futuros incertos. Assim, o uso de artefatos derivados da GRC pode mitigar impactos de acontecimentos futuros negativos à organização.</w:t>
      </w:r>
    </w:p>
    <w:p w:rsidR="008C479E" w:rsidRPr="008C479E" w:rsidRDefault="008C479E" w:rsidP="007A0C15">
      <w:pPr>
        <w:suppressAutoHyphens w:val="0"/>
        <w:ind w:firstLine="708"/>
        <w:jc w:val="both"/>
        <w:rPr>
          <w:sz w:val="24"/>
          <w:szCs w:val="22"/>
        </w:rPr>
      </w:pPr>
      <w:r w:rsidRPr="008C479E">
        <w:rPr>
          <w:sz w:val="24"/>
          <w:szCs w:val="22"/>
        </w:rPr>
        <w:t xml:space="preserve">Conforme </w:t>
      </w:r>
      <w:proofErr w:type="spellStart"/>
      <w:r w:rsidRPr="008C479E">
        <w:rPr>
          <w:sz w:val="24"/>
          <w:szCs w:val="22"/>
        </w:rPr>
        <w:t>Chenhall</w:t>
      </w:r>
      <w:proofErr w:type="spellEnd"/>
      <w:r w:rsidRPr="008C479E">
        <w:rPr>
          <w:sz w:val="24"/>
          <w:szCs w:val="22"/>
        </w:rPr>
        <w:t xml:space="preserve"> (2003), a Teoria Contingencial aplicada nas investigações em torno do </w:t>
      </w:r>
      <w:r w:rsidR="005B19AD">
        <w:rPr>
          <w:sz w:val="24"/>
          <w:szCs w:val="22"/>
        </w:rPr>
        <w:t>SCG</w:t>
      </w:r>
      <w:r w:rsidRPr="008C479E">
        <w:rPr>
          <w:sz w:val="24"/>
          <w:szCs w:val="22"/>
        </w:rPr>
        <w:t>, tem por objetivo avaliar sua ocorrência por meio de algumas variáveis como ambiente, estratégia, tecnologia, entre outros. Logo, presume-se que a adequação da organização às variáveis define a eficácia da GRC como artefato do SCG, sendo esta suposição decorrente da base da Teoria Contingencial, em que não existe uma gestão universal que se aplique à todas as organizações de forma igualitária (</w:t>
      </w:r>
      <w:proofErr w:type="spellStart"/>
      <w:r w:rsidR="005635CB" w:rsidRPr="008C479E">
        <w:rPr>
          <w:sz w:val="24"/>
          <w:szCs w:val="22"/>
        </w:rPr>
        <w:t>Otley</w:t>
      </w:r>
      <w:proofErr w:type="spellEnd"/>
      <w:r w:rsidR="005635CB" w:rsidRPr="008C479E">
        <w:rPr>
          <w:sz w:val="24"/>
          <w:szCs w:val="22"/>
        </w:rPr>
        <w:t xml:space="preserve">, 1980; </w:t>
      </w:r>
      <w:proofErr w:type="spellStart"/>
      <w:r w:rsidR="005635CB" w:rsidRPr="008C479E">
        <w:rPr>
          <w:sz w:val="24"/>
          <w:szCs w:val="22"/>
        </w:rPr>
        <w:t>Chenhall</w:t>
      </w:r>
      <w:proofErr w:type="spellEnd"/>
      <w:r w:rsidRPr="008C479E">
        <w:rPr>
          <w:sz w:val="24"/>
          <w:szCs w:val="22"/>
        </w:rPr>
        <w:t>, 2003).</w:t>
      </w:r>
    </w:p>
    <w:p w:rsidR="008C479E" w:rsidRPr="008C479E" w:rsidRDefault="008C479E" w:rsidP="007A0C15">
      <w:pPr>
        <w:suppressAutoHyphens w:val="0"/>
        <w:ind w:firstLine="708"/>
        <w:jc w:val="both"/>
        <w:rPr>
          <w:sz w:val="24"/>
          <w:szCs w:val="22"/>
        </w:rPr>
      </w:pPr>
      <w:r w:rsidRPr="008C479E">
        <w:rPr>
          <w:sz w:val="24"/>
          <w:szCs w:val="22"/>
        </w:rPr>
        <w:t>Outro fator que evidencia as instituições financeiras como um setor pertinente ao estudo sobre GRC é quanto às variáveis contingenciais ambiente e estratégia, uma vez que organizações atuam sob eventos internos</w:t>
      </w:r>
      <w:r w:rsidR="000F7084">
        <w:rPr>
          <w:sz w:val="24"/>
          <w:szCs w:val="22"/>
        </w:rPr>
        <w:t>,</w:t>
      </w:r>
      <w:r w:rsidRPr="008C479E">
        <w:rPr>
          <w:sz w:val="24"/>
          <w:szCs w:val="22"/>
        </w:rPr>
        <w:t xml:space="preserve"> como deficiências de controles e processos, e eventos externos</w:t>
      </w:r>
      <w:r w:rsidR="000F7084">
        <w:rPr>
          <w:sz w:val="24"/>
          <w:szCs w:val="22"/>
        </w:rPr>
        <w:t>,</w:t>
      </w:r>
      <w:r w:rsidRPr="008C479E">
        <w:rPr>
          <w:sz w:val="24"/>
          <w:szCs w:val="22"/>
        </w:rPr>
        <w:t xml:space="preserve"> como a escolha de uma estratégia não condizente com o ambiente em que está inserida (</w:t>
      </w:r>
      <w:proofErr w:type="spellStart"/>
      <w:r w:rsidR="005635CB" w:rsidRPr="008C479E">
        <w:rPr>
          <w:sz w:val="24"/>
          <w:szCs w:val="22"/>
        </w:rPr>
        <w:t>Crouhy</w:t>
      </w:r>
      <w:proofErr w:type="spellEnd"/>
      <w:r w:rsidR="005635CB">
        <w:rPr>
          <w:sz w:val="24"/>
          <w:szCs w:val="22"/>
        </w:rPr>
        <w:t>,</w:t>
      </w:r>
      <w:r w:rsidR="005635CB" w:rsidRPr="008C479E">
        <w:rPr>
          <w:sz w:val="24"/>
          <w:szCs w:val="22"/>
        </w:rPr>
        <w:t xml:space="preserve"> Galai</w:t>
      </w:r>
      <w:r w:rsidR="005635CB">
        <w:rPr>
          <w:sz w:val="24"/>
          <w:szCs w:val="22"/>
        </w:rPr>
        <w:t xml:space="preserve"> &amp;</w:t>
      </w:r>
      <w:r w:rsidR="005635CB" w:rsidRPr="008C479E">
        <w:rPr>
          <w:sz w:val="24"/>
          <w:szCs w:val="22"/>
        </w:rPr>
        <w:t xml:space="preserve"> Mark, 2004; </w:t>
      </w:r>
      <w:proofErr w:type="spellStart"/>
      <w:r w:rsidR="005635CB" w:rsidRPr="008C479E">
        <w:rPr>
          <w:sz w:val="24"/>
          <w:szCs w:val="22"/>
        </w:rPr>
        <w:t>Trapp</w:t>
      </w:r>
      <w:proofErr w:type="spellEnd"/>
      <w:r w:rsidR="005635CB">
        <w:rPr>
          <w:sz w:val="24"/>
          <w:szCs w:val="22"/>
        </w:rPr>
        <w:t xml:space="preserve"> &amp;</w:t>
      </w:r>
      <w:r w:rsidR="005635CB" w:rsidRPr="008C479E">
        <w:rPr>
          <w:sz w:val="24"/>
          <w:szCs w:val="22"/>
        </w:rPr>
        <w:t xml:space="preserve"> </w:t>
      </w:r>
      <w:proofErr w:type="spellStart"/>
      <w:r w:rsidR="005635CB" w:rsidRPr="008C479E">
        <w:rPr>
          <w:sz w:val="24"/>
          <w:szCs w:val="22"/>
        </w:rPr>
        <w:t>Corrar</w:t>
      </w:r>
      <w:proofErr w:type="spellEnd"/>
      <w:r w:rsidRPr="008C479E">
        <w:rPr>
          <w:sz w:val="24"/>
          <w:szCs w:val="22"/>
        </w:rPr>
        <w:t xml:space="preserve">, 2005). </w:t>
      </w:r>
      <w:r w:rsidR="000F7084">
        <w:rPr>
          <w:sz w:val="24"/>
          <w:szCs w:val="22"/>
        </w:rPr>
        <w:t xml:space="preserve">Além disso, no que diz respeito a tecnologia, a </w:t>
      </w:r>
      <w:r w:rsidRPr="008C479E">
        <w:rPr>
          <w:sz w:val="24"/>
          <w:szCs w:val="22"/>
        </w:rPr>
        <w:t xml:space="preserve">qualidade dos processos de gestão de risco depende da sofisticação </w:t>
      </w:r>
      <w:r w:rsidR="000F7084">
        <w:rPr>
          <w:sz w:val="24"/>
          <w:szCs w:val="22"/>
        </w:rPr>
        <w:t xml:space="preserve">da tecnologia </w:t>
      </w:r>
      <w:r w:rsidRPr="008C479E">
        <w:rPr>
          <w:sz w:val="24"/>
          <w:szCs w:val="22"/>
        </w:rPr>
        <w:t>adotada (</w:t>
      </w:r>
      <w:r w:rsidR="005635CB" w:rsidRPr="008C479E">
        <w:rPr>
          <w:sz w:val="24"/>
          <w:szCs w:val="22"/>
        </w:rPr>
        <w:t>Woods</w:t>
      </w:r>
      <w:r w:rsidRPr="008C479E">
        <w:rPr>
          <w:sz w:val="24"/>
          <w:szCs w:val="22"/>
        </w:rPr>
        <w:t xml:space="preserve">, 2009; </w:t>
      </w:r>
      <w:r w:rsidR="005635CB" w:rsidRPr="008C479E">
        <w:rPr>
          <w:sz w:val="24"/>
          <w:szCs w:val="22"/>
        </w:rPr>
        <w:t>Arena</w:t>
      </w:r>
      <w:r w:rsidR="005635CB">
        <w:rPr>
          <w:sz w:val="24"/>
          <w:szCs w:val="22"/>
        </w:rPr>
        <w:t xml:space="preserve"> </w:t>
      </w:r>
      <w:r w:rsidR="005635CB" w:rsidRPr="005635CB">
        <w:rPr>
          <w:i/>
          <w:sz w:val="24"/>
          <w:szCs w:val="22"/>
        </w:rPr>
        <w:t>et al.</w:t>
      </w:r>
      <w:r w:rsidRPr="008C479E">
        <w:rPr>
          <w:sz w:val="24"/>
          <w:szCs w:val="22"/>
        </w:rPr>
        <w:t>, 2010).</w:t>
      </w:r>
    </w:p>
    <w:p w:rsidR="008C479E" w:rsidRDefault="008C479E" w:rsidP="007A0C15">
      <w:pPr>
        <w:suppressAutoHyphens w:val="0"/>
        <w:ind w:firstLine="708"/>
        <w:jc w:val="both"/>
        <w:rPr>
          <w:sz w:val="24"/>
          <w:szCs w:val="22"/>
        </w:rPr>
      </w:pPr>
      <w:r w:rsidRPr="008C479E">
        <w:rPr>
          <w:sz w:val="24"/>
          <w:szCs w:val="22"/>
        </w:rPr>
        <w:t xml:space="preserve">Estudos provindos do campo de SCG afirmam a necessidade de ampliar as pesquisas que envolvem a GRC, como Ferreira e </w:t>
      </w:r>
      <w:proofErr w:type="spellStart"/>
      <w:r w:rsidRPr="008C479E">
        <w:rPr>
          <w:sz w:val="24"/>
          <w:szCs w:val="22"/>
        </w:rPr>
        <w:t>Otley</w:t>
      </w:r>
      <w:proofErr w:type="spellEnd"/>
      <w:r w:rsidRPr="008C479E">
        <w:rPr>
          <w:sz w:val="24"/>
          <w:szCs w:val="22"/>
        </w:rPr>
        <w:t xml:space="preserve"> (2009), </w:t>
      </w:r>
      <w:proofErr w:type="spellStart"/>
      <w:r w:rsidRPr="008C479E">
        <w:rPr>
          <w:sz w:val="24"/>
          <w:szCs w:val="22"/>
        </w:rPr>
        <w:t>Bhimani</w:t>
      </w:r>
      <w:proofErr w:type="spellEnd"/>
      <w:r w:rsidRPr="008C479E">
        <w:rPr>
          <w:sz w:val="24"/>
          <w:szCs w:val="22"/>
        </w:rPr>
        <w:t xml:space="preserve"> (2009) e </w:t>
      </w:r>
      <w:proofErr w:type="spellStart"/>
      <w:r w:rsidRPr="008C479E">
        <w:rPr>
          <w:sz w:val="24"/>
          <w:szCs w:val="22"/>
        </w:rPr>
        <w:t>Soin</w:t>
      </w:r>
      <w:proofErr w:type="spellEnd"/>
      <w:r w:rsidRPr="008C479E">
        <w:rPr>
          <w:sz w:val="24"/>
          <w:szCs w:val="22"/>
        </w:rPr>
        <w:t xml:space="preserve"> e </w:t>
      </w:r>
      <w:proofErr w:type="spellStart"/>
      <w:r w:rsidRPr="008C479E">
        <w:rPr>
          <w:sz w:val="24"/>
          <w:szCs w:val="22"/>
        </w:rPr>
        <w:t>Collier</w:t>
      </w:r>
      <w:proofErr w:type="spellEnd"/>
      <w:r w:rsidRPr="008C479E">
        <w:rPr>
          <w:sz w:val="24"/>
          <w:szCs w:val="22"/>
        </w:rPr>
        <w:t xml:space="preserve"> (2013). A área de investigação em torno da relação entre variáveis </w:t>
      </w:r>
      <w:proofErr w:type="gramStart"/>
      <w:r w:rsidRPr="008C479E">
        <w:rPr>
          <w:sz w:val="24"/>
          <w:szCs w:val="22"/>
        </w:rPr>
        <w:t>contingencias</w:t>
      </w:r>
      <w:proofErr w:type="gramEnd"/>
      <w:r w:rsidRPr="008C479E">
        <w:rPr>
          <w:sz w:val="24"/>
          <w:szCs w:val="22"/>
        </w:rPr>
        <w:t xml:space="preserve"> e gestão de risco tem sido pouco explorada, podendo destacar as pesquisas de </w:t>
      </w:r>
      <w:proofErr w:type="spellStart"/>
      <w:r w:rsidRPr="008C479E">
        <w:rPr>
          <w:sz w:val="24"/>
          <w:szCs w:val="22"/>
        </w:rPr>
        <w:t>Smallman</w:t>
      </w:r>
      <w:proofErr w:type="spellEnd"/>
      <w:r w:rsidRPr="008C479E">
        <w:rPr>
          <w:sz w:val="24"/>
          <w:szCs w:val="22"/>
        </w:rPr>
        <w:t xml:space="preserve"> (1996), Al-</w:t>
      </w:r>
      <w:proofErr w:type="spellStart"/>
      <w:r w:rsidRPr="008C479E">
        <w:rPr>
          <w:sz w:val="24"/>
          <w:szCs w:val="22"/>
        </w:rPr>
        <w:t>Tamimi</w:t>
      </w:r>
      <w:proofErr w:type="spellEnd"/>
      <w:r w:rsidRPr="008C479E">
        <w:rPr>
          <w:sz w:val="24"/>
          <w:szCs w:val="22"/>
        </w:rPr>
        <w:t xml:space="preserve"> e Al-</w:t>
      </w:r>
      <w:proofErr w:type="spellStart"/>
      <w:r w:rsidRPr="008C479E">
        <w:rPr>
          <w:sz w:val="24"/>
          <w:szCs w:val="22"/>
        </w:rPr>
        <w:t>Mazrooei</w:t>
      </w:r>
      <w:proofErr w:type="spellEnd"/>
      <w:r w:rsidRPr="008C479E">
        <w:rPr>
          <w:sz w:val="24"/>
          <w:szCs w:val="22"/>
        </w:rPr>
        <w:t xml:space="preserve"> (2007), Gordon</w:t>
      </w:r>
      <w:r w:rsidR="005635CB">
        <w:rPr>
          <w:sz w:val="24"/>
          <w:szCs w:val="22"/>
        </w:rPr>
        <w:t xml:space="preserve"> </w:t>
      </w:r>
      <w:r w:rsidR="005635CB" w:rsidRPr="005635CB">
        <w:rPr>
          <w:i/>
          <w:sz w:val="24"/>
          <w:szCs w:val="22"/>
        </w:rPr>
        <w:t>et al.</w:t>
      </w:r>
      <w:r w:rsidRPr="008C479E">
        <w:rPr>
          <w:sz w:val="24"/>
          <w:szCs w:val="22"/>
        </w:rPr>
        <w:t xml:space="preserve"> (2009), Woods (2009), </w:t>
      </w:r>
      <w:proofErr w:type="spellStart"/>
      <w:r w:rsidRPr="008C479E">
        <w:rPr>
          <w:sz w:val="24"/>
          <w:szCs w:val="22"/>
        </w:rPr>
        <w:t>Collier</w:t>
      </w:r>
      <w:proofErr w:type="spellEnd"/>
      <w:r w:rsidRPr="008C479E">
        <w:rPr>
          <w:sz w:val="24"/>
          <w:szCs w:val="22"/>
        </w:rPr>
        <w:t xml:space="preserve"> e Woods (2011).</w:t>
      </w:r>
    </w:p>
    <w:p w:rsidR="008C479E" w:rsidRPr="008C479E" w:rsidRDefault="008C479E" w:rsidP="007A0C15">
      <w:pPr>
        <w:suppressAutoHyphens w:val="0"/>
        <w:ind w:firstLine="709"/>
        <w:jc w:val="both"/>
        <w:rPr>
          <w:sz w:val="24"/>
          <w:szCs w:val="24"/>
        </w:rPr>
      </w:pPr>
      <w:r w:rsidRPr="008C479E">
        <w:rPr>
          <w:sz w:val="24"/>
          <w:szCs w:val="24"/>
        </w:rPr>
        <w:t>Na literatura internacional são poucos os estudos localizados que abordam a Gestão de Riscos em instituições financeiras</w:t>
      </w:r>
      <w:r w:rsidR="00680EE8">
        <w:rPr>
          <w:sz w:val="24"/>
          <w:szCs w:val="24"/>
        </w:rPr>
        <w:t>,</w:t>
      </w:r>
      <w:r w:rsidRPr="008C479E">
        <w:rPr>
          <w:sz w:val="24"/>
          <w:szCs w:val="24"/>
        </w:rPr>
        <w:t xml:space="preserve"> destacam-se os estudos de Al-</w:t>
      </w:r>
      <w:proofErr w:type="spellStart"/>
      <w:r w:rsidRPr="008C479E">
        <w:rPr>
          <w:sz w:val="24"/>
          <w:szCs w:val="24"/>
        </w:rPr>
        <w:t>Tamimi</w:t>
      </w:r>
      <w:proofErr w:type="spellEnd"/>
      <w:r w:rsidRPr="008C479E">
        <w:rPr>
          <w:sz w:val="24"/>
          <w:szCs w:val="24"/>
        </w:rPr>
        <w:t xml:space="preserve"> e Al-</w:t>
      </w:r>
      <w:proofErr w:type="spellStart"/>
      <w:r w:rsidRPr="008C479E">
        <w:rPr>
          <w:sz w:val="24"/>
          <w:szCs w:val="24"/>
        </w:rPr>
        <w:t>Mazrooel</w:t>
      </w:r>
      <w:proofErr w:type="spellEnd"/>
      <w:r w:rsidRPr="008C479E">
        <w:rPr>
          <w:sz w:val="24"/>
          <w:szCs w:val="24"/>
        </w:rPr>
        <w:t xml:space="preserve"> (2007)</w:t>
      </w:r>
      <w:r w:rsidR="002F3BC9">
        <w:rPr>
          <w:sz w:val="24"/>
          <w:szCs w:val="24"/>
        </w:rPr>
        <w:t>,</w:t>
      </w:r>
      <w:r w:rsidRPr="008C479E">
        <w:rPr>
          <w:sz w:val="24"/>
          <w:szCs w:val="24"/>
        </w:rPr>
        <w:t xml:space="preserve"> </w:t>
      </w:r>
      <w:proofErr w:type="spellStart"/>
      <w:r w:rsidRPr="008C479E">
        <w:rPr>
          <w:sz w:val="24"/>
          <w:szCs w:val="24"/>
        </w:rPr>
        <w:t>Hussain</w:t>
      </w:r>
      <w:proofErr w:type="spellEnd"/>
      <w:r w:rsidRPr="008C479E">
        <w:rPr>
          <w:sz w:val="24"/>
          <w:szCs w:val="24"/>
        </w:rPr>
        <w:t xml:space="preserve"> e Al-</w:t>
      </w:r>
      <w:proofErr w:type="spellStart"/>
      <w:r w:rsidRPr="008C479E">
        <w:rPr>
          <w:sz w:val="24"/>
          <w:szCs w:val="24"/>
        </w:rPr>
        <w:t>Ajmi</w:t>
      </w:r>
      <w:proofErr w:type="spellEnd"/>
      <w:r w:rsidRPr="008C479E">
        <w:rPr>
          <w:sz w:val="24"/>
          <w:szCs w:val="24"/>
        </w:rPr>
        <w:t xml:space="preserve"> (2012). Na literatura nacional, também foram recuperados poucos estudos, podendo destacar Carvalho, </w:t>
      </w:r>
      <w:proofErr w:type="spellStart"/>
      <w:r w:rsidRPr="008C479E">
        <w:rPr>
          <w:sz w:val="24"/>
          <w:szCs w:val="24"/>
        </w:rPr>
        <w:t>Trapp</w:t>
      </w:r>
      <w:proofErr w:type="spellEnd"/>
      <w:r w:rsidRPr="008C479E">
        <w:rPr>
          <w:sz w:val="24"/>
          <w:szCs w:val="24"/>
        </w:rPr>
        <w:t xml:space="preserve"> e Chan (2004) e </w:t>
      </w:r>
      <w:proofErr w:type="spellStart"/>
      <w:r w:rsidRPr="008C479E">
        <w:rPr>
          <w:sz w:val="24"/>
          <w:szCs w:val="24"/>
        </w:rPr>
        <w:t>Trapp</w:t>
      </w:r>
      <w:proofErr w:type="spellEnd"/>
      <w:r w:rsidRPr="008C479E">
        <w:rPr>
          <w:sz w:val="24"/>
          <w:szCs w:val="24"/>
        </w:rPr>
        <w:t xml:space="preserve"> e </w:t>
      </w:r>
      <w:proofErr w:type="spellStart"/>
      <w:r w:rsidRPr="008C479E">
        <w:rPr>
          <w:sz w:val="24"/>
          <w:szCs w:val="24"/>
        </w:rPr>
        <w:t>Corrar</w:t>
      </w:r>
      <w:proofErr w:type="spellEnd"/>
      <w:r w:rsidRPr="008C479E">
        <w:rPr>
          <w:sz w:val="24"/>
          <w:szCs w:val="24"/>
        </w:rPr>
        <w:t xml:space="preserve"> (2005). Contudo, a revisão de literatura feita nas bases </w:t>
      </w:r>
      <w:proofErr w:type="spellStart"/>
      <w:r w:rsidRPr="008C479E">
        <w:rPr>
          <w:i/>
          <w:sz w:val="24"/>
          <w:szCs w:val="24"/>
        </w:rPr>
        <w:t>Scielo</w:t>
      </w:r>
      <w:proofErr w:type="spellEnd"/>
      <w:r w:rsidRPr="008C479E">
        <w:rPr>
          <w:sz w:val="24"/>
          <w:szCs w:val="24"/>
        </w:rPr>
        <w:t xml:space="preserve">, </w:t>
      </w:r>
      <w:proofErr w:type="spellStart"/>
      <w:r w:rsidRPr="008C479E">
        <w:rPr>
          <w:i/>
          <w:sz w:val="24"/>
          <w:szCs w:val="24"/>
        </w:rPr>
        <w:t>Scopus</w:t>
      </w:r>
      <w:proofErr w:type="spellEnd"/>
      <w:r w:rsidRPr="008C479E">
        <w:rPr>
          <w:sz w:val="24"/>
          <w:szCs w:val="24"/>
        </w:rPr>
        <w:t xml:space="preserve">, </w:t>
      </w:r>
      <w:r w:rsidRPr="008C479E">
        <w:rPr>
          <w:i/>
          <w:sz w:val="24"/>
          <w:szCs w:val="24"/>
        </w:rPr>
        <w:t xml:space="preserve">Science </w:t>
      </w:r>
      <w:proofErr w:type="spellStart"/>
      <w:r w:rsidRPr="008C479E">
        <w:rPr>
          <w:i/>
          <w:sz w:val="24"/>
          <w:szCs w:val="24"/>
        </w:rPr>
        <w:t>Direct</w:t>
      </w:r>
      <w:proofErr w:type="spellEnd"/>
      <w:r w:rsidRPr="008C479E">
        <w:rPr>
          <w:i/>
          <w:sz w:val="24"/>
          <w:szCs w:val="24"/>
        </w:rPr>
        <w:t xml:space="preserve"> </w:t>
      </w:r>
      <w:r w:rsidRPr="008C479E">
        <w:rPr>
          <w:sz w:val="24"/>
          <w:szCs w:val="24"/>
        </w:rPr>
        <w:t xml:space="preserve">e </w:t>
      </w:r>
      <w:r w:rsidRPr="008C479E">
        <w:rPr>
          <w:i/>
          <w:sz w:val="24"/>
          <w:szCs w:val="24"/>
        </w:rPr>
        <w:t>SPELL</w:t>
      </w:r>
      <w:r w:rsidRPr="008C479E">
        <w:rPr>
          <w:sz w:val="24"/>
          <w:szCs w:val="24"/>
        </w:rPr>
        <w:t>, utilizando periódicos nas áreas de contabilidade gerencial, gestão de risco e contabilidade, por meio de palavras-chave em português e inglês, não recuperou estudos envolvendo práticas da GRC em instituições financeiras sob ótica da Teoria Contingencial. Tal fato não corresponde à ideia de que os gestores deste setor não adotam tais práticas, mas sim, aponta uma possível lacuna de pesquisa em torno do tema.</w:t>
      </w:r>
    </w:p>
    <w:p w:rsidR="008C479E" w:rsidRPr="008C479E" w:rsidRDefault="008C479E" w:rsidP="007A0C15">
      <w:pPr>
        <w:suppressAutoHyphens w:val="0"/>
        <w:ind w:firstLine="709"/>
        <w:jc w:val="both"/>
        <w:rPr>
          <w:sz w:val="24"/>
          <w:szCs w:val="24"/>
        </w:rPr>
      </w:pPr>
      <w:r w:rsidRPr="008C479E">
        <w:rPr>
          <w:sz w:val="24"/>
          <w:szCs w:val="24"/>
        </w:rPr>
        <w:lastRenderedPageBreak/>
        <w:t xml:space="preserve">Entre os vários </w:t>
      </w:r>
      <w:proofErr w:type="spellStart"/>
      <w:r w:rsidRPr="008C479E">
        <w:rPr>
          <w:sz w:val="24"/>
          <w:szCs w:val="24"/>
        </w:rPr>
        <w:t>SCGs</w:t>
      </w:r>
      <w:proofErr w:type="spellEnd"/>
      <w:r w:rsidRPr="008C479E">
        <w:rPr>
          <w:sz w:val="24"/>
          <w:szCs w:val="24"/>
        </w:rPr>
        <w:t xml:space="preserve"> que podem ser adotados pelas organizações, destaca-se o sistema de GRC, que apesar de apresentar diversas pesquisas no campo organizacional, ainda possui lacunas de estudo. Conforme </w:t>
      </w:r>
      <w:proofErr w:type="spellStart"/>
      <w:r w:rsidRPr="008C479E">
        <w:rPr>
          <w:sz w:val="24"/>
          <w:szCs w:val="24"/>
        </w:rPr>
        <w:t>Beasley</w:t>
      </w:r>
      <w:proofErr w:type="spellEnd"/>
      <w:r w:rsidRPr="008C479E">
        <w:rPr>
          <w:sz w:val="24"/>
          <w:szCs w:val="24"/>
        </w:rPr>
        <w:t xml:space="preserve">, </w:t>
      </w:r>
      <w:proofErr w:type="spellStart"/>
      <w:r w:rsidRPr="008C479E">
        <w:rPr>
          <w:sz w:val="24"/>
          <w:szCs w:val="24"/>
        </w:rPr>
        <w:t>Clune</w:t>
      </w:r>
      <w:proofErr w:type="spellEnd"/>
      <w:r w:rsidRPr="008C479E">
        <w:rPr>
          <w:sz w:val="24"/>
          <w:szCs w:val="24"/>
        </w:rPr>
        <w:t xml:space="preserve"> e </w:t>
      </w:r>
      <w:proofErr w:type="spellStart"/>
      <w:r w:rsidRPr="008C479E">
        <w:rPr>
          <w:sz w:val="24"/>
          <w:szCs w:val="24"/>
        </w:rPr>
        <w:t>Hermanson</w:t>
      </w:r>
      <w:proofErr w:type="spellEnd"/>
      <w:r w:rsidRPr="008C479E">
        <w:rPr>
          <w:sz w:val="24"/>
          <w:szCs w:val="24"/>
        </w:rPr>
        <w:t xml:space="preserve"> (2005), é necessário compreender e investigar os motivos da adoção da GRC. Gordon</w:t>
      </w:r>
      <w:r w:rsidR="005635CB">
        <w:rPr>
          <w:sz w:val="24"/>
          <w:szCs w:val="24"/>
        </w:rPr>
        <w:t xml:space="preserve"> </w:t>
      </w:r>
      <w:r w:rsidR="005635CB" w:rsidRPr="005635CB">
        <w:rPr>
          <w:i/>
          <w:sz w:val="24"/>
          <w:szCs w:val="24"/>
        </w:rPr>
        <w:t>et al.</w:t>
      </w:r>
      <w:r w:rsidR="005635CB">
        <w:rPr>
          <w:sz w:val="24"/>
          <w:szCs w:val="24"/>
        </w:rPr>
        <w:t xml:space="preserve"> </w:t>
      </w:r>
      <w:r w:rsidRPr="008C479E">
        <w:rPr>
          <w:sz w:val="24"/>
          <w:szCs w:val="24"/>
        </w:rPr>
        <w:t xml:space="preserve">(2009) instigaram os pesquisadores a compreender o impacto de variáveis contingenciais na relação entre a GRC e o desempenho das organizações. </w:t>
      </w:r>
      <w:proofErr w:type="spellStart"/>
      <w:r w:rsidRPr="008C479E">
        <w:rPr>
          <w:sz w:val="24"/>
          <w:szCs w:val="24"/>
        </w:rPr>
        <w:t>Ching</w:t>
      </w:r>
      <w:proofErr w:type="spellEnd"/>
      <w:r w:rsidRPr="008C479E">
        <w:rPr>
          <w:sz w:val="24"/>
          <w:szCs w:val="24"/>
        </w:rPr>
        <w:t xml:space="preserve"> e Colombo (2012) sugerem averiguar a evolução da GRC nas empresas em países e setores específicos. Silva (2013) menciona o desenvolvimento de pesquisas que explorem a relação entre as tipologias estratégicas e os processos de controle de gestão de risco. Recentemente, </w:t>
      </w:r>
      <w:proofErr w:type="spellStart"/>
      <w:r w:rsidRPr="008C479E">
        <w:rPr>
          <w:sz w:val="24"/>
          <w:szCs w:val="24"/>
        </w:rPr>
        <w:t>Brighenti</w:t>
      </w:r>
      <w:proofErr w:type="spellEnd"/>
      <w:r w:rsidRPr="008C479E">
        <w:rPr>
          <w:sz w:val="24"/>
          <w:szCs w:val="24"/>
        </w:rPr>
        <w:t xml:space="preserve"> e Silva (2016), instigaram outras pesquisas a relacionar a Gestão de Riscos Corporativos com a estrutura organizacional.</w:t>
      </w:r>
    </w:p>
    <w:p w:rsidR="008C479E" w:rsidRPr="008C479E" w:rsidRDefault="008C479E" w:rsidP="009D2CB2">
      <w:pPr>
        <w:suppressAutoHyphens w:val="0"/>
        <w:ind w:firstLine="708"/>
        <w:jc w:val="both"/>
        <w:rPr>
          <w:sz w:val="24"/>
          <w:szCs w:val="22"/>
        </w:rPr>
      </w:pPr>
      <w:r w:rsidRPr="008C479E">
        <w:rPr>
          <w:sz w:val="24"/>
          <w:szCs w:val="22"/>
        </w:rPr>
        <w:t>Diante do exposto, percebe-se que no contexto do SCG a GRC tem como função gerenciar os riscos no âmbito organizacional, tendo em vista que as variáveis contingenciais podem influenciar o GRC e consequentemente afeta</w:t>
      </w:r>
      <w:r w:rsidR="009D2CB2">
        <w:rPr>
          <w:sz w:val="24"/>
          <w:szCs w:val="22"/>
        </w:rPr>
        <w:t>r</w:t>
      </w:r>
      <w:r w:rsidRPr="008C479E">
        <w:rPr>
          <w:sz w:val="24"/>
          <w:szCs w:val="22"/>
        </w:rPr>
        <w:t xml:space="preserve"> o gerenciamento dos riscos</w:t>
      </w:r>
      <w:r w:rsidR="009D2CB2">
        <w:rPr>
          <w:sz w:val="24"/>
          <w:szCs w:val="22"/>
        </w:rPr>
        <w:t>. Para tanto,</w:t>
      </w:r>
      <w:r w:rsidRPr="008C479E">
        <w:rPr>
          <w:sz w:val="24"/>
          <w:szCs w:val="22"/>
        </w:rPr>
        <w:t xml:space="preserve"> elaborou-se a seguinte questão de pesquisa: qual a relação entre as variáveis contingenciais ambiente, estratégia e tecnologia e os processos de gestão de riscos em instituições financeiras?</w:t>
      </w:r>
      <w:r>
        <w:rPr>
          <w:sz w:val="24"/>
          <w:szCs w:val="22"/>
        </w:rPr>
        <w:t xml:space="preserve"> </w:t>
      </w:r>
      <w:r w:rsidR="009D2CB2">
        <w:rPr>
          <w:sz w:val="24"/>
          <w:szCs w:val="22"/>
        </w:rPr>
        <w:t>Com vistas a responder ao problema da pesquisa</w:t>
      </w:r>
      <w:r>
        <w:rPr>
          <w:sz w:val="24"/>
          <w:szCs w:val="22"/>
        </w:rPr>
        <w:t>, o</w:t>
      </w:r>
      <w:r w:rsidRPr="008C479E">
        <w:rPr>
          <w:sz w:val="24"/>
          <w:szCs w:val="22"/>
        </w:rPr>
        <w:t xml:space="preserve"> objetivo deste estudo é verificar a relação entre variáveis contingenciais e os processos de Gestão de Riscos em instituições financeiras.</w:t>
      </w:r>
    </w:p>
    <w:p w:rsidR="008C479E" w:rsidRDefault="008C479E" w:rsidP="007A0C15">
      <w:pPr>
        <w:suppressAutoHyphens w:val="0"/>
        <w:ind w:firstLine="709"/>
        <w:jc w:val="both"/>
        <w:rPr>
          <w:sz w:val="24"/>
          <w:szCs w:val="24"/>
        </w:rPr>
      </w:pPr>
      <w:r w:rsidRPr="008C479E">
        <w:rPr>
          <w:sz w:val="24"/>
          <w:szCs w:val="24"/>
        </w:rPr>
        <w:t xml:space="preserve">A </w:t>
      </w:r>
      <w:r w:rsidR="005B19AD">
        <w:rPr>
          <w:sz w:val="24"/>
          <w:szCs w:val="24"/>
        </w:rPr>
        <w:t>r</w:t>
      </w:r>
      <w:r w:rsidRPr="008C479E">
        <w:rPr>
          <w:sz w:val="24"/>
          <w:szCs w:val="24"/>
        </w:rPr>
        <w:t>ealização d</w:t>
      </w:r>
      <w:r w:rsidR="005B19AD">
        <w:rPr>
          <w:sz w:val="24"/>
          <w:szCs w:val="24"/>
        </w:rPr>
        <w:t>o</w:t>
      </w:r>
      <w:r w:rsidRPr="008C479E">
        <w:rPr>
          <w:sz w:val="24"/>
          <w:szCs w:val="24"/>
        </w:rPr>
        <w:t xml:space="preserve"> estudo</w:t>
      </w:r>
      <w:r w:rsidR="005B19AD">
        <w:rPr>
          <w:sz w:val="24"/>
          <w:szCs w:val="24"/>
        </w:rPr>
        <w:t xml:space="preserve"> a partir da </w:t>
      </w:r>
      <w:r w:rsidRPr="008C479E">
        <w:rPr>
          <w:sz w:val="24"/>
          <w:szCs w:val="24"/>
        </w:rPr>
        <w:t>Teoria Contingencial</w:t>
      </w:r>
      <w:r w:rsidR="005B19AD">
        <w:rPr>
          <w:sz w:val="24"/>
          <w:szCs w:val="24"/>
        </w:rPr>
        <w:t>,</w:t>
      </w:r>
      <w:r w:rsidRPr="008C479E">
        <w:rPr>
          <w:sz w:val="24"/>
          <w:szCs w:val="24"/>
        </w:rPr>
        <w:t xml:space="preserve"> justifica-se pela premissa que o sucesso de uma organização depende da sua compreensão no ambiente em que está inserida (</w:t>
      </w:r>
      <w:proofErr w:type="spellStart"/>
      <w:r w:rsidR="005635CB" w:rsidRPr="008C479E">
        <w:rPr>
          <w:sz w:val="24"/>
          <w:szCs w:val="24"/>
        </w:rPr>
        <w:t>Ewusi-Mensah</w:t>
      </w:r>
      <w:proofErr w:type="spellEnd"/>
      <w:r w:rsidRPr="008C479E">
        <w:rPr>
          <w:sz w:val="24"/>
          <w:szCs w:val="24"/>
        </w:rPr>
        <w:t xml:space="preserve">, 1981) e os </w:t>
      </w:r>
      <w:proofErr w:type="spellStart"/>
      <w:r w:rsidRPr="008C479E">
        <w:rPr>
          <w:sz w:val="24"/>
          <w:szCs w:val="24"/>
        </w:rPr>
        <w:t>SCGs</w:t>
      </w:r>
      <w:proofErr w:type="spellEnd"/>
      <w:r w:rsidRPr="008C479E">
        <w:rPr>
          <w:sz w:val="24"/>
          <w:szCs w:val="24"/>
        </w:rPr>
        <w:t xml:space="preserve"> podem se tornar mais eficientes quando </w:t>
      </w:r>
      <w:r w:rsidR="005B19AD">
        <w:rPr>
          <w:sz w:val="24"/>
          <w:szCs w:val="24"/>
        </w:rPr>
        <w:t xml:space="preserve">conseguem </w:t>
      </w:r>
      <w:r w:rsidRPr="008C479E">
        <w:rPr>
          <w:sz w:val="24"/>
          <w:szCs w:val="24"/>
        </w:rPr>
        <w:t>responder a variáveis do ambiente (</w:t>
      </w:r>
      <w:proofErr w:type="spellStart"/>
      <w:r w:rsidR="005635CB" w:rsidRPr="008C479E">
        <w:rPr>
          <w:sz w:val="24"/>
          <w:szCs w:val="24"/>
        </w:rPr>
        <w:t>Govindarajan</w:t>
      </w:r>
      <w:proofErr w:type="spellEnd"/>
      <w:r w:rsidR="005635CB">
        <w:rPr>
          <w:sz w:val="24"/>
          <w:szCs w:val="24"/>
        </w:rPr>
        <w:t xml:space="preserve"> &amp;</w:t>
      </w:r>
      <w:r w:rsidR="005635CB" w:rsidRPr="008C479E">
        <w:rPr>
          <w:sz w:val="24"/>
          <w:szCs w:val="24"/>
        </w:rPr>
        <w:t xml:space="preserve"> Gupta</w:t>
      </w:r>
      <w:r w:rsidRPr="008C479E">
        <w:rPr>
          <w:sz w:val="24"/>
          <w:szCs w:val="24"/>
        </w:rPr>
        <w:t xml:space="preserve">, 1985; </w:t>
      </w:r>
      <w:proofErr w:type="spellStart"/>
      <w:r w:rsidR="005635CB" w:rsidRPr="008C479E">
        <w:rPr>
          <w:sz w:val="24"/>
          <w:szCs w:val="24"/>
        </w:rPr>
        <w:t>Chenhall</w:t>
      </w:r>
      <w:proofErr w:type="spellEnd"/>
      <w:r w:rsidR="005635CB">
        <w:rPr>
          <w:sz w:val="24"/>
          <w:szCs w:val="24"/>
        </w:rPr>
        <w:t xml:space="preserve"> &amp;</w:t>
      </w:r>
      <w:r w:rsidR="005635CB" w:rsidRPr="008C479E">
        <w:rPr>
          <w:sz w:val="24"/>
          <w:szCs w:val="24"/>
        </w:rPr>
        <w:t xml:space="preserve"> Morris</w:t>
      </w:r>
      <w:r w:rsidRPr="008C479E">
        <w:rPr>
          <w:sz w:val="24"/>
          <w:szCs w:val="24"/>
        </w:rPr>
        <w:t xml:space="preserve">, 1986; </w:t>
      </w:r>
      <w:proofErr w:type="spellStart"/>
      <w:r w:rsidR="005635CB" w:rsidRPr="008C479E">
        <w:rPr>
          <w:sz w:val="24"/>
          <w:szCs w:val="24"/>
        </w:rPr>
        <w:t>Gul</w:t>
      </w:r>
      <w:proofErr w:type="spellEnd"/>
      <w:r w:rsidR="005635CB">
        <w:rPr>
          <w:sz w:val="24"/>
          <w:szCs w:val="24"/>
        </w:rPr>
        <w:t xml:space="preserve"> &amp;</w:t>
      </w:r>
      <w:r w:rsidR="005635CB" w:rsidRPr="008C479E">
        <w:rPr>
          <w:sz w:val="24"/>
          <w:szCs w:val="24"/>
        </w:rPr>
        <w:t xml:space="preserve"> Chia, </w:t>
      </w:r>
      <w:r w:rsidRPr="008C479E">
        <w:rPr>
          <w:sz w:val="24"/>
          <w:szCs w:val="24"/>
        </w:rPr>
        <w:t xml:space="preserve">1994; </w:t>
      </w:r>
      <w:r w:rsidR="005635CB" w:rsidRPr="008C479E">
        <w:rPr>
          <w:sz w:val="24"/>
          <w:szCs w:val="24"/>
        </w:rPr>
        <w:t>Silva</w:t>
      </w:r>
      <w:r w:rsidRPr="008C479E">
        <w:rPr>
          <w:sz w:val="24"/>
          <w:szCs w:val="24"/>
        </w:rPr>
        <w:t xml:space="preserve">, 2013; </w:t>
      </w:r>
      <w:proofErr w:type="spellStart"/>
      <w:r w:rsidR="005635CB" w:rsidRPr="008C479E">
        <w:rPr>
          <w:sz w:val="24"/>
          <w:szCs w:val="24"/>
        </w:rPr>
        <w:t>Brighenti</w:t>
      </w:r>
      <w:proofErr w:type="spellEnd"/>
      <w:r w:rsidR="005635CB">
        <w:rPr>
          <w:sz w:val="24"/>
          <w:szCs w:val="24"/>
        </w:rPr>
        <w:t xml:space="preserve"> &amp;</w:t>
      </w:r>
      <w:r w:rsidR="005635CB" w:rsidRPr="008C479E">
        <w:rPr>
          <w:sz w:val="24"/>
          <w:szCs w:val="24"/>
        </w:rPr>
        <w:t xml:space="preserve"> Silva</w:t>
      </w:r>
      <w:r w:rsidRPr="008C479E">
        <w:rPr>
          <w:sz w:val="24"/>
          <w:szCs w:val="24"/>
        </w:rPr>
        <w:t xml:space="preserve">, 2016). </w:t>
      </w:r>
    </w:p>
    <w:p w:rsidR="004F2DEA" w:rsidRDefault="008C479E" w:rsidP="009D2CB2">
      <w:pPr>
        <w:suppressAutoHyphens w:val="0"/>
        <w:ind w:firstLine="709"/>
        <w:jc w:val="both"/>
        <w:rPr>
          <w:sz w:val="24"/>
          <w:szCs w:val="24"/>
        </w:rPr>
      </w:pPr>
      <w:r w:rsidRPr="008C479E">
        <w:rPr>
          <w:sz w:val="24"/>
          <w:szCs w:val="24"/>
        </w:rPr>
        <w:t>O enfoque do estudo em instituições financeiras justifica-se pela especificidade inerente a tais organizações, bem como ao elevado nível de risco. Como tais instituições estão inseridas em um ambiente volátil e de incertezas, precisam adotar mecanismos de proteção aos possíveis riscos existentes, para que tais incertezas não prejudiquem o seu desempenho. Nesse sentido, a gestão de riscos torna-se relevante para as atividades e negócios (</w:t>
      </w:r>
      <w:proofErr w:type="spellStart"/>
      <w:r w:rsidR="0032357D" w:rsidRPr="008C479E">
        <w:rPr>
          <w:sz w:val="24"/>
          <w:szCs w:val="24"/>
        </w:rPr>
        <w:t>Hoque</w:t>
      </w:r>
      <w:proofErr w:type="spellEnd"/>
      <w:r w:rsidRPr="008C479E">
        <w:rPr>
          <w:sz w:val="24"/>
          <w:szCs w:val="24"/>
        </w:rPr>
        <w:t>, 2004).</w:t>
      </w:r>
      <w:r w:rsidR="009D2CB2">
        <w:rPr>
          <w:sz w:val="24"/>
          <w:szCs w:val="24"/>
        </w:rPr>
        <w:t xml:space="preserve"> </w:t>
      </w:r>
    </w:p>
    <w:p w:rsidR="008C479E" w:rsidRPr="008C479E" w:rsidRDefault="008C479E" w:rsidP="009D2CB2">
      <w:pPr>
        <w:suppressAutoHyphens w:val="0"/>
        <w:ind w:firstLine="709"/>
        <w:jc w:val="both"/>
        <w:rPr>
          <w:sz w:val="24"/>
          <w:szCs w:val="24"/>
        </w:rPr>
      </w:pPr>
      <w:r w:rsidRPr="008C479E">
        <w:rPr>
          <w:sz w:val="24"/>
          <w:szCs w:val="24"/>
        </w:rPr>
        <w:t xml:space="preserve">Adicionalmente, </w:t>
      </w:r>
      <w:proofErr w:type="spellStart"/>
      <w:r w:rsidRPr="008C479E">
        <w:rPr>
          <w:sz w:val="24"/>
          <w:szCs w:val="24"/>
        </w:rPr>
        <w:t>Assi</w:t>
      </w:r>
      <w:proofErr w:type="spellEnd"/>
      <w:r w:rsidRPr="008C479E">
        <w:rPr>
          <w:sz w:val="24"/>
          <w:szCs w:val="24"/>
        </w:rPr>
        <w:t xml:space="preserve"> (2012) salienta que as instituições financeiras e as grandes corporações do mundo passaram por uma crise de credibilidade, que além de perdas financeiras, sofreram também com a diminuição da confiança de seus investidores. O autor ainda descreve que a gestão de riscos necessita de revisões periódicas, pois as perdas, os erros e as fraudes dificilmente vão acabar, mas podem ser minimizados.</w:t>
      </w:r>
      <w:r w:rsidR="009D2CB2">
        <w:rPr>
          <w:sz w:val="24"/>
          <w:szCs w:val="24"/>
        </w:rPr>
        <w:t xml:space="preserve"> Diante do exposto, a</w:t>
      </w:r>
      <w:r w:rsidRPr="008C479E">
        <w:rPr>
          <w:sz w:val="24"/>
          <w:szCs w:val="24"/>
        </w:rPr>
        <w:t xml:space="preserve"> não trivialidade deste estudo, refere-se principalmente em estudar as instituições financeiras, enquanto que grande parte das pesquisas excluem este setor econômico dos estudos. </w:t>
      </w:r>
    </w:p>
    <w:p w:rsidR="008C479E" w:rsidRDefault="009D2CB2" w:rsidP="003C1181">
      <w:pPr>
        <w:suppressAutoHyphens w:val="0"/>
        <w:ind w:firstLine="709"/>
        <w:jc w:val="both"/>
        <w:rPr>
          <w:sz w:val="24"/>
          <w:szCs w:val="24"/>
        </w:rPr>
      </w:pPr>
      <w:r>
        <w:rPr>
          <w:sz w:val="24"/>
          <w:szCs w:val="24"/>
        </w:rPr>
        <w:t xml:space="preserve">Como </w:t>
      </w:r>
      <w:r w:rsidR="008C479E" w:rsidRPr="008C479E">
        <w:rPr>
          <w:sz w:val="24"/>
          <w:szCs w:val="24"/>
        </w:rPr>
        <w:t>contribuição teórica desta pesquisa</w:t>
      </w:r>
      <w:r>
        <w:rPr>
          <w:sz w:val="24"/>
          <w:szCs w:val="24"/>
        </w:rPr>
        <w:t xml:space="preserve"> tem-se</w:t>
      </w:r>
      <w:r w:rsidR="008C479E" w:rsidRPr="008C479E">
        <w:rPr>
          <w:sz w:val="24"/>
          <w:szCs w:val="24"/>
        </w:rPr>
        <w:t xml:space="preserve"> </w:t>
      </w:r>
      <w:r>
        <w:rPr>
          <w:sz w:val="24"/>
          <w:szCs w:val="24"/>
        </w:rPr>
        <w:t xml:space="preserve">a </w:t>
      </w:r>
      <w:r w:rsidR="008C479E" w:rsidRPr="008C479E">
        <w:rPr>
          <w:sz w:val="24"/>
          <w:szCs w:val="24"/>
        </w:rPr>
        <w:t>avaliação das variáveis contingenciais, ambiente, estratégia</w:t>
      </w:r>
      <w:r>
        <w:rPr>
          <w:sz w:val="24"/>
          <w:szCs w:val="24"/>
        </w:rPr>
        <w:t xml:space="preserve"> </w:t>
      </w:r>
      <w:r w:rsidR="008C479E" w:rsidRPr="008C479E">
        <w:rPr>
          <w:sz w:val="24"/>
          <w:szCs w:val="24"/>
        </w:rPr>
        <w:t xml:space="preserve">e tecnologia, as quais fazem parte do cotidiano da gestão das organizações e são consideradas desafios, no que tange a compreensão e desenvolvimento do processo de GRC em instituições financeiras. Contribui </w:t>
      </w:r>
      <w:r w:rsidR="003C1181">
        <w:rPr>
          <w:sz w:val="24"/>
          <w:szCs w:val="24"/>
        </w:rPr>
        <w:t>também,</w:t>
      </w:r>
      <w:r w:rsidR="008C479E" w:rsidRPr="008C479E">
        <w:rPr>
          <w:sz w:val="24"/>
          <w:szCs w:val="24"/>
        </w:rPr>
        <w:t xml:space="preserve"> ao fornecer informações aos gestores das instituições financeiras sobre as variáveis contingenciais</w:t>
      </w:r>
      <w:r>
        <w:rPr>
          <w:sz w:val="24"/>
          <w:szCs w:val="24"/>
        </w:rPr>
        <w:t>,</w:t>
      </w:r>
      <w:r w:rsidR="008C479E" w:rsidRPr="008C479E">
        <w:rPr>
          <w:sz w:val="24"/>
          <w:szCs w:val="24"/>
        </w:rPr>
        <w:t xml:space="preserve"> as quais podem influenciar o processo de GRC, fazendo com que ocorra uma melhora na sua gestão e consequentemente melhores resultados para a</w:t>
      </w:r>
      <w:r>
        <w:rPr>
          <w:sz w:val="24"/>
          <w:szCs w:val="24"/>
        </w:rPr>
        <w:t>(s)</w:t>
      </w:r>
      <w:r w:rsidR="008C479E" w:rsidRPr="008C479E">
        <w:rPr>
          <w:sz w:val="24"/>
          <w:szCs w:val="24"/>
        </w:rPr>
        <w:t xml:space="preserve"> agência</w:t>
      </w:r>
      <w:r>
        <w:rPr>
          <w:sz w:val="24"/>
          <w:szCs w:val="24"/>
        </w:rPr>
        <w:t>(s)</w:t>
      </w:r>
      <w:r w:rsidR="008C479E" w:rsidRPr="008C479E">
        <w:rPr>
          <w:sz w:val="24"/>
          <w:szCs w:val="24"/>
        </w:rPr>
        <w:t xml:space="preserve">. </w:t>
      </w:r>
      <w:r w:rsidR="003C1181">
        <w:rPr>
          <w:sz w:val="24"/>
          <w:szCs w:val="24"/>
        </w:rPr>
        <w:t xml:space="preserve">Além disso, por buscar </w:t>
      </w:r>
      <w:r w:rsidR="008C479E" w:rsidRPr="008C479E">
        <w:rPr>
          <w:sz w:val="24"/>
          <w:szCs w:val="24"/>
        </w:rPr>
        <w:t xml:space="preserve">a compreensão do processo de GRC das instituições, </w:t>
      </w:r>
      <w:r w:rsidR="003C1181">
        <w:rPr>
          <w:sz w:val="24"/>
          <w:szCs w:val="24"/>
        </w:rPr>
        <w:t xml:space="preserve">destacando </w:t>
      </w:r>
      <w:r w:rsidR="008C479E" w:rsidRPr="008C479E">
        <w:rPr>
          <w:sz w:val="24"/>
          <w:szCs w:val="24"/>
        </w:rPr>
        <w:t>as variáveis contingenciais que sustentam o entendimento da sua relação com o processo de GRC em instituições financeiras</w:t>
      </w:r>
      <w:r w:rsidR="00056FC5">
        <w:rPr>
          <w:sz w:val="24"/>
          <w:szCs w:val="24"/>
        </w:rPr>
        <w:t xml:space="preserve">, auxiliando na </w:t>
      </w:r>
      <w:r w:rsidR="008C479E" w:rsidRPr="008C479E">
        <w:rPr>
          <w:sz w:val="24"/>
          <w:szCs w:val="24"/>
        </w:rPr>
        <w:t>tomada de decisão.</w:t>
      </w:r>
    </w:p>
    <w:p w:rsidR="008C479E" w:rsidRDefault="008C479E" w:rsidP="007A0C15">
      <w:pPr>
        <w:suppressAutoHyphens w:val="0"/>
        <w:jc w:val="both"/>
        <w:rPr>
          <w:sz w:val="24"/>
          <w:szCs w:val="24"/>
        </w:rPr>
      </w:pPr>
    </w:p>
    <w:p w:rsidR="00ED7A83" w:rsidRPr="008C479E" w:rsidRDefault="008C479E" w:rsidP="007A0C15">
      <w:pPr>
        <w:suppressAutoHyphens w:val="0"/>
        <w:jc w:val="both"/>
        <w:rPr>
          <w:b/>
          <w:sz w:val="24"/>
          <w:szCs w:val="24"/>
        </w:rPr>
      </w:pPr>
      <w:r w:rsidRPr="008C479E">
        <w:rPr>
          <w:b/>
          <w:sz w:val="24"/>
          <w:szCs w:val="24"/>
        </w:rPr>
        <w:lastRenderedPageBreak/>
        <w:t>2 Gestão de Riscos em uma Abordagem Contingencial</w:t>
      </w:r>
    </w:p>
    <w:p w:rsidR="0046295D" w:rsidRDefault="009D2CB2" w:rsidP="007A0C15">
      <w:pPr>
        <w:suppressAutoHyphens w:val="0"/>
        <w:ind w:firstLine="709"/>
        <w:jc w:val="both"/>
        <w:rPr>
          <w:sz w:val="24"/>
          <w:szCs w:val="22"/>
        </w:rPr>
      </w:pPr>
      <w:r>
        <w:rPr>
          <w:sz w:val="24"/>
          <w:szCs w:val="22"/>
        </w:rPr>
        <w:t xml:space="preserve">Levando em consideração todo o arcabouço teórico sobre a Gestão de Riscos e a Teoria Contingencial desenvolvida até o momento, essa seção irá sustentar hipóteses da pesquisa </w:t>
      </w:r>
      <w:proofErr w:type="gramStart"/>
      <w:r>
        <w:rPr>
          <w:sz w:val="24"/>
          <w:szCs w:val="22"/>
        </w:rPr>
        <w:t>à</w:t>
      </w:r>
      <w:proofErr w:type="gramEnd"/>
      <w:r>
        <w:rPr>
          <w:sz w:val="24"/>
          <w:szCs w:val="22"/>
        </w:rPr>
        <w:t xml:space="preserve"> serem testadas</w:t>
      </w:r>
      <w:r w:rsidR="0046295D">
        <w:rPr>
          <w:sz w:val="24"/>
          <w:szCs w:val="22"/>
        </w:rPr>
        <w:t>, com vistas a ampliar o conhecimento e não somente reapresentar estudos já desenvolvidos anteriormente</w:t>
      </w:r>
      <w:r>
        <w:rPr>
          <w:sz w:val="24"/>
          <w:szCs w:val="22"/>
        </w:rPr>
        <w:t xml:space="preserve">. </w:t>
      </w:r>
    </w:p>
    <w:p w:rsidR="0046295D" w:rsidRDefault="008C479E" w:rsidP="007A0C15">
      <w:pPr>
        <w:suppressAutoHyphens w:val="0"/>
        <w:ind w:firstLine="709"/>
        <w:jc w:val="both"/>
        <w:rPr>
          <w:sz w:val="24"/>
          <w:szCs w:val="22"/>
        </w:rPr>
      </w:pPr>
      <w:r w:rsidRPr="008C479E">
        <w:rPr>
          <w:sz w:val="24"/>
          <w:szCs w:val="22"/>
        </w:rPr>
        <w:t xml:space="preserve">As variáveis recorrentes da Teoria Contingencial </w:t>
      </w:r>
      <w:r w:rsidR="0046295D">
        <w:rPr>
          <w:sz w:val="24"/>
          <w:szCs w:val="22"/>
        </w:rPr>
        <w:t xml:space="preserve">e que serão testadas neste estudo </w:t>
      </w:r>
      <w:r w:rsidRPr="008C479E">
        <w:rPr>
          <w:sz w:val="24"/>
          <w:szCs w:val="22"/>
        </w:rPr>
        <w:t>incluem o ambiente (</w:t>
      </w:r>
      <w:proofErr w:type="spellStart"/>
      <w:r w:rsidRPr="008C479E">
        <w:rPr>
          <w:sz w:val="24"/>
          <w:szCs w:val="22"/>
        </w:rPr>
        <w:t>P</w:t>
      </w:r>
      <w:r w:rsidR="0007234D" w:rsidRPr="008C479E">
        <w:rPr>
          <w:sz w:val="24"/>
          <w:szCs w:val="22"/>
        </w:rPr>
        <w:t>errow</w:t>
      </w:r>
      <w:proofErr w:type="spellEnd"/>
      <w:r w:rsidRPr="008C479E">
        <w:rPr>
          <w:sz w:val="24"/>
          <w:szCs w:val="22"/>
        </w:rPr>
        <w:t xml:space="preserve">, 1967; </w:t>
      </w:r>
      <w:proofErr w:type="spellStart"/>
      <w:r w:rsidRPr="008C479E">
        <w:rPr>
          <w:sz w:val="24"/>
          <w:szCs w:val="22"/>
        </w:rPr>
        <w:t>G</w:t>
      </w:r>
      <w:r w:rsidR="0007234D" w:rsidRPr="008C479E">
        <w:rPr>
          <w:sz w:val="24"/>
          <w:szCs w:val="22"/>
        </w:rPr>
        <w:t>ovindarajan</w:t>
      </w:r>
      <w:proofErr w:type="spellEnd"/>
      <w:r w:rsidR="0007234D" w:rsidRPr="008C479E">
        <w:rPr>
          <w:sz w:val="24"/>
          <w:szCs w:val="22"/>
        </w:rPr>
        <w:t>,</w:t>
      </w:r>
      <w:r w:rsidRPr="008C479E">
        <w:rPr>
          <w:sz w:val="24"/>
          <w:szCs w:val="22"/>
        </w:rPr>
        <w:t xml:space="preserve"> 1984; </w:t>
      </w:r>
      <w:proofErr w:type="spellStart"/>
      <w:r w:rsidRPr="008C479E">
        <w:rPr>
          <w:sz w:val="24"/>
          <w:szCs w:val="22"/>
        </w:rPr>
        <w:t>B</w:t>
      </w:r>
      <w:r w:rsidR="0007234D" w:rsidRPr="008C479E">
        <w:rPr>
          <w:sz w:val="24"/>
          <w:szCs w:val="22"/>
        </w:rPr>
        <w:t>aine</w:t>
      </w:r>
      <w:proofErr w:type="spellEnd"/>
      <w:r w:rsidR="0007234D">
        <w:rPr>
          <w:sz w:val="24"/>
          <w:szCs w:val="22"/>
        </w:rPr>
        <w:t xml:space="preserve"> &amp;</w:t>
      </w:r>
      <w:r w:rsidRPr="008C479E">
        <w:rPr>
          <w:sz w:val="24"/>
          <w:szCs w:val="22"/>
        </w:rPr>
        <w:t xml:space="preserve"> </w:t>
      </w:r>
      <w:proofErr w:type="spellStart"/>
      <w:r w:rsidRPr="008C479E">
        <w:rPr>
          <w:sz w:val="24"/>
          <w:szCs w:val="22"/>
        </w:rPr>
        <w:t>L</w:t>
      </w:r>
      <w:r w:rsidR="0007234D" w:rsidRPr="008C479E">
        <w:rPr>
          <w:sz w:val="24"/>
          <w:szCs w:val="22"/>
        </w:rPr>
        <w:t>angfield</w:t>
      </w:r>
      <w:proofErr w:type="spellEnd"/>
      <w:r w:rsidR="0007234D">
        <w:rPr>
          <w:sz w:val="24"/>
          <w:szCs w:val="22"/>
        </w:rPr>
        <w:t>-</w:t>
      </w:r>
      <w:r w:rsidRPr="008C479E">
        <w:rPr>
          <w:sz w:val="24"/>
          <w:szCs w:val="22"/>
        </w:rPr>
        <w:t>S</w:t>
      </w:r>
      <w:r w:rsidR="0007234D" w:rsidRPr="008C479E">
        <w:rPr>
          <w:sz w:val="24"/>
          <w:szCs w:val="22"/>
        </w:rPr>
        <w:t>mith</w:t>
      </w:r>
      <w:r w:rsidRPr="008C479E">
        <w:rPr>
          <w:sz w:val="24"/>
          <w:szCs w:val="22"/>
        </w:rPr>
        <w:t xml:space="preserve">, 2003; </w:t>
      </w:r>
      <w:proofErr w:type="spellStart"/>
      <w:r w:rsidRPr="008C479E">
        <w:rPr>
          <w:sz w:val="24"/>
          <w:szCs w:val="22"/>
        </w:rPr>
        <w:t>C</w:t>
      </w:r>
      <w:r w:rsidR="0007234D" w:rsidRPr="008C479E">
        <w:rPr>
          <w:sz w:val="24"/>
          <w:szCs w:val="22"/>
        </w:rPr>
        <w:t>adez</w:t>
      </w:r>
      <w:proofErr w:type="spellEnd"/>
      <w:r w:rsidR="0007234D">
        <w:rPr>
          <w:sz w:val="24"/>
          <w:szCs w:val="22"/>
        </w:rPr>
        <w:t xml:space="preserve"> &amp;</w:t>
      </w:r>
      <w:r w:rsidRPr="008C479E">
        <w:rPr>
          <w:sz w:val="24"/>
          <w:szCs w:val="22"/>
        </w:rPr>
        <w:t xml:space="preserve"> </w:t>
      </w:r>
      <w:proofErr w:type="spellStart"/>
      <w:r w:rsidRPr="008C479E">
        <w:rPr>
          <w:sz w:val="24"/>
          <w:szCs w:val="22"/>
        </w:rPr>
        <w:t>G</w:t>
      </w:r>
      <w:r w:rsidR="0007234D" w:rsidRPr="008C479E">
        <w:rPr>
          <w:sz w:val="24"/>
          <w:szCs w:val="22"/>
        </w:rPr>
        <w:t>uilding</w:t>
      </w:r>
      <w:proofErr w:type="spellEnd"/>
      <w:r w:rsidRPr="008C479E">
        <w:rPr>
          <w:sz w:val="24"/>
          <w:szCs w:val="22"/>
        </w:rPr>
        <w:t xml:space="preserve">, 2008; </w:t>
      </w:r>
      <w:proofErr w:type="spellStart"/>
      <w:r w:rsidRPr="008C479E">
        <w:rPr>
          <w:sz w:val="24"/>
          <w:szCs w:val="22"/>
        </w:rPr>
        <w:t>J</w:t>
      </w:r>
      <w:r w:rsidR="0007234D" w:rsidRPr="008C479E">
        <w:rPr>
          <w:sz w:val="24"/>
          <w:szCs w:val="22"/>
        </w:rPr>
        <w:t>okipii</w:t>
      </w:r>
      <w:proofErr w:type="spellEnd"/>
      <w:r w:rsidRPr="008C479E">
        <w:rPr>
          <w:sz w:val="24"/>
          <w:szCs w:val="22"/>
        </w:rPr>
        <w:t>, 2010); a estratégia (C</w:t>
      </w:r>
      <w:r w:rsidR="0007234D" w:rsidRPr="008C479E">
        <w:rPr>
          <w:sz w:val="24"/>
          <w:szCs w:val="22"/>
        </w:rPr>
        <w:t>handler</w:t>
      </w:r>
      <w:r w:rsidRPr="008C479E">
        <w:rPr>
          <w:sz w:val="24"/>
          <w:szCs w:val="22"/>
        </w:rPr>
        <w:t xml:space="preserve">, 1962; </w:t>
      </w:r>
      <w:proofErr w:type="spellStart"/>
      <w:r w:rsidRPr="008C479E">
        <w:rPr>
          <w:sz w:val="24"/>
          <w:szCs w:val="22"/>
        </w:rPr>
        <w:t>C</w:t>
      </w:r>
      <w:r w:rsidR="0007234D" w:rsidRPr="008C479E">
        <w:rPr>
          <w:sz w:val="24"/>
          <w:szCs w:val="22"/>
        </w:rPr>
        <w:t>henhall</w:t>
      </w:r>
      <w:proofErr w:type="spellEnd"/>
      <w:r w:rsidR="0007234D">
        <w:rPr>
          <w:sz w:val="24"/>
          <w:szCs w:val="22"/>
        </w:rPr>
        <w:t xml:space="preserve"> &amp;</w:t>
      </w:r>
      <w:r w:rsidRPr="008C479E">
        <w:rPr>
          <w:sz w:val="24"/>
          <w:szCs w:val="22"/>
        </w:rPr>
        <w:t xml:space="preserve"> </w:t>
      </w:r>
      <w:proofErr w:type="spellStart"/>
      <w:r w:rsidRPr="008C479E">
        <w:rPr>
          <w:sz w:val="24"/>
          <w:szCs w:val="22"/>
        </w:rPr>
        <w:t>L</w:t>
      </w:r>
      <w:r w:rsidR="0007234D" w:rsidRPr="008C479E">
        <w:rPr>
          <w:sz w:val="24"/>
          <w:szCs w:val="22"/>
        </w:rPr>
        <w:t>angfield</w:t>
      </w:r>
      <w:proofErr w:type="spellEnd"/>
      <w:r w:rsidR="00E04688">
        <w:rPr>
          <w:sz w:val="24"/>
          <w:szCs w:val="22"/>
        </w:rPr>
        <w:t>-</w:t>
      </w:r>
      <w:r w:rsidRPr="008C479E">
        <w:rPr>
          <w:sz w:val="24"/>
          <w:szCs w:val="22"/>
        </w:rPr>
        <w:t>S</w:t>
      </w:r>
      <w:r w:rsidR="0007234D" w:rsidRPr="008C479E">
        <w:rPr>
          <w:sz w:val="24"/>
          <w:szCs w:val="22"/>
        </w:rPr>
        <w:t>mith</w:t>
      </w:r>
      <w:r w:rsidRPr="008C479E">
        <w:rPr>
          <w:sz w:val="24"/>
          <w:szCs w:val="22"/>
        </w:rPr>
        <w:t xml:space="preserve">, 1998; </w:t>
      </w:r>
      <w:proofErr w:type="spellStart"/>
      <w:r w:rsidRPr="008C479E">
        <w:rPr>
          <w:sz w:val="24"/>
          <w:szCs w:val="22"/>
        </w:rPr>
        <w:t>C</w:t>
      </w:r>
      <w:r w:rsidR="0007234D" w:rsidRPr="008C479E">
        <w:rPr>
          <w:sz w:val="24"/>
          <w:szCs w:val="22"/>
        </w:rPr>
        <w:t>henhall</w:t>
      </w:r>
      <w:proofErr w:type="spellEnd"/>
      <w:r w:rsidRPr="008C479E">
        <w:rPr>
          <w:sz w:val="24"/>
          <w:szCs w:val="22"/>
        </w:rPr>
        <w:t xml:space="preserve">, 2003; </w:t>
      </w:r>
      <w:proofErr w:type="spellStart"/>
      <w:r w:rsidRPr="008C479E">
        <w:rPr>
          <w:sz w:val="24"/>
          <w:szCs w:val="22"/>
        </w:rPr>
        <w:t>B</w:t>
      </w:r>
      <w:r w:rsidR="0007234D" w:rsidRPr="008C479E">
        <w:rPr>
          <w:sz w:val="24"/>
          <w:szCs w:val="22"/>
        </w:rPr>
        <w:t>himani</w:t>
      </w:r>
      <w:proofErr w:type="spellEnd"/>
      <w:r w:rsidR="0007234D">
        <w:rPr>
          <w:sz w:val="24"/>
          <w:szCs w:val="22"/>
        </w:rPr>
        <w:t xml:space="preserve"> &amp;</w:t>
      </w:r>
      <w:r w:rsidRPr="008C479E">
        <w:rPr>
          <w:sz w:val="24"/>
          <w:szCs w:val="22"/>
        </w:rPr>
        <w:t xml:space="preserve"> </w:t>
      </w:r>
      <w:proofErr w:type="spellStart"/>
      <w:r w:rsidRPr="008C479E">
        <w:rPr>
          <w:sz w:val="24"/>
          <w:szCs w:val="22"/>
        </w:rPr>
        <w:t>L</w:t>
      </w:r>
      <w:r w:rsidR="0007234D" w:rsidRPr="008C479E">
        <w:rPr>
          <w:sz w:val="24"/>
          <w:szCs w:val="22"/>
        </w:rPr>
        <w:t>angfield</w:t>
      </w:r>
      <w:proofErr w:type="spellEnd"/>
      <w:r w:rsidR="0036609D">
        <w:rPr>
          <w:sz w:val="24"/>
          <w:szCs w:val="22"/>
        </w:rPr>
        <w:t>-</w:t>
      </w:r>
      <w:r w:rsidRPr="008C479E">
        <w:rPr>
          <w:sz w:val="24"/>
          <w:szCs w:val="22"/>
        </w:rPr>
        <w:t>S</w:t>
      </w:r>
      <w:r w:rsidR="0007234D" w:rsidRPr="008C479E">
        <w:rPr>
          <w:sz w:val="24"/>
          <w:szCs w:val="22"/>
        </w:rPr>
        <w:t>mith</w:t>
      </w:r>
      <w:r w:rsidRPr="008C479E">
        <w:rPr>
          <w:sz w:val="24"/>
          <w:szCs w:val="22"/>
        </w:rPr>
        <w:t>, 2007)</w:t>
      </w:r>
      <w:r w:rsidR="0046295D">
        <w:rPr>
          <w:sz w:val="24"/>
          <w:szCs w:val="22"/>
        </w:rPr>
        <w:t xml:space="preserve"> </w:t>
      </w:r>
      <w:r w:rsidRPr="008C479E">
        <w:rPr>
          <w:sz w:val="24"/>
          <w:szCs w:val="22"/>
        </w:rPr>
        <w:t>e a tecnologia (W</w:t>
      </w:r>
      <w:r w:rsidR="0007234D" w:rsidRPr="008C479E">
        <w:rPr>
          <w:sz w:val="24"/>
          <w:szCs w:val="22"/>
        </w:rPr>
        <w:t>oodward</w:t>
      </w:r>
      <w:r w:rsidRPr="008C479E">
        <w:rPr>
          <w:sz w:val="24"/>
          <w:szCs w:val="22"/>
        </w:rPr>
        <w:t xml:space="preserve">, 1965; </w:t>
      </w:r>
      <w:proofErr w:type="spellStart"/>
      <w:r w:rsidRPr="008C479E">
        <w:rPr>
          <w:sz w:val="24"/>
          <w:szCs w:val="22"/>
        </w:rPr>
        <w:t>C</w:t>
      </w:r>
      <w:r w:rsidR="0007234D" w:rsidRPr="008C479E">
        <w:rPr>
          <w:sz w:val="24"/>
          <w:szCs w:val="22"/>
        </w:rPr>
        <w:t>adez</w:t>
      </w:r>
      <w:proofErr w:type="spellEnd"/>
      <w:r w:rsidR="0007234D">
        <w:rPr>
          <w:sz w:val="24"/>
          <w:szCs w:val="22"/>
        </w:rPr>
        <w:t xml:space="preserve"> &amp;</w:t>
      </w:r>
      <w:r w:rsidRPr="008C479E">
        <w:rPr>
          <w:sz w:val="24"/>
          <w:szCs w:val="22"/>
        </w:rPr>
        <w:t xml:space="preserve"> </w:t>
      </w:r>
      <w:proofErr w:type="spellStart"/>
      <w:r w:rsidRPr="008C479E">
        <w:rPr>
          <w:sz w:val="24"/>
          <w:szCs w:val="22"/>
        </w:rPr>
        <w:t>G</w:t>
      </w:r>
      <w:r w:rsidR="0007234D" w:rsidRPr="008C479E">
        <w:rPr>
          <w:sz w:val="24"/>
          <w:szCs w:val="22"/>
        </w:rPr>
        <w:t>uilding</w:t>
      </w:r>
      <w:proofErr w:type="spellEnd"/>
      <w:r w:rsidRPr="008C479E">
        <w:rPr>
          <w:sz w:val="24"/>
          <w:szCs w:val="22"/>
        </w:rPr>
        <w:t xml:space="preserve">, 2008; </w:t>
      </w:r>
      <w:r w:rsidR="005635CB" w:rsidRPr="008C479E">
        <w:rPr>
          <w:sz w:val="24"/>
          <w:szCs w:val="22"/>
        </w:rPr>
        <w:t>Gordon</w:t>
      </w:r>
      <w:r w:rsidR="005635CB">
        <w:rPr>
          <w:sz w:val="24"/>
          <w:szCs w:val="22"/>
        </w:rPr>
        <w:t xml:space="preserve"> </w:t>
      </w:r>
      <w:r w:rsidR="005635CB" w:rsidRPr="005635CB">
        <w:rPr>
          <w:i/>
          <w:sz w:val="24"/>
          <w:szCs w:val="22"/>
        </w:rPr>
        <w:t>et al.</w:t>
      </w:r>
      <w:r w:rsidRPr="008C479E">
        <w:rPr>
          <w:sz w:val="24"/>
          <w:szCs w:val="22"/>
        </w:rPr>
        <w:t xml:space="preserve">, 2009; </w:t>
      </w:r>
      <w:r w:rsidR="005635CB" w:rsidRPr="008C479E">
        <w:rPr>
          <w:sz w:val="24"/>
          <w:szCs w:val="22"/>
        </w:rPr>
        <w:t>Arena</w:t>
      </w:r>
      <w:r w:rsidR="005635CB">
        <w:rPr>
          <w:sz w:val="24"/>
          <w:szCs w:val="22"/>
        </w:rPr>
        <w:t xml:space="preserve"> </w:t>
      </w:r>
      <w:r w:rsidR="005635CB" w:rsidRPr="005635CB">
        <w:rPr>
          <w:i/>
          <w:sz w:val="24"/>
          <w:szCs w:val="22"/>
        </w:rPr>
        <w:t>et al.</w:t>
      </w:r>
      <w:r w:rsidRPr="008C479E">
        <w:rPr>
          <w:sz w:val="24"/>
          <w:szCs w:val="22"/>
        </w:rPr>
        <w:t xml:space="preserve">, 2010). </w:t>
      </w:r>
    </w:p>
    <w:p w:rsidR="008C479E" w:rsidRPr="008C479E" w:rsidRDefault="008C479E" w:rsidP="007A0C15">
      <w:pPr>
        <w:suppressAutoHyphens w:val="0"/>
        <w:ind w:firstLine="709"/>
        <w:jc w:val="both"/>
      </w:pPr>
      <w:r w:rsidRPr="008C479E">
        <w:rPr>
          <w:sz w:val="24"/>
          <w:szCs w:val="22"/>
        </w:rPr>
        <w:t>A variável contingencial ambiente é composta por elementos físicos e sociais que influenciam a tomada de decisão dos indivíduos (D</w:t>
      </w:r>
      <w:r w:rsidR="0007234D" w:rsidRPr="008C479E">
        <w:rPr>
          <w:sz w:val="24"/>
          <w:szCs w:val="22"/>
        </w:rPr>
        <w:t>uncan</w:t>
      </w:r>
      <w:r w:rsidRPr="008C479E">
        <w:rPr>
          <w:sz w:val="24"/>
          <w:szCs w:val="22"/>
        </w:rPr>
        <w:t>, 1972), ou seja, um fluxo de informações percebidas pelos seus membros (</w:t>
      </w:r>
      <w:proofErr w:type="spellStart"/>
      <w:r w:rsidRPr="008C479E">
        <w:rPr>
          <w:sz w:val="24"/>
          <w:szCs w:val="22"/>
        </w:rPr>
        <w:t>A</w:t>
      </w:r>
      <w:r w:rsidR="0007234D" w:rsidRPr="008C479E">
        <w:rPr>
          <w:sz w:val="24"/>
          <w:szCs w:val="22"/>
        </w:rPr>
        <w:t>ldrich</w:t>
      </w:r>
      <w:proofErr w:type="spellEnd"/>
      <w:r w:rsidR="0007234D">
        <w:rPr>
          <w:sz w:val="24"/>
          <w:szCs w:val="22"/>
        </w:rPr>
        <w:t xml:space="preserve"> &amp;</w:t>
      </w:r>
      <w:r w:rsidRPr="008C479E">
        <w:rPr>
          <w:sz w:val="24"/>
          <w:szCs w:val="22"/>
        </w:rPr>
        <w:t xml:space="preserve"> </w:t>
      </w:r>
      <w:proofErr w:type="spellStart"/>
      <w:r w:rsidRPr="008C479E">
        <w:rPr>
          <w:sz w:val="24"/>
          <w:szCs w:val="22"/>
        </w:rPr>
        <w:t>P</w:t>
      </w:r>
      <w:r w:rsidR="0007234D" w:rsidRPr="008C479E">
        <w:rPr>
          <w:sz w:val="24"/>
          <w:szCs w:val="22"/>
        </w:rPr>
        <w:t>feffer</w:t>
      </w:r>
      <w:proofErr w:type="spellEnd"/>
      <w:r w:rsidRPr="008C479E">
        <w:rPr>
          <w:sz w:val="24"/>
          <w:szCs w:val="22"/>
        </w:rPr>
        <w:t>, 1976). Ainda, diversas pesquisas evidenciam que a tomada de decisão dos gestores é decorrente de uma resposta ao ambiente percebido (D</w:t>
      </w:r>
      <w:r w:rsidR="0007234D" w:rsidRPr="008C479E">
        <w:rPr>
          <w:sz w:val="24"/>
          <w:szCs w:val="22"/>
        </w:rPr>
        <w:t>owney</w:t>
      </w:r>
      <w:r w:rsidR="0007234D">
        <w:rPr>
          <w:sz w:val="24"/>
          <w:szCs w:val="22"/>
        </w:rPr>
        <w:t>,</w:t>
      </w:r>
      <w:r w:rsidRPr="008C479E">
        <w:rPr>
          <w:sz w:val="24"/>
          <w:szCs w:val="22"/>
        </w:rPr>
        <w:t xml:space="preserve"> </w:t>
      </w:r>
      <w:proofErr w:type="spellStart"/>
      <w:r w:rsidRPr="008C479E">
        <w:rPr>
          <w:sz w:val="24"/>
          <w:szCs w:val="22"/>
        </w:rPr>
        <w:t>H</w:t>
      </w:r>
      <w:r w:rsidR="0007234D" w:rsidRPr="008C479E">
        <w:rPr>
          <w:sz w:val="24"/>
          <w:szCs w:val="22"/>
        </w:rPr>
        <w:t>ellriegel</w:t>
      </w:r>
      <w:proofErr w:type="spellEnd"/>
      <w:r w:rsidR="0007234D">
        <w:rPr>
          <w:sz w:val="24"/>
          <w:szCs w:val="22"/>
        </w:rPr>
        <w:t xml:space="preserve"> &amp;</w:t>
      </w:r>
      <w:r w:rsidRPr="008C479E">
        <w:rPr>
          <w:sz w:val="24"/>
          <w:szCs w:val="22"/>
        </w:rPr>
        <w:t xml:space="preserve"> </w:t>
      </w:r>
      <w:proofErr w:type="spellStart"/>
      <w:r w:rsidRPr="008C479E">
        <w:rPr>
          <w:sz w:val="24"/>
          <w:szCs w:val="22"/>
        </w:rPr>
        <w:t>S</w:t>
      </w:r>
      <w:r w:rsidR="0007234D" w:rsidRPr="008C479E">
        <w:rPr>
          <w:sz w:val="24"/>
          <w:szCs w:val="22"/>
        </w:rPr>
        <w:t>locum</w:t>
      </w:r>
      <w:proofErr w:type="spellEnd"/>
      <w:r w:rsidRPr="008C479E">
        <w:rPr>
          <w:sz w:val="24"/>
          <w:szCs w:val="22"/>
        </w:rPr>
        <w:t xml:space="preserve"> J</w:t>
      </w:r>
      <w:r w:rsidR="0007234D">
        <w:rPr>
          <w:sz w:val="24"/>
          <w:szCs w:val="22"/>
        </w:rPr>
        <w:t>r</w:t>
      </w:r>
      <w:r w:rsidRPr="008C479E">
        <w:rPr>
          <w:sz w:val="24"/>
          <w:szCs w:val="22"/>
        </w:rPr>
        <w:t>., 1975; G</w:t>
      </w:r>
      <w:r w:rsidR="0007234D" w:rsidRPr="008C479E">
        <w:rPr>
          <w:sz w:val="24"/>
          <w:szCs w:val="22"/>
        </w:rPr>
        <w:t>ordon</w:t>
      </w:r>
      <w:r w:rsidR="0007234D">
        <w:rPr>
          <w:sz w:val="24"/>
          <w:szCs w:val="22"/>
        </w:rPr>
        <w:t xml:space="preserve"> &amp;</w:t>
      </w:r>
      <w:r w:rsidRPr="008C479E">
        <w:rPr>
          <w:sz w:val="24"/>
          <w:szCs w:val="22"/>
        </w:rPr>
        <w:t xml:space="preserve"> </w:t>
      </w:r>
      <w:proofErr w:type="spellStart"/>
      <w:r w:rsidRPr="008C479E">
        <w:rPr>
          <w:sz w:val="24"/>
          <w:szCs w:val="22"/>
        </w:rPr>
        <w:t>N</w:t>
      </w:r>
      <w:r w:rsidR="0007234D" w:rsidRPr="008C479E">
        <w:rPr>
          <w:sz w:val="24"/>
          <w:szCs w:val="22"/>
        </w:rPr>
        <w:t>arayanan</w:t>
      </w:r>
      <w:proofErr w:type="spellEnd"/>
      <w:r w:rsidRPr="008C479E">
        <w:rPr>
          <w:sz w:val="24"/>
          <w:szCs w:val="22"/>
        </w:rPr>
        <w:t xml:space="preserve">, 1984; </w:t>
      </w:r>
      <w:proofErr w:type="spellStart"/>
      <w:r w:rsidRPr="008C479E">
        <w:rPr>
          <w:sz w:val="24"/>
          <w:szCs w:val="22"/>
        </w:rPr>
        <w:t>G</w:t>
      </w:r>
      <w:r w:rsidR="0007234D" w:rsidRPr="008C479E">
        <w:rPr>
          <w:sz w:val="24"/>
          <w:szCs w:val="22"/>
        </w:rPr>
        <w:t>ul</w:t>
      </w:r>
      <w:proofErr w:type="spellEnd"/>
      <w:r w:rsidR="0007234D">
        <w:rPr>
          <w:sz w:val="24"/>
          <w:szCs w:val="22"/>
        </w:rPr>
        <w:t xml:space="preserve"> &amp; </w:t>
      </w:r>
      <w:r w:rsidRPr="008C479E">
        <w:rPr>
          <w:sz w:val="24"/>
          <w:szCs w:val="22"/>
        </w:rPr>
        <w:t>C</w:t>
      </w:r>
      <w:r w:rsidR="0007234D" w:rsidRPr="008C479E">
        <w:rPr>
          <w:sz w:val="24"/>
          <w:szCs w:val="22"/>
        </w:rPr>
        <w:t>hia</w:t>
      </w:r>
      <w:r w:rsidRPr="008C479E">
        <w:rPr>
          <w:sz w:val="24"/>
          <w:szCs w:val="22"/>
        </w:rPr>
        <w:t xml:space="preserve">; 1994; </w:t>
      </w:r>
      <w:proofErr w:type="spellStart"/>
      <w:r w:rsidRPr="008C479E">
        <w:rPr>
          <w:sz w:val="24"/>
          <w:szCs w:val="22"/>
        </w:rPr>
        <w:t>S</w:t>
      </w:r>
      <w:r w:rsidR="0007234D" w:rsidRPr="008C479E">
        <w:rPr>
          <w:sz w:val="24"/>
          <w:szCs w:val="22"/>
        </w:rPr>
        <w:t>ubramanian</w:t>
      </w:r>
      <w:proofErr w:type="spellEnd"/>
      <w:r w:rsidR="00F55091">
        <w:rPr>
          <w:sz w:val="24"/>
          <w:szCs w:val="22"/>
        </w:rPr>
        <w:t xml:space="preserve">, </w:t>
      </w:r>
      <w:proofErr w:type="spellStart"/>
      <w:r w:rsidR="00F55091" w:rsidRPr="00F55091">
        <w:rPr>
          <w:sz w:val="24"/>
          <w:szCs w:val="22"/>
        </w:rPr>
        <w:t>Collier</w:t>
      </w:r>
      <w:proofErr w:type="spellEnd"/>
      <w:r w:rsidR="00F55091" w:rsidRPr="00F55091">
        <w:rPr>
          <w:sz w:val="24"/>
          <w:szCs w:val="22"/>
        </w:rPr>
        <w:t xml:space="preserve">, </w:t>
      </w:r>
      <w:proofErr w:type="spellStart"/>
      <w:r w:rsidR="00F55091" w:rsidRPr="00F55091">
        <w:rPr>
          <w:sz w:val="24"/>
          <w:szCs w:val="22"/>
        </w:rPr>
        <w:t>Phang</w:t>
      </w:r>
      <w:proofErr w:type="spellEnd"/>
      <w:r w:rsidR="00F55091">
        <w:rPr>
          <w:sz w:val="24"/>
          <w:szCs w:val="22"/>
        </w:rPr>
        <w:t xml:space="preserve"> &amp; </w:t>
      </w:r>
      <w:r w:rsidR="00F55091" w:rsidRPr="00F55091">
        <w:rPr>
          <w:sz w:val="24"/>
          <w:szCs w:val="22"/>
        </w:rPr>
        <w:t>Burke</w:t>
      </w:r>
      <w:r w:rsidRPr="008C479E">
        <w:rPr>
          <w:sz w:val="24"/>
          <w:szCs w:val="22"/>
        </w:rPr>
        <w:t xml:space="preserve">, 2011). </w:t>
      </w:r>
    </w:p>
    <w:p w:rsidR="008C479E" w:rsidRPr="008C479E" w:rsidRDefault="008C479E" w:rsidP="007A0C15">
      <w:pPr>
        <w:suppressAutoHyphens w:val="0"/>
        <w:ind w:firstLine="709"/>
        <w:jc w:val="both"/>
        <w:rPr>
          <w:sz w:val="24"/>
          <w:szCs w:val="22"/>
        </w:rPr>
      </w:pPr>
      <w:r w:rsidRPr="008C479E">
        <w:rPr>
          <w:sz w:val="24"/>
          <w:szCs w:val="22"/>
        </w:rPr>
        <w:t xml:space="preserve">Conforme Gordon e </w:t>
      </w:r>
      <w:proofErr w:type="spellStart"/>
      <w:r w:rsidRPr="008C479E">
        <w:rPr>
          <w:sz w:val="24"/>
          <w:szCs w:val="22"/>
        </w:rPr>
        <w:t>Narayanan</w:t>
      </w:r>
      <w:proofErr w:type="spellEnd"/>
      <w:r w:rsidRPr="008C479E">
        <w:rPr>
          <w:sz w:val="24"/>
          <w:szCs w:val="22"/>
        </w:rPr>
        <w:t xml:space="preserve"> (1984), as variações evidenciadas nos aspectos organizacionais são reflexo de estratégias idealizadas pelos tomadores de decisão para lidar com diferentes níveis de incerteza, ou seja, a estratégia adotada seria em resposta aos eventos ocorridos no ambiente em que a organização está inserida. Assim, no que tange aos artefatos gerenciais, o ambiente é evidenciado como uma variável contingencial relevante nos estudos de Sistemas de Informações (</w:t>
      </w:r>
      <w:proofErr w:type="spellStart"/>
      <w:r w:rsidR="00F55091" w:rsidRPr="008C479E">
        <w:rPr>
          <w:sz w:val="24"/>
          <w:szCs w:val="22"/>
        </w:rPr>
        <w:t>Chenhall</w:t>
      </w:r>
      <w:proofErr w:type="spellEnd"/>
      <w:r w:rsidR="00F55091">
        <w:rPr>
          <w:sz w:val="24"/>
          <w:szCs w:val="22"/>
        </w:rPr>
        <w:t xml:space="preserve"> &amp;</w:t>
      </w:r>
      <w:r w:rsidR="00F55091" w:rsidRPr="008C479E">
        <w:rPr>
          <w:sz w:val="24"/>
          <w:szCs w:val="22"/>
        </w:rPr>
        <w:t xml:space="preserve"> Morris</w:t>
      </w:r>
      <w:r w:rsidRPr="008C479E">
        <w:rPr>
          <w:sz w:val="24"/>
          <w:szCs w:val="22"/>
        </w:rPr>
        <w:t>, 1986) e Sistemas de Informações Contábeis (</w:t>
      </w:r>
      <w:r w:rsidR="00F55091" w:rsidRPr="008C479E">
        <w:rPr>
          <w:sz w:val="24"/>
          <w:szCs w:val="22"/>
        </w:rPr>
        <w:t>Gordon</w:t>
      </w:r>
      <w:r w:rsidR="00F55091">
        <w:rPr>
          <w:sz w:val="24"/>
          <w:szCs w:val="22"/>
        </w:rPr>
        <w:t xml:space="preserve"> &amp;</w:t>
      </w:r>
      <w:r w:rsidR="00F55091" w:rsidRPr="008C479E">
        <w:rPr>
          <w:sz w:val="24"/>
          <w:szCs w:val="22"/>
        </w:rPr>
        <w:t xml:space="preserve"> Miller</w:t>
      </w:r>
      <w:r w:rsidRPr="008C479E">
        <w:rPr>
          <w:sz w:val="24"/>
          <w:szCs w:val="22"/>
        </w:rPr>
        <w:t xml:space="preserve">, 1976; </w:t>
      </w:r>
      <w:proofErr w:type="spellStart"/>
      <w:r w:rsidR="00F55091" w:rsidRPr="008C479E">
        <w:rPr>
          <w:sz w:val="24"/>
          <w:szCs w:val="22"/>
        </w:rPr>
        <w:t>Ittner</w:t>
      </w:r>
      <w:proofErr w:type="spellEnd"/>
      <w:r w:rsidR="00F55091">
        <w:rPr>
          <w:sz w:val="24"/>
          <w:szCs w:val="22"/>
        </w:rPr>
        <w:t xml:space="preserve"> &amp;</w:t>
      </w:r>
      <w:r w:rsidR="00F55091" w:rsidRPr="008C479E">
        <w:rPr>
          <w:sz w:val="24"/>
          <w:szCs w:val="22"/>
        </w:rPr>
        <w:t xml:space="preserve"> </w:t>
      </w:r>
      <w:proofErr w:type="spellStart"/>
      <w:r w:rsidR="00F55091" w:rsidRPr="008C479E">
        <w:rPr>
          <w:sz w:val="24"/>
          <w:szCs w:val="22"/>
        </w:rPr>
        <w:t>Larker</w:t>
      </w:r>
      <w:proofErr w:type="spellEnd"/>
      <w:r w:rsidRPr="008C479E">
        <w:rPr>
          <w:sz w:val="24"/>
          <w:szCs w:val="22"/>
        </w:rPr>
        <w:t>, 2001).</w:t>
      </w:r>
    </w:p>
    <w:p w:rsidR="008C479E" w:rsidRPr="008C479E" w:rsidRDefault="008C479E" w:rsidP="007A0C15">
      <w:pPr>
        <w:suppressAutoHyphens w:val="0"/>
        <w:ind w:firstLine="709"/>
        <w:jc w:val="both"/>
        <w:rPr>
          <w:sz w:val="24"/>
          <w:szCs w:val="22"/>
        </w:rPr>
      </w:pPr>
      <w:r w:rsidRPr="008C479E">
        <w:rPr>
          <w:sz w:val="24"/>
          <w:szCs w:val="22"/>
        </w:rPr>
        <w:t>Os estudos em torno do ambiente na contabilidade, com foco gerencial, indicam que quando essa variável possui níveis altos de influência, as organizações podem solicitar informações adicionais para lidar com a complexidade do ambiente (G</w:t>
      </w:r>
      <w:r w:rsidR="00F55091" w:rsidRPr="008C479E">
        <w:rPr>
          <w:sz w:val="24"/>
          <w:szCs w:val="22"/>
        </w:rPr>
        <w:t>ordon</w:t>
      </w:r>
      <w:r w:rsidR="00F55091">
        <w:rPr>
          <w:sz w:val="24"/>
          <w:szCs w:val="22"/>
        </w:rPr>
        <w:t xml:space="preserve"> &amp;</w:t>
      </w:r>
      <w:r w:rsidRPr="008C479E">
        <w:rPr>
          <w:sz w:val="24"/>
          <w:szCs w:val="22"/>
        </w:rPr>
        <w:t xml:space="preserve"> </w:t>
      </w:r>
      <w:proofErr w:type="spellStart"/>
      <w:r w:rsidR="00F55091" w:rsidRPr="008C479E">
        <w:rPr>
          <w:sz w:val="24"/>
          <w:szCs w:val="22"/>
        </w:rPr>
        <w:t>Narayanan</w:t>
      </w:r>
      <w:proofErr w:type="spellEnd"/>
      <w:r w:rsidRPr="008C479E">
        <w:rPr>
          <w:sz w:val="24"/>
          <w:szCs w:val="22"/>
        </w:rPr>
        <w:t xml:space="preserve">, 1984; </w:t>
      </w:r>
      <w:proofErr w:type="spellStart"/>
      <w:r w:rsidR="00F55091" w:rsidRPr="008C479E">
        <w:rPr>
          <w:sz w:val="24"/>
          <w:szCs w:val="22"/>
        </w:rPr>
        <w:t>Gul</w:t>
      </w:r>
      <w:proofErr w:type="spellEnd"/>
      <w:r w:rsidR="00F55091">
        <w:rPr>
          <w:sz w:val="24"/>
          <w:szCs w:val="22"/>
        </w:rPr>
        <w:t xml:space="preserve"> &amp;</w:t>
      </w:r>
      <w:r w:rsidRPr="008C479E">
        <w:rPr>
          <w:sz w:val="24"/>
          <w:szCs w:val="22"/>
        </w:rPr>
        <w:t xml:space="preserve"> </w:t>
      </w:r>
      <w:r w:rsidR="00F55091" w:rsidRPr="008C479E">
        <w:rPr>
          <w:sz w:val="24"/>
          <w:szCs w:val="22"/>
        </w:rPr>
        <w:t>Chia</w:t>
      </w:r>
      <w:r w:rsidRPr="008C479E">
        <w:rPr>
          <w:sz w:val="24"/>
          <w:szCs w:val="22"/>
        </w:rPr>
        <w:t xml:space="preserve">, 1994). A pesquisa de </w:t>
      </w:r>
      <w:proofErr w:type="spellStart"/>
      <w:r w:rsidRPr="008C479E">
        <w:rPr>
          <w:sz w:val="24"/>
          <w:szCs w:val="22"/>
        </w:rPr>
        <w:t>Abernethy</w:t>
      </w:r>
      <w:proofErr w:type="spellEnd"/>
      <w:r w:rsidRPr="008C479E">
        <w:rPr>
          <w:sz w:val="24"/>
          <w:szCs w:val="22"/>
        </w:rPr>
        <w:t xml:space="preserve"> e </w:t>
      </w:r>
      <w:proofErr w:type="spellStart"/>
      <w:r w:rsidRPr="008C479E">
        <w:rPr>
          <w:sz w:val="24"/>
          <w:szCs w:val="22"/>
        </w:rPr>
        <w:t>Stoelwinder</w:t>
      </w:r>
      <w:proofErr w:type="spellEnd"/>
      <w:r w:rsidRPr="008C479E">
        <w:rPr>
          <w:sz w:val="24"/>
          <w:szCs w:val="22"/>
        </w:rPr>
        <w:t xml:space="preserve"> (1991) constatou que o ambiente tem efeito no planejamento, coordenação e acompanhamento do orçamento. Abdel-</w:t>
      </w:r>
      <w:proofErr w:type="spellStart"/>
      <w:r w:rsidRPr="008C479E">
        <w:rPr>
          <w:sz w:val="24"/>
          <w:szCs w:val="22"/>
        </w:rPr>
        <w:t>Kadera</w:t>
      </w:r>
      <w:proofErr w:type="spellEnd"/>
      <w:r w:rsidRPr="008C479E">
        <w:rPr>
          <w:sz w:val="24"/>
          <w:szCs w:val="22"/>
        </w:rPr>
        <w:t xml:space="preserve"> e Luther (2008) apresenta</w:t>
      </w:r>
      <w:r w:rsidR="005B19AD">
        <w:rPr>
          <w:sz w:val="24"/>
          <w:szCs w:val="22"/>
        </w:rPr>
        <w:t>m</w:t>
      </w:r>
      <w:r w:rsidRPr="008C479E">
        <w:rPr>
          <w:sz w:val="24"/>
          <w:szCs w:val="22"/>
        </w:rPr>
        <w:t xml:space="preserve"> essa variável como responsável por explicar as diferenças na sofisticação da contabilidade gerencial e os achados de </w:t>
      </w:r>
      <w:proofErr w:type="spellStart"/>
      <w:r w:rsidRPr="008C479E">
        <w:rPr>
          <w:sz w:val="24"/>
          <w:szCs w:val="22"/>
        </w:rPr>
        <w:t>Jokipii</w:t>
      </w:r>
      <w:proofErr w:type="spellEnd"/>
      <w:r w:rsidRPr="008C479E">
        <w:rPr>
          <w:sz w:val="24"/>
          <w:szCs w:val="22"/>
        </w:rPr>
        <w:t xml:space="preserve"> (2010) evidenciam o ambiente como variável influente na estrutura do controle interno.</w:t>
      </w:r>
    </w:p>
    <w:p w:rsidR="008C479E" w:rsidRPr="008C479E" w:rsidRDefault="008C479E" w:rsidP="007A0C15">
      <w:pPr>
        <w:suppressAutoHyphens w:val="0"/>
        <w:ind w:firstLine="709"/>
        <w:jc w:val="both"/>
        <w:rPr>
          <w:sz w:val="24"/>
          <w:szCs w:val="22"/>
        </w:rPr>
      </w:pPr>
      <w:r w:rsidRPr="008C479E">
        <w:rPr>
          <w:sz w:val="24"/>
          <w:szCs w:val="22"/>
        </w:rPr>
        <w:t xml:space="preserve">No que tange à Gestão de Risco, </w:t>
      </w:r>
      <w:proofErr w:type="spellStart"/>
      <w:r w:rsidRPr="008C479E">
        <w:rPr>
          <w:sz w:val="24"/>
          <w:szCs w:val="22"/>
        </w:rPr>
        <w:t>Subramaniam</w:t>
      </w:r>
      <w:proofErr w:type="spellEnd"/>
      <w:r w:rsidRPr="008C479E">
        <w:rPr>
          <w:sz w:val="24"/>
          <w:szCs w:val="22"/>
        </w:rPr>
        <w:t xml:space="preserve"> </w:t>
      </w:r>
      <w:r w:rsidRPr="00F55091">
        <w:rPr>
          <w:i/>
          <w:sz w:val="24"/>
          <w:szCs w:val="22"/>
        </w:rPr>
        <w:t>et al.</w:t>
      </w:r>
      <w:r w:rsidRPr="008C479E">
        <w:rPr>
          <w:sz w:val="24"/>
          <w:szCs w:val="22"/>
        </w:rPr>
        <w:t xml:space="preserve"> (2011) evidenciaram uma relação positiva entre a percepção do ambiente e o nível de formalização da gestão de risco, sendo um fator fundamental para padronização do GRC. </w:t>
      </w:r>
      <w:r w:rsidRPr="008C479E">
        <w:rPr>
          <w:sz w:val="24"/>
          <w:szCs w:val="24"/>
        </w:rPr>
        <w:t xml:space="preserve">Diante do exposto, pode-se inferir que o ambiente, caracterizado pela Incerteza Ambiental Percebida impacta os SCG e assim, pode também influenciar a GRC, visto que os SCG possuem como uma de suas funções, gerenciar riscos. </w:t>
      </w:r>
      <w:r w:rsidRPr="008C479E">
        <w:rPr>
          <w:sz w:val="24"/>
          <w:szCs w:val="22"/>
        </w:rPr>
        <w:t xml:space="preserve">Assim, pode-se estabelecer a seguinte hipótese: </w:t>
      </w:r>
    </w:p>
    <w:p w:rsidR="008C479E" w:rsidRPr="008C479E" w:rsidRDefault="008C479E" w:rsidP="007A0C15">
      <w:pPr>
        <w:suppressAutoHyphens w:val="0"/>
        <w:ind w:firstLine="709"/>
        <w:jc w:val="both"/>
        <w:rPr>
          <w:sz w:val="24"/>
          <w:szCs w:val="22"/>
        </w:rPr>
      </w:pPr>
    </w:p>
    <w:p w:rsidR="008C479E" w:rsidRPr="008C479E" w:rsidRDefault="008C479E" w:rsidP="007A0C15">
      <w:pPr>
        <w:suppressAutoHyphens w:val="0"/>
        <w:jc w:val="both"/>
        <w:rPr>
          <w:b/>
          <w:sz w:val="24"/>
          <w:szCs w:val="22"/>
        </w:rPr>
      </w:pPr>
      <w:r w:rsidRPr="008C479E">
        <w:rPr>
          <w:b/>
          <w:sz w:val="24"/>
          <w:szCs w:val="22"/>
        </w:rPr>
        <w:t>H</w:t>
      </w:r>
      <w:r w:rsidRPr="0046295D">
        <w:rPr>
          <w:b/>
          <w:sz w:val="24"/>
          <w:szCs w:val="22"/>
          <w:vertAlign w:val="subscript"/>
        </w:rPr>
        <w:t>1</w:t>
      </w:r>
      <w:r w:rsidRPr="008C479E">
        <w:rPr>
          <w:b/>
          <w:sz w:val="24"/>
          <w:szCs w:val="22"/>
        </w:rPr>
        <w:t xml:space="preserve"> – Há uma associação positiva entre o ambiente, caracterizado pela incerteza ambiental percebida pelo gestor da instituição financeira e os processos de Gestão de Riscos. </w:t>
      </w:r>
    </w:p>
    <w:p w:rsidR="008C479E" w:rsidRPr="008C479E" w:rsidRDefault="008C479E" w:rsidP="007A0C15">
      <w:pPr>
        <w:suppressAutoHyphens w:val="0"/>
        <w:jc w:val="both"/>
        <w:rPr>
          <w:i/>
          <w:sz w:val="24"/>
          <w:szCs w:val="22"/>
        </w:rPr>
      </w:pPr>
    </w:p>
    <w:p w:rsidR="008C479E" w:rsidRPr="00F55091" w:rsidRDefault="008C479E" w:rsidP="007A0C15">
      <w:pPr>
        <w:suppressAutoHyphens w:val="0"/>
        <w:ind w:firstLine="709"/>
        <w:jc w:val="both"/>
        <w:rPr>
          <w:sz w:val="24"/>
          <w:szCs w:val="22"/>
        </w:rPr>
      </w:pPr>
      <w:r w:rsidRPr="008C479E">
        <w:rPr>
          <w:sz w:val="24"/>
          <w:szCs w:val="22"/>
        </w:rPr>
        <w:t xml:space="preserve"> As tipologias estratégicas de </w:t>
      </w:r>
      <w:r w:rsidRPr="00F55091">
        <w:rPr>
          <w:sz w:val="24"/>
          <w:szCs w:val="22"/>
        </w:rPr>
        <w:t xml:space="preserve">Miles e </w:t>
      </w:r>
      <w:proofErr w:type="spellStart"/>
      <w:r w:rsidRPr="00F55091">
        <w:rPr>
          <w:sz w:val="24"/>
          <w:szCs w:val="22"/>
        </w:rPr>
        <w:t>Snow</w:t>
      </w:r>
      <w:proofErr w:type="spellEnd"/>
      <w:r w:rsidRPr="00F55091">
        <w:rPr>
          <w:sz w:val="24"/>
          <w:szCs w:val="22"/>
        </w:rPr>
        <w:t xml:space="preserve"> (1978) preconizam  que as organizações estabelecem padrões de comportamento estratégico relativamente duradouro, os quais alinham a organização ao seu ambiente em um processo denominado Ciclo Adaptativo tipificado como analisadores, defensores, prospectores e reatores, que envolve o alinhamento para os </w:t>
      </w:r>
      <w:r w:rsidRPr="00F55091">
        <w:rPr>
          <w:sz w:val="24"/>
          <w:szCs w:val="22"/>
        </w:rPr>
        <w:lastRenderedPageBreak/>
        <w:t>componentes estratégicos: problemas de mercado (empreendedor), problemas de tecnologia de produção (engenharia), problemas administrativos (administração).</w:t>
      </w:r>
    </w:p>
    <w:p w:rsidR="008C479E" w:rsidRPr="00F55091" w:rsidRDefault="008C479E" w:rsidP="007A0C15">
      <w:pPr>
        <w:suppressAutoHyphens w:val="0"/>
        <w:ind w:firstLine="709"/>
        <w:jc w:val="both"/>
        <w:rPr>
          <w:sz w:val="24"/>
          <w:szCs w:val="22"/>
        </w:rPr>
      </w:pPr>
      <w:r w:rsidRPr="00F55091">
        <w:rPr>
          <w:sz w:val="24"/>
          <w:szCs w:val="22"/>
        </w:rPr>
        <w:t xml:space="preserve">Organizações com característica defensora, de acordo com </w:t>
      </w:r>
      <w:proofErr w:type="spellStart"/>
      <w:r w:rsidRPr="00F55091">
        <w:rPr>
          <w:sz w:val="24"/>
          <w:szCs w:val="22"/>
        </w:rPr>
        <w:t>Langfield</w:t>
      </w:r>
      <w:proofErr w:type="spellEnd"/>
      <w:r w:rsidRPr="00F55091">
        <w:rPr>
          <w:sz w:val="24"/>
          <w:szCs w:val="22"/>
        </w:rPr>
        <w:t xml:space="preserve">-Smith (2007) e </w:t>
      </w:r>
      <w:proofErr w:type="spellStart"/>
      <w:r w:rsidRPr="00F55091">
        <w:rPr>
          <w:sz w:val="24"/>
          <w:szCs w:val="22"/>
        </w:rPr>
        <w:t>Gosselin</w:t>
      </w:r>
      <w:proofErr w:type="spellEnd"/>
      <w:r w:rsidRPr="00F55091">
        <w:rPr>
          <w:sz w:val="24"/>
          <w:szCs w:val="22"/>
        </w:rPr>
        <w:t xml:space="preserve"> (2011), tendem a utilizar sistemas de planejamento e controle com foco na mitigação da incerteza, na resolução de problemas e na eficiência tecnológica, com ênfase no SCG no campo financeiro e de produção. </w:t>
      </w:r>
    </w:p>
    <w:p w:rsidR="008C479E" w:rsidRPr="00F55091" w:rsidRDefault="008C479E" w:rsidP="007A0C15">
      <w:pPr>
        <w:suppressAutoHyphens w:val="0"/>
        <w:ind w:firstLine="709"/>
        <w:jc w:val="both"/>
        <w:rPr>
          <w:sz w:val="24"/>
          <w:szCs w:val="22"/>
        </w:rPr>
      </w:pPr>
      <w:r w:rsidRPr="00F55091">
        <w:rPr>
          <w:sz w:val="24"/>
          <w:szCs w:val="22"/>
        </w:rPr>
        <w:t xml:space="preserve">Quanto às empresas prospectoras, </w:t>
      </w:r>
      <w:proofErr w:type="spellStart"/>
      <w:r w:rsidRPr="00F55091">
        <w:rPr>
          <w:sz w:val="24"/>
          <w:szCs w:val="22"/>
        </w:rPr>
        <w:t>Langfield</w:t>
      </w:r>
      <w:proofErr w:type="spellEnd"/>
      <w:r w:rsidRPr="00F55091">
        <w:rPr>
          <w:sz w:val="24"/>
          <w:szCs w:val="22"/>
        </w:rPr>
        <w:t xml:space="preserve">-Smith (2007) menciona que estas podem ter seus sistemas de controle direcionados a encontrar problemas e não </w:t>
      </w:r>
      <w:proofErr w:type="gramStart"/>
      <w:r w:rsidRPr="00F55091">
        <w:rPr>
          <w:sz w:val="24"/>
          <w:szCs w:val="22"/>
        </w:rPr>
        <w:t>solucioná-los</w:t>
      </w:r>
      <w:proofErr w:type="gramEnd"/>
      <w:r w:rsidRPr="00F55091">
        <w:rPr>
          <w:sz w:val="24"/>
          <w:szCs w:val="22"/>
        </w:rPr>
        <w:t>. A inovação é preferida e os controles são descentralizados e voltados para os resultados. Tais empresas tendem a enfatizar o uso de medidas não financeiras, possuem processos mais complexos do que as organizações cuja estratégia é tipificada como defensora e como operam dentro de um amplo domínio de produtos, necessita</w:t>
      </w:r>
      <w:r w:rsidR="005B19AD" w:rsidRPr="00F55091">
        <w:rPr>
          <w:sz w:val="24"/>
          <w:szCs w:val="22"/>
        </w:rPr>
        <w:t>ndo</w:t>
      </w:r>
      <w:r w:rsidRPr="00F55091">
        <w:rPr>
          <w:sz w:val="24"/>
          <w:szCs w:val="22"/>
        </w:rPr>
        <w:t xml:space="preserve"> responder rapidamente aos primeiros sinais de novas oportunidades (</w:t>
      </w:r>
      <w:proofErr w:type="spellStart"/>
      <w:r w:rsidR="00F55091" w:rsidRPr="00F55091">
        <w:rPr>
          <w:sz w:val="24"/>
          <w:szCs w:val="22"/>
        </w:rPr>
        <w:t>Gosselin</w:t>
      </w:r>
      <w:proofErr w:type="spellEnd"/>
      <w:r w:rsidR="00F55091" w:rsidRPr="00F55091">
        <w:rPr>
          <w:sz w:val="24"/>
          <w:szCs w:val="22"/>
        </w:rPr>
        <w:t>,</w:t>
      </w:r>
      <w:r w:rsidRPr="00F55091">
        <w:rPr>
          <w:sz w:val="24"/>
          <w:szCs w:val="22"/>
        </w:rPr>
        <w:t xml:space="preserve"> 2011).</w:t>
      </w:r>
    </w:p>
    <w:p w:rsidR="005B19AD" w:rsidRDefault="008C479E" w:rsidP="007A0C15">
      <w:pPr>
        <w:suppressAutoHyphens w:val="0"/>
        <w:ind w:firstLine="709"/>
        <w:jc w:val="both"/>
        <w:rPr>
          <w:sz w:val="24"/>
          <w:szCs w:val="22"/>
        </w:rPr>
      </w:pPr>
      <w:r w:rsidRPr="00F55091">
        <w:rPr>
          <w:sz w:val="24"/>
          <w:szCs w:val="22"/>
        </w:rPr>
        <w:t>Quanto aos analisadores, para Miles</w:t>
      </w:r>
      <w:r w:rsidR="00F55091" w:rsidRPr="00F55091">
        <w:rPr>
          <w:sz w:val="24"/>
          <w:szCs w:val="22"/>
        </w:rPr>
        <w:t>,</w:t>
      </w:r>
      <w:r w:rsidRPr="00F55091">
        <w:rPr>
          <w:sz w:val="24"/>
          <w:szCs w:val="22"/>
        </w:rPr>
        <w:t xml:space="preserve"> </w:t>
      </w:r>
      <w:proofErr w:type="spellStart"/>
      <w:r w:rsidR="00F55091" w:rsidRPr="00F55091">
        <w:rPr>
          <w:sz w:val="24"/>
          <w:szCs w:val="22"/>
        </w:rPr>
        <w:t>Snow</w:t>
      </w:r>
      <w:proofErr w:type="spellEnd"/>
      <w:r w:rsidR="00F55091" w:rsidRPr="00F55091">
        <w:rPr>
          <w:sz w:val="24"/>
          <w:szCs w:val="22"/>
        </w:rPr>
        <w:t xml:space="preserve">, Meyer &amp; Coleman Jr. </w:t>
      </w:r>
      <w:r w:rsidRPr="00F55091">
        <w:rPr>
          <w:sz w:val="24"/>
          <w:szCs w:val="22"/>
        </w:rPr>
        <w:t>(1978), são</w:t>
      </w:r>
      <w:r w:rsidRPr="008C479E">
        <w:rPr>
          <w:sz w:val="24"/>
          <w:szCs w:val="22"/>
        </w:rPr>
        <w:t xml:space="preserve"> uma combinação única dos tipos defensores e prospectores representando uma alternativa viável para essas duas estratégias. Uma organização analisadora tenta minimizar riscos e maximizar a oportunidade de lucro, isto é, sua experiência permite combinar os pontos fortes das duas tipologias em um único sistema.</w:t>
      </w:r>
      <w:r w:rsidR="005B19AD">
        <w:rPr>
          <w:sz w:val="24"/>
          <w:szCs w:val="22"/>
        </w:rPr>
        <w:t xml:space="preserve"> </w:t>
      </w:r>
    </w:p>
    <w:p w:rsidR="008C479E" w:rsidRPr="008C479E" w:rsidRDefault="008C479E" w:rsidP="007A0C15">
      <w:pPr>
        <w:suppressAutoHyphens w:val="0"/>
        <w:ind w:firstLine="709"/>
        <w:jc w:val="both"/>
        <w:rPr>
          <w:sz w:val="24"/>
          <w:szCs w:val="22"/>
        </w:rPr>
      </w:pPr>
      <w:r w:rsidRPr="008C479E">
        <w:rPr>
          <w:sz w:val="24"/>
          <w:szCs w:val="22"/>
        </w:rPr>
        <w:t xml:space="preserve">O </w:t>
      </w:r>
      <w:proofErr w:type="gramStart"/>
      <w:r w:rsidRPr="008C479E">
        <w:rPr>
          <w:sz w:val="24"/>
          <w:szCs w:val="22"/>
        </w:rPr>
        <w:t>tipo reatores</w:t>
      </w:r>
      <w:proofErr w:type="gramEnd"/>
      <w:r w:rsidRPr="008C479E">
        <w:rPr>
          <w:sz w:val="24"/>
          <w:szCs w:val="22"/>
        </w:rPr>
        <w:t xml:space="preserve"> representa um padrão de adaptação ao seu ambiente, que é inconsistente e instável, não possuindo um conjunto de mecanismos de resposta que pode ser colocado em prática quando confrontados com um ambiente em mudança. Contudo, a tipologia reatora caracteriza-se como uma estratégia residual, que surge quando uma das outras foram incorretamente perseguidas (</w:t>
      </w:r>
      <w:r w:rsidR="00F55091" w:rsidRPr="008C479E">
        <w:rPr>
          <w:sz w:val="24"/>
          <w:szCs w:val="22"/>
        </w:rPr>
        <w:t xml:space="preserve">Miles </w:t>
      </w:r>
      <w:r w:rsidRPr="00F55091">
        <w:rPr>
          <w:i/>
          <w:sz w:val="24"/>
          <w:szCs w:val="22"/>
        </w:rPr>
        <w:t>et al.</w:t>
      </w:r>
      <w:r w:rsidRPr="008C479E">
        <w:rPr>
          <w:sz w:val="24"/>
          <w:szCs w:val="22"/>
        </w:rPr>
        <w:t>, 1978).</w:t>
      </w:r>
    </w:p>
    <w:p w:rsidR="008C479E" w:rsidRPr="008C479E" w:rsidRDefault="008C479E" w:rsidP="007A0C15">
      <w:pPr>
        <w:suppressAutoHyphens w:val="0"/>
        <w:ind w:firstLine="709"/>
        <w:jc w:val="both"/>
        <w:rPr>
          <w:sz w:val="24"/>
          <w:szCs w:val="22"/>
        </w:rPr>
      </w:pPr>
      <w:r w:rsidRPr="008C479E">
        <w:rPr>
          <w:sz w:val="24"/>
          <w:szCs w:val="22"/>
        </w:rPr>
        <w:t xml:space="preserve">No contexto dos estudos relacionados à gestão de risco, McLaren, Head e Yuan (2004) mencionam a existência de SCG e GRC somente em empresas com aspectos defensores e analisadores. </w:t>
      </w:r>
      <w:proofErr w:type="spellStart"/>
      <w:r w:rsidRPr="008C479E">
        <w:rPr>
          <w:sz w:val="24"/>
          <w:szCs w:val="22"/>
        </w:rPr>
        <w:t>Smallmann</w:t>
      </w:r>
      <w:proofErr w:type="spellEnd"/>
      <w:r w:rsidRPr="008C479E">
        <w:rPr>
          <w:sz w:val="24"/>
          <w:szCs w:val="22"/>
        </w:rPr>
        <w:t xml:space="preserve"> (1996) teoriza que as estruturas de GRC possuem variações entre as tipologias estratégicas de Miles e </w:t>
      </w:r>
      <w:proofErr w:type="spellStart"/>
      <w:r w:rsidRPr="008C479E">
        <w:rPr>
          <w:sz w:val="24"/>
          <w:szCs w:val="22"/>
        </w:rPr>
        <w:t>Snow</w:t>
      </w:r>
      <w:proofErr w:type="spellEnd"/>
      <w:r w:rsidRPr="008C479E">
        <w:rPr>
          <w:sz w:val="24"/>
          <w:szCs w:val="22"/>
        </w:rPr>
        <w:t xml:space="preserve"> (1978), pois pode haver diferença no tipo de definição de limites, na centralização ou descentralização do gerenciamento de risco e na maneira como os riscos são percebidos. </w:t>
      </w:r>
    </w:p>
    <w:p w:rsidR="008C479E" w:rsidRPr="008C479E" w:rsidRDefault="008C479E" w:rsidP="007A0C15">
      <w:pPr>
        <w:suppressAutoHyphens w:val="0"/>
        <w:ind w:firstLine="709"/>
        <w:jc w:val="both"/>
        <w:rPr>
          <w:sz w:val="24"/>
          <w:szCs w:val="22"/>
        </w:rPr>
      </w:pPr>
      <w:r w:rsidRPr="008C479E">
        <w:rPr>
          <w:sz w:val="24"/>
          <w:szCs w:val="22"/>
        </w:rPr>
        <w:t xml:space="preserve">Considerando que as quatro tipologias estabelecidas por Miles e </w:t>
      </w:r>
      <w:proofErr w:type="spellStart"/>
      <w:r w:rsidRPr="008C479E">
        <w:rPr>
          <w:sz w:val="24"/>
          <w:szCs w:val="22"/>
        </w:rPr>
        <w:t>Snow</w:t>
      </w:r>
      <w:proofErr w:type="spellEnd"/>
      <w:r w:rsidRPr="008C479E">
        <w:rPr>
          <w:sz w:val="24"/>
          <w:szCs w:val="22"/>
        </w:rPr>
        <w:t xml:space="preserve"> (1978) </w:t>
      </w:r>
      <w:proofErr w:type="gramStart"/>
      <w:r w:rsidRPr="008C479E">
        <w:rPr>
          <w:sz w:val="24"/>
          <w:szCs w:val="22"/>
        </w:rPr>
        <w:t>diferenciam-se</w:t>
      </w:r>
      <w:proofErr w:type="gramEnd"/>
      <w:r w:rsidRPr="008C479E">
        <w:rPr>
          <w:sz w:val="24"/>
          <w:szCs w:val="22"/>
        </w:rPr>
        <w:t xml:space="preserve"> pela maneira como as organizações respondem aos problemas que compõem o ciclo adaptativo e que a estrutura de GRC pode variar entre cada tipologia estratégica (</w:t>
      </w:r>
      <w:proofErr w:type="spellStart"/>
      <w:r w:rsidRPr="008C479E">
        <w:rPr>
          <w:sz w:val="24"/>
          <w:szCs w:val="22"/>
        </w:rPr>
        <w:t>S</w:t>
      </w:r>
      <w:r w:rsidR="00F55091" w:rsidRPr="008C479E">
        <w:rPr>
          <w:sz w:val="24"/>
          <w:szCs w:val="22"/>
        </w:rPr>
        <w:t>mallmann</w:t>
      </w:r>
      <w:proofErr w:type="spellEnd"/>
      <w:r w:rsidRPr="008C479E">
        <w:rPr>
          <w:sz w:val="24"/>
          <w:szCs w:val="22"/>
        </w:rPr>
        <w:t xml:space="preserve">, 1996), </w:t>
      </w:r>
      <w:r w:rsidR="0046295D">
        <w:rPr>
          <w:sz w:val="24"/>
          <w:szCs w:val="22"/>
        </w:rPr>
        <w:t xml:space="preserve">é </w:t>
      </w:r>
      <w:r w:rsidRPr="008C479E">
        <w:rPr>
          <w:sz w:val="24"/>
          <w:szCs w:val="22"/>
        </w:rPr>
        <w:t>estabelec</w:t>
      </w:r>
      <w:r w:rsidR="0046295D">
        <w:rPr>
          <w:sz w:val="24"/>
          <w:szCs w:val="22"/>
        </w:rPr>
        <w:t>ida</w:t>
      </w:r>
      <w:r w:rsidRPr="008C479E">
        <w:rPr>
          <w:sz w:val="24"/>
          <w:szCs w:val="22"/>
        </w:rPr>
        <w:t xml:space="preserve"> a seguinte hipótese:</w:t>
      </w:r>
    </w:p>
    <w:p w:rsidR="008C479E" w:rsidRPr="008C479E" w:rsidRDefault="008C479E" w:rsidP="007A0C15">
      <w:pPr>
        <w:suppressAutoHyphens w:val="0"/>
        <w:ind w:firstLine="709"/>
        <w:jc w:val="both"/>
        <w:rPr>
          <w:sz w:val="24"/>
          <w:szCs w:val="22"/>
        </w:rPr>
      </w:pPr>
    </w:p>
    <w:p w:rsidR="008C479E" w:rsidRPr="008C479E" w:rsidRDefault="008C479E" w:rsidP="007A0C15">
      <w:pPr>
        <w:suppressAutoHyphens w:val="0"/>
        <w:jc w:val="both"/>
        <w:rPr>
          <w:b/>
          <w:sz w:val="24"/>
          <w:szCs w:val="22"/>
        </w:rPr>
      </w:pPr>
      <w:r w:rsidRPr="008C479E">
        <w:rPr>
          <w:b/>
          <w:sz w:val="24"/>
          <w:szCs w:val="22"/>
        </w:rPr>
        <w:t>H</w:t>
      </w:r>
      <w:r w:rsidRPr="0046295D">
        <w:rPr>
          <w:b/>
          <w:sz w:val="24"/>
          <w:szCs w:val="22"/>
          <w:vertAlign w:val="subscript"/>
        </w:rPr>
        <w:t>2</w:t>
      </w:r>
      <w:r w:rsidRPr="008C479E">
        <w:rPr>
          <w:b/>
          <w:sz w:val="24"/>
          <w:szCs w:val="22"/>
        </w:rPr>
        <w:t xml:space="preserve"> – Há uma associação positiva entre o tipo de estratégia adotada pela organização, tipificada de acordo com os Ciclos Adaptativos de Miles e </w:t>
      </w:r>
      <w:proofErr w:type="spellStart"/>
      <w:r w:rsidRPr="008C479E">
        <w:rPr>
          <w:b/>
          <w:sz w:val="24"/>
          <w:szCs w:val="22"/>
        </w:rPr>
        <w:t>Snow</w:t>
      </w:r>
      <w:proofErr w:type="spellEnd"/>
      <w:r w:rsidRPr="008C479E">
        <w:rPr>
          <w:b/>
          <w:sz w:val="24"/>
          <w:szCs w:val="22"/>
        </w:rPr>
        <w:t xml:space="preserve"> (1978) e os processos de Gestão de Riscos em instituições financeiras.</w:t>
      </w:r>
    </w:p>
    <w:p w:rsidR="008C479E" w:rsidRPr="008C479E" w:rsidRDefault="008C479E" w:rsidP="007A0C15">
      <w:pPr>
        <w:suppressAutoHyphens w:val="0"/>
        <w:jc w:val="both"/>
        <w:rPr>
          <w:b/>
          <w:sz w:val="24"/>
          <w:szCs w:val="22"/>
        </w:rPr>
      </w:pPr>
    </w:p>
    <w:p w:rsidR="008C479E" w:rsidRPr="008C479E" w:rsidRDefault="008C479E" w:rsidP="007A0C15">
      <w:pPr>
        <w:suppressAutoHyphens w:val="0"/>
        <w:ind w:firstLine="709"/>
        <w:jc w:val="both"/>
        <w:rPr>
          <w:sz w:val="24"/>
          <w:szCs w:val="22"/>
        </w:rPr>
      </w:pPr>
      <w:r w:rsidRPr="008C479E">
        <w:rPr>
          <w:sz w:val="24"/>
          <w:szCs w:val="22"/>
        </w:rPr>
        <w:t>O aspecto contingencial define a tecnologia como uma variável que impacta a estrutura organizacional, difere de outros componentes do ambiente e o conhecimento sobre ela pode proporcionar a concepção de controles de gestão (</w:t>
      </w:r>
      <w:proofErr w:type="spellStart"/>
      <w:r w:rsidR="00F55091" w:rsidRPr="008C479E">
        <w:rPr>
          <w:sz w:val="24"/>
          <w:szCs w:val="22"/>
        </w:rPr>
        <w:t>Bhimani</w:t>
      </w:r>
      <w:proofErr w:type="spellEnd"/>
      <w:r w:rsidR="00F55091">
        <w:rPr>
          <w:sz w:val="24"/>
          <w:szCs w:val="22"/>
        </w:rPr>
        <w:t xml:space="preserve"> &amp; </w:t>
      </w:r>
      <w:proofErr w:type="spellStart"/>
      <w:r w:rsidR="00F55091" w:rsidRPr="008C479E">
        <w:rPr>
          <w:sz w:val="24"/>
          <w:szCs w:val="22"/>
        </w:rPr>
        <w:t>Langfield</w:t>
      </w:r>
      <w:proofErr w:type="spellEnd"/>
      <w:r w:rsidR="00F55091">
        <w:rPr>
          <w:sz w:val="24"/>
          <w:szCs w:val="22"/>
        </w:rPr>
        <w:t>-</w:t>
      </w:r>
      <w:r w:rsidR="00F55091" w:rsidRPr="008C479E">
        <w:rPr>
          <w:sz w:val="24"/>
          <w:szCs w:val="22"/>
        </w:rPr>
        <w:t>Smith</w:t>
      </w:r>
      <w:r w:rsidRPr="008C479E">
        <w:rPr>
          <w:sz w:val="24"/>
          <w:szCs w:val="22"/>
        </w:rPr>
        <w:t xml:space="preserve">, 2007). Conforme o processo produtivo, segmento de mercado e estratégia adotada, a tecnologia pode ser simples ou complexa. </w:t>
      </w:r>
      <w:proofErr w:type="spellStart"/>
      <w:r w:rsidRPr="008C479E">
        <w:rPr>
          <w:sz w:val="24"/>
          <w:szCs w:val="22"/>
        </w:rPr>
        <w:t>Chenhall</w:t>
      </w:r>
      <w:proofErr w:type="spellEnd"/>
      <w:r w:rsidRPr="008C479E">
        <w:rPr>
          <w:sz w:val="24"/>
          <w:szCs w:val="22"/>
        </w:rPr>
        <w:t xml:space="preserve"> (2003) menciona que uma tecnologia produtiva complexa requer respostas flexíveis</w:t>
      </w:r>
      <w:r w:rsidR="006A7390">
        <w:rPr>
          <w:sz w:val="24"/>
          <w:szCs w:val="22"/>
        </w:rPr>
        <w:t xml:space="preserve"> e</w:t>
      </w:r>
      <w:r w:rsidRPr="008C479E">
        <w:rPr>
          <w:sz w:val="24"/>
          <w:szCs w:val="22"/>
        </w:rPr>
        <w:t xml:space="preserve"> níveis elevados de comunicação.</w:t>
      </w:r>
      <w:r w:rsidRPr="008C479E" w:rsidDel="00E800DC">
        <w:rPr>
          <w:sz w:val="24"/>
          <w:szCs w:val="22"/>
        </w:rPr>
        <w:t xml:space="preserve"> </w:t>
      </w:r>
    </w:p>
    <w:p w:rsidR="008C479E" w:rsidRPr="008C479E" w:rsidRDefault="008C479E" w:rsidP="007A0C15">
      <w:pPr>
        <w:suppressAutoHyphens w:val="0"/>
        <w:ind w:firstLine="709"/>
        <w:jc w:val="both"/>
        <w:rPr>
          <w:sz w:val="24"/>
          <w:szCs w:val="22"/>
        </w:rPr>
      </w:pPr>
      <w:r w:rsidRPr="008C479E">
        <w:rPr>
          <w:sz w:val="24"/>
          <w:szCs w:val="22"/>
        </w:rPr>
        <w:lastRenderedPageBreak/>
        <w:t>A ocorrência de um ambiente cada vez mais competitivo resulta na prospecção de estratégias de diferenciação que impactam as mudanças presentes na estrutura organizacional, adoção de novas tecnologias de produção e na sofisticação das práticas de contabilidade gerencial (</w:t>
      </w:r>
      <w:proofErr w:type="spellStart"/>
      <w:r w:rsidR="00F55091" w:rsidRPr="008C479E">
        <w:rPr>
          <w:sz w:val="24"/>
          <w:szCs w:val="22"/>
        </w:rPr>
        <w:t>Baines</w:t>
      </w:r>
      <w:proofErr w:type="spellEnd"/>
      <w:r w:rsidR="00F55091">
        <w:rPr>
          <w:sz w:val="24"/>
          <w:szCs w:val="22"/>
        </w:rPr>
        <w:t xml:space="preserve"> &amp;</w:t>
      </w:r>
      <w:r w:rsidR="00F55091" w:rsidRPr="008C479E">
        <w:rPr>
          <w:sz w:val="24"/>
          <w:szCs w:val="22"/>
        </w:rPr>
        <w:t xml:space="preserve"> </w:t>
      </w:r>
      <w:proofErr w:type="spellStart"/>
      <w:r w:rsidR="00F55091" w:rsidRPr="008C479E">
        <w:rPr>
          <w:sz w:val="24"/>
          <w:szCs w:val="22"/>
        </w:rPr>
        <w:t>Langfield</w:t>
      </w:r>
      <w:proofErr w:type="spellEnd"/>
      <w:r w:rsidR="00F55091" w:rsidRPr="008C479E">
        <w:rPr>
          <w:sz w:val="24"/>
          <w:szCs w:val="22"/>
        </w:rPr>
        <w:t>-Smith</w:t>
      </w:r>
      <w:r w:rsidRPr="008C479E">
        <w:rPr>
          <w:sz w:val="24"/>
          <w:szCs w:val="22"/>
        </w:rPr>
        <w:t xml:space="preserve">, 2003). Quanto aos sistemas de controle de risco, Woods (2009) menciona que a variável tecnologia possui efeito na gestão de risco, uma vez que a utilização de </w:t>
      </w:r>
      <w:r w:rsidRPr="008C479E">
        <w:rPr>
          <w:i/>
          <w:sz w:val="24"/>
          <w:szCs w:val="22"/>
        </w:rPr>
        <w:t>softwares</w:t>
      </w:r>
      <w:r w:rsidRPr="008C479E">
        <w:rPr>
          <w:sz w:val="24"/>
          <w:szCs w:val="22"/>
        </w:rPr>
        <w:t xml:space="preserve"> específicos para gerenciar os riscos auxilia seu controle. Neste contexto, </w:t>
      </w:r>
      <w:r w:rsidR="005635CB" w:rsidRPr="008C479E">
        <w:rPr>
          <w:sz w:val="24"/>
          <w:szCs w:val="22"/>
        </w:rPr>
        <w:t>Arena</w:t>
      </w:r>
      <w:r w:rsidR="005635CB">
        <w:rPr>
          <w:sz w:val="24"/>
          <w:szCs w:val="22"/>
        </w:rPr>
        <w:t xml:space="preserve"> </w:t>
      </w:r>
      <w:r w:rsidR="005635CB" w:rsidRPr="005635CB">
        <w:rPr>
          <w:i/>
          <w:sz w:val="24"/>
          <w:szCs w:val="22"/>
        </w:rPr>
        <w:t>et al.</w:t>
      </w:r>
      <w:r w:rsidR="005635CB">
        <w:rPr>
          <w:sz w:val="24"/>
          <w:szCs w:val="22"/>
        </w:rPr>
        <w:t xml:space="preserve"> </w:t>
      </w:r>
      <w:r w:rsidRPr="008C479E">
        <w:rPr>
          <w:sz w:val="24"/>
          <w:szCs w:val="22"/>
        </w:rPr>
        <w:t xml:space="preserve">(2010) relatam que a Gestão de Riscos Corporativos é dependente da tecnologia adotada para sua operacionalização. </w:t>
      </w:r>
    </w:p>
    <w:p w:rsidR="008C479E" w:rsidRPr="008C479E" w:rsidRDefault="008C479E" w:rsidP="007A0C15">
      <w:pPr>
        <w:suppressAutoHyphens w:val="0"/>
        <w:ind w:firstLine="709"/>
        <w:jc w:val="both"/>
        <w:rPr>
          <w:sz w:val="24"/>
          <w:szCs w:val="22"/>
        </w:rPr>
      </w:pPr>
      <w:r w:rsidRPr="008C479E">
        <w:rPr>
          <w:sz w:val="24"/>
          <w:szCs w:val="22"/>
        </w:rPr>
        <w:t>Os estudos evidenciam que a tecnologia é uma variável contingencial que afeta os processos de prestações de serviços (S</w:t>
      </w:r>
      <w:r w:rsidR="00F55091" w:rsidRPr="008C479E">
        <w:rPr>
          <w:sz w:val="24"/>
          <w:szCs w:val="22"/>
        </w:rPr>
        <w:t>tewart</w:t>
      </w:r>
      <w:r w:rsidRPr="008C479E">
        <w:rPr>
          <w:sz w:val="24"/>
          <w:szCs w:val="22"/>
        </w:rPr>
        <w:t>, 2002), influenciando nos sistemas de controle gerencial (W</w:t>
      </w:r>
      <w:r w:rsidR="00F55091" w:rsidRPr="008C479E">
        <w:rPr>
          <w:sz w:val="24"/>
          <w:szCs w:val="22"/>
        </w:rPr>
        <w:t>oods</w:t>
      </w:r>
      <w:r w:rsidRPr="008C479E">
        <w:rPr>
          <w:sz w:val="24"/>
          <w:szCs w:val="22"/>
        </w:rPr>
        <w:t xml:space="preserve">, 2009). Nos estudos de </w:t>
      </w:r>
      <w:r w:rsidR="005635CB" w:rsidRPr="008C479E">
        <w:rPr>
          <w:sz w:val="24"/>
          <w:szCs w:val="22"/>
        </w:rPr>
        <w:t>Arena</w:t>
      </w:r>
      <w:r w:rsidR="005635CB">
        <w:rPr>
          <w:sz w:val="24"/>
          <w:szCs w:val="22"/>
        </w:rPr>
        <w:t xml:space="preserve"> </w:t>
      </w:r>
      <w:r w:rsidR="005635CB" w:rsidRPr="005635CB">
        <w:rPr>
          <w:i/>
          <w:sz w:val="24"/>
          <w:szCs w:val="22"/>
        </w:rPr>
        <w:t>et al.</w:t>
      </w:r>
      <w:r w:rsidR="005635CB">
        <w:rPr>
          <w:sz w:val="24"/>
          <w:szCs w:val="22"/>
        </w:rPr>
        <w:t xml:space="preserve"> </w:t>
      </w:r>
      <w:r w:rsidRPr="008C479E">
        <w:rPr>
          <w:sz w:val="24"/>
          <w:szCs w:val="22"/>
        </w:rPr>
        <w:t xml:space="preserve">(2010) a tecnologia tem efeito positivo sobre o gerenciamento de riscos. Diante </w:t>
      </w:r>
      <w:r w:rsidR="005B19AD">
        <w:rPr>
          <w:sz w:val="24"/>
          <w:szCs w:val="22"/>
        </w:rPr>
        <w:t>disso</w:t>
      </w:r>
      <w:r w:rsidRPr="008C479E">
        <w:rPr>
          <w:sz w:val="24"/>
          <w:szCs w:val="22"/>
        </w:rPr>
        <w:t xml:space="preserve"> se estabelece a seguinte hipótese:</w:t>
      </w:r>
    </w:p>
    <w:p w:rsidR="008C479E" w:rsidRPr="008C479E" w:rsidRDefault="008C479E" w:rsidP="007A0C15">
      <w:pPr>
        <w:suppressAutoHyphens w:val="0"/>
        <w:ind w:firstLine="709"/>
        <w:jc w:val="both"/>
        <w:rPr>
          <w:sz w:val="24"/>
          <w:szCs w:val="22"/>
        </w:rPr>
      </w:pPr>
    </w:p>
    <w:p w:rsidR="00AB2DFE" w:rsidRPr="006A7390" w:rsidRDefault="008C479E" w:rsidP="006A7390">
      <w:pPr>
        <w:suppressAutoHyphens w:val="0"/>
        <w:jc w:val="both"/>
        <w:rPr>
          <w:b/>
          <w:sz w:val="24"/>
          <w:szCs w:val="22"/>
        </w:rPr>
      </w:pPr>
      <w:r w:rsidRPr="008C479E">
        <w:rPr>
          <w:b/>
          <w:sz w:val="24"/>
          <w:szCs w:val="22"/>
        </w:rPr>
        <w:t>H</w:t>
      </w:r>
      <w:r w:rsidR="00AB2DFE" w:rsidRPr="0046295D">
        <w:rPr>
          <w:b/>
          <w:sz w:val="24"/>
          <w:szCs w:val="22"/>
          <w:vertAlign w:val="subscript"/>
        </w:rPr>
        <w:t>3</w:t>
      </w:r>
      <w:r w:rsidRPr="008C479E">
        <w:rPr>
          <w:b/>
          <w:sz w:val="24"/>
          <w:szCs w:val="22"/>
        </w:rPr>
        <w:t xml:space="preserve"> – Há uma associação positiva entre o nível de sofisticação da tecnologia e os processos de Gestão de Riscos em instituições financeiras.</w:t>
      </w:r>
    </w:p>
    <w:p w:rsidR="00AB2DFE" w:rsidRDefault="00AB2DFE" w:rsidP="007A0C15">
      <w:pPr>
        <w:suppressAutoHyphens w:val="0"/>
        <w:jc w:val="both"/>
        <w:rPr>
          <w:sz w:val="24"/>
          <w:szCs w:val="22"/>
        </w:rPr>
      </w:pPr>
    </w:p>
    <w:p w:rsidR="00E317AE" w:rsidRPr="008C479E" w:rsidRDefault="00E317AE" w:rsidP="007A0C15">
      <w:pPr>
        <w:suppressAutoHyphens w:val="0"/>
        <w:ind w:firstLine="708"/>
        <w:jc w:val="both"/>
        <w:rPr>
          <w:sz w:val="24"/>
          <w:szCs w:val="22"/>
        </w:rPr>
      </w:pPr>
      <w:r w:rsidRPr="00E317AE">
        <w:rPr>
          <w:sz w:val="24"/>
          <w:szCs w:val="22"/>
        </w:rPr>
        <w:t>A compreensão do desenvolvimento da Teoria Contingencial, das variáveis contingenciais externas (ambiente) e internas (estratégia</w:t>
      </w:r>
      <w:r w:rsidR="0046295D">
        <w:rPr>
          <w:sz w:val="24"/>
          <w:szCs w:val="22"/>
        </w:rPr>
        <w:t xml:space="preserve"> </w:t>
      </w:r>
      <w:r w:rsidRPr="00E317AE">
        <w:rPr>
          <w:sz w:val="24"/>
          <w:szCs w:val="22"/>
        </w:rPr>
        <w:t xml:space="preserve">e tecnologia), das suas influências no SCG, da abordagem conceitual da GRC existentes na gestão da organização auxilia para </w:t>
      </w:r>
      <w:r w:rsidR="0046295D">
        <w:rPr>
          <w:sz w:val="24"/>
          <w:szCs w:val="22"/>
        </w:rPr>
        <w:t xml:space="preserve">o </w:t>
      </w:r>
      <w:r w:rsidRPr="00E317AE">
        <w:rPr>
          <w:sz w:val="24"/>
          <w:szCs w:val="22"/>
        </w:rPr>
        <w:t>alcan</w:t>
      </w:r>
      <w:r w:rsidR="0046295D">
        <w:rPr>
          <w:sz w:val="24"/>
          <w:szCs w:val="22"/>
        </w:rPr>
        <w:t>ce</w:t>
      </w:r>
      <w:r w:rsidRPr="00E317AE">
        <w:rPr>
          <w:sz w:val="24"/>
          <w:szCs w:val="22"/>
        </w:rPr>
        <w:t xml:space="preserve"> </w:t>
      </w:r>
      <w:r w:rsidR="0046295D">
        <w:rPr>
          <w:sz w:val="24"/>
          <w:szCs w:val="22"/>
        </w:rPr>
        <w:t>d</w:t>
      </w:r>
      <w:r w:rsidRPr="00E317AE">
        <w:rPr>
          <w:sz w:val="24"/>
          <w:szCs w:val="22"/>
        </w:rPr>
        <w:t>o objetivo do estudo.</w:t>
      </w:r>
    </w:p>
    <w:p w:rsidR="008C479E" w:rsidRPr="008C479E" w:rsidRDefault="008C479E" w:rsidP="007A0C15">
      <w:pPr>
        <w:tabs>
          <w:tab w:val="left" w:pos="1641"/>
        </w:tabs>
        <w:suppressAutoHyphens w:val="0"/>
        <w:jc w:val="both"/>
        <w:rPr>
          <w:b/>
        </w:rPr>
      </w:pPr>
      <w:r w:rsidRPr="008C479E">
        <w:rPr>
          <w:b/>
        </w:rPr>
        <w:tab/>
      </w:r>
    </w:p>
    <w:p w:rsidR="008C479E" w:rsidRDefault="00E317AE" w:rsidP="007A0C15">
      <w:pPr>
        <w:suppressAutoHyphens w:val="0"/>
        <w:jc w:val="both"/>
        <w:rPr>
          <w:b/>
          <w:sz w:val="24"/>
          <w:szCs w:val="22"/>
        </w:rPr>
      </w:pPr>
      <w:r w:rsidRPr="00E317AE">
        <w:rPr>
          <w:b/>
          <w:sz w:val="24"/>
          <w:szCs w:val="22"/>
        </w:rPr>
        <w:t>3 Procedimentos Metodológicos</w:t>
      </w:r>
    </w:p>
    <w:p w:rsidR="002A48C4" w:rsidRPr="007A0C15" w:rsidRDefault="00E317AE" w:rsidP="0046295D">
      <w:pPr>
        <w:suppressAutoHyphens w:val="0"/>
        <w:jc w:val="both"/>
        <w:rPr>
          <w:sz w:val="24"/>
          <w:szCs w:val="22"/>
        </w:rPr>
      </w:pPr>
      <w:r>
        <w:rPr>
          <w:sz w:val="24"/>
          <w:szCs w:val="22"/>
        </w:rPr>
        <w:tab/>
        <w:t xml:space="preserve">A pesquisa caracteriza-se como descritiva, </w:t>
      </w:r>
      <w:r w:rsidR="0046295D">
        <w:rPr>
          <w:sz w:val="24"/>
          <w:szCs w:val="22"/>
        </w:rPr>
        <w:t xml:space="preserve">quantitativa e </w:t>
      </w:r>
      <w:proofErr w:type="spellStart"/>
      <w:r w:rsidRPr="0046295D">
        <w:rPr>
          <w:i/>
          <w:sz w:val="24"/>
          <w:szCs w:val="22"/>
        </w:rPr>
        <w:t>survey</w:t>
      </w:r>
      <w:proofErr w:type="spellEnd"/>
      <w:r>
        <w:rPr>
          <w:sz w:val="24"/>
          <w:szCs w:val="22"/>
        </w:rPr>
        <w:t>.</w:t>
      </w:r>
      <w:r w:rsidR="007A0C15">
        <w:rPr>
          <w:sz w:val="24"/>
          <w:szCs w:val="22"/>
        </w:rPr>
        <w:t xml:space="preserve"> </w:t>
      </w:r>
      <w:r w:rsidR="002A48C4" w:rsidRPr="002A48C4">
        <w:rPr>
          <w:sz w:val="24"/>
          <w:szCs w:val="22"/>
        </w:rPr>
        <w:t>A população compreende</w:t>
      </w:r>
      <w:r w:rsidR="0046295D">
        <w:rPr>
          <w:sz w:val="24"/>
          <w:szCs w:val="22"/>
        </w:rPr>
        <w:t>u</w:t>
      </w:r>
      <w:r w:rsidR="002A48C4" w:rsidRPr="002A48C4">
        <w:rPr>
          <w:sz w:val="24"/>
          <w:szCs w:val="22"/>
        </w:rPr>
        <w:t xml:space="preserve"> as agências bancárias localizadas em território brasileiro cadastradas no Banco Central, </w:t>
      </w:r>
      <w:r w:rsidR="0046295D">
        <w:rPr>
          <w:sz w:val="24"/>
          <w:szCs w:val="22"/>
        </w:rPr>
        <w:t xml:space="preserve">que </w:t>
      </w:r>
      <w:r w:rsidR="002A48C4" w:rsidRPr="002A48C4">
        <w:rPr>
          <w:sz w:val="24"/>
          <w:szCs w:val="22"/>
        </w:rPr>
        <w:t>atua</w:t>
      </w:r>
      <w:r w:rsidR="0046295D">
        <w:rPr>
          <w:sz w:val="24"/>
          <w:szCs w:val="22"/>
        </w:rPr>
        <w:t xml:space="preserve">vam </w:t>
      </w:r>
      <w:r w:rsidR="002A48C4" w:rsidRPr="002A48C4">
        <w:rPr>
          <w:sz w:val="24"/>
          <w:szCs w:val="22"/>
        </w:rPr>
        <w:t xml:space="preserve">nos segmentos de banco múltiplo e banco comercial, </w:t>
      </w:r>
      <w:r w:rsidR="0046295D">
        <w:rPr>
          <w:sz w:val="24"/>
          <w:szCs w:val="22"/>
        </w:rPr>
        <w:t xml:space="preserve">sendo </w:t>
      </w:r>
      <w:r w:rsidR="002A48C4" w:rsidRPr="002A48C4">
        <w:rPr>
          <w:sz w:val="24"/>
          <w:szCs w:val="22"/>
        </w:rPr>
        <w:t xml:space="preserve">contatados os gerentes das agências. </w:t>
      </w:r>
      <w:r w:rsidR="005B19AD">
        <w:rPr>
          <w:sz w:val="24"/>
          <w:szCs w:val="22"/>
        </w:rPr>
        <w:t>Já a</w:t>
      </w:r>
      <w:r w:rsidR="002A48C4" w:rsidRPr="002A48C4">
        <w:rPr>
          <w:sz w:val="24"/>
          <w:szCs w:val="22"/>
        </w:rPr>
        <w:t xml:space="preserve"> amostra foi </w:t>
      </w:r>
      <w:r w:rsidR="005B19AD">
        <w:rPr>
          <w:sz w:val="24"/>
          <w:szCs w:val="22"/>
        </w:rPr>
        <w:t xml:space="preserve">de </w:t>
      </w:r>
      <w:r w:rsidR="002A48C4" w:rsidRPr="002A48C4">
        <w:rPr>
          <w:sz w:val="24"/>
          <w:szCs w:val="22"/>
        </w:rPr>
        <w:t>77 questionários respondidos, constituído por meio de amostragem aleatória, sendo os gerentes das instituições financeiras</w:t>
      </w:r>
      <w:r w:rsidR="0046295D">
        <w:rPr>
          <w:sz w:val="24"/>
          <w:szCs w:val="22"/>
        </w:rPr>
        <w:t>,</w:t>
      </w:r>
      <w:r w:rsidR="002A48C4" w:rsidRPr="002A48C4">
        <w:rPr>
          <w:sz w:val="24"/>
          <w:szCs w:val="22"/>
        </w:rPr>
        <w:t xml:space="preserve"> o público alvo. No </w:t>
      </w:r>
      <w:r w:rsidR="002A48C4" w:rsidRPr="007A0C15">
        <w:rPr>
          <w:sz w:val="24"/>
          <w:szCs w:val="22"/>
        </w:rPr>
        <w:t>constructo da pesquisa apresenta</w:t>
      </w:r>
      <w:r w:rsidR="0046295D">
        <w:rPr>
          <w:sz w:val="24"/>
          <w:szCs w:val="22"/>
        </w:rPr>
        <w:t>do</w:t>
      </w:r>
      <w:r w:rsidR="002A48C4" w:rsidRPr="007A0C15">
        <w:rPr>
          <w:sz w:val="24"/>
          <w:szCs w:val="22"/>
        </w:rPr>
        <w:t xml:space="preserve"> </w:t>
      </w:r>
      <w:r w:rsidR="0046295D">
        <w:rPr>
          <w:sz w:val="24"/>
          <w:szCs w:val="22"/>
        </w:rPr>
        <w:t>n</w:t>
      </w:r>
      <w:r w:rsidR="00516DC4">
        <w:rPr>
          <w:sz w:val="24"/>
          <w:szCs w:val="22"/>
        </w:rPr>
        <w:t>a</w:t>
      </w:r>
      <w:r w:rsidR="0046295D">
        <w:rPr>
          <w:sz w:val="24"/>
          <w:szCs w:val="22"/>
        </w:rPr>
        <w:t xml:space="preserve"> </w:t>
      </w:r>
      <w:r w:rsidR="000D74BF">
        <w:rPr>
          <w:sz w:val="24"/>
          <w:szCs w:val="22"/>
        </w:rPr>
        <w:t>Tabela</w:t>
      </w:r>
      <w:r w:rsidR="0046295D">
        <w:rPr>
          <w:sz w:val="24"/>
          <w:szCs w:val="22"/>
        </w:rPr>
        <w:t xml:space="preserve"> 1 a seguir, tem-se </w:t>
      </w:r>
      <w:r w:rsidR="002A48C4" w:rsidRPr="007A0C15">
        <w:rPr>
          <w:sz w:val="24"/>
          <w:szCs w:val="22"/>
        </w:rPr>
        <w:t>o conjunto de variáveis.</w:t>
      </w:r>
    </w:p>
    <w:p w:rsidR="00495603" w:rsidRPr="007A0C15" w:rsidRDefault="00495603" w:rsidP="007A0C15">
      <w:pPr>
        <w:suppressAutoHyphens w:val="0"/>
        <w:jc w:val="both"/>
        <w:rPr>
          <w:sz w:val="24"/>
          <w:szCs w:val="22"/>
        </w:rPr>
      </w:pPr>
    </w:p>
    <w:p w:rsidR="007A0C15" w:rsidRPr="007A0C15" w:rsidRDefault="000D74BF" w:rsidP="007A0C15">
      <w:pPr>
        <w:suppressAutoHyphens w:val="0"/>
        <w:jc w:val="both"/>
        <w:rPr>
          <w:b/>
          <w:szCs w:val="24"/>
        </w:rPr>
      </w:pPr>
      <w:bookmarkStart w:id="1" w:name="_Toc480237477"/>
      <w:r>
        <w:rPr>
          <w:b/>
          <w:szCs w:val="24"/>
        </w:rPr>
        <w:t>Tabela</w:t>
      </w:r>
      <w:r w:rsidR="00495603" w:rsidRPr="00495603">
        <w:rPr>
          <w:b/>
          <w:szCs w:val="24"/>
        </w:rPr>
        <w:t xml:space="preserve"> </w:t>
      </w:r>
      <w:r w:rsidR="007A0C15" w:rsidRPr="007A0C15">
        <w:rPr>
          <w:b/>
          <w:szCs w:val="24"/>
        </w:rPr>
        <w:t>1</w:t>
      </w:r>
    </w:p>
    <w:p w:rsidR="00495603" w:rsidRPr="00495603" w:rsidRDefault="00495603" w:rsidP="007A0C15">
      <w:pPr>
        <w:suppressAutoHyphens w:val="0"/>
        <w:jc w:val="both"/>
        <w:rPr>
          <w:szCs w:val="24"/>
        </w:rPr>
      </w:pPr>
      <w:r w:rsidRPr="00495603">
        <w:rPr>
          <w:szCs w:val="24"/>
        </w:rPr>
        <w:t>Constructo da pesquisa</w:t>
      </w:r>
      <w:bookmarkEnd w:id="1"/>
    </w:p>
    <w:tbl>
      <w:tblPr>
        <w:tblW w:w="5000" w:type="pct"/>
        <w:tblCellMar>
          <w:left w:w="70" w:type="dxa"/>
          <w:right w:w="70" w:type="dxa"/>
        </w:tblCellMar>
        <w:tblLook w:val="04A0" w:firstRow="1" w:lastRow="0" w:firstColumn="1" w:lastColumn="0" w:noHBand="0" w:noVBand="1"/>
      </w:tblPr>
      <w:tblGrid>
        <w:gridCol w:w="2138"/>
        <w:gridCol w:w="3734"/>
        <w:gridCol w:w="3178"/>
      </w:tblGrid>
      <w:tr w:rsidR="00495603" w:rsidRPr="00495603" w:rsidTr="0046295D">
        <w:trPr>
          <w:trHeight w:val="20"/>
        </w:trPr>
        <w:tc>
          <w:tcPr>
            <w:tcW w:w="1181" w:type="pct"/>
            <w:tcBorders>
              <w:top w:val="single" w:sz="8" w:space="0" w:color="auto"/>
              <w:left w:val="single" w:sz="4" w:space="0" w:color="auto"/>
              <w:bottom w:val="single" w:sz="8" w:space="0" w:color="auto"/>
              <w:right w:val="single" w:sz="4" w:space="0" w:color="auto"/>
            </w:tcBorders>
            <w:shd w:val="clear" w:color="auto" w:fill="D9D9D9" w:themeFill="background1" w:themeFillShade="D9"/>
            <w:noWrap/>
            <w:vAlign w:val="center"/>
            <w:hideMark/>
          </w:tcPr>
          <w:p w:rsidR="00495603" w:rsidRPr="00495603" w:rsidRDefault="00495603" w:rsidP="007A0C15">
            <w:pPr>
              <w:suppressAutoHyphens w:val="0"/>
              <w:jc w:val="center"/>
              <w:rPr>
                <w:b/>
                <w:bCs/>
              </w:rPr>
            </w:pPr>
            <w:r w:rsidRPr="00495603">
              <w:rPr>
                <w:b/>
                <w:bCs/>
              </w:rPr>
              <w:t>Categoria</w:t>
            </w:r>
          </w:p>
        </w:tc>
        <w:tc>
          <w:tcPr>
            <w:tcW w:w="2063" w:type="pct"/>
            <w:tcBorders>
              <w:top w:val="single" w:sz="8" w:space="0" w:color="auto"/>
              <w:left w:val="nil"/>
              <w:bottom w:val="single" w:sz="8" w:space="0" w:color="auto"/>
              <w:right w:val="single" w:sz="4" w:space="0" w:color="auto"/>
            </w:tcBorders>
            <w:shd w:val="clear" w:color="auto" w:fill="D9D9D9" w:themeFill="background1" w:themeFillShade="D9"/>
            <w:noWrap/>
            <w:vAlign w:val="center"/>
            <w:hideMark/>
          </w:tcPr>
          <w:p w:rsidR="00495603" w:rsidRPr="00495603" w:rsidRDefault="00495603" w:rsidP="007A0C15">
            <w:pPr>
              <w:suppressAutoHyphens w:val="0"/>
              <w:jc w:val="center"/>
              <w:rPr>
                <w:b/>
                <w:bCs/>
              </w:rPr>
            </w:pPr>
            <w:r w:rsidRPr="00495603">
              <w:rPr>
                <w:b/>
                <w:bCs/>
              </w:rPr>
              <w:t>Subcategoria</w:t>
            </w:r>
          </w:p>
        </w:tc>
        <w:tc>
          <w:tcPr>
            <w:tcW w:w="1756" w:type="pct"/>
            <w:tcBorders>
              <w:top w:val="single" w:sz="8" w:space="0" w:color="auto"/>
              <w:left w:val="nil"/>
              <w:bottom w:val="single" w:sz="8" w:space="0" w:color="auto"/>
              <w:right w:val="single" w:sz="8" w:space="0" w:color="auto"/>
            </w:tcBorders>
            <w:shd w:val="clear" w:color="auto" w:fill="D9D9D9" w:themeFill="background1" w:themeFillShade="D9"/>
            <w:noWrap/>
            <w:vAlign w:val="center"/>
            <w:hideMark/>
          </w:tcPr>
          <w:p w:rsidR="00495603" w:rsidRPr="00495603" w:rsidRDefault="00495603" w:rsidP="007A0C15">
            <w:pPr>
              <w:suppressAutoHyphens w:val="0"/>
              <w:jc w:val="center"/>
              <w:rPr>
                <w:b/>
                <w:bCs/>
              </w:rPr>
            </w:pPr>
            <w:r w:rsidRPr="00495603">
              <w:rPr>
                <w:b/>
                <w:bCs/>
              </w:rPr>
              <w:t>Fontes</w:t>
            </w:r>
          </w:p>
        </w:tc>
      </w:tr>
      <w:tr w:rsidR="00495603" w:rsidRPr="00680EE8" w:rsidTr="0046295D">
        <w:trPr>
          <w:trHeight w:val="20"/>
        </w:trPr>
        <w:tc>
          <w:tcPr>
            <w:tcW w:w="1181" w:type="pct"/>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495603" w:rsidRPr="00495603" w:rsidRDefault="00495603" w:rsidP="007A0C15">
            <w:pPr>
              <w:suppressAutoHyphens w:val="0"/>
              <w:jc w:val="center"/>
            </w:pPr>
            <w:r w:rsidRPr="00495603">
              <w:t>Ambiente (AMB)</w:t>
            </w:r>
          </w:p>
        </w:tc>
        <w:tc>
          <w:tcPr>
            <w:tcW w:w="2063" w:type="pct"/>
            <w:tcBorders>
              <w:top w:val="single" w:sz="8" w:space="0" w:color="auto"/>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Estabilidade do ambiente</w:t>
            </w:r>
          </w:p>
        </w:tc>
        <w:tc>
          <w:tcPr>
            <w:tcW w:w="1756" w:type="pct"/>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rsidR="00495603" w:rsidRPr="00680EE8" w:rsidRDefault="00495603" w:rsidP="007A0C15">
            <w:pPr>
              <w:suppressAutoHyphens w:val="0"/>
              <w:jc w:val="center"/>
            </w:pPr>
            <w:r w:rsidRPr="00495603">
              <w:rPr>
                <w:lang w:val="es-MX"/>
              </w:rPr>
              <w:t xml:space="preserve">Duncan (1972); Gordon e </w:t>
            </w:r>
            <w:proofErr w:type="spellStart"/>
            <w:r w:rsidRPr="00495603">
              <w:rPr>
                <w:lang w:val="es-MX"/>
              </w:rPr>
              <w:t>Narayanan</w:t>
            </w:r>
            <w:proofErr w:type="spellEnd"/>
            <w:r w:rsidRPr="00495603">
              <w:rPr>
                <w:lang w:val="es-MX"/>
              </w:rPr>
              <w:t xml:space="preserve"> (1984); </w:t>
            </w:r>
            <w:proofErr w:type="spellStart"/>
            <w:r w:rsidRPr="00680EE8">
              <w:t>Hoque</w:t>
            </w:r>
            <w:proofErr w:type="spellEnd"/>
            <w:r w:rsidRPr="00680EE8">
              <w:t xml:space="preserve"> (2004); Silva (2013)</w:t>
            </w: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680EE8"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Produtos e serviços</w:t>
            </w:r>
          </w:p>
        </w:tc>
        <w:tc>
          <w:tcPr>
            <w:tcW w:w="1756" w:type="pct"/>
            <w:vMerge/>
            <w:tcBorders>
              <w:top w:val="nil"/>
              <w:left w:val="single" w:sz="4" w:space="0" w:color="auto"/>
              <w:bottom w:val="single" w:sz="4" w:space="0" w:color="auto"/>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Ações dos concorrentes</w:t>
            </w:r>
          </w:p>
        </w:tc>
        <w:tc>
          <w:tcPr>
            <w:tcW w:w="1756" w:type="pct"/>
            <w:vMerge/>
            <w:tcBorders>
              <w:top w:val="nil"/>
              <w:left w:val="single" w:sz="4" w:space="0" w:color="auto"/>
              <w:bottom w:val="single" w:sz="4" w:space="0" w:color="auto"/>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Preferência dos consumidores</w:t>
            </w:r>
          </w:p>
        </w:tc>
        <w:tc>
          <w:tcPr>
            <w:tcW w:w="1756" w:type="pct"/>
            <w:vMerge/>
            <w:tcBorders>
              <w:top w:val="nil"/>
              <w:left w:val="single" w:sz="4" w:space="0" w:color="auto"/>
              <w:bottom w:val="single" w:sz="4" w:space="0" w:color="auto"/>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Competitividade do setor</w:t>
            </w:r>
          </w:p>
        </w:tc>
        <w:tc>
          <w:tcPr>
            <w:tcW w:w="1756" w:type="pct"/>
            <w:vMerge/>
            <w:tcBorders>
              <w:top w:val="nil"/>
              <w:left w:val="single" w:sz="4" w:space="0" w:color="auto"/>
              <w:bottom w:val="single" w:sz="4" w:space="0" w:color="auto"/>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Restrições regulamentares</w:t>
            </w:r>
          </w:p>
        </w:tc>
        <w:tc>
          <w:tcPr>
            <w:tcW w:w="1756" w:type="pct"/>
            <w:vMerge/>
            <w:tcBorders>
              <w:top w:val="nil"/>
              <w:left w:val="single" w:sz="4" w:space="0" w:color="auto"/>
              <w:bottom w:val="single" w:sz="4" w:space="0" w:color="auto"/>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nil"/>
              <w:right w:val="single" w:sz="4" w:space="0" w:color="auto"/>
            </w:tcBorders>
            <w:shd w:val="clear" w:color="auto" w:fill="auto"/>
            <w:noWrap/>
            <w:vAlign w:val="center"/>
            <w:hideMark/>
          </w:tcPr>
          <w:p w:rsidR="00495603" w:rsidRPr="00495603" w:rsidRDefault="00495603" w:rsidP="007A0C15">
            <w:pPr>
              <w:suppressAutoHyphens w:val="0"/>
              <w:jc w:val="center"/>
            </w:pPr>
            <w:r w:rsidRPr="00495603">
              <w:t>Recursos humanos</w:t>
            </w:r>
          </w:p>
        </w:tc>
        <w:tc>
          <w:tcPr>
            <w:tcW w:w="1756" w:type="pct"/>
            <w:vMerge/>
            <w:tcBorders>
              <w:top w:val="nil"/>
              <w:left w:val="single" w:sz="4" w:space="0" w:color="auto"/>
              <w:bottom w:val="single" w:sz="4" w:space="0" w:color="auto"/>
              <w:right w:val="single" w:sz="8" w:space="0" w:color="auto"/>
            </w:tcBorders>
            <w:vAlign w:val="center"/>
            <w:hideMark/>
          </w:tcPr>
          <w:p w:rsidR="00495603" w:rsidRPr="00495603" w:rsidRDefault="00495603" w:rsidP="007A0C15">
            <w:pPr>
              <w:suppressAutoHyphens w:val="0"/>
            </w:pPr>
          </w:p>
        </w:tc>
      </w:tr>
      <w:tr w:rsidR="00495603" w:rsidRPr="00F60535" w:rsidTr="0046295D">
        <w:trPr>
          <w:trHeight w:val="20"/>
        </w:trPr>
        <w:tc>
          <w:tcPr>
            <w:tcW w:w="1181" w:type="pct"/>
            <w:vMerge w:val="restart"/>
            <w:tcBorders>
              <w:top w:val="nil"/>
              <w:left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Estratégia (EST)</w:t>
            </w:r>
          </w:p>
        </w:tc>
        <w:tc>
          <w:tcPr>
            <w:tcW w:w="2063" w:type="pct"/>
            <w:tcBorders>
              <w:top w:val="single" w:sz="4" w:space="0" w:color="auto"/>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Defensor</w:t>
            </w:r>
          </w:p>
        </w:tc>
        <w:tc>
          <w:tcPr>
            <w:tcW w:w="1756" w:type="pct"/>
            <w:vMerge w:val="restart"/>
            <w:tcBorders>
              <w:top w:val="nil"/>
              <w:left w:val="single" w:sz="4" w:space="0" w:color="auto"/>
              <w:right w:val="single" w:sz="8" w:space="0" w:color="auto"/>
            </w:tcBorders>
            <w:shd w:val="clear" w:color="auto" w:fill="auto"/>
            <w:vAlign w:val="center"/>
            <w:hideMark/>
          </w:tcPr>
          <w:p w:rsidR="00495603" w:rsidRPr="00B14DB4" w:rsidRDefault="00495603" w:rsidP="007A0C15">
            <w:pPr>
              <w:suppressAutoHyphens w:val="0"/>
              <w:jc w:val="center"/>
              <w:rPr>
                <w:lang w:val="en-US"/>
              </w:rPr>
            </w:pPr>
            <w:r w:rsidRPr="00B14DB4">
              <w:rPr>
                <w:lang w:val="en-US"/>
              </w:rPr>
              <w:t>Miles e Snow (1978); (2010); Gosselin (2011); Silva (2013)</w:t>
            </w:r>
          </w:p>
        </w:tc>
      </w:tr>
      <w:tr w:rsidR="00495603" w:rsidRPr="00495603" w:rsidTr="0046295D">
        <w:trPr>
          <w:trHeight w:val="20"/>
        </w:trPr>
        <w:tc>
          <w:tcPr>
            <w:tcW w:w="1181" w:type="pct"/>
            <w:vMerge/>
            <w:tcBorders>
              <w:left w:val="single" w:sz="4" w:space="0" w:color="auto"/>
              <w:right w:val="single" w:sz="4" w:space="0" w:color="auto"/>
            </w:tcBorders>
            <w:vAlign w:val="center"/>
            <w:hideMark/>
          </w:tcPr>
          <w:p w:rsidR="00495603" w:rsidRPr="00B14DB4" w:rsidRDefault="00495603" w:rsidP="007A0C15">
            <w:pPr>
              <w:suppressAutoHyphens w:val="0"/>
              <w:rPr>
                <w:lang w:val="en-US"/>
              </w:rPr>
            </w:pP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Prospector</w:t>
            </w:r>
          </w:p>
        </w:tc>
        <w:tc>
          <w:tcPr>
            <w:tcW w:w="1756" w:type="pct"/>
            <w:vMerge/>
            <w:tcBorders>
              <w:left w:val="single" w:sz="4" w:space="0" w:color="auto"/>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vMerge/>
            <w:tcBorders>
              <w:left w:val="single" w:sz="4" w:space="0" w:color="auto"/>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Analisador</w:t>
            </w:r>
          </w:p>
        </w:tc>
        <w:tc>
          <w:tcPr>
            <w:tcW w:w="1756" w:type="pct"/>
            <w:vMerge/>
            <w:tcBorders>
              <w:left w:val="single" w:sz="4" w:space="0" w:color="auto"/>
              <w:right w:val="single" w:sz="8" w:space="0" w:color="auto"/>
            </w:tcBorders>
            <w:vAlign w:val="center"/>
            <w:hideMark/>
          </w:tcPr>
          <w:p w:rsidR="00495603" w:rsidRPr="00495603" w:rsidRDefault="00495603" w:rsidP="007A0C15">
            <w:pPr>
              <w:suppressAutoHyphens w:val="0"/>
              <w:rPr>
                <w:lang w:val="en-US"/>
              </w:rPr>
            </w:pPr>
          </w:p>
        </w:tc>
      </w:tr>
      <w:tr w:rsidR="00495603" w:rsidRPr="00495603" w:rsidTr="0046295D">
        <w:trPr>
          <w:trHeight w:val="20"/>
        </w:trPr>
        <w:tc>
          <w:tcPr>
            <w:tcW w:w="1181" w:type="pct"/>
            <w:vMerge/>
            <w:tcBorders>
              <w:left w:val="single" w:sz="4" w:space="0" w:color="auto"/>
              <w:bottom w:val="single" w:sz="4" w:space="0" w:color="000000"/>
              <w:right w:val="single" w:sz="4" w:space="0" w:color="auto"/>
            </w:tcBorders>
            <w:vAlign w:val="center"/>
          </w:tcPr>
          <w:p w:rsidR="00495603" w:rsidRPr="00495603" w:rsidRDefault="00495603" w:rsidP="007A0C15">
            <w:pPr>
              <w:suppressAutoHyphens w:val="0"/>
              <w:rPr>
                <w:lang w:val="en-US"/>
              </w:rPr>
            </w:pPr>
          </w:p>
        </w:tc>
        <w:tc>
          <w:tcPr>
            <w:tcW w:w="2063" w:type="pct"/>
            <w:tcBorders>
              <w:top w:val="nil"/>
              <w:left w:val="nil"/>
              <w:bottom w:val="single" w:sz="4" w:space="0" w:color="auto"/>
              <w:right w:val="single" w:sz="4" w:space="0" w:color="auto"/>
            </w:tcBorders>
            <w:shd w:val="clear" w:color="auto" w:fill="auto"/>
            <w:noWrap/>
            <w:vAlign w:val="center"/>
          </w:tcPr>
          <w:p w:rsidR="00495603" w:rsidRPr="00495603" w:rsidRDefault="00495603" w:rsidP="007A0C15">
            <w:pPr>
              <w:suppressAutoHyphens w:val="0"/>
              <w:jc w:val="center"/>
            </w:pPr>
            <w:r w:rsidRPr="00495603">
              <w:t>Reator</w:t>
            </w:r>
          </w:p>
        </w:tc>
        <w:tc>
          <w:tcPr>
            <w:tcW w:w="1756" w:type="pct"/>
            <w:vMerge/>
            <w:tcBorders>
              <w:left w:val="single" w:sz="4" w:space="0" w:color="auto"/>
              <w:bottom w:val="single" w:sz="4" w:space="0" w:color="auto"/>
              <w:right w:val="single" w:sz="8" w:space="0" w:color="auto"/>
            </w:tcBorders>
            <w:vAlign w:val="center"/>
          </w:tcPr>
          <w:p w:rsidR="00495603" w:rsidRPr="00495603" w:rsidRDefault="00495603" w:rsidP="007A0C15">
            <w:pPr>
              <w:suppressAutoHyphens w:val="0"/>
            </w:pPr>
          </w:p>
        </w:tc>
      </w:tr>
      <w:tr w:rsidR="00495603" w:rsidRPr="00495603" w:rsidTr="0046295D">
        <w:trPr>
          <w:trHeight w:val="20"/>
        </w:trPr>
        <w:tc>
          <w:tcPr>
            <w:tcW w:w="1181"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495603" w:rsidRPr="00495603" w:rsidRDefault="00495603" w:rsidP="007A0C15">
            <w:pPr>
              <w:suppressAutoHyphens w:val="0"/>
              <w:jc w:val="center"/>
            </w:pPr>
            <w:r w:rsidRPr="00495603">
              <w:t>Tamanho (TAM)</w:t>
            </w: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Número de funcionários</w:t>
            </w:r>
          </w:p>
        </w:tc>
        <w:tc>
          <w:tcPr>
            <w:tcW w:w="1756" w:type="pct"/>
            <w:vMerge w:val="restart"/>
            <w:tcBorders>
              <w:top w:val="nil"/>
              <w:left w:val="single" w:sz="4" w:space="0" w:color="auto"/>
              <w:bottom w:val="single" w:sz="4" w:space="0" w:color="000000"/>
              <w:right w:val="single" w:sz="8" w:space="0" w:color="auto"/>
            </w:tcBorders>
            <w:shd w:val="clear" w:color="auto" w:fill="auto"/>
            <w:vAlign w:val="center"/>
            <w:hideMark/>
          </w:tcPr>
          <w:p w:rsidR="00495603" w:rsidRPr="00495603" w:rsidRDefault="00495603" w:rsidP="007A0C15">
            <w:pPr>
              <w:suppressAutoHyphens w:val="0"/>
              <w:jc w:val="center"/>
            </w:pPr>
            <w:r w:rsidRPr="00495603">
              <w:t>Silva (2013)</w:t>
            </w: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Número de agências</w:t>
            </w:r>
          </w:p>
        </w:tc>
        <w:tc>
          <w:tcPr>
            <w:tcW w:w="1756" w:type="pct"/>
            <w:vMerge/>
            <w:tcBorders>
              <w:top w:val="nil"/>
              <w:left w:val="single" w:sz="4" w:space="0" w:color="auto"/>
              <w:bottom w:val="single" w:sz="4" w:space="0" w:color="000000"/>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Tecnologia (TEC)</w:t>
            </w:r>
          </w:p>
        </w:tc>
        <w:tc>
          <w:tcPr>
            <w:tcW w:w="2063" w:type="pct"/>
            <w:tcBorders>
              <w:top w:val="nil"/>
              <w:left w:val="nil"/>
              <w:bottom w:val="single" w:sz="4" w:space="0" w:color="auto"/>
              <w:right w:val="single" w:sz="4" w:space="0" w:color="auto"/>
            </w:tcBorders>
            <w:shd w:val="clear" w:color="auto" w:fill="auto"/>
            <w:noWrap/>
            <w:vAlign w:val="center"/>
            <w:hideMark/>
          </w:tcPr>
          <w:p w:rsidR="00495603" w:rsidRPr="00495603" w:rsidRDefault="00495603" w:rsidP="007A0C15">
            <w:pPr>
              <w:suppressAutoHyphens w:val="0"/>
              <w:jc w:val="center"/>
            </w:pPr>
            <w:r w:rsidRPr="00495603">
              <w:t>Sofisticação tecnológica</w:t>
            </w:r>
          </w:p>
        </w:tc>
        <w:tc>
          <w:tcPr>
            <w:tcW w:w="1756" w:type="pct"/>
            <w:tcBorders>
              <w:top w:val="nil"/>
              <w:left w:val="nil"/>
              <w:bottom w:val="single" w:sz="4" w:space="0" w:color="auto"/>
              <w:right w:val="single" w:sz="8" w:space="0" w:color="auto"/>
            </w:tcBorders>
            <w:shd w:val="clear" w:color="auto" w:fill="auto"/>
            <w:vAlign w:val="bottom"/>
            <w:hideMark/>
          </w:tcPr>
          <w:p w:rsidR="00495603" w:rsidRPr="00495603" w:rsidRDefault="00495603" w:rsidP="007A0C15">
            <w:pPr>
              <w:suppressAutoHyphens w:val="0"/>
              <w:jc w:val="center"/>
            </w:pPr>
            <w:r w:rsidRPr="00495603">
              <w:t xml:space="preserve">Woods (2009); </w:t>
            </w:r>
            <w:r w:rsidR="005635CB" w:rsidRPr="005635CB">
              <w:t xml:space="preserve">Arena </w:t>
            </w:r>
            <w:r w:rsidR="005635CB" w:rsidRPr="005635CB">
              <w:rPr>
                <w:i/>
              </w:rPr>
              <w:t>et al.</w:t>
            </w:r>
            <w:r w:rsidR="005635CB" w:rsidRPr="005635CB">
              <w:t xml:space="preserve"> </w:t>
            </w:r>
            <w:r w:rsidRPr="00495603">
              <w:t>(2010); Silva (2013)</w:t>
            </w:r>
          </w:p>
        </w:tc>
      </w:tr>
      <w:tr w:rsidR="00495603" w:rsidRPr="00495603" w:rsidTr="0046295D">
        <w:trPr>
          <w:trHeight w:val="174"/>
        </w:trPr>
        <w:tc>
          <w:tcPr>
            <w:tcW w:w="118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95603" w:rsidRPr="00495603" w:rsidRDefault="00495603" w:rsidP="007A0C15">
            <w:pPr>
              <w:suppressAutoHyphens w:val="0"/>
              <w:jc w:val="center"/>
            </w:pPr>
            <w:r w:rsidRPr="00495603">
              <w:lastRenderedPageBreak/>
              <w:t>Controles de Gestão de Risco (GR)</w:t>
            </w:r>
          </w:p>
        </w:tc>
        <w:tc>
          <w:tcPr>
            <w:tcW w:w="2063" w:type="pct"/>
            <w:tcBorders>
              <w:top w:val="single" w:sz="4" w:space="0" w:color="auto"/>
              <w:left w:val="nil"/>
              <w:bottom w:val="single" w:sz="4" w:space="0" w:color="auto"/>
              <w:right w:val="single" w:sz="4" w:space="0" w:color="auto"/>
            </w:tcBorders>
            <w:shd w:val="clear" w:color="auto" w:fill="auto"/>
            <w:vAlign w:val="bottom"/>
            <w:hideMark/>
          </w:tcPr>
          <w:p w:rsidR="00495603" w:rsidRPr="00495603" w:rsidRDefault="00495603" w:rsidP="0046295D">
            <w:pPr>
              <w:suppressAutoHyphens w:val="0"/>
              <w:spacing w:before="120"/>
              <w:jc w:val="center"/>
            </w:pPr>
            <w:r w:rsidRPr="00495603">
              <w:t>Tipos de risco</w:t>
            </w:r>
          </w:p>
        </w:tc>
        <w:tc>
          <w:tcPr>
            <w:tcW w:w="1756" w:type="pct"/>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495603" w:rsidRPr="00495603" w:rsidRDefault="00495603" w:rsidP="007A0C15">
            <w:pPr>
              <w:suppressAutoHyphens w:val="0"/>
              <w:jc w:val="center"/>
            </w:pPr>
            <w:r w:rsidRPr="00495603">
              <w:t>Al-</w:t>
            </w:r>
            <w:proofErr w:type="spellStart"/>
            <w:r w:rsidRPr="00495603">
              <w:t>Tamimi</w:t>
            </w:r>
            <w:proofErr w:type="spellEnd"/>
            <w:r w:rsidRPr="00495603">
              <w:t xml:space="preserve"> e Al-</w:t>
            </w:r>
            <w:proofErr w:type="spellStart"/>
            <w:r w:rsidRPr="00495603">
              <w:t>Mazrooei</w:t>
            </w:r>
            <w:proofErr w:type="spellEnd"/>
            <w:r w:rsidRPr="00495603">
              <w:t xml:space="preserve"> (2007); Coso (2007); Silva (2013).</w:t>
            </w: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vAlign w:val="bottom"/>
            <w:hideMark/>
          </w:tcPr>
          <w:p w:rsidR="00495603" w:rsidRPr="00495603" w:rsidRDefault="00495603" w:rsidP="007A0C15">
            <w:pPr>
              <w:suppressAutoHyphens w:val="0"/>
              <w:jc w:val="center"/>
            </w:pPr>
            <w:r w:rsidRPr="00495603">
              <w:t>Identificação dos riscos</w:t>
            </w:r>
          </w:p>
        </w:tc>
        <w:tc>
          <w:tcPr>
            <w:tcW w:w="1756" w:type="pct"/>
            <w:vMerge/>
            <w:tcBorders>
              <w:top w:val="nil"/>
              <w:left w:val="single" w:sz="4" w:space="0" w:color="auto"/>
              <w:bottom w:val="single" w:sz="4" w:space="0" w:color="000000"/>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vAlign w:val="bottom"/>
            <w:hideMark/>
          </w:tcPr>
          <w:p w:rsidR="00495603" w:rsidRPr="00495603" w:rsidRDefault="00495603" w:rsidP="007A0C15">
            <w:pPr>
              <w:suppressAutoHyphens w:val="0"/>
              <w:jc w:val="center"/>
            </w:pPr>
            <w:r w:rsidRPr="00495603">
              <w:t>Avaliação dos Riscos</w:t>
            </w:r>
          </w:p>
        </w:tc>
        <w:tc>
          <w:tcPr>
            <w:tcW w:w="1756" w:type="pct"/>
            <w:vMerge/>
            <w:tcBorders>
              <w:top w:val="nil"/>
              <w:left w:val="single" w:sz="4" w:space="0" w:color="auto"/>
              <w:bottom w:val="single" w:sz="4" w:space="0" w:color="000000"/>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vAlign w:val="bottom"/>
            <w:hideMark/>
          </w:tcPr>
          <w:p w:rsidR="00495603" w:rsidRPr="00495603" w:rsidRDefault="00495603" w:rsidP="007A0C15">
            <w:pPr>
              <w:suppressAutoHyphens w:val="0"/>
              <w:jc w:val="center"/>
            </w:pPr>
            <w:r w:rsidRPr="00495603">
              <w:t>Resposta aos Riscos</w:t>
            </w:r>
          </w:p>
        </w:tc>
        <w:tc>
          <w:tcPr>
            <w:tcW w:w="1756" w:type="pct"/>
            <w:vMerge/>
            <w:tcBorders>
              <w:top w:val="nil"/>
              <w:left w:val="single" w:sz="4" w:space="0" w:color="auto"/>
              <w:bottom w:val="single" w:sz="4" w:space="0" w:color="000000"/>
              <w:right w:val="single" w:sz="8" w:space="0" w:color="auto"/>
            </w:tcBorders>
            <w:vAlign w:val="center"/>
            <w:hideMark/>
          </w:tcPr>
          <w:p w:rsidR="00495603" w:rsidRPr="00495603" w:rsidRDefault="00495603" w:rsidP="007A0C15">
            <w:pPr>
              <w:suppressAutoHyphens w:val="0"/>
            </w:pPr>
          </w:p>
        </w:tc>
      </w:tr>
      <w:tr w:rsidR="00495603" w:rsidRPr="00495603" w:rsidTr="0046295D">
        <w:trPr>
          <w:trHeight w:val="20"/>
        </w:trPr>
        <w:tc>
          <w:tcPr>
            <w:tcW w:w="1181" w:type="pct"/>
            <w:vMerge/>
            <w:tcBorders>
              <w:top w:val="nil"/>
              <w:left w:val="single" w:sz="4" w:space="0" w:color="auto"/>
              <w:bottom w:val="single" w:sz="4" w:space="0" w:color="000000"/>
              <w:right w:val="single" w:sz="4" w:space="0" w:color="auto"/>
            </w:tcBorders>
            <w:vAlign w:val="center"/>
            <w:hideMark/>
          </w:tcPr>
          <w:p w:rsidR="00495603" w:rsidRPr="00495603" w:rsidRDefault="00495603" w:rsidP="007A0C15">
            <w:pPr>
              <w:suppressAutoHyphens w:val="0"/>
            </w:pPr>
          </w:p>
        </w:tc>
        <w:tc>
          <w:tcPr>
            <w:tcW w:w="2063" w:type="pct"/>
            <w:tcBorders>
              <w:top w:val="nil"/>
              <w:left w:val="nil"/>
              <w:bottom w:val="single" w:sz="4" w:space="0" w:color="auto"/>
              <w:right w:val="single" w:sz="4" w:space="0" w:color="auto"/>
            </w:tcBorders>
            <w:shd w:val="clear" w:color="auto" w:fill="auto"/>
            <w:vAlign w:val="bottom"/>
            <w:hideMark/>
          </w:tcPr>
          <w:p w:rsidR="00495603" w:rsidRPr="00495603" w:rsidRDefault="00495603" w:rsidP="007A0C15">
            <w:pPr>
              <w:suppressAutoHyphens w:val="0"/>
              <w:jc w:val="center"/>
            </w:pPr>
            <w:r w:rsidRPr="00495603">
              <w:t>Comunicação dos Riscos</w:t>
            </w:r>
          </w:p>
        </w:tc>
        <w:tc>
          <w:tcPr>
            <w:tcW w:w="1756" w:type="pct"/>
            <w:vMerge/>
            <w:tcBorders>
              <w:top w:val="nil"/>
              <w:left w:val="single" w:sz="4" w:space="0" w:color="auto"/>
              <w:bottom w:val="single" w:sz="4" w:space="0" w:color="000000"/>
              <w:right w:val="single" w:sz="8" w:space="0" w:color="auto"/>
            </w:tcBorders>
            <w:vAlign w:val="center"/>
            <w:hideMark/>
          </w:tcPr>
          <w:p w:rsidR="00495603" w:rsidRPr="00495603" w:rsidRDefault="00495603" w:rsidP="007A0C15">
            <w:pPr>
              <w:suppressAutoHyphens w:val="0"/>
            </w:pPr>
          </w:p>
        </w:tc>
      </w:tr>
    </w:tbl>
    <w:p w:rsidR="00495603" w:rsidRPr="00495603" w:rsidRDefault="00495603" w:rsidP="007A0C15">
      <w:pPr>
        <w:suppressAutoHyphens w:val="0"/>
        <w:jc w:val="both"/>
      </w:pPr>
      <w:r w:rsidRPr="00495603">
        <w:t>Fonte: Elabora</w:t>
      </w:r>
      <w:r w:rsidR="002F3BC9">
        <w:t>ção</w:t>
      </w:r>
      <w:r w:rsidRPr="00495603">
        <w:t xml:space="preserve"> </w:t>
      </w:r>
      <w:r w:rsidR="002F3BC9">
        <w:t>própria</w:t>
      </w:r>
      <w:r w:rsidRPr="00495603">
        <w:t>.</w:t>
      </w:r>
    </w:p>
    <w:p w:rsidR="00495603" w:rsidRDefault="00495603" w:rsidP="007A0C15">
      <w:pPr>
        <w:suppressAutoHyphens w:val="0"/>
        <w:jc w:val="both"/>
        <w:rPr>
          <w:sz w:val="24"/>
          <w:szCs w:val="22"/>
        </w:rPr>
      </w:pPr>
    </w:p>
    <w:p w:rsidR="007A0C15" w:rsidRDefault="007A0C15" w:rsidP="007A0C15">
      <w:pPr>
        <w:suppressAutoHyphens w:val="0"/>
        <w:ind w:firstLine="709"/>
        <w:jc w:val="both"/>
        <w:rPr>
          <w:sz w:val="24"/>
          <w:szCs w:val="22"/>
        </w:rPr>
      </w:pPr>
      <w:r w:rsidRPr="007A0C15">
        <w:rPr>
          <w:rFonts w:eastAsia="Calibri"/>
          <w:sz w:val="24"/>
          <w:szCs w:val="24"/>
          <w:lang w:eastAsia="en-US"/>
        </w:rPr>
        <w:t xml:space="preserve">Para a coleta dos dados </w:t>
      </w:r>
      <w:r w:rsidRPr="007A0C15">
        <w:rPr>
          <w:sz w:val="24"/>
          <w:szCs w:val="22"/>
        </w:rPr>
        <w:t>elaborou-se o instrumento de pesquisa tendo como base o estudo de Al-</w:t>
      </w:r>
      <w:proofErr w:type="spellStart"/>
      <w:r w:rsidRPr="007A0C15">
        <w:rPr>
          <w:sz w:val="24"/>
          <w:szCs w:val="22"/>
        </w:rPr>
        <w:t>Tamimi</w:t>
      </w:r>
      <w:proofErr w:type="spellEnd"/>
      <w:r w:rsidRPr="007A0C15">
        <w:rPr>
          <w:sz w:val="24"/>
          <w:szCs w:val="22"/>
        </w:rPr>
        <w:t xml:space="preserve"> e Al-</w:t>
      </w:r>
      <w:proofErr w:type="spellStart"/>
      <w:r w:rsidRPr="007A0C15">
        <w:rPr>
          <w:sz w:val="24"/>
          <w:szCs w:val="22"/>
        </w:rPr>
        <w:t>Mazrooei</w:t>
      </w:r>
      <w:proofErr w:type="spellEnd"/>
      <w:r w:rsidRPr="007A0C15">
        <w:rPr>
          <w:sz w:val="24"/>
          <w:szCs w:val="22"/>
        </w:rPr>
        <w:t xml:space="preserve"> (2007) para a coleta de dados relacionada aos aspectos sobre as práticas de gestão de riscos em instituições financeiras.</w:t>
      </w:r>
      <w:r>
        <w:rPr>
          <w:sz w:val="24"/>
          <w:szCs w:val="22"/>
        </w:rPr>
        <w:t xml:space="preserve"> </w:t>
      </w:r>
      <w:r w:rsidRPr="007A0C15">
        <w:rPr>
          <w:sz w:val="24"/>
          <w:szCs w:val="22"/>
        </w:rPr>
        <w:t xml:space="preserve">O questionário final utilizado na coleta de dados </w:t>
      </w:r>
      <w:r>
        <w:rPr>
          <w:sz w:val="24"/>
          <w:szCs w:val="22"/>
        </w:rPr>
        <w:t>foi</w:t>
      </w:r>
      <w:r w:rsidRPr="007A0C15">
        <w:rPr>
          <w:sz w:val="24"/>
          <w:szCs w:val="22"/>
        </w:rPr>
        <w:t xml:space="preserve"> composto por cinco blocos de questões. O primeiro bloco refere-se à caracterização das instituições financeiras participantes do estudo. O segundo bloco contempla a variável ambiente, o terceiro corresponde à variável estratégia, o quarto à variável tecnologia e por fim</w:t>
      </w:r>
      <w:r w:rsidR="0046295D">
        <w:rPr>
          <w:sz w:val="24"/>
          <w:szCs w:val="22"/>
        </w:rPr>
        <w:t>,</w:t>
      </w:r>
      <w:r w:rsidRPr="007A0C15">
        <w:rPr>
          <w:sz w:val="24"/>
          <w:szCs w:val="22"/>
        </w:rPr>
        <w:t xml:space="preserve"> o quinto bloco discorre sobre os controles de gestão de risco.</w:t>
      </w:r>
      <w:r>
        <w:rPr>
          <w:sz w:val="24"/>
          <w:szCs w:val="22"/>
        </w:rPr>
        <w:t xml:space="preserve"> </w:t>
      </w:r>
      <w:r w:rsidRPr="007A0C15">
        <w:rPr>
          <w:sz w:val="24"/>
          <w:szCs w:val="22"/>
        </w:rPr>
        <w:t xml:space="preserve">Logo após a seleção das variáveis utilizadas nestas pesquisas, promoveu-se a tradução do instrumento de pesquisa. </w:t>
      </w:r>
    </w:p>
    <w:p w:rsidR="007A0C15" w:rsidRPr="007A0C15" w:rsidRDefault="007A0C15" w:rsidP="007A0C15">
      <w:pPr>
        <w:suppressAutoHyphens w:val="0"/>
        <w:ind w:firstLine="709"/>
        <w:jc w:val="both"/>
        <w:rPr>
          <w:sz w:val="24"/>
          <w:szCs w:val="22"/>
        </w:rPr>
      </w:pPr>
      <w:r w:rsidRPr="007A0C15">
        <w:rPr>
          <w:sz w:val="24"/>
          <w:szCs w:val="22"/>
        </w:rPr>
        <w:t>A tradução foi revisada por profissional especializado, com experiência na língua inglesa e conhecimento da língua portuguesa.</w:t>
      </w:r>
      <w:r>
        <w:rPr>
          <w:sz w:val="24"/>
          <w:szCs w:val="22"/>
        </w:rPr>
        <w:t xml:space="preserve"> </w:t>
      </w:r>
      <w:r w:rsidRPr="007A0C15">
        <w:rPr>
          <w:sz w:val="24"/>
          <w:szCs w:val="22"/>
        </w:rPr>
        <w:t>A</w:t>
      </w:r>
      <w:r w:rsidR="0046295D">
        <w:rPr>
          <w:sz w:val="24"/>
          <w:szCs w:val="22"/>
        </w:rPr>
        <w:t xml:space="preserve">pós </w:t>
      </w:r>
      <w:r w:rsidRPr="007A0C15">
        <w:rPr>
          <w:sz w:val="24"/>
          <w:szCs w:val="22"/>
        </w:rPr>
        <w:t xml:space="preserve">a tradução, o instrumento de pesquisa foi submetido à apreciação de um professor pesquisador da área de Gestão de Riscos, que atua na contabilidade, sendo este Doutor em Ciências Contábeis e especialista nesta área, para analisar a tradução e verificar a necessidade de eventuais ajustes nas assertivas que compõem o instrumento utilizado. Os ajustes </w:t>
      </w:r>
      <w:r w:rsidR="0046295D">
        <w:rPr>
          <w:sz w:val="24"/>
          <w:szCs w:val="22"/>
        </w:rPr>
        <w:t xml:space="preserve">foram </w:t>
      </w:r>
      <w:r w:rsidRPr="007A0C15">
        <w:rPr>
          <w:sz w:val="24"/>
          <w:szCs w:val="22"/>
        </w:rPr>
        <w:t xml:space="preserve">realizados </w:t>
      </w:r>
      <w:r w:rsidR="0046295D">
        <w:rPr>
          <w:sz w:val="24"/>
          <w:szCs w:val="22"/>
        </w:rPr>
        <w:t xml:space="preserve">e </w:t>
      </w:r>
      <w:r w:rsidRPr="007A0C15">
        <w:rPr>
          <w:sz w:val="24"/>
          <w:szCs w:val="22"/>
        </w:rPr>
        <w:t xml:space="preserve">tiveram como objetivo facilitar a compreensão dos respondentes quanto aos questionamentos realizados. </w:t>
      </w:r>
    </w:p>
    <w:p w:rsidR="007A0C15" w:rsidRPr="007A0C15" w:rsidRDefault="007A0C15" w:rsidP="007A0C15">
      <w:pPr>
        <w:suppressAutoHyphens w:val="0"/>
        <w:ind w:firstLine="709"/>
        <w:jc w:val="both"/>
        <w:rPr>
          <w:sz w:val="24"/>
          <w:szCs w:val="22"/>
        </w:rPr>
      </w:pPr>
      <w:r w:rsidRPr="007A0C15">
        <w:rPr>
          <w:sz w:val="24"/>
          <w:szCs w:val="22"/>
        </w:rPr>
        <w:t xml:space="preserve">Em seguida, realizou-se o pré-teste, em que se buscou validar os constructos investigados a partir da análise do teste de confiabilidade de Alfa de </w:t>
      </w:r>
      <w:proofErr w:type="spellStart"/>
      <w:r w:rsidRPr="007A0C15">
        <w:rPr>
          <w:sz w:val="24"/>
          <w:szCs w:val="22"/>
        </w:rPr>
        <w:t>Cronbach</w:t>
      </w:r>
      <w:proofErr w:type="spellEnd"/>
      <w:r w:rsidRPr="007A0C15">
        <w:rPr>
          <w:sz w:val="24"/>
          <w:szCs w:val="22"/>
        </w:rPr>
        <w:t xml:space="preserve">. </w:t>
      </w:r>
      <w:r w:rsidR="005B19AD">
        <w:rPr>
          <w:sz w:val="24"/>
          <w:szCs w:val="22"/>
        </w:rPr>
        <w:t>O</w:t>
      </w:r>
      <w:r w:rsidRPr="007A0C15">
        <w:rPr>
          <w:sz w:val="24"/>
          <w:szCs w:val="22"/>
        </w:rPr>
        <w:t xml:space="preserve"> instrumento d</w:t>
      </w:r>
      <w:r w:rsidR="005B19AD">
        <w:rPr>
          <w:sz w:val="24"/>
          <w:szCs w:val="22"/>
        </w:rPr>
        <w:t>essa</w:t>
      </w:r>
      <w:r w:rsidRPr="007A0C15">
        <w:rPr>
          <w:sz w:val="24"/>
          <w:szCs w:val="22"/>
        </w:rPr>
        <w:t xml:space="preserve"> pesquisa foi aplicado inicialmente </w:t>
      </w:r>
      <w:r w:rsidR="005B19AD">
        <w:rPr>
          <w:sz w:val="24"/>
          <w:szCs w:val="22"/>
        </w:rPr>
        <w:t xml:space="preserve">à </w:t>
      </w:r>
      <w:r w:rsidRPr="007A0C15">
        <w:rPr>
          <w:sz w:val="24"/>
          <w:szCs w:val="22"/>
        </w:rPr>
        <w:t xml:space="preserve">oito gerentes de diferentes instituições financeiras, que não fizeram parte da amostra final. </w:t>
      </w:r>
      <w:r w:rsidR="005B19AD">
        <w:rPr>
          <w:sz w:val="24"/>
          <w:szCs w:val="22"/>
        </w:rPr>
        <w:t>A partir disso</w:t>
      </w:r>
      <w:r w:rsidRPr="007A0C15">
        <w:rPr>
          <w:sz w:val="24"/>
          <w:szCs w:val="22"/>
        </w:rPr>
        <w:t xml:space="preserve">, realizou-se a tabulação e análise dos dados, validados pelo teste de Alfa de </w:t>
      </w:r>
      <w:proofErr w:type="spellStart"/>
      <w:r w:rsidRPr="007A0C15">
        <w:rPr>
          <w:sz w:val="24"/>
          <w:szCs w:val="22"/>
        </w:rPr>
        <w:t>Cronbach</w:t>
      </w:r>
      <w:proofErr w:type="spellEnd"/>
      <w:r w:rsidRPr="007A0C15">
        <w:rPr>
          <w:sz w:val="24"/>
          <w:szCs w:val="22"/>
        </w:rPr>
        <w:t>. Diante das análises iniciais, constatou-se não haver necessidade de nova adaptação do instrumento de coleta de dados.</w:t>
      </w:r>
    </w:p>
    <w:p w:rsidR="007A0C15" w:rsidRPr="007A0C15" w:rsidRDefault="007A0C15" w:rsidP="007A0C15">
      <w:pPr>
        <w:suppressAutoHyphens w:val="0"/>
        <w:ind w:firstLine="709"/>
        <w:jc w:val="both"/>
        <w:rPr>
          <w:sz w:val="24"/>
          <w:szCs w:val="22"/>
        </w:rPr>
      </w:pPr>
      <w:r w:rsidRPr="007A0C15">
        <w:rPr>
          <w:sz w:val="24"/>
          <w:szCs w:val="22"/>
        </w:rPr>
        <w:t xml:space="preserve">A coleta de dados foi realizada pelo Centro de Estudos e Pesquisas em Administração (CEPA), órgão vinculado à Escola de Administração da Universidade Federal do Rio Grande do Sul (EA/UFRGS). O questionário foi aplicado por dois entrevistadores, por meio telefônico, no decorrer dos meses de outubro a dezembro de 2016. Essa estratégia de coleta de dados já foi usada </w:t>
      </w:r>
      <w:r w:rsidR="005B19AD">
        <w:rPr>
          <w:sz w:val="24"/>
          <w:szCs w:val="22"/>
        </w:rPr>
        <w:t xml:space="preserve">nos estudos de </w:t>
      </w:r>
      <w:proofErr w:type="spellStart"/>
      <w:r w:rsidRPr="007A0C15">
        <w:rPr>
          <w:sz w:val="24"/>
          <w:szCs w:val="22"/>
        </w:rPr>
        <w:t>Chenhall</w:t>
      </w:r>
      <w:proofErr w:type="spellEnd"/>
      <w:r w:rsidRPr="007A0C15">
        <w:rPr>
          <w:sz w:val="24"/>
          <w:szCs w:val="22"/>
        </w:rPr>
        <w:t xml:space="preserve">, </w:t>
      </w:r>
      <w:proofErr w:type="spellStart"/>
      <w:r w:rsidRPr="007A0C15">
        <w:rPr>
          <w:sz w:val="24"/>
          <w:szCs w:val="22"/>
        </w:rPr>
        <w:t>Kallunki</w:t>
      </w:r>
      <w:proofErr w:type="spellEnd"/>
      <w:r w:rsidRPr="007A0C15">
        <w:rPr>
          <w:sz w:val="24"/>
          <w:szCs w:val="22"/>
        </w:rPr>
        <w:t xml:space="preserve"> e </w:t>
      </w:r>
      <w:proofErr w:type="spellStart"/>
      <w:r w:rsidRPr="007A0C15">
        <w:rPr>
          <w:sz w:val="24"/>
          <w:szCs w:val="22"/>
        </w:rPr>
        <w:t>Silvola</w:t>
      </w:r>
      <w:proofErr w:type="spellEnd"/>
      <w:r w:rsidRPr="007A0C15">
        <w:rPr>
          <w:sz w:val="24"/>
          <w:szCs w:val="22"/>
        </w:rPr>
        <w:t xml:space="preserve"> (2011) e </w:t>
      </w:r>
      <w:proofErr w:type="spellStart"/>
      <w:r w:rsidRPr="007A0C15">
        <w:rPr>
          <w:sz w:val="24"/>
          <w:szCs w:val="22"/>
        </w:rPr>
        <w:t>Zonatto</w:t>
      </w:r>
      <w:proofErr w:type="spellEnd"/>
      <w:r w:rsidRPr="007A0C15">
        <w:rPr>
          <w:sz w:val="24"/>
          <w:szCs w:val="22"/>
        </w:rPr>
        <w:t xml:space="preserve"> (2014).</w:t>
      </w:r>
    </w:p>
    <w:p w:rsidR="005B19AD" w:rsidRDefault="0046295D" w:rsidP="005B19AD">
      <w:pPr>
        <w:suppressAutoHyphens w:val="0"/>
        <w:ind w:firstLine="709"/>
        <w:jc w:val="both"/>
        <w:rPr>
          <w:sz w:val="24"/>
          <w:szCs w:val="22"/>
        </w:rPr>
      </w:pPr>
      <w:r>
        <w:rPr>
          <w:sz w:val="24"/>
          <w:szCs w:val="22"/>
        </w:rPr>
        <w:t>Para a análise dos dados, a</w:t>
      </w:r>
      <w:r w:rsidR="007A0C15" w:rsidRPr="007A0C15">
        <w:rPr>
          <w:sz w:val="24"/>
          <w:szCs w:val="22"/>
        </w:rPr>
        <w:t xml:space="preserve"> primeira etapa compreendeu a estatísticas descritivas</w:t>
      </w:r>
      <w:r>
        <w:rPr>
          <w:sz w:val="24"/>
          <w:szCs w:val="22"/>
        </w:rPr>
        <w:t>, a</w:t>
      </w:r>
      <w:r w:rsidR="007A0C15" w:rsidRPr="007A0C15">
        <w:rPr>
          <w:sz w:val="24"/>
          <w:szCs w:val="22"/>
        </w:rPr>
        <w:t xml:space="preserve"> segunda a verificação do coeficiente do Alfa de </w:t>
      </w:r>
      <w:proofErr w:type="spellStart"/>
      <w:r w:rsidR="007A0C15" w:rsidRPr="007A0C15">
        <w:rPr>
          <w:sz w:val="24"/>
          <w:szCs w:val="22"/>
        </w:rPr>
        <w:t>Cronbach</w:t>
      </w:r>
      <w:proofErr w:type="spellEnd"/>
      <w:r w:rsidR="007A0C15" w:rsidRPr="007A0C15">
        <w:rPr>
          <w:sz w:val="24"/>
          <w:szCs w:val="22"/>
        </w:rPr>
        <w:t xml:space="preserve"> para estabelecer a confiabilidade do instrumento de pesquisa.</w:t>
      </w:r>
      <w:r>
        <w:rPr>
          <w:sz w:val="24"/>
          <w:szCs w:val="22"/>
        </w:rPr>
        <w:t xml:space="preserve"> Já a</w:t>
      </w:r>
      <w:r w:rsidR="007A0C15" w:rsidRPr="007A0C15">
        <w:rPr>
          <w:sz w:val="24"/>
          <w:szCs w:val="22"/>
        </w:rPr>
        <w:t xml:space="preserve"> terceira etapa correspondeu a aplicação da análise fatorial para a observação da carga fatorial das perguntas do constructo. Se o constructo de cada variável obtivesse valores abaixo dos critérios estabelecidos para as técnicas de Alfa de </w:t>
      </w:r>
      <w:proofErr w:type="spellStart"/>
      <w:r w:rsidR="007A0C15" w:rsidRPr="007A0C15">
        <w:rPr>
          <w:sz w:val="24"/>
          <w:szCs w:val="22"/>
        </w:rPr>
        <w:t>Cronbach</w:t>
      </w:r>
      <w:proofErr w:type="spellEnd"/>
      <w:r w:rsidR="007A0C15" w:rsidRPr="007A0C15">
        <w:rPr>
          <w:sz w:val="24"/>
          <w:szCs w:val="22"/>
        </w:rPr>
        <w:t xml:space="preserve"> (0,700), as mesmas seriam excluídas. </w:t>
      </w:r>
      <w:r w:rsidR="007A0C15">
        <w:rPr>
          <w:sz w:val="24"/>
          <w:szCs w:val="22"/>
        </w:rPr>
        <w:t>C</w:t>
      </w:r>
      <w:r w:rsidR="007A0C15" w:rsidRPr="007A0C15">
        <w:rPr>
          <w:sz w:val="24"/>
          <w:szCs w:val="22"/>
        </w:rPr>
        <w:t>omo esta pesquisa teve amostra de 77 questionários respondidos, o critério de significância foi de 0,650.</w:t>
      </w:r>
      <w:r w:rsidR="007A0C15">
        <w:rPr>
          <w:sz w:val="24"/>
          <w:szCs w:val="22"/>
        </w:rPr>
        <w:t xml:space="preserve"> </w:t>
      </w:r>
    </w:p>
    <w:p w:rsidR="007A0C15" w:rsidRDefault="007A0C15" w:rsidP="005B19AD">
      <w:pPr>
        <w:suppressAutoHyphens w:val="0"/>
        <w:ind w:firstLine="709"/>
        <w:jc w:val="both"/>
        <w:rPr>
          <w:sz w:val="24"/>
          <w:szCs w:val="22"/>
        </w:rPr>
      </w:pPr>
      <w:r>
        <w:rPr>
          <w:sz w:val="24"/>
          <w:szCs w:val="22"/>
        </w:rPr>
        <w:t>Já n</w:t>
      </w:r>
      <w:r w:rsidRPr="007A0C15">
        <w:rPr>
          <w:sz w:val="24"/>
          <w:szCs w:val="22"/>
        </w:rPr>
        <w:t xml:space="preserve">a quarta etapa foi utilizado o método de correlação canônica para analisar a relação das variáveis contingenciais ambiente, estratégia e tecnologia com os processos de gestão de risco nas instituições financeiras. Os modelos usados para a correlação canônica permitem ao pesquisador identificar, diante de um conjunto de variáveis dependentes, aquela que seja mais fortemente explicada pelo conjunto de variáveis preditoras, sendo conhecidos também por modelos de regressão com múltiplas variáveis dependentes. </w:t>
      </w:r>
      <w:r w:rsidR="003C07C9">
        <w:rPr>
          <w:sz w:val="24"/>
          <w:szCs w:val="22"/>
        </w:rPr>
        <w:t>Por fim, o</w:t>
      </w:r>
      <w:r w:rsidRPr="007A0C15">
        <w:rPr>
          <w:sz w:val="24"/>
          <w:szCs w:val="22"/>
        </w:rPr>
        <w:t xml:space="preserve">s dados foram </w:t>
      </w:r>
      <w:r w:rsidRPr="007A0C15">
        <w:rPr>
          <w:sz w:val="24"/>
          <w:szCs w:val="22"/>
        </w:rPr>
        <w:lastRenderedPageBreak/>
        <w:t>organizados em planilhas eletrônicas e</w:t>
      </w:r>
      <w:r w:rsidR="005B19AD">
        <w:rPr>
          <w:sz w:val="24"/>
          <w:szCs w:val="22"/>
        </w:rPr>
        <w:t>,</w:t>
      </w:r>
      <w:r w:rsidRPr="007A0C15">
        <w:rPr>
          <w:sz w:val="24"/>
          <w:szCs w:val="22"/>
        </w:rPr>
        <w:t xml:space="preserve"> a análise fatorial e correlação canônica foi realizada com o auxílio do</w:t>
      </w:r>
      <w:r w:rsidR="003C07C9">
        <w:rPr>
          <w:sz w:val="24"/>
          <w:szCs w:val="22"/>
        </w:rPr>
        <w:t>s</w:t>
      </w:r>
      <w:r w:rsidRPr="007A0C15">
        <w:rPr>
          <w:sz w:val="24"/>
          <w:szCs w:val="22"/>
        </w:rPr>
        <w:t xml:space="preserve"> software</w:t>
      </w:r>
      <w:r w:rsidR="003C07C9">
        <w:rPr>
          <w:sz w:val="24"/>
          <w:szCs w:val="22"/>
        </w:rPr>
        <w:t>s</w:t>
      </w:r>
      <w:r w:rsidRPr="007A0C15">
        <w:rPr>
          <w:sz w:val="24"/>
          <w:szCs w:val="22"/>
        </w:rPr>
        <w:t xml:space="preserve"> </w:t>
      </w:r>
      <w:proofErr w:type="spellStart"/>
      <w:r w:rsidRPr="007A0C15">
        <w:rPr>
          <w:sz w:val="24"/>
          <w:szCs w:val="22"/>
        </w:rPr>
        <w:t>Stata</w:t>
      </w:r>
      <w:proofErr w:type="spellEnd"/>
      <w:r w:rsidR="003C07C9" w:rsidRPr="0050799D">
        <w:rPr>
          <w:sz w:val="24"/>
          <w:szCs w:val="24"/>
          <w:vertAlign w:val="superscript"/>
        </w:rPr>
        <w:t>®</w:t>
      </w:r>
      <w:r w:rsidRPr="007A0C15">
        <w:rPr>
          <w:sz w:val="24"/>
          <w:szCs w:val="22"/>
        </w:rPr>
        <w:t xml:space="preserve"> e SPSS</w:t>
      </w:r>
      <w:r w:rsidR="003C07C9" w:rsidRPr="0050799D">
        <w:rPr>
          <w:sz w:val="24"/>
          <w:szCs w:val="24"/>
          <w:vertAlign w:val="superscript"/>
        </w:rPr>
        <w:t>®</w:t>
      </w:r>
      <w:r w:rsidRPr="007A0C15">
        <w:rPr>
          <w:sz w:val="24"/>
          <w:szCs w:val="22"/>
        </w:rPr>
        <w:t>.</w:t>
      </w:r>
    </w:p>
    <w:p w:rsidR="007A0C15" w:rsidRDefault="007A0C15" w:rsidP="007A0C15">
      <w:pPr>
        <w:suppressAutoHyphens w:val="0"/>
        <w:jc w:val="both"/>
        <w:rPr>
          <w:sz w:val="24"/>
          <w:szCs w:val="22"/>
        </w:rPr>
      </w:pPr>
    </w:p>
    <w:p w:rsidR="007A0C15" w:rsidRDefault="007A0C15" w:rsidP="007A0C15">
      <w:pPr>
        <w:suppressAutoHyphens w:val="0"/>
        <w:jc w:val="both"/>
        <w:rPr>
          <w:b/>
          <w:sz w:val="24"/>
          <w:szCs w:val="22"/>
        </w:rPr>
      </w:pPr>
      <w:r w:rsidRPr="007A0C15">
        <w:rPr>
          <w:b/>
          <w:sz w:val="24"/>
          <w:szCs w:val="22"/>
        </w:rPr>
        <w:t xml:space="preserve">4 Análise </w:t>
      </w:r>
      <w:r>
        <w:rPr>
          <w:b/>
          <w:sz w:val="24"/>
          <w:szCs w:val="22"/>
        </w:rPr>
        <w:t xml:space="preserve">e interpretação </w:t>
      </w:r>
      <w:r w:rsidRPr="007A0C15">
        <w:rPr>
          <w:b/>
          <w:sz w:val="24"/>
          <w:szCs w:val="22"/>
        </w:rPr>
        <w:t>dos dados</w:t>
      </w:r>
    </w:p>
    <w:p w:rsidR="007A0C15" w:rsidRPr="0035384E" w:rsidRDefault="007A0C15" w:rsidP="0035384E">
      <w:pPr>
        <w:suppressAutoHyphens w:val="0"/>
        <w:jc w:val="both"/>
        <w:rPr>
          <w:rFonts w:eastAsia="Calibri"/>
          <w:sz w:val="24"/>
          <w:szCs w:val="19"/>
          <w:lang w:eastAsia="en-US"/>
        </w:rPr>
      </w:pPr>
      <w:r w:rsidRPr="0035384E">
        <w:rPr>
          <w:sz w:val="24"/>
          <w:szCs w:val="22"/>
        </w:rPr>
        <w:tab/>
      </w:r>
      <w:r w:rsidR="0035384E" w:rsidRPr="0035384E">
        <w:rPr>
          <w:sz w:val="24"/>
          <w:szCs w:val="22"/>
        </w:rPr>
        <w:t>A partir d</w:t>
      </w:r>
      <w:r w:rsidR="0035384E">
        <w:rPr>
          <w:sz w:val="24"/>
          <w:szCs w:val="22"/>
        </w:rPr>
        <w:t xml:space="preserve">esta </w:t>
      </w:r>
      <w:r w:rsidR="0035384E" w:rsidRPr="0035384E">
        <w:rPr>
          <w:sz w:val="24"/>
          <w:szCs w:val="22"/>
        </w:rPr>
        <w:t xml:space="preserve">seção, </w:t>
      </w:r>
      <w:r w:rsidR="0035384E">
        <w:rPr>
          <w:sz w:val="24"/>
          <w:szCs w:val="22"/>
        </w:rPr>
        <w:t>apresenta</w:t>
      </w:r>
      <w:r w:rsidR="0035384E" w:rsidRPr="0035384E">
        <w:rPr>
          <w:sz w:val="24"/>
          <w:szCs w:val="22"/>
        </w:rPr>
        <w:t xml:space="preserve">-se a análise da relação entre as variáveis contingenciais ambiente, estratégia e tecnologia com a gestão de risco das instituições financeiras, conjuntamente </w:t>
      </w:r>
      <w:r w:rsidR="0035384E">
        <w:rPr>
          <w:sz w:val="24"/>
          <w:szCs w:val="22"/>
        </w:rPr>
        <w:t>com a</w:t>
      </w:r>
      <w:r w:rsidR="0035384E" w:rsidRPr="0035384E">
        <w:rPr>
          <w:sz w:val="24"/>
          <w:szCs w:val="22"/>
        </w:rPr>
        <w:t xml:space="preserve"> aplicação dos testes de validade e confiabilidade </w:t>
      </w:r>
      <w:r w:rsidR="0035384E">
        <w:rPr>
          <w:sz w:val="24"/>
          <w:szCs w:val="22"/>
        </w:rPr>
        <w:t>no que tange a</w:t>
      </w:r>
      <w:r w:rsidR="0035384E" w:rsidRPr="0035384E">
        <w:rPr>
          <w:sz w:val="24"/>
          <w:szCs w:val="22"/>
        </w:rPr>
        <w:t>s variáveis investigadas.</w:t>
      </w:r>
      <w:r w:rsidR="0035384E">
        <w:rPr>
          <w:sz w:val="24"/>
          <w:szCs w:val="22"/>
        </w:rPr>
        <w:t xml:space="preserve"> </w:t>
      </w:r>
      <w:r w:rsidRPr="0035384E">
        <w:rPr>
          <w:rFonts w:eastAsia="Calibri"/>
          <w:sz w:val="24"/>
          <w:szCs w:val="19"/>
          <w:lang w:eastAsia="en-US"/>
        </w:rPr>
        <w:t xml:space="preserve">A Tabela </w:t>
      </w:r>
      <w:r w:rsidR="000D74BF">
        <w:rPr>
          <w:rFonts w:eastAsia="Calibri"/>
          <w:sz w:val="24"/>
          <w:szCs w:val="19"/>
          <w:lang w:eastAsia="en-US"/>
        </w:rPr>
        <w:t>2</w:t>
      </w:r>
      <w:r w:rsidRPr="0035384E">
        <w:rPr>
          <w:rFonts w:eastAsia="Calibri"/>
          <w:sz w:val="24"/>
          <w:szCs w:val="19"/>
          <w:lang w:eastAsia="en-US"/>
        </w:rPr>
        <w:t xml:space="preserve">, evidencia os coeficientes canônicos normalizados, utilizados para formar as variáveis canônicas a partir das variáveis originais padronizadas. </w:t>
      </w:r>
    </w:p>
    <w:p w:rsidR="007A0C15" w:rsidRPr="0035384E" w:rsidRDefault="007A0C15" w:rsidP="007A0C15">
      <w:pPr>
        <w:tabs>
          <w:tab w:val="left" w:pos="6032"/>
        </w:tabs>
        <w:suppressAutoHyphens w:val="0"/>
        <w:jc w:val="both"/>
        <w:rPr>
          <w:rFonts w:eastAsia="Calibri"/>
          <w:b/>
          <w:lang w:eastAsia="en-US"/>
        </w:rPr>
      </w:pPr>
    </w:p>
    <w:p w:rsidR="007A0C15" w:rsidRDefault="007A0C15" w:rsidP="007A0C15">
      <w:pPr>
        <w:suppressAutoHyphens w:val="0"/>
        <w:jc w:val="both"/>
        <w:rPr>
          <w:b/>
          <w:szCs w:val="24"/>
        </w:rPr>
      </w:pPr>
      <w:bookmarkStart w:id="2" w:name="_Toc480237554"/>
      <w:r w:rsidRPr="0035384E">
        <w:rPr>
          <w:b/>
          <w:szCs w:val="24"/>
        </w:rPr>
        <w:t xml:space="preserve">Tabela </w:t>
      </w:r>
      <w:r w:rsidR="000D74BF">
        <w:rPr>
          <w:b/>
          <w:szCs w:val="24"/>
        </w:rPr>
        <w:t>2</w:t>
      </w:r>
    </w:p>
    <w:p w:rsidR="007A0C15" w:rsidRPr="007A0C15" w:rsidRDefault="007A0C15" w:rsidP="007A0C15">
      <w:pPr>
        <w:suppressAutoHyphens w:val="0"/>
        <w:jc w:val="both"/>
        <w:rPr>
          <w:szCs w:val="24"/>
        </w:rPr>
      </w:pPr>
      <w:r w:rsidRPr="007A0C15">
        <w:rPr>
          <w:szCs w:val="24"/>
        </w:rPr>
        <w:t>Parâmetros do modelo de correlação canônica</w:t>
      </w:r>
      <w:bookmarkEnd w:id="2"/>
    </w:p>
    <w:tbl>
      <w:tblPr>
        <w:tblW w:w="5003" w:type="pct"/>
        <w:tblCellMar>
          <w:left w:w="70" w:type="dxa"/>
          <w:right w:w="70" w:type="dxa"/>
        </w:tblCellMar>
        <w:tblLook w:val="04A0" w:firstRow="1" w:lastRow="0" w:firstColumn="1" w:lastColumn="0" w:noHBand="0" w:noVBand="1"/>
      </w:tblPr>
      <w:tblGrid>
        <w:gridCol w:w="1296"/>
        <w:gridCol w:w="1301"/>
        <w:gridCol w:w="1297"/>
        <w:gridCol w:w="1295"/>
        <w:gridCol w:w="1293"/>
        <w:gridCol w:w="1257"/>
        <w:gridCol w:w="1331"/>
      </w:tblGrid>
      <w:tr w:rsidR="007A0C15" w:rsidRPr="00785FC5" w:rsidTr="00785FC5">
        <w:trPr>
          <w:trHeight w:val="113"/>
        </w:trPr>
        <w:tc>
          <w:tcPr>
            <w:tcW w:w="714" w:type="pct"/>
            <w:tcBorders>
              <w:top w:val="single" w:sz="12" w:space="0" w:color="auto"/>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717"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coef</w:t>
            </w:r>
            <w:proofErr w:type="spellEnd"/>
            <w:r w:rsidRPr="00785FC5">
              <w:rPr>
                <w:b/>
              </w:rPr>
              <w:t>.</w:t>
            </w:r>
          </w:p>
        </w:tc>
        <w:tc>
          <w:tcPr>
            <w:tcW w:w="715"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Std</w:t>
            </w:r>
            <w:proofErr w:type="spellEnd"/>
            <w:r w:rsidRPr="00785FC5">
              <w:rPr>
                <w:b/>
              </w:rPr>
              <w:t xml:space="preserve">. </w:t>
            </w:r>
            <w:proofErr w:type="spellStart"/>
            <w:r w:rsidRPr="00785FC5">
              <w:rPr>
                <w:b/>
              </w:rPr>
              <w:t>Err</w:t>
            </w:r>
            <w:proofErr w:type="spellEnd"/>
            <w:r w:rsidRPr="00785FC5">
              <w:rPr>
                <w:b/>
              </w:rPr>
              <w:t>.</w:t>
            </w:r>
          </w:p>
        </w:tc>
        <w:tc>
          <w:tcPr>
            <w:tcW w:w="713"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t</w:t>
            </w:r>
          </w:p>
        </w:tc>
        <w:tc>
          <w:tcPr>
            <w:tcW w:w="713"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P&gt;|t|</w:t>
            </w:r>
          </w:p>
        </w:tc>
        <w:tc>
          <w:tcPr>
            <w:tcW w:w="1424" w:type="pct"/>
            <w:gridSpan w:val="2"/>
            <w:tcBorders>
              <w:top w:val="single" w:sz="12" w:space="0" w:color="auto"/>
              <w:left w:val="nil"/>
              <w:bottom w:val="single" w:sz="12"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 xml:space="preserve">[95% Conf. </w:t>
            </w:r>
            <w:proofErr w:type="spellStart"/>
            <w:r w:rsidRPr="00785FC5">
              <w:rPr>
                <w:b/>
              </w:rPr>
              <w:t>Interval</w:t>
            </w:r>
            <w:proofErr w:type="spellEnd"/>
            <w:r w:rsidRPr="00785FC5">
              <w:rPr>
                <w:b/>
              </w:rPr>
              <w:t>]</w:t>
            </w:r>
          </w:p>
        </w:tc>
      </w:tr>
      <w:tr w:rsidR="007A0C15" w:rsidRPr="00785FC5" w:rsidTr="00785FC5">
        <w:trPr>
          <w:trHeight w:val="113"/>
        </w:trPr>
        <w:tc>
          <w:tcPr>
            <w:tcW w:w="714" w:type="pct"/>
            <w:tcBorders>
              <w:top w:val="single" w:sz="12" w:space="0" w:color="auto"/>
              <w:bottom w:val="single" w:sz="4" w:space="0" w:color="auto"/>
              <w:right w:val="single" w:sz="4" w:space="0" w:color="auto"/>
            </w:tcBorders>
            <w:shd w:val="clear" w:color="auto" w:fill="auto"/>
            <w:noWrap/>
            <w:vAlign w:val="bottom"/>
            <w:hideMark/>
          </w:tcPr>
          <w:p w:rsidR="007A0C15" w:rsidRPr="00785FC5" w:rsidRDefault="00E86B25" w:rsidP="003430BE">
            <w:pPr>
              <w:suppressAutoHyphens w:val="0"/>
              <w:jc w:val="center"/>
              <w:rPr>
                <w:b/>
              </w:rPr>
            </w:pPr>
            <m:oMathPara>
              <m:oMath>
                <m:sSub>
                  <m:sSubPr>
                    <m:ctrlPr>
                      <w:rPr>
                        <w:rFonts w:ascii="Cambria Math" w:eastAsia="Calibri" w:hAnsi="Cambria Math"/>
                        <w:b/>
                        <w:i/>
                        <w:lang w:eastAsia="en-US"/>
                      </w:rPr>
                    </m:ctrlPr>
                  </m:sSubPr>
                  <m:e>
                    <m:r>
                      <m:rPr>
                        <m:sty m:val="bi"/>
                      </m:rPr>
                      <w:rPr>
                        <w:rFonts w:ascii="Cambria Math" w:eastAsia="Calibri" w:hAnsi="Cambria Math"/>
                        <w:lang w:eastAsia="en-US"/>
                      </w:rPr>
                      <m:t>U</m:t>
                    </m:r>
                  </m:e>
                  <m:sub>
                    <m:r>
                      <m:rPr>
                        <m:sty m:val="bi"/>
                      </m:rPr>
                      <w:rPr>
                        <w:rFonts w:ascii="Cambria Math" w:eastAsia="Calibri" w:hAnsi="Cambria Math"/>
                        <w:lang w:eastAsia="en-US"/>
                      </w:rPr>
                      <m:t>1</m:t>
                    </m:r>
                  </m:sub>
                </m:sSub>
              </m:oMath>
            </m:oMathPara>
          </w:p>
        </w:tc>
        <w:tc>
          <w:tcPr>
            <w:tcW w:w="717"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715"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693"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730" w:type="pct"/>
            <w:tcBorders>
              <w:top w:val="single" w:sz="12" w:space="0" w:color="auto"/>
              <w:left w:val="nil"/>
              <w:bottom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r>
      <w:tr w:rsidR="007A0C15" w:rsidRPr="00785FC5" w:rsidTr="00785FC5">
        <w:trPr>
          <w:trHeight w:val="113"/>
        </w:trPr>
        <w:tc>
          <w:tcPr>
            <w:tcW w:w="714" w:type="pct"/>
            <w:tcBorders>
              <w:top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Tip</w:t>
            </w:r>
            <w:proofErr w:type="spellEnd"/>
          </w:p>
        </w:tc>
        <w:tc>
          <w:tcPr>
            <w:tcW w:w="717"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0,549</w:t>
            </w:r>
          </w:p>
        </w:tc>
        <w:tc>
          <w:tcPr>
            <w:tcW w:w="715"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0,075</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7,330</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0,000</w:t>
            </w:r>
          </w:p>
        </w:tc>
        <w:tc>
          <w:tcPr>
            <w:tcW w:w="69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0,400</w:t>
            </w:r>
          </w:p>
        </w:tc>
        <w:tc>
          <w:tcPr>
            <w:tcW w:w="730" w:type="pct"/>
            <w:tcBorders>
              <w:top w:val="nil"/>
              <w:left w:val="nil"/>
              <w:bottom w:val="single" w:sz="4" w:space="0" w:color="auto"/>
            </w:tcBorders>
            <w:shd w:val="clear" w:color="auto" w:fill="auto"/>
            <w:noWrap/>
            <w:vAlign w:val="bottom"/>
            <w:hideMark/>
          </w:tcPr>
          <w:p w:rsidR="007A0C15" w:rsidRPr="00785FC5" w:rsidRDefault="007A0C15" w:rsidP="003430BE">
            <w:pPr>
              <w:suppressAutoHyphens w:val="0"/>
              <w:jc w:val="center"/>
            </w:pPr>
            <w:r w:rsidRPr="00785FC5">
              <w:t>0,699</w:t>
            </w:r>
          </w:p>
        </w:tc>
      </w:tr>
      <w:tr w:rsidR="007A0C15" w:rsidRPr="00785FC5" w:rsidTr="00785FC5">
        <w:trPr>
          <w:trHeight w:val="113"/>
        </w:trPr>
        <w:tc>
          <w:tcPr>
            <w:tcW w:w="714" w:type="pct"/>
            <w:tcBorders>
              <w:top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 xml:space="preserve">Ide </w:t>
            </w:r>
          </w:p>
        </w:tc>
        <w:tc>
          <w:tcPr>
            <w:tcW w:w="717"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0,124</w:t>
            </w:r>
          </w:p>
        </w:tc>
        <w:tc>
          <w:tcPr>
            <w:tcW w:w="715"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0,088</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1,400</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0,166</w:t>
            </w:r>
          </w:p>
        </w:tc>
        <w:tc>
          <w:tcPr>
            <w:tcW w:w="69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-0,052</w:t>
            </w:r>
          </w:p>
        </w:tc>
        <w:tc>
          <w:tcPr>
            <w:tcW w:w="730" w:type="pct"/>
            <w:tcBorders>
              <w:top w:val="nil"/>
              <w:left w:val="nil"/>
              <w:bottom w:val="single" w:sz="4" w:space="0" w:color="auto"/>
            </w:tcBorders>
            <w:shd w:val="clear" w:color="auto" w:fill="auto"/>
            <w:noWrap/>
            <w:vAlign w:val="bottom"/>
            <w:hideMark/>
          </w:tcPr>
          <w:p w:rsidR="007A0C15" w:rsidRPr="00785FC5" w:rsidRDefault="007A0C15" w:rsidP="003430BE">
            <w:pPr>
              <w:suppressAutoHyphens w:val="0"/>
              <w:jc w:val="center"/>
            </w:pPr>
            <w:r w:rsidRPr="00785FC5">
              <w:t>0,301</w:t>
            </w:r>
          </w:p>
        </w:tc>
      </w:tr>
      <w:tr w:rsidR="007A0C15" w:rsidRPr="00785FC5" w:rsidTr="00785FC5">
        <w:trPr>
          <w:trHeight w:val="113"/>
        </w:trPr>
        <w:tc>
          <w:tcPr>
            <w:tcW w:w="714" w:type="pct"/>
            <w:tcBorders>
              <w:top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Ava</w:t>
            </w:r>
          </w:p>
        </w:tc>
        <w:tc>
          <w:tcPr>
            <w:tcW w:w="717"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0,234</w:t>
            </w:r>
          </w:p>
        </w:tc>
        <w:tc>
          <w:tcPr>
            <w:tcW w:w="715"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0,090</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2,590</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0,012</w:t>
            </w:r>
          </w:p>
        </w:tc>
        <w:tc>
          <w:tcPr>
            <w:tcW w:w="69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0,054</w:t>
            </w:r>
          </w:p>
        </w:tc>
        <w:tc>
          <w:tcPr>
            <w:tcW w:w="730" w:type="pct"/>
            <w:tcBorders>
              <w:top w:val="nil"/>
              <w:left w:val="nil"/>
              <w:bottom w:val="single" w:sz="4" w:space="0" w:color="auto"/>
            </w:tcBorders>
            <w:shd w:val="clear" w:color="auto" w:fill="auto"/>
            <w:noWrap/>
            <w:vAlign w:val="bottom"/>
            <w:hideMark/>
          </w:tcPr>
          <w:p w:rsidR="007A0C15" w:rsidRPr="00785FC5" w:rsidRDefault="007A0C15" w:rsidP="003430BE">
            <w:pPr>
              <w:suppressAutoHyphens w:val="0"/>
              <w:jc w:val="center"/>
            </w:pPr>
            <w:r w:rsidRPr="00785FC5">
              <w:t>0,415</w:t>
            </w:r>
          </w:p>
        </w:tc>
      </w:tr>
      <w:tr w:rsidR="007A0C15" w:rsidRPr="00785FC5" w:rsidTr="00785FC5">
        <w:trPr>
          <w:trHeight w:val="113"/>
        </w:trPr>
        <w:tc>
          <w:tcPr>
            <w:tcW w:w="714" w:type="pct"/>
            <w:tcBorders>
              <w:top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Resp</w:t>
            </w:r>
            <w:proofErr w:type="spellEnd"/>
          </w:p>
        </w:tc>
        <w:tc>
          <w:tcPr>
            <w:tcW w:w="717"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0,121</w:t>
            </w:r>
          </w:p>
        </w:tc>
        <w:tc>
          <w:tcPr>
            <w:tcW w:w="715"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0,102</w:t>
            </w:r>
          </w:p>
        </w:tc>
        <w:tc>
          <w:tcPr>
            <w:tcW w:w="713"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1,180</w:t>
            </w:r>
          </w:p>
        </w:tc>
        <w:tc>
          <w:tcPr>
            <w:tcW w:w="713"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0,242</w:t>
            </w:r>
          </w:p>
        </w:tc>
        <w:tc>
          <w:tcPr>
            <w:tcW w:w="693"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-0,083</w:t>
            </w:r>
          </w:p>
        </w:tc>
        <w:tc>
          <w:tcPr>
            <w:tcW w:w="730" w:type="pct"/>
            <w:tcBorders>
              <w:top w:val="nil"/>
              <w:left w:val="nil"/>
              <w:bottom w:val="single" w:sz="12" w:space="0" w:color="auto"/>
            </w:tcBorders>
            <w:shd w:val="clear" w:color="auto" w:fill="auto"/>
            <w:noWrap/>
            <w:vAlign w:val="bottom"/>
            <w:hideMark/>
          </w:tcPr>
          <w:p w:rsidR="007A0C15" w:rsidRPr="00785FC5" w:rsidRDefault="007A0C15" w:rsidP="003430BE">
            <w:pPr>
              <w:suppressAutoHyphens w:val="0"/>
              <w:jc w:val="center"/>
            </w:pPr>
            <w:r w:rsidRPr="00785FC5">
              <w:t>0,325</w:t>
            </w:r>
          </w:p>
        </w:tc>
      </w:tr>
      <w:tr w:rsidR="007A0C15" w:rsidRPr="00785FC5" w:rsidTr="00785FC5">
        <w:trPr>
          <w:trHeight w:val="113"/>
        </w:trPr>
        <w:tc>
          <w:tcPr>
            <w:tcW w:w="714" w:type="pct"/>
            <w:tcBorders>
              <w:top w:val="single" w:sz="12" w:space="0" w:color="auto"/>
              <w:bottom w:val="single" w:sz="12" w:space="0" w:color="auto"/>
              <w:right w:val="single" w:sz="4" w:space="0" w:color="auto"/>
            </w:tcBorders>
            <w:shd w:val="clear" w:color="auto" w:fill="auto"/>
            <w:noWrap/>
            <w:vAlign w:val="bottom"/>
            <w:hideMark/>
          </w:tcPr>
          <w:p w:rsidR="007A0C15" w:rsidRPr="00785FC5" w:rsidRDefault="00E86B25" w:rsidP="003430BE">
            <w:pPr>
              <w:suppressAutoHyphens w:val="0"/>
              <w:jc w:val="center"/>
              <w:rPr>
                <w:b/>
              </w:rPr>
            </w:pPr>
            <m:oMathPara>
              <m:oMath>
                <m:sSub>
                  <m:sSubPr>
                    <m:ctrlPr>
                      <w:rPr>
                        <w:rFonts w:ascii="Cambria Math" w:eastAsia="Calibri" w:hAnsi="Cambria Math"/>
                        <w:b/>
                        <w:i/>
                        <w:lang w:eastAsia="en-US"/>
                      </w:rPr>
                    </m:ctrlPr>
                  </m:sSubPr>
                  <m:e>
                    <m:r>
                      <m:rPr>
                        <m:sty m:val="bi"/>
                      </m:rPr>
                      <w:rPr>
                        <w:rFonts w:ascii="Cambria Math" w:eastAsia="Calibri" w:hAnsi="Cambria Math"/>
                        <w:lang w:eastAsia="en-US"/>
                      </w:rPr>
                      <m:t>V</m:t>
                    </m:r>
                  </m:e>
                  <m:sub>
                    <m:r>
                      <m:rPr>
                        <m:sty m:val="bi"/>
                      </m:rPr>
                      <w:rPr>
                        <w:rFonts w:ascii="Cambria Math" w:eastAsia="Calibri" w:hAnsi="Cambria Math"/>
                        <w:lang w:eastAsia="en-US"/>
                      </w:rPr>
                      <m:t>1</m:t>
                    </m:r>
                  </m:sub>
                </m:sSub>
              </m:oMath>
            </m:oMathPara>
          </w:p>
        </w:tc>
        <w:tc>
          <w:tcPr>
            <w:tcW w:w="717"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715"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693"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 </w:t>
            </w:r>
          </w:p>
        </w:tc>
        <w:tc>
          <w:tcPr>
            <w:tcW w:w="730" w:type="pct"/>
            <w:tcBorders>
              <w:top w:val="single" w:sz="12" w:space="0" w:color="auto"/>
              <w:left w:val="nil"/>
              <w:bottom w:val="single" w:sz="12" w:space="0" w:color="auto"/>
            </w:tcBorders>
            <w:shd w:val="clear" w:color="auto" w:fill="auto"/>
            <w:noWrap/>
            <w:vAlign w:val="bottom"/>
            <w:hideMark/>
          </w:tcPr>
          <w:p w:rsidR="007A0C15" w:rsidRPr="00785FC5" w:rsidRDefault="007A0C15" w:rsidP="003430BE">
            <w:pPr>
              <w:suppressAutoHyphens w:val="0"/>
              <w:jc w:val="center"/>
            </w:pPr>
            <w:r w:rsidRPr="00785FC5">
              <w:t> </w:t>
            </w:r>
          </w:p>
        </w:tc>
      </w:tr>
      <w:tr w:rsidR="007A0C15" w:rsidRPr="00785FC5" w:rsidTr="00785FC5">
        <w:trPr>
          <w:trHeight w:val="113"/>
        </w:trPr>
        <w:tc>
          <w:tcPr>
            <w:tcW w:w="714" w:type="pct"/>
            <w:tcBorders>
              <w:top w:val="single" w:sz="12" w:space="0" w:color="auto"/>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Amb</w:t>
            </w:r>
            <w:proofErr w:type="spellEnd"/>
          </w:p>
        </w:tc>
        <w:tc>
          <w:tcPr>
            <w:tcW w:w="717"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0,441</w:t>
            </w:r>
          </w:p>
        </w:tc>
        <w:tc>
          <w:tcPr>
            <w:tcW w:w="715"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0,087</w:t>
            </w:r>
          </w:p>
        </w:tc>
        <w:tc>
          <w:tcPr>
            <w:tcW w:w="713"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5,040</w:t>
            </w:r>
          </w:p>
        </w:tc>
        <w:tc>
          <w:tcPr>
            <w:tcW w:w="713"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0,000</w:t>
            </w:r>
          </w:p>
        </w:tc>
        <w:tc>
          <w:tcPr>
            <w:tcW w:w="693"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0,266</w:t>
            </w:r>
          </w:p>
        </w:tc>
        <w:tc>
          <w:tcPr>
            <w:tcW w:w="730" w:type="pct"/>
            <w:tcBorders>
              <w:top w:val="single" w:sz="12" w:space="0" w:color="auto"/>
              <w:left w:val="nil"/>
              <w:bottom w:val="single" w:sz="4" w:space="0" w:color="auto"/>
            </w:tcBorders>
            <w:shd w:val="clear" w:color="auto" w:fill="auto"/>
            <w:noWrap/>
            <w:vAlign w:val="bottom"/>
            <w:hideMark/>
          </w:tcPr>
          <w:p w:rsidR="007A0C15" w:rsidRPr="00785FC5" w:rsidRDefault="007A0C15" w:rsidP="003430BE">
            <w:pPr>
              <w:suppressAutoHyphens w:val="0"/>
              <w:jc w:val="center"/>
            </w:pPr>
            <w:r w:rsidRPr="00785FC5">
              <w:t>0,616</w:t>
            </w:r>
          </w:p>
        </w:tc>
      </w:tr>
      <w:tr w:rsidR="007A0C15" w:rsidRPr="00785FC5" w:rsidTr="00785FC5">
        <w:trPr>
          <w:trHeight w:val="113"/>
        </w:trPr>
        <w:tc>
          <w:tcPr>
            <w:tcW w:w="714" w:type="pct"/>
            <w:tcBorders>
              <w:top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Est</w:t>
            </w:r>
          </w:p>
        </w:tc>
        <w:tc>
          <w:tcPr>
            <w:tcW w:w="717"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0,474</w:t>
            </w:r>
          </w:p>
        </w:tc>
        <w:tc>
          <w:tcPr>
            <w:tcW w:w="715"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0,084</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5,620</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0,000</w:t>
            </w:r>
          </w:p>
        </w:tc>
        <w:tc>
          <w:tcPr>
            <w:tcW w:w="69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0,306</w:t>
            </w:r>
          </w:p>
        </w:tc>
        <w:tc>
          <w:tcPr>
            <w:tcW w:w="730" w:type="pct"/>
            <w:tcBorders>
              <w:top w:val="nil"/>
              <w:left w:val="nil"/>
              <w:bottom w:val="single" w:sz="4" w:space="0" w:color="auto"/>
            </w:tcBorders>
            <w:shd w:val="clear" w:color="auto" w:fill="auto"/>
            <w:noWrap/>
            <w:vAlign w:val="bottom"/>
            <w:hideMark/>
          </w:tcPr>
          <w:p w:rsidR="007A0C15" w:rsidRPr="00785FC5" w:rsidRDefault="007A0C15" w:rsidP="003430BE">
            <w:pPr>
              <w:suppressAutoHyphens w:val="0"/>
              <w:jc w:val="center"/>
            </w:pPr>
            <w:r w:rsidRPr="00785FC5">
              <w:t>0,642</w:t>
            </w:r>
          </w:p>
        </w:tc>
      </w:tr>
      <w:tr w:rsidR="007A0C15" w:rsidRPr="00785FC5" w:rsidTr="00785FC5">
        <w:trPr>
          <w:trHeight w:val="113"/>
        </w:trPr>
        <w:tc>
          <w:tcPr>
            <w:tcW w:w="714" w:type="pct"/>
            <w:tcBorders>
              <w:top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Tec</w:t>
            </w:r>
            <w:proofErr w:type="spellEnd"/>
          </w:p>
        </w:tc>
        <w:tc>
          <w:tcPr>
            <w:tcW w:w="717"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0,103</w:t>
            </w:r>
          </w:p>
        </w:tc>
        <w:tc>
          <w:tcPr>
            <w:tcW w:w="715"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0,074</w:t>
            </w:r>
          </w:p>
        </w:tc>
        <w:tc>
          <w:tcPr>
            <w:tcW w:w="713"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1,390</w:t>
            </w:r>
          </w:p>
        </w:tc>
        <w:tc>
          <w:tcPr>
            <w:tcW w:w="713"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0,167</w:t>
            </w:r>
          </w:p>
        </w:tc>
        <w:tc>
          <w:tcPr>
            <w:tcW w:w="693"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-0,044</w:t>
            </w:r>
          </w:p>
        </w:tc>
        <w:tc>
          <w:tcPr>
            <w:tcW w:w="730" w:type="pct"/>
            <w:tcBorders>
              <w:top w:val="nil"/>
              <w:left w:val="nil"/>
              <w:bottom w:val="single" w:sz="12" w:space="0" w:color="auto"/>
            </w:tcBorders>
            <w:shd w:val="clear" w:color="auto" w:fill="auto"/>
            <w:noWrap/>
            <w:vAlign w:val="bottom"/>
            <w:hideMark/>
          </w:tcPr>
          <w:p w:rsidR="007A0C15" w:rsidRPr="00785FC5" w:rsidRDefault="007A0C15" w:rsidP="003430BE">
            <w:pPr>
              <w:suppressAutoHyphens w:val="0"/>
              <w:jc w:val="center"/>
            </w:pPr>
            <w:r w:rsidRPr="00785FC5">
              <w:t>0,250</w:t>
            </w:r>
          </w:p>
        </w:tc>
      </w:tr>
      <w:tr w:rsidR="007A0C15" w:rsidRPr="00785FC5" w:rsidTr="00785FC5">
        <w:trPr>
          <w:trHeight w:val="113"/>
        </w:trPr>
        <w:tc>
          <w:tcPr>
            <w:tcW w:w="714" w:type="pct"/>
            <w:tcBorders>
              <w:top w:val="single" w:sz="12" w:space="0" w:color="auto"/>
              <w:bottom w:val="single" w:sz="12" w:space="0" w:color="auto"/>
              <w:right w:val="single" w:sz="4" w:space="0" w:color="auto"/>
            </w:tcBorders>
            <w:shd w:val="clear" w:color="auto" w:fill="auto"/>
            <w:noWrap/>
            <w:vAlign w:val="bottom"/>
          </w:tcPr>
          <w:p w:rsidR="007A0C15" w:rsidRPr="00785FC5" w:rsidRDefault="00E86B25" w:rsidP="003430BE">
            <w:pPr>
              <w:suppressAutoHyphens w:val="0"/>
              <w:jc w:val="center"/>
              <w:rPr>
                <w:b/>
              </w:rPr>
            </w:pPr>
            <m:oMathPara>
              <m:oMath>
                <m:sSub>
                  <m:sSubPr>
                    <m:ctrlPr>
                      <w:rPr>
                        <w:rFonts w:ascii="Cambria Math" w:eastAsia="Calibri" w:hAnsi="Cambria Math"/>
                        <w:b/>
                        <w:i/>
                        <w:lang w:eastAsia="en-US"/>
                      </w:rPr>
                    </m:ctrlPr>
                  </m:sSubPr>
                  <m:e>
                    <m:r>
                      <m:rPr>
                        <m:sty m:val="bi"/>
                      </m:rPr>
                      <w:rPr>
                        <w:rFonts w:ascii="Cambria Math" w:eastAsia="Calibri" w:hAnsi="Cambria Math"/>
                        <w:lang w:eastAsia="en-US"/>
                      </w:rPr>
                      <m:t>U</m:t>
                    </m:r>
                  </m:e>
                  <m:sub>
                    <m:r>
                      <m:rPr>
                        <m:sty m:val="bi"/>
                      </m:rPr>
                      <w:rPr>
                        <w:rFonts w:ascii="Cambria Math" w:eastAsia="Calibri" w:hAnsi="Cambria Math"/>
                        <w:lang w:eastAsia="en-US"/>
                      </w:rPr>
                      <m:t>2</m:t>
                    </m:r>
                  </m:sub>
                </m:sSub>
              </m:oMath>
            </m:oMathPara>
          </w:p>
        </w:tc>
        <w:tc>
          <w:tcPr>
            <w:tcW w:w="717"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5"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69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30" w:type="pct"/>
            <w:tcBorders>
              <w:top w:val="single" w:sz="12" w:space="0" w:color="auto"/>
              <w:left w:val="nil"/>
              <w:bottom w:val="single" w:sz="12" w:space="0" w:color="auto"/>
            </w:tcBorders>
            <w:shd w:val="clear" w:color="auto" w:fill="auto"/>
            <w:noWrap/>
            <w:vAlign w:val="bottom"/>
          </w:tcPr>
          <w:p w:rsidR="007A0C15" w:rsidRPr="00785FC5" w:rsidRDefault="007A0C15" w:rsidP="003430BE">
            <w:pPr>
              <w:suppressAutoHyphens w:val="0"/>
              <w:jc w:val="center"/>
            </w:pPr>
            <w:r w:rsidRPr="00785FC5">
              <w:t> </w:t>
            </w:r>
          </w:p>
        </w:tc>
      </w:tr>
      <w:tr w:rsidR="007A0C15" w:rsidRPr="00785FC5" w:rsidTr="00785FC5">
        <w:trPr>
          <w:trHeight w:val="113"/>
        </w:trPr>
        <w:tc>
          <w:tcPr>
            <w:tcW w:w="714" w:type="pct"/>
            <w:tcBorders>
              <w:top w:val="single" w:sz="12"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proofErr w:type="spellStart"/>
            <w:r w:rsidRPr="00785FC5">
              <w:rPr>
                <w:b/>
              </w:rPr>
              <w:t>Tip</w:t>
            </w:r>
            <w:proofErr w:type="spellEnd"/>
          </w:p>
        </w:tc>
        <w:tc>
          <w:tcPr>
            <w:tcW w:w="717"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2,729</w:t>
            </w:r>
          </w:p>
        </w:tc>
        <w:tc>
          <w:tcPr>
            <w:tcW w:w="715"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0,429</w:t>
            </w:r>
          </w:p>
        </w:tc>
        <w:tc>
          <w:tcPr>
            <w:tcW w:w="71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6,360</w:t>
            </w:r>
          </w:p>
        </w:tc>
        <w:tc>
          <w:tcPr>
            <w:tcW w:w="71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0,150</w:t>
            </w:r>
          </w:p>
        </w:tc>
        <w:tc>
          <w:tcPr>
            <w:tcW w:w="69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1,873</w:t>
            </w:r>
          </w:p>
        </w:tc>
        <w:tc>
          <w:tcPr>
            <w:tcW w:w="730" w:type="pct"/>
            <w:tcBorders>
              <w:top w:val="single" w:sz="12" w:space="0" w:color="auto"/>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3,584</w:t>
            </w:r>
          </w:p>
        </w:tc>
      </w:tr>
      <w:tr w:rsidR="007A0C15" w:rsidRPr="00785FC5" w:rsidTr="00785FC5">
        <w:trPr>
          <w:trHeight w:val="113"/>
        </w:trPr>
        <w:tc>
          <w:tcPr>
            <w:tcW w:w="714" w:type="pct"/>
            <w:tcBorders>
              <w:top w:val="single" w:sz="8"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r w:rsidRPr="00785FC5">
              <w:rPr>
                <w:b/>
              </w:rPr>
              <w:t xml:space="preserve">Ide </w:t>
            </w:r>
          </w:p>
        </w:tc>
        <w:tc>
          <w:tcPr>
            <w:tcW w:w="717"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-0,134</w:t>
            </w:r>
          </w:p>
        </w:tc>
        <w:tc>
          <w:tcPr>
            <w:tcW w:w="715"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0,509</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-0,260</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0,792</w:t>
            </w:r>
          </w:p>
        </w:tc>
        <w:tc>
          <w:tcPr>
            <w:tcW w:w="69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-1,149</w:t>
            </w:r>
          </w:p>
        </w:tc>
        <w:tc>
          <w:tcPr>
            <w:tcW w:w="730" w:type="pct"/>
            <w:tcBorders>
              <w:top w:val="nil"/>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0,880</w:t>
            </w:r>
          </w:p>
        </w:tc>
      </w:tr>
      <w:tr w:rsidR="007A0C15" w:rsidRPr="00785FC5" w:rsidTr="00785FC5">
        <w:trPr>
          <w:trHeight w:val="113"/>
        </w:trPr>
        <w:tc>
          <w:tcPr>
            <w:tcW w:w="714" w:type="pct"/>
            <w:tcBorders>
              <w:top w:val="single" w:sz="8"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r w:rsidRPr="00785FC5">
              <w:rPr>
                <w:b/>
              </w:rPr>
              <w:t>Ava</w:t>
            </w:r>
          </w:p>
        </w:tc>
        <w:tc>
          <w:tcPr>
            <w:tcW w:w="717"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-0,195</w:t>
            </w:r>
          </w:p>
        </w:tc>
        <w:tc>
          <w:tcPr>
            <w:tcW w:w="715"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0,519</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-0,380</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0,708</w:t>
            </w:r>
          </w:p>
        </w:tc>
        <w:tc>
          <w:tcPr>
            <w:tcW w:w="69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-1,123</w:t>
            </w:r>
          </w:p>
        </w:tc>
        <w:tc>
          <w:tcPr>
            <w:tcW w:w="730" w:type="pct"/>
            <w:tcBorders>
              <w:top w:val="nil"/>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0,840</w:t>
            </w:r>
          </w:p>
        </w:tc>
      </w:tr>
      <w:tr w:rsidR="007A0C15" w:rsidRPr="00785FC5" w:rsidTr="00785FC5">
        <w:trPr>
          <w:trHeight w:val="113"/>
        </w:trPr>
        <w:tc>
          <w:tcPr>
            <w:tcW w:w="714" w:type="pct"/>
            <w:tcBorders>
              <w:top w:val="single" w:sz="8" w:space="0" w:color="auto"/>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proofErr w:type="spellStart"/>
            <w:r w:rsidRPr="00785FC5">
              <w:rPr>
                <w:b/>
              </w:rPr>
              <w:t>Resp</w:t>
            </w:r>
            <w:proofErr w:type="spellEnd"/>
          </w:p>
        </w:tc>
        <w:tc>
          <w:tcPr>
            <w:tcW w:w="717"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-2,442</w:t>
            </w:r>
          </w:p>
        </w:tc>
        <w:tc>
          <w:tcPr>
            <w:tcW w:w="715"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0,588</w:t>
            </w: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-0,415</w:t>
            </w: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0,715</w:t>
            </w:r>
          </w:p>
        </w:tc>
        <w:tc>
          <w:tcPr>
            <w:tcW w:w="69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-3,614</w:t>
            </w:r>
          </w:p>
        </w:tc>
        <w:tc>
          <w:tcPr>
            <w:tcW w:w="730" w:type="pct"/>
            <w:tcBorders>
              <w:top w:val="nil"/>
              <w:left w:val="nil"/>
              <w:bottom w:val="single" w:sz="12" w:space="0" w:color="auto"/>
            </w:tcBorders>
            <w:shd w:val="clear" w:color="auto" w:fill="auto"/>
            <w:noWrap/>
            <w:vAlign w:val="bottom"/>
          </w:tcPr>
          <w:p w:rsidR="007A0C15" w:rsidRPr="00785FC5" w:rsidRDefault="007A0C15" w:rsidP="003430BE">
            <w:pPr>
              <w:suppressAutoHyphens w:val="0"/>
              <w:jc w:val="center"/>
            </w:pPr>
            <w:r w:rsidRPr="00785FC5">
              <w:t>-1,270</w:t>
            </w:r>
          </w:p>
        </w:tc>
      </w:tr>
      <w:tr w:rsidR="007A0C15" w:rsidRPr="00785FC5" w:rsidTr="00785FC5">
        <w:trPr>
          <w:trHeight w:val="113"/>
        </w:trPr>
        <w:tc>
          <w:tcPr>
            <w:tcW w:w="714" w:type="pct"/>
            <w:tcBorders>
              <w:top w:val="single" w:sz="12" w:space="0" w:color="auto"/>
              <w:bottom w:val="single" w:sz="12" w:space="0" w:color="auto"/>
              <w:right w:val="single" w:sz="4" w:space="0" w:color="auto"/>
            </w:tcBorders>
            <w:shd w:val="clear" w:color="auto" w:fill="auto"/>
            <w:noWrap/>
            <w:vAlign w:val="bottom"/>
          </w:tcPr>
          <w:p w:rsidR="007A0C15" w:rsidRPr="00785FC5" w:rsidRDefault="00E86B25" w:rsidP="003430BE">
            <w:pPr>
              <w:suppressAutoHyphens w:val="0"/>
              <w:jc w:val="center"/>
              <w:rPr>
                <w:b/>
              </w:rPr>
            </w:pPr>
            <m:oMathPara>
              <m:oMath>
                <m:sSub>
                  <m:sSubPr>
                    <m:ctrlPr>
                      <w:rPr>
                        <w:rFonts w:ascii="Cambria Math" w:eastAsia="Calibri" w:hAnsi="Cambria Math"/>
                        <w:b/>
                        <w:i/>
                        <w:lang w:eastAsia="en-US"/>
                      </w:rPr>
                    </m:ctrlPr>
                  </m:sSubPr>
                  <m:e>
                    <m:r>
                      <m:rPr>
                        <m:sty m:val="bi"/>
                      </m:rPr>
                      <w:rPr>
                        <w:rFonts w:ascii="Cambria Math" w:eastAsia="Calibri" w:hAnsi="Cambria Math"/>
                        <w:lang w:eastAsia="en-US"/>
                      </w:rPr>
                      <m:t>V</m:t>
                    </m:r>
                  </m:e>
                  <m:sub>
                    <m:r>
                      <m:rPr>
                        <m:sty m:val="bi"/>
                      </m:rPr>
                      <w:rPr>
                        <w:rFonts w:ascii="Cambria Math" w:eastAsia="Calibri" w:hAnsi="Cambria Math"/>
                        <w:lang w:eastAsia="en-US"/>
                      </w:rPr>
                      <m:t>2</m:t>
                    </m:r>
                  </m:sub>
                </m:sSub>
              </m:oMath>
            </m:oMathPara>
          </w:p>
        </w:tc>
        <w:tc>
          <w:tcPr>
            <w:tcW w:w="717"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5"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69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30" w:type="pct"/>
            <w:tcBorders>
              <w:top w:val="single" w:sz="12" w:space="0" w:color="auto"/>
              <w:left w:val="nil"/>
              <w:bottom w:val="single" w:sz="12" w:space="0" w:color="auto"/>
            </w:tcBorders>
            <w:shd w:val="clear" w:color="auto" w:fill="auto"/>
            <w:noWrap/>
            <w:vAlign w:val="bottom"/>
          </w:tcPr>
          <w:p w:rsidR="007A0C15" w:rsidRPr="00785FC5" w:rsidRDefault="007A0C15" w:rsidP="003430BE">
            <w:pPr>
              <w:suppressAutoHyphens w:val="0"/>
              <w:jc w:val="center"/>
            </w:pPr>
            <w:r w:rsidRPr="00785FC5">
              <w:t> </w:t>
            </w:r>
          </w:p>
        </w:tc>
      </w:tr>
      <w:tr w:rsidR="007A0C15" w:rsidRPr="00785FC5" w:rsidTr="00785FC5">
        <w:trPr>
          <w:trHeight w:val="113"/>
        </w:trPr>
        <w:tc>
          <w:tcPr>
            <w:tcW w:w="714" w:type="pct"/>
            <w:tcBorders>
              <w:top w:val="single" w:sz="12"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proofErr w:type="spellStart"/>
            <w:r w:rsidRPr="00785FC5">
              <w:rPr>
                <w:b/>
              </w:rPr>
              <w:t>Amb</w:t>
            </w:r>
            <w:proofErr w:type="spellEnd"/>
          </w:p>
        </w:tc>
        <w:tc>
          <w:tcPr>
            <w:tcW w:w="717"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3,269</w:t>
            </w:r>
          </w:p>
        </w:tc>
        <w:tc>
          <w:tcPr>
            <w:tcW w:w="715"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0,501</w:t>
            </w:r>
          </w:p>
        </w:tc>
        <w:tc>
          <w:tcPr>
            <w:tcW w:w="71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6,520</w:t>
            </w:r>
          </w:p>
        </w:tc>
        <w:tc>
          <w:tcPr>
            <w:tcW w:w="71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0,120</w:t>
            </w:r>
          </w:p>
        </w:tc>
        <w:tc>
          <w:tcPr>
            <w:tcW w:w="69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2,270</w:t>
            </w:r>
          </w:p>
        </w:tc>
        <w:tc>
          <w:tcPr>
            <w:tcW w:w="730" w:type="pct"/>
            <w:tcBorders>
              <w:top w:val="single" w:sz="12" w:space="0" w:color="auto"/>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4,269</w:t>
            </w:r>
          </w:p>
        </w:tc>
      </w:tr>
      <w:tr w:rsidR="007A0C15" w:rsidRPr="00785FC5" w:rsidTr="00785FC5">
        <w:trPr>
          <w:trHeight w:val="113"/>
        </w:trPr>
        <w:tc>
          <w:tcPr>
            <w:tcW w:w="714" w:type="pct"/>
            <w:tcBorders>
              <w:top w:val="single" w:sz="8"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r w:rsidRPr="00785FC5">
              <w:rPr>
                <w:b/>
              </w:rPr>
              <w:t>Est</w:t>
            </w:r>
          </w:p>
        </w:tc>
        <w:tc>
          <w:tcPr>
            <w:tcW w:w="717"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-1,631</w:t>
            </w:r>
          </w:p>
        </w:tc>
        <w:tc>
          <w:tcPr>
            <w:tcW w:w="715"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0,483</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-3,370</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0,180</w:t>
            </w:r>
          </w:p>
        </w:tc>
        <w:tc>
          <w:tcPr>
            <w:tcW w:w="69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-2,593</w:t>
            </w:r>
          </w:p>
        </w:tc>
        <w:tc>
          <w:tcPr>
            <w:tcW w:w="730" w:type="pct"/>
            <w:tcBorders>
              <w:top w:val="nil"/>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-0,668</w:t>
            </w:r>
          </w:p>
        </w:tc>
      </w:tr>
      <w:tr w:rsidR="007A0C15" w:rsidRPr="00785FC5" w:rsidTr="00785FC5">
        <w:trPr>
          <w:trHeight w:val="113"/>
        </w:trPr>
        <w:tc>
          <w:tcPr>
            <w:tcW w:w="714" w:type="pct"/>
            <w:tcBorders>
              <w:top w:val="single" w:sz="8" w:space="0" w:color="auto"/>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proofErr w:type="spellStart"/>
            <w:r w:rsidRPr="00785FC5">
              <w:rPr>
                <w:b/>
              </w:rPr>
              <w:t>Tec</w:t>
            </w:r>
            <w:proofErr w:type="spellEnd"/>
          </w:p>
        </w:tc>
        <w:tc>
          <w:tcPr>
            <w:tcW w:w="717"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-1,700</w:t>
            </w:r>
          </w:p>
        </w:tc>
        <w:tc>
          <w:tcPr>
            <w:tcW w:w="715"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0,424</w:t>
            </w: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-4,010</w:t>
            </w: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0,167</w:t>
            </w:r>
          </w:p>
        </w:tc>
        <w:tc>
          <w:tcPr>
            <w:tcW w:w="69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-2,544</w:t>
            </w:r>
          </w:p>
        </w:tc>
        <w:tc>
          <w:tcPr>
            <w:tcW w:w="730" w:type="pct"/>
            <w:tcBorders>
              <w:top w:val="nil"/>
              <w:left w:val="nil"/>
              <w:bottom w:val="single" w:sz="12" w:space="0" w:color="auto"/>
            </w:tcBorders>
            <w:shd w:val="clear" w:color="auto" w:fill="auto"/>
            <w:noWrap/>
            <w:vAlign w:val="bottom"/>
          </w:tcPr>
          <w:p w:rsidR="007A0C15" w:rsidRPr="00785FC5" w:rsidRDefault="007A0C15" w:rsidP="003430BE">
            <w:pPr>
              <w:suppressAutoHyphens w:val="0"/>
              <w:jc w:val="center"/>
            </w:pPr>
            <w:r w:rsidRPr="00785FC5">
              <w:t>-0,855</w:t>
            </w:r>
          </w:p>
        </w:tc>
      </w:tr>
      <w:tr w:rsidR="007A0C15" w:rsidRPr="00785FC5" w:rsidTr="00785FC5">
        <w:trPr>
          <w:trHeight w:val="113"/>
        </w:trPr>
        <w:tc>
          <w:tcPr>
            <w:tcW w:w="714" w:type="pct"/>
            <w:tcBorders>
              <w:top w:val="single" w:sz="12" w:space="0" w:color="auto"/>
              <w:bottom w:val="single" w:sz="12" w:space="0" w:color="auto"/>
              <w:right w:val="single" w:sz="4" w:space="0" w:color="auto"/>
            </w:tcBorders>
            <w:shd w:val="clear" w:color="auto" w:fill="auto"/>
            <w:noWrap/>
            <w:vAlign w:val="bottom"/>
          </w:tcPr>
          <w:p w:rsidR="007A0C15" w:rsidRPr="00785FC5" w:rsidRDefault="00E86B25" w:rsidP="003430BE">
            <w:pPr>
              <w:suppressAutoHyphens w:val="0"/>
              <w:jc w:val="center"/>
              <w:rPr>
                <w:b/>
              </w:rPr>
            </w:pPr>
            <m:oMathPara>
              <m:oMath>
                <m:sSub>
                  <m:sSubPr>
                    <m:ctrlPr>
                      <w:rPr>
                        <w:rFonts w:ascii="Cambria Math" w:eastAsia="Calibri" w:hAnsi="Cambria Math"/>
                        <w:b/>
                        <w:i/>
                        <w:lang w:eastAsia="en-US"/>
                      </w:rPr>
                    </m:ctrlPr>
                  </m:sSubPr>
                  <m:e>
                    <m:r>
                      <m:rPr>
                        <m:sty m:val="bi"/>
                      </m:rPr>
                      <w:rPr>
                        <w:rFonts w:ascii="Cambria Math" w:eastAsia="Calibri" w:hAnsi="Cambria Math"/>
                        <w:lang w:eastAsia="en-US"/>
                      </w:rPr>
                      <m:t>U</m:t>
                    </m:r>
                  </m:e>
                  <m:sub>
                    <m:r>
                      <m:rPr>
                        <m:sty m:val="bi"/>
                      </m:rPr>
                      <w:rPr>
                        <w:rFonts w:ascii="Cambria Math" w:eastAsia="Calibri" w:hAnsi="Cambria Math"/>
                        <w:lang w:eastAsia="en-US"/>
                      </w:rPr>
                      <m:t>3</m:t>
                    </m:r>
                  </m:sub>
                </m:sSub>
              </m:oMath>
            </m:oMathPara>
          </w:p>
        </w:tc>
        <w:tc>
          <w:tcPr>
            <w:tcW w:w="717"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5"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69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30" w:type="pct"/>
            <w:tcBorders>
              <w:top w:val="single" w:sz="12" w:space="0" w:color="auto"/>
              <w:left w:val="nil"/>
              <w:bottom w:val="single" w:sz="12" w:space="0" w:color="auto"/>
            </w:tcBorders>
            <w:shd w:val="clear" w:color="auto" w:fill="auto"/>
            <w:noWrap/>
            <w:vAlign w:val="bottom"/>
          </w:tcPr>
          <w:p w:rsidR="007A0C15" w:rsidRPr="00785FC5" w:rsidRDefault="007A0C15" w:rsidP="003430BE">
            <w:pPr>
              <w:suppressAutoHyphens w:val="0"/>
              <w:jc w:val="center"/>
            </w:pPr>
            <w:r w:rsidRPr="00785FC5">
              <w:t> </w:t>
            </w:r>
          </w:p>
        </w:tc>
      </w:tr>
      <w:tr w:rsidR="007A0C15" w:rsidRPr="00785FC5" w:rsidTr="00785FC5">
        <w:trPr>
          <w:trHeight w:val="113"/>
        </w:trPr>
        <w:tc>
          <w:tcPr>
            <w:tcW w:w="714" w:type="pct"/>
            <w:tcBorders>
              <w:top w:val="single" w:sz="12"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proofErr w:type="spellStart"/>
            <w:r w:rsidRPr="00785FC5">
              <w:rPr>
                <w:b/>
              </w:rPr>
              <w:t>Tip</w:t>
            </w:r>
            <w:proofErr w:type="spellEnd"/>
          </w:p>
        </w:tc>
        <w:tc>
          <w:tcPr>
            <w:tcW w:w="717"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-0,566</w:t>
            </w:r>
          </w:p>
        </w:tc>
        <w:tc>
          <w:tcPr>
            <w:tcW w:w="715"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0,906</w:t>
            </w:r>
          </w:p>
        </w:tc>
        <w:tc>
          <w:tcPr>
            <w:tcW w:w="71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-0,620</w:t>
            </w:r>
          </w:p>
        </w:tc>
        <w:tc>
          <w:tcPr>
            <w:tcW w:w="71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0,534</w:t>
            </w:r>
          </w:p>
        </w:tc>
        <w:tc>
          <w:tcPr>
            <w:tcW w:w="69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-2,372</w:t>
            </w:r>
          </w:p>
        </w:tc>
        <w:tc>
          <w:tcPr>
            <w:tcW w:w="730" w:type="pct"/>
            <w:tcBorders>
              <w:top w:val="single" w:sz="12" w:space="0" w:color="auto"/>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1,239</w:t>
            </w:r>
          </w:p>
        </w:tc>
      </w:tr>
      <w:tr w:rsidR="007A0C15" w:rsidRPr="00785FC5" w:rsidTr="00785FC5">
        <w:trPr>
          <w:trHeight w:val="113"/>
        </w:trPr>
        <w:tc>
          <w:tcPr>
            <w:tcW w:w="714" w:type="pct"/>
            <w:tcBorders>
              <w:top w:val="single" w:sz="8"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r w:rsidRPr="00785FC5">
              <w:rPr>
                <w:b/>
              </w:rPr>
              <w:t xml:space="preserve">Ide </w:t>
            </w:r>
          </w:p>
        </w:tc>
        <w:tc>
          <w:tcPr>
            <w:tcW w:w="717"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-1,755</w:t>
            </w:r>
          </w:p>
        </w:tc>
        <w:tc>
          <w:tcPr>
            <w:tcW w:w="715"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1,075</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-1,630</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0,107</w:t>
            </w:r>
          </w:p>
        </w:tc>
        <w:tc>
          <w:tcPr>
            <w:tcW w:w="69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-3,897</w:t>
            </w:r>
          </w:p>
        </w:tc>
        <w:tc>
          <w:tcPr>
            <w:tcW w:w="730" w:type="pct"/>
            <w:tcBorders>
              <w:top w:val="nil"/>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0,387</w:t>
            </w:r>
          </w:p>
        </w:tc>
      </w:tr>
      <w:tr w:rsidR="007A0C15" w:rsidRPr="00785FC5" w:rsidTr="00785FC5">
        <w:trPr>
          <w:trHeight w:val="113"/>
        </w:trPr>
        <w:tc>
          <w:tcPr>
            <w:tcW w:w="714" w:type="pct"/>
            <w:tcBorders>
              <w:top w:val="single" w:sz="8"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r w:rsidRPr="00785FC5">
              <w:rPr>
                <w:b/>
              </w:rPr>
              <w:t>Ava</w:t>
            </w:r>
          </w:p>
        </w:tc>
        <w:tc>
          <w:tcPr>
            <w:tcW w:w="717"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3,427</w:t>
            </w:r>
          </w:p>
        </w:tc>
        <w:tc>
          <w:tcPr>
            <w:tcW w:w="715"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1,090</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3,120</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0,168</w:t>
            </w:r>
          </w:p>
        </w:tc>
        <w:tc>
          <w:tcPr>
            <w:tcW w:w="69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1,242</w:t>
            </w:r>
          </w:p>
        </w:tc>
        <w:tc>
          <w:tcPr>
            <w:tcW w:w="730" w:type="pct"/>
            <w:tcBorders>
              <w:top w:val="nil"/>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5,613</w:t>
            </w:r>
          </w:p>
        </w:tc>
      </w:tr>
      <w:tr w:rsidR="007A0C15" w:rsidRPr="00785FC5" w:rsidTr="00785FC5">
        <w:trPr>
          <w:trHeight w:val="113"/>
        </w:trPr>
        <w:tc>
          <w:tcPr>
            <w:tcW w:w="714" w:type="pct"/>
            <w:tcBorders>
              <w:top w:val="single" w:sz="8" w:space="0" w:color="auto"/>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proofErr w:type="spellStart"/>
            <w:r w:rsidRPr="00785FC5">
              <w:rPr>
                <w:b/>
              </w:rPr>
              <w:t>Resp</w:t>
            </w:r>
            <w:proofErr w:type="spellEnd"/>
          </w:p>
        </w:tc>
        <w:tc>
          <w:tcPr>
            <w:tcW w:w="717"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-1,117</w:t>
            </w:r>
          </w:p>
        </w:tc>
        <w:tc>
          <w:tcPr>
            <w:tcW w:w="715"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1,242</w:t>
            </w: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-0,900</w:t>
            </w: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0,371</w:t>
            </w:r>
          </w:p>
        </w:tc>
        <w:tc>
          <w:tcPr>
            <w:tcW w:w="69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-3,592</w:t>
            </w:r>
          </w:p>
        </w:tc>
        <w:tc>
          <w:tcPr>
            <w:tcW w:w="730" w:type="pct"/>
            <w:tcBorders>
              <w:top w:val="nil"/>
              <w:left w:val="nil"/>
              <w:bottom w:val="single" w:sz="12" w:space="0" w:color="auto"/>
            </w:tcBorders>
            <w:shd w:val="clear" w:color="auto" w:fill="auto"/>
            <w:noWrap/>
            <w:vAlign w:val="bottom"/>
          </w:tcPr>
          <w:p w:rsidR="007A0C15" w:rsidRPr="00785FC5" w:rsidRDefault="007A0C15" w:rsidP="003430BE">
            <w:pPr>
              <w:suppressAutoHyphens w:val="0"/>
              <w:jc w:val="center"/>
            </w:pPr>
            <w:r w:rsidRPr="00785FC5">
              <w:t>1,356</w:t>
            </w:r>
          </w:p>
        </w:tc>
      </w:tr>
      <w:tr w:rsidR="007A0C15" w:rsidRPr="00785FC5" w:rsidTr="00785FC5">
        <w:trPr>
          <w:trHeight w:val="113"/>
        </w:trPr>
        <w:tc>
          <w:tcPr>
            <w:tcW w:w="714" w:type="pct"/>
            <w:tcBorders>
              <w:top w:val="single" w:sz="12" w:space="0" w:color="auto"/>
              <w:bottom w:val="single" w:sz="12" w:space="0" w:color="auto"/>
              <w:right w:val="single" w:sz="4" w:space="0" w:color="auto"/>
            </w:tcBorders>
            <w:shd w:val="clear" w:color="auto" w:fill="auto"/>
            <w:noWrap/>
            <w:vAlign w:val="bottom"/>
          </w:tcPr>
          <w:p w:rsidR="007A0C15" w:rsidRPr="00785FC5" w:rsidRDefault="00E86B25" w:rsidP="003430BE">
            <w:pPr>
              <w:suppressAutoHyphens w:val="0"/>
              <w:jc w:val="center"/>
              <w:rPr>
                <w:b/>
              </w:rPr>
            </w:pPr>
            <m:oMathPara>
              <m:oMath>
                <m:sSub>
                  <m:sSubPr>
                    <m:ctrlPr>
                      <w:rPr>
                        <w:rFonts w:ascii="Cambria Math" w:eastAsia="Calibri" w:hAnsi="Cambria Math"/>
                        <w:b/>
                        <w:i/>
                        <w:lang w:eastAsia="en-US"/>
                      </w:rPr>
                    </m:ctrlPr>
                  </m:sSubPr>
                  <m:e>
                    <m:r>
                      <m:rPr>
                        <m:sty m:val="bi"/>
                      </m:rPr>
                      <w:rPr>
                        <w:rFonts w:ascii="Cambria Math" w:eastAsia="Calibri" w:hAnsi="Cambria Math"/>
                        <w:lang w:eastAsia="en-US"/>
                      </w:rPr>
                      <m:t>V</m:t>
                    </m:r>
                  </m:e>
                  <m:sub>
                    <m:r>
                      <m:rPr>
                        <m:sty m:val="bi"/>
                      </m:rPr>
                      <w:rPr>
                        <w:rFonts w:ascii="Cambria Math" w:eastAsia="Calibri" w:hAnsi="Cambria Math"/>
                        <w:lang w:eastAsia="en-US"/>
                      </w:rPr>
                      <m:t>3</m:t>
                    </m:r>
                  </m:sub>
                </m:sSub>
              </m:oMath>
            </m:oMathPara>
          </w:p>
        </w:tc>
        <w:tc>
          <w:tcPr>
            <w:tcW w:w="717"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5"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69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30" w:type="pct"/>
            <w:tcBorders>
              <w:top w:val="single" w:sz="12" w:space="0" w:color="auto"/>
              <w:left w:val="nil"/>
              <w:bottom w:val="single" w:sz="12" w:space="0" w:color="auto"/>
            </w:tcBorders>
            <w:shd w:val="clear" w:color="auto" w:fill="auto"/>
            <w:noWrap/>
            <w:vAlign w:val="bottom"/>
          </w:tcPr>
          <w:p w:rsidR="007A0C15" w:rsidRPr="00785FC5" w:rsidRDefault="007A0C15" w:rsidP="003430BE">
            <w:pPr>
              <w:suppressAutoHyphens w:val="0"/>
              <w:jc w:val="center"/>
            </w:pPr>
            <w:r w:rsidRPr="00785FC5">
              <w:t> </w:t>
            </w:r>
          </w:p>
        </w:tc>
      </w:tr>
      <w:tr w:rsidR="007A0C15" w:rsidRPr="00785FC5" w:rsidTr="00785FC5">
        <w:trPr>
          <w:trHeight w:val="113"/>
        </w:trPr>
        <w:tc>
          <w:tcPr>
            <w:tcW w:w="714" w:type="pct"/>
            <w:tcBorders>
              <w:top w:val="single" w:sz="12"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proofErr w:type="spellStart"/>
            <w:r w:rsidRPr="00785FC5">
              <w:rPr>
                <w:b/>
              </w:rPr>
              <w:t>Amb</w:t>
            </w:r>
            <w:proofErr w:type="spellEnd"/>
          </w:p>
        </w:tc>
        <w:tc>
          <w:tcPr>
            <w:tcW w:w="717"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0,569</w:t>
            </w:r>
          </w:p>
        </w:tc>
        <w:tc>
          <w:tcPr>
            <w:tcW w:w="715"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1,059</w:t>
            </w:r>
          </w:p>
        </w:tc>
        <w:tc>
          <w:tcPr>
            <w:tcW w:w="71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5,040</w:t>
            </w:r>
          </w:p>
        </w:tc>
        <w:tc>
          <w:tcPr>
            <w:tcW w:w="71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0,593</w:t>
            </w:r>
          </w:p>
        </w:tc>
        <w:tc>
          <w:tcPr>
            <w:tcW w:w="693" w:type="pct"/>
            <w:tcBorders>
              <w:top w:val="single" w:sz="12"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-1,541</w:t>
            </w:r>
          </w:p>
        </w:tc>
        <w:tc>
          <w:tcPr>
            <w:tcW w:w="730" w:type="pct"/>
            <w:tcBorders>
              <w:top w:val="single" w:sz="12" w:space="0" w:color="auto"/>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2,679</w:t>
            </w:r>
          </w:p>
        </w:tc>
      </w:tr>
      <w:tr w:rsidR="007A0C15" w:rsidRPr="00785FC5" w:rsidTr="00785FC5">
        <w:trPr>
          <w:trHeight w:val="113"/>
        </w:trPr>
        <w:tc>
          <w:tcPr>
            <w:tcW w:w="714" w:type="pct"/>
            <w:tcBorders>
              <w:top w:val="single" w:sz="8" w:space="0" w:color="auto"/>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r w:rsidRPr="00785FC5">
              <w:rPr>
                <w:b/>
              </w:rPr>
              <w:t>Est</w:t>
            </w:r>
          </w:p>
        </w:tc>
        <w:tc>
          <w:tcPr>
            <w:tcW w:w="717"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-2,740</w:t>
            </w:r>
          </w:p>
        </w:tc>
        <w:tc>
          <w:tcPr>
            <w:tcW w:w="715"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1,020</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-2,690</w:t>
            </w:r>
          </w:p>
        </w:tc>
        <w:tc>
          <w:tcPr>
            <w:tcW w:w="71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0,512</w:t>
            </w:r>
          </w:p>
        </w:tc>
        <w:tc>
          <w:tcPr>
            <w:tcW w:w="693" w:type="pct"/>
            <w:tcBorders>
              <w:top w:val="single" w:sz="8" w:space="0" w:color="auto"/>
              <w:left w:val="nil"/>
              <w:bottom w:val="single" w:sz="8"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-4,773</w:t>
            </w:r>
          </w:p>
        </w:tc>
        <w:tc>
          <w:tcPr>
            <w:tcW w:w="730" w:type="pct"/>
            <w:tcBorders>
              <w:top w:val="nil"/>
              <w:left w:val="nil"/>
              <w:bottom w:val="single" w:sz="4" w:space="0" w:color="auto"/>
            </w:tcBorders>
            <w:shd w:val="clear" w:color="auto" w:fill="auto"/>
            <w:noWrap/>
            <w:vAlign w:val="bottom"/>
          </w:tcPr>
          <w:p w:rsidR="007A0C15" w:rsidRPr="00785FC5" w:rsidRDefault="007A0C15" w:rsidP="003430BE">
            <w:pPr>
              <w:suppressAutoHyphens w:val="0"/>
              <w:jc w:val="center"/>
            </w:pPr>
            <w:r w:rsidRPr="00785FC5">
              <w:t>-0,708</w:t>
            </w:r>
          </w:p>
        </w:tc>
      </w:tr>
      <w:tr w:rsidR="007A0C15" w:rsidRPr="00785FC5" w:rsidTr="00785FC5">
        <w:trPr>
          <w:trHeight w:val="113"/>
        </w:trPr>
        <w:tc>
          <w:tcPr>
            <w:tcW w:w="714" w:type="pct"/>
            <w:tcBorders>
              <w:top w:val="single" w:sz="8" w:space="0" w:color="auto"/>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proofErr w:type="spellStart"/>
            <w:r w:rsidRPr="00785FC5">
              <w:rPr>
                <w:b/>
              </w:rPr>
              <w:t>Tec</w:t>
            </w:r>
            <w:proofErr w:type="spellEnd"/>
          </w:p>
        </w:tc>
        <w:tc>
          <w:tcPr>
            <w:tcW w:w="717"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2,259</w:t>
            </w:r>
          </w:p>
        </w:tc>
        <w:tc>
          <w:tcPr>
            <w:tcW w:w="715"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0,895</w:t>
            </w: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2,520</w:t>
            </w: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0,567</w:t>
            </w:r>
          </w:p>
        </w:tc>
        <w:tc>
          <w:tcPr>
            <w:tcW w:w="69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0,476</w:t>
            </w:r>
          </w:p>
        </w:tc>
        <w:tc>
          <w:tcPr>
            <w:tcW w:w="730" w:type="pct"/>
            <w:tcBorders>
              <w:top w:val="nil"/>
              <w:left w:val="nil"/>
              <w:bottom w:val="single" w:sz="12" w:space="0" w:color="auto"/>
            </w:tcBorders>
            <w:shd w:val="clear" w:color="auto" w:fill="auto"/>
            <w:noWrap/>
            <w:vAlign w:val="bottom"/>
          </w:tcPr>
          <w:p w:rsidR="007A0C15" w:rsidRPr="00785FC5" w:rsidRDefault="007A0C15" w:rsidP="003430BE">
            <w:pPr>
              <w:suppressAutoHyphens w:val="0"/>
              <w:jc w:val="center"/>
            </w:pPr>
            <w:r w:rsidRPr="00785FC5">
              <w:t>4,042</w:t>
            </w:r>
          </w:p>
        </w:tc>
      </w:tr>
      <w:tr w:rsidR="007A0C15" w:rsidRPr="00785FC5" w:rsidTr="00785FC5">
        <w:trPr>
          <w:trHeight w:val="113"/>
        </w:trPr>
        <w:tc>
          <w:tcPr>
            <w:tcW w:w="5000" w:type="pct"/>
            <w:gridSpan w:val="7"/>
            <w:tcBorders>
              <w:top w:val="single" w:sz="12" w:space="0" w:color="auto"/>
              <w:bottom w:val="single" w:sz="12"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Testes de significância de todas as correlações canônicas</w:t>
            </w:r>
          </w:p>
        </w:tc>
      </w:tr>
      <w:tr w:rsidR="007A0C15" w:rsidRPr="00785FC5" w:rsidTr="00785FC5">
        <w:trPr>
          <w:trHeight w:val="113"/>
        </w:trPr>
        <w:tc>
          <w:tcPr>
            <w:tcW w:w="1431" w:type="pct"/>
            <w:gridSpan w:val="2"/>
            <w:tcBorders>
              <w:top w:val="single" w:sz="12" w:space="0" w:color="auto"/>
              <w:bottom w:val="single" w:sz="12" w:space="0" w:color="auto"/>
              <w:right w:val="single" w:sz="4" w:space="0" w:color="000000"/>
            </w:tcBorders>
            <w:shd w:val="clear" w:color="auto" w:fill="auto"/>
            <w:noWrap/>
            <w:vAlign w:val="bottom"/>
            <w:hideMark/>
          </w:tcPr>
          <w:p w:rsidR="007A0C15" w:rsidRPr="00785FC5" w:rsidRDefault="007A0C15" w:rsidP="003430BE">
            <w:pPr>
              <w:suppressAutoHyphens w:val="0"/>
              <w:jc w:val="center"/>
              <w:rPr>
                <w:b/>
              </w:rPr>
            </w:pPr>
            <w:r w:rsidRPr="00785FC5">
              <w:rPr>
                <w:b/>
              </w:rPr>
              <w:t>Testes</w:t>
            </w:r>
          </w:p>
        </w:tc>
        <w:tc>
          <w:tcPr>
            <w:tcW w:w="715"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Estatística</w:t>
            </w:r>
          </w:p>
        </w:tc>
        <w:tc>
          <w:tcPr>
            <w:tcW w:w="713"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df1</w:t>
            </w:r>
          </w:p>
        </w:tc>
        <w:tc>
          <w:tcPr>
            <w:tcW w:w="713"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df2</w:t>
            </w:r>
          </w:p>
        </w:tc>
        <w:tc>
          <w:tcPr>
            <w:tcW w:w="693"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3430BE">
            <w:pPr>
              <w:suppressAutoHyphens w:val="0"/>
              <w:jc w:val="center"/>
              <w:rPr>
                <w:b/>
              </w:rPr>
            </w:pPr>
            <w:r w:rsidRPr="00785FC5">
              <w:rPr>
                <w:b/>
              </w:rPr>
              <w:t>F</w:t>
            </w:r>
          </w:p>
        </w:tc>
        <w:tc>
          <w:tcPr>
            <w:tcW w:w="730" w:type="pct"/>
            <w:tcBorders>
              <w:top w:val="single" w:sz="12" w:space="0" w:color="auto"/>
              <w:left w:val="nil"/>
              <w:bottom w:val="single" w:sz="12" w:space="0" w:color="auto"/>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Prob</w:t>
            </w:r>
            <w:proofErr w:type="spellEnd"/>
            <w:r w:rsidRPr="00785FC5">
              <w:rPr>
                <w:b/>
              </w:rPr>
              <w:t>&gt;F</w:t>
            </w:r>
          </w:p>
        </w:tc>
      </w:tr>
      <w:tr w:rsidR="007A0C15" w:rsidRPr="00785FC5" w:rsidTr="00785FC5">
        <w:trPr>
          <w:trHeight w:val="113"/>
        </w:trPr>
        <w:tc>
          <w:tcPr>
            <w:tcW w:w="1431" w:type="pct"/>
            <w:gridSpan w:val="2"/>
            <w:tcBorders>
              <w:top w:val="single" w:sz="12" w:space="0" w:color="auto"/>
              <w:bottom w:val="single" w:sz="4" w:space="0" w:color="auto"/>
              <w:right w:val="single" w:sz="4" w:space="0" w:color="000000"/>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Wilks</w:t>
            </w:r>
            <w:proofErr w:type="spellEnd"/>
            <w:r w:rsidRPr="00785FC5">
              <w:rPr>
                <w:b/>
              </w:rPr>
              <w:t>' lambda</w:t>
            </w:r>
          </w:p>
        </w:tc>
        <w:tc>
          <w:tcPr>
            <w:tcW w:w="715"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0,026</w:t>
            </w:r>
          </w:p>
        </w:tc>
        <w:tc>
          <w:tcPr>
            <w:tcW w:w="713"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12</w:t>
            </w:r>
          </w:p>
        </w:tc>
        <w:tc>
          <w:tcPr>
            <w:tcW w:w="713"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185</w:t>
            </w:r>
          </w:p>
        </w:tc>
        <w:tc>
          <w:tcPr>
            <w:tcW w:w="693"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45,910</w:t>
            </w:r>
          </w:p>
        </w:tc>
        <w:tc>
          <w:tcPr>
            <w:tcW w:w="730" w:type="pct"/>
            <w:tcBorders>
              <w:top w:val="single" w:sz="12" w:space="0" w:color="auto"/>
              <w:left w:val="nil"/>
              <w:bottom w:val="single" w:sz="4" w:space="0" w:color="auto"/>
            </w:tcBorders>
            <w:shd w:val="clear" w:color="auto" w:fill="auto"/>
            <w:noWrap/>
            <w:vAlign w:val="bottom"/>
            <w:hideMark/>
          </w:tcPr>
          <w:p w:rsidR="007A0C15" w:rsidRPr="00785FC5" w:rsidRDefault="007A0C15" w:rsidP="003430BE">
            <w:pPr>
              <w:suppressAutoHyphens w:val="0"/>
              <w:jc w:val="center"/>
            </w:pPr>
            <w:r w:rsidRPr="00785FC5">
              <w:t>0,000</w:t>
            </w:r>
          </w:p>
        </w:tc>
      </w:tr>
      <w:tr w:rsidR="007A0C15" w:rsidRPr="00785FC5" w:rsidTr="00785FC5">
        <w:trPr>
          <w:trHeight w:val="113"/>
        </w:trPr>
        <w:tc>
          <w:tcPr>
            <w:tcW w:w="1431" w:type="pct"/>
            <w:gridSpan w:val="2"/>
            <w:tcBorders>
              <w:top w:val="single" w:sz="4" w:space="0" w:color="auto"/>
              <w:bottom w:val="single" w:sz="4" w:space="0" w:color="auto"/>
              <w:right w:val="single" w:sz="4" w:space="0" w:color="000000"/>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Pillai's</w:t>
            </w:r>
            <w:proofErr w:type="spellEnd"/>
            <w:r w:rsidRPr="00785FC5">
              <w:rPr>
                <w:b/>
              </w:rPr>
              <w:t xml:space="preserve"> </w:t>
            </w:r>
            <w:r w:rsidRPr="00785FC5">
              <w:rPr>
                <w:b/>
                <w:i/>
              </w:rPr>
              <w:t>trace</w:t>
            </w:r>
          </w:p>
        </w:tc>
        <w:tc>
          <w:tcPr>
            <w:tcW w:w="715"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1,451</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12</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216</w:t>
            </w:r>
          </w:p>
        </w:tc>
        <w:tc>
          <w:tcPr>
            <w:tcW w:w="69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16,871</w:t>
            </w:r>
          </w:p>
        </w:tc>
        <w:tc>
          <w:tcPr>
            <w:tcW w:w="730" w:type="pct"/>
            <w:tcBorders>
              <w:top w:val="nil"/>
              <w:left w:val="nil"/>
              <w:bottom w:val="single" w:sz="4" w:space="0" w:color="auto"/>
            </w:tcBorders>
            <w:shd w:val="clear" w:color="auto" w:fill="auto"/>
            <w:noWrap/>
            <w:vAlign w:val="bottom"/>
            <w:hideMark/>
          </w:tcPr>
          <w:p w:rsidR="007A0C15" w:rsidRPr="00785FC5" w:rsidRDefault="007A0C15" w:rsidP="003430BE">
            <w:pPr>
              <w:suppressAutoHyphens w:val="0"/>
              <w:jc w:val="center"/>
            </w:pPr>
            <w:r w:rsidRPr="00785FC5">
              <w:t>0,000</w:t>
            </w:r>
          </w:p>
        </w:tc>
      </w:tr>
      <w:tr w:rsidR="007A0C15" w:rsidRPr="00785FC5" w:rsidTr="00785FC5">
        <w:trPr>
          <w:trHeight w:val="113"/>
        </w:trPr>
        <w:tc>
          <w:tcPr>
            <w:tcW w:w="1431" w:type="pct"/>
            <w:gridSpan w:val="2"/>
            <w:tcBorders>
              <w:top w:val="single" w:sz="4" w:space="0" w:color="auto"/>
              <w:bottom w:val="single" w:sz="4" w:space="0" w:color="auto"/>
              <w:right w:val="single" w:sz="4" w:space="0" w:color="000000"/>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Lawley-Hotelling</w:t>
            </w:r>
            <w:proofErr w:type="spellEnd"/>
            <w:r w:rsidRPr="00785FC5">
              <w:rPr>
                <w:b/>
              </w:rPr>
              <w:t xml:space="preserve"> </w:t>
            </w:r>
            <w:r w:rsidRPr="00785FC5">
              <w:rPr>
                <w:b/>
                <w:i/>
              </w:rPr>
              <w:t>trace</w:t>
            </w:r>
          </w:p>
        </w:tc>
        <w:tc>
          <w:tcPr>
            <w:tcW w:w="715"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20,728</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12</w:t>
            </w:r>
          </w:p>
        </w:tc>
        <w:tc>
          <w:tcPr>
            <w:tcW w:w="71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206</w:t>
            </w:r>
          </w:p>
        </w:tc>
        <w:tc>
          <w:tcPr>
            <w:tcW w:w="693" w:type="pct"/>
            <w:tcBorders>
              <w:top w:val="nil"/>
              <w:left w:val="nil"/>
              <w:bottom w:val="single" w:sz="4"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118,613</w:t>
            </w:r>
          </w:p>
        </w:tc>
        <w:tc>
          <w:tcPr>
            <w:tcW w:w="730" w:type="pct"/>
            <w:tcBorders>
              <w:top w:val="nil"/>
              <w:left w:val="nil"/>
              <w:bottom w:val="single" w:sz="4" w:space="0" w:color="auto"/>
            </w:tcBorders>
            <w:shd w:val="clear" w:color="auto" w:fill="auto"/>
            <w:noWrap/>
            <w:vAlign w:val="bottom"/>
            <w:hideMark/>
          </w:tcPr>
          <w:p w:rsidR="007A0C15" w:rsidRPr="00785FC5" w:rsidRDefault="007A0C15" w:rsidP="003430BE">
            <w:pPr>
              <w:suppressAutoHyphens w:val="0"/>
              <w:jc w:val="center"/>
            </w:pPr>
            <w:r w:rsidRPr="00785FC5">
              <w:t>0,000</w:t>
            </w:r>
          </w:p>
        </w:tc>
      </w:tr>
      <w:tr w:rsidR="007A0C15" w:rsidRPr="00785FC5" w:rsidTr="00785FC5">
        <w:trPr>
          <w:trHeight w:val="113"/>
        </w:trPr>
        <w:tc>
          <w:tcPr>
            <w:tcW w:w="1431" w:type="pct"/>
            <w:gridSpan w:val="2"/>
            <w:tcBorders>
              <w:top w:val="single" w:sz="4" w:space="0" w:color="auto"/>
              <w:bottom w:val="single" w:sz="4" w:space="0" w:color="auto"/>
              <w:right w:val="single" w:sz="4" w:space="0" w:color="000000"/>
            </w:tcBorders>
            <w:shd w:val="clear" w:color="auto" w:fill="auto"/>
            <w:noWrap/>
            <w:vAlign w:val="bottom"/>
            <w:hideMark/>
          </w:tcPr>
          <w:p w:rsidR="007A0C15" w:rsidRPr="00785FC5" w:rsidRDefault="007A0C15" w:rsidP="003430BE">
            <w:pPr>
              <w:suppressAutoHyphens w:val="0"/>
              <w:jc w:val="center"/>
              <w:rPr>
                <w:b/>
              </w:rPr>
            </w:pPr>
            <w:proofErr w:type="spellStart"/>
            <w:r w:rsidRPr="00785FC5">
              <w:rPr>
                <w:b/>
              </w:rPr>
              <w:t>Roy's</w:t>
            </w:r>
            <w:proofErr w:type="spellEnd"/>
            <w:r w:rsidRPr="00785FC5">
              <w:rPr>
                <w:b/>
              </w:rPr>
              <w:t xml:space="preserve"> </w:t>
            </w:r>
            <w:proofErr w:type="spellStart"/>
            <w:r w:rsidRPr="00785FC5">
              <w:rPr>
                <w:b/>
              </w:rPr>
              <w:t>largest</w:t>
            </w:r>
            <w:proofErr w:type="spellEnd"/>
            <w:r w:rsidRPr="00785FC5">
              <w:rPr>
                <w:b/>
              </w:rPr>
              <w:t xml:space="preserve"> root</w:t>
            </w:r>
          </w:p>
        </w:tc>
        <w:tc>
          <w:tcPr>
            <w:tcW w:w="715" w:type="pct"/>
            <w:tcBorders>
              <w:top w:val="nil"/>
              <w:left w:val="nil"/>
              <w:bottom w:val="single" w:sz="8"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19,982</w:t>
            </w:r>
          </w:p>
        </w:tc>
        <w:tc>
          <w:tcPr>
            <w:tcW w:w="713" w:type="pct"/>
            <w:tcBorders>
              <w:top w:val="nil"/>
              <w:left w:val="nil"/>
              <w:bottom w:val="single" w:sz="8"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4</w:t>
            </w:r>
          </w:p>
        </w:tc>
        <w:tc>
          <w:tcPr>
            <w:tcW w:w="713" w:type="pct"/>
            <w:tcBorders>
              <w:top w:val="nil"/>
              <w:left w:val="nil"/>
              <w:bottom w:val="single" w:sz="8"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72</w:t>
            </w:r>
          </w:p>
        </w:tc>
        <w:tc>
          <w:tcPr>
            <w:tcW w:w="693" w:type="pct"/>
            <w:tcBorders>
              <w:top w:val="nil"/>
              <w:left w:val="nil"/>
              <w:bottom w:val="single" w:sz="8" w:space="0" w:color="auto"/>
              <w:right w:val="single" w:sz="4" w:space="0" w:color="auto"/>
            </w:tcBorders>
            <w:shd w:val="clear" w:color="auto" w:fill="auto"/>
            <w:noWrap/>
            <w:vAlign w:val="bottom"/>
            <w:hideMark/>
          </w:tcPr>
          <w:p w:rsidR="007A0C15" w:rsidRPr="00785FC5" w:rsidRDefault="007A0C15" w:rsidP="003430BE">
            <w:pPr>
              <w:suppressAutoHyphens w:val="0"/>
              <w:jc w:val="center"/>
            </w:pPr>
            <w:r w:rsidRPr="00785FC5">
              <w:t>359,676</w:t>
            </w:r>
          </w:p>
        </w:tc>
        <w:tc>
          <w:tcPr>
            <w:tcW w:w="730" w:type="pct"/>
            <w:tcBorders>
              <w:top w:val="nil"/>
              <w:left w:val="nil"/>
              <w:bottom w:val="single" w:sz="8" w:space="0" w:color="auto"/>
            </w:tcBorders>
            <w:shd w:val="clear" w:color="auto" w:fill="auto"/>
            <w:noWrap/>
            <w:vAlign w:val="bottom"/>
            <w:hideMark/>
          </w:tcPr>
          <w:p w:rsidR="007A0C15" w:rsidRPr="00785FC5" w:rsidRDefault="007A0C15" w:rsidP="003430BE">
            <w:pPr>
              <w:suppressAutoHyphens w:val="0"/>
              <w:jc w:val="center"/>
            </w:pPr>
            <w:r w:rsidRPr="00785FC5">
              <w:t>0,000</w:t>
            </w:r>
          </w:p>
        </w:tc>
      </w:tr>
      <w:tr w:rsidR="007A0C15" w:rsidRPr="00785FC5" w:rsidTr="00785FC5">
        <w:trPr>
          <w:trHeight w:val="113"/>
        </w:trPr>
        <w:tc>
          <w:tcPr>
            <w:tcW w:w="2860" w:type="pct"/>
            <w:gridSpan w:val="4"/>
            <w:tcBorders>
              <w:top w:val="single" w:sz="12" w:space="0" w:color="auto"/>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rPr>
                <w:b/>
              </w:rPr>
            </w:pPr>
            <w:r w:rsidRPr="00785FC5">
              <w:rPr>
                <w:b/>
              </w:rPr>
              <w:t>Correlações Canônicas:</w:t>
            </w:r>
            <w:r w:rsidRPr="00785FC5">
              <w:t> </w:t>
            </w:r>
          </w:p>
        </w:tc>
        <w:tc>
          <w:tcPr>
            <w:tcW w:w="71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693" w:type="pct"/>
            <w:tcBorders>
              <w:top w:val="single" w:sz="12"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p>
        </w:tc>
        <w:tc>
          <w:tcPr>
            <w:tcW w:w="730" w:type="pct"/>
            <w:tcBorders>
              <w:top w:val="single" w:sz="12" w:space="0" w:color="auto"/>
              <w:left w:val="nil"/>
              <w:bottom w:val="single" w:sz="12" w:space="0" w:color="auto"/>
            </w:tcBorders>
            <w:shd w:val="clear" w:color="auto" w:fill="auto"/>
            <w:noWrap/>
            <w:vAlign w:val="bottom"/>
          </w:tcPr>
          <w:p w:rsidR="007A0C15" w:rsidRPr="00785FC5" w:rsidRDefault="007A0C15" w:rsidP="003430BE">
            <w:pPr>
              <w:suppressAutoHyphens w:val="0"/>
              <w:jc w:val="center"/>
            </w:pPr>
          </w:p>
        </w:tc>
      </w:tr>
      <w:tr w:rsidR="007A0C15" w:rsidRPr="00785FC5" w:rsidTr="00785FC5">
        <w:trPr>
          <w:trHeight w:val="113"/>
        </w:trPr>
        <w:tc>
          <w:tcPr>
            <w:tcW w:w="1431" w:type="pct"/>
            <w:gridSpan w:val="2"/>
            <w:tcBorders>
              <w:top w:val="single" w:sz="4" w:space="0" w:color="auto"/>
              <w:bottom w:val="single" w:sz="12" w:space="0" w:color="auto"/>
              <w:right w:val="single" w:sz="4" w:space="0" w:color="000000"/>
            </w:tcBorders>
            <w:shd w:val="clear" w:color="auto" w:fill="auto"/>
            <w:noWrap/>
            <w:vAlign w:val="bottom"/>
          </w:tcPr>
          <w:p w:rsidR="007A0C15" w:rsidRPr="00785FC5" w:rsidRDefault="007A0C15" w:rsidP="003430BE">
            <w:pPr>
              <w:suppressAutoHyphens w:val="0"/>
              <w:jc w:val="center"/>
              <w:rPr>
                <w:b/>
              </w:rPr>
            </w:pPr>
            <w:r w:rsidRPr="00785FC5">
              <w:t>0,915*</w:t>
            </w:r>
          </w:p>
        </w:tc>
        <w:tc>
          <w:tcPr>
            <w:tcW w:w="715"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0,615</w:t>
            </w: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p>
        </w:tc>
        <w:tc>
          <w:tcPr>
            <w:tcW w:w="71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693" w:type="pct"/>
            <w:tcBorders>
              <w:top w:val="single" w:sz="8" w:space="0" w:color="auto"/>
              <w:left w:val="nil"/>
              <w:bottom w:val="single" w:sz="12" w:space="0" w:color="auto"/>
              <w:right w:val="single" w:sz="4" w:space="0" w:color="auto"/>
            </w:tcBorders>
            <w:shd w:val="clear" w:color="auto" w:fill="auto"/>
            <w:noWrap/>
            <w:vAlign w:val="bottom"/>
          </w:tcPr>
          <w:p w:rsidR="007A0C15" w:rsidRPr="00785FC5" w:rsidRDefault="007A0C15" w:rsidP="003430BE">
            <w:pPr>
              <w:suppressAutoHyphens w:val="0"/>
              <w:jc w:val="center"/>
            </w:pPr>
            <w:r w:rsidRPr="00785FC5">
              <w:t> </w:t>
            </w:r>
          </w:p>
        </w:tc>
        <w:tc>
          <w:tcPr>
            <w:tcW w:w="730" w:type="pct"/>
            <w:tcBorders>
              <w:top w:val="single" w:sz="8" w:space="0" w:color="auto"/>
              <w:left w:val="nil"/>
              <w:bottom w:val="single" w:sz="12" w:space="0" w:color="auto"/>
            </w:tcBorders>
            <w:shd w:val="clear" w:color="auto" w:fill="auto"/>
            <w:noWrap/>
            <w:vAlign w:val="bottom"/>
          </w:tcPr>
          <w:p w:rsidR="007A0C15" w:rsidRPr="00785FC5" w:rsidRDefault="007A0C15" w:rsidP="003430BE">
            <w:pPr>
              <w:suppressAutoHyphens w:val="0"/>
              <w:jc w:val="center"/>
            </w:pPr>
            <w:r w:rsidRPr="00785FC5">
              <w:t> </w:t>
            </w:r>
          </w:p>
        </w:tc>
      </w:tr>
    </w:tbl>
    <w:p w:rsidR="007A0C15" w:rsidRPr="007A0C15" w:rsidRDefault="007A0C15" w:rsidP="007A0C15">
      <w:pPr>
        <w:tabs>
          <w:tab w:val="left" w:pos="6032"/>
        </w:tabs>
        <w:suppressAutoHyphens w:val="0"/>
        <w:jc w:val="both"/>
        <w:rPr>
          <w:rFonts w:eastAsia="Calibri"/>
          <w:lang w:eastAsia="en-US"/>
        </w:rPr>
      </w:pPr>
      <w:r w:rsidRPr="007A0C15">
        <w:rPr>
          <w:rFonts w:eastAsia="Calibri"/>
          <w:lang w:eastAsia="en-US"/>
        </w:rPr>
        <w:lastRenderedPageBreak/>
        <w:t xml:space="preserve">Obs.: </w:t>
      </w:r>
      <w:proofErr w:type="spellStart"/>
      <w:r w:rsidRPr="007A0C15">
        <w:rPr>
          <w:rFonts w:eastAsia="Calibri"/>
          <w:lang w:eastAsia="en-US"/>
        </w:rPr>
        <w:t>Tip</w:t>
      </w:r>
      <w:proofErr w:type="spellEnd"/>
      <w:r w:rsidRPr="007A0C15">
        <w:rPr>
          <w:rFonts w:eastAsia="Calibri"/>
          <w:lang w:eastAsia="en-US"/>
        </w:rPr>
        <w:t xml:space="preserve"> = tipo de riscos; </w:t>
      </w:r>
      <w:proofErr w:type="gramStart"/>
      <w:r w:rsidRPr="007A0C15">
        <w:rPr>
          <w:rFonts w:eastAsia="Calibri"/>
          <w:lang w:eastAsia="en-US"/>
        </w:rPr>
        <w:t>Ide</w:t>
      </w:r>
      <w:proofErr w:type="gramEnd"/>
      <w:r w:rsidRPr="007A0C15">
        <w:rPr>
          <w:rFonts w:eastAsia="Calibri"/>
          <w:lang w:eastAsia="en-US"/>
        </w:rPr>
        <w:t xml:space="preserve"> = identificação dos riscos; Ava = avaliação dos riscos; </w:t>
      </w:r>
      <w:proofErr w:type="spellStart"/>
      <w:r w:rsidRPr="007A0C15">
        <w:rPr>
          <w:rFonts w:eastAsia="Calibri"/>
          <w:lang w:eastAsia="en-US"/>
        </w:rPr>
        <w:t>Resp</w:t>
      </w:r>
      <w:proofErr w:type="spellEnd"/>
      <w:r w:rsidRPr="007A0C15">
        <w:rPr>
          <w:rFonts w:eastAsia="Calibri"/>
          <w:lang w:eastAsia="en-US"/>
        </w:rPr>
        <w:t xml:space="preserve"> = resposta aos riscos; </w:t>
      </w:r>
      <w:proofErr w:type="spellStart"/>
      <w:r w:rsidRPr="007A0C15">
        <w:rPr>
          <w:rFonts w:eastAsia="Calibri"/>
          <w:lang w:eastAsia="en-US"/>
        </w:rPr>
        <w:t>Amb</w:t>
      </w:r>
      <w:proofErr w:type="spellEnd"/>
      <w:r w:rsidRPr="007A0C15">
        <w:rPr>
          <w:rFonts w:eastAsia="Calibri"/>
          <w:lang w:eastAsia="en-US"/>
        </w:rPr>
        <w:t xml:space="preserve"> = ambiente; Est = estratégia; </w:t>
      </w:r>
      <w:proofErr w:type="spellStart"/>
      <w:r w:rsidRPr="007A0C15">
        <w:rPr>
          <w:rFonts w:eastAsia="Calibri"/>
          <w:lang w:eastAsia="en-US"/>
        </w:rPr>
        <w:t>Tec</w:t>
      </w:r>
      <w:proofErr w:type="spellEnd"/>
      <w:r w:rsidRPr="007A0C15">
        <w:rPr>
          <w:rFonts w:eastAsia="Calibri"/>
          <w:lang w:eastAsia="en-US"/>
        </w:rPr>
        <w:t xml:space="preserve"> = tecnologia.</w:t>
      </w:r>
    </w:p>
    <w:p w:rsidR="007A0C15" w:rsidRPr="007A0C15" w:rsidRDefault="007A0C15" w:rsidP="007A0C15">
      <w:pPr>
        <w:tabs>
          <w:tab w:val="left" w:pos="6032"/>
        </w:tabs>
        <w:suppressAutoHyphens w:val="0"/>
        <w:jc w:val="both"/>
        <w:rPr>
          <w:rFonts w:eastAsia="Calibri"/>
          <w:lang w:eastAsia="en-US"/>
        </w:rPr>
      </w:pPr>
      <w:r w:rsidRPr="007A0C15">
        <w:rPr>
          <w:rFonts w:eastAsia="Calibri"/>
          <w:lang w:eastAsia="en-US"/>
        </w:rPr>
        <w:t>*Significância ao nível de 5%.</w:t>
      </w:r>
    </w:p>
    <w:p w:rsidR="007A0C15" w:rsidRPr="007A0C15" w:rsidRDefault="007A0C15" w:rsidP="007A0C15">
      <w:pPr>
        <w:tabs>
          <w:tab w:val="left" w:pos="6032"/>
        </w:tabs>
        <w:suppressAutoHyphens w:val="0"/>
        <w:jc w:val="both"/>
        <w:rPr>
          <w:rFonts w:eastAsia="Calibri"/>
          <w:lang w:eastAsia="en-US"/>
        </w:rPr>
      </w:pPr>
      <w:r w:rsidRPr="007A0C15">
        <w:rPr>
          <w:rFonts w:eastAsia="Calibri"/>
          <w:lang w:eastAsia="en-US"/>
        </w:rPr>
        <w:t>Fonte: Dados da pesquisa.</w:t>
      </w:r>
    </w:p>
    <w:p w:rsidR="007A0C15" w:rsidRPr="007A0C15" w:rsidRDefault="007A0C15" w:rsidP="007A0C15">
      <w:pPr>
        <w:suppressAutoHyphens w:val="0"/>
        <w:ind w:firstLine="709"/>
        <w:rPr>
          <w:rFonts w:eastAsia="Calibri"/>
          <w:sz w:val="24"/>
          <w:szCs w:val="19"/>
          <w:lang w:eastAsia="en-US"/>
        </w:rPr>
      </w:pPr>
    </w:p>
    <w:p w:rsidR="007A0C15" w:rsidRPr="007A0C15" w:rsidRDefault="00785FC5" w:rsidP="007A0C15">
      <w:pPr>
        <w:suppressAutoHyphens w:val="0"/>
        <w:ind w:firstLine="709"/>
        <w:jc w:val="both"/>
        <w:rPr>
          <w:rFonts w:eastAsia="Calibri"/>
          <w:sz w:val="24"/>
          <w:szCs w:val="24"/>
          <w:lang w:eastAsia="en-US"/>
        </w:rPr>
      </w:pPr>
      <w:r>
        <w:rPr>
          <w:rFonts w:eastAsia="Calibri"/>
          <w:sz w:val="24"/>
          <w:szCs w:val="24"/>
          <w:lang w:eastAsia="en-US"/>
        </w:rPr>
        <w:t xml:space="preserve">A partir da </w:t>
      </w:r>
      <w:r w:rsidR="007A0C15" w:rsidRPr="0035384E">
        <w:rPr>
          <w:rFonts w:eastAsia="Calibri"/>
          <w:sz w:val="24"/>
          <w:szCs w:val="24"/>
          <w:lang w:eastAsia="en-US"/>
        </w:rPr>
        <w:t xml:space="preserve">Tabela </w:t>
      </w:r>
      <w:r w:rsidR="000D74BF">
        <w:rPr>
          <w:rFonts w:eastAsia="Calibri"/>
          <w:sz w:val="24"/>
          <w:szCs w:val="24"/>
          <w:lang w:eastAsia="en-US"/>
        </w:rPr>
        <w:t>2</w:t>
      </w:r>
      <w:r w:rsidR="007A0C15" w:rsidRPr="0035384E">
        <w:rPr>
          <w:rFonts w:eastAsia="Calibri"/>
          <w:sz w:val="24"/>
          <w:szCs w:val="24"/>
          <w:lang w:eastAsia="en-US"/>
        </w:rPr>
        <w:t>,</w:t>
      </w:r>
      <w:r w:rsidR="007A0C15" w:rsidRPr="007A0C15">
        <w:rPr>
          <w:rFonts w:eastAsia="Calibri"/>
          <w:sz w:val="24"/>
          <w:szCs w:val="24"/>
          <w:lang w:eastAsia="en-US"/>
        </w:rPr>
        <w:t xml:space="preserve"> </w:t>
      </w:r>
      <w:r>
        <w:rPr>
          <w:rFonts w:eastAsia="Calibri"/>
          <w:sz w:val="24"/>
          <w:szCs w:val="24"/>
          <w:lang w:eastAsia="en-US"/>
        </w:rPr>
        <w:t xml:space="preserve">pode-se </w:t>
      </w:r>
      <w:r w:rsidR="007A0C15" w:rsidRPr="007A0C15">
        <w:rPr>
          <w:rFonts w:eastAsia="Calibri"/>
          <w:sz w:val="24"/>
          <w:szCs w:val="24"/>
          <w:lang w:eastAsia="en-US"/>
        </w:rPr>
        <w:t>observa</w:t>
      </w:r>
      <w:r>
        <w:rPr>
          <w:rFonts w:eastAsia="Calibri"/>
          <w:sz w:val="24"/>
          <w:szCs w:val="24"/>
          <w:lang w:eastAsia="en-US"/>
        </w:rPr>
        <w:t>r</w:t>
      </w:r>
      <w:r w:rsidR="007A0C15" w:rsidRPr="007A0C15">
        <w:rPr>
          <w:rFonts w:eastAsia="Calibri"/>
          <w:sz w:val="24"/>
          <w:szCs w:val="24"/>
          <w:lang w:eastAsia="en-US"/>
        </w:rPr>
        <w:t xml:space="preserve"> os três principais testes estatísticos multivariados que avaliam, por meio da estatística F, a significância das dimensões canônicas, são o </w:t>
      </w:r>
      <w:proofErr w:type="spellStart"/>
      <w:r w:rsidR="007A0C15" w:rsidRPr="007A0C15">
        <w:rPr>
          <w:rFonts w:eastAsia="Calibri"/>
          <w:sz w:val="24"/>
          <w:szCs w:val="24"/>
          <w:lang w:eastAsia="en-US"/>
        </w:rPr>
        <w:t>Wilks</w:t>
      </w:r>
      <w:proofErr w:type="spellEnd"/>
      <w:r w:rsidR="007A0C15" w:rsidRPr="007A0C15">
        <w:rPr>
          <w:rFonts w:eastAsia="Calibri"/>
          <w:sz w:val="24"/>
          <w:szCs w:val="24"/>
          <w:lang w:eastAsia="en-US"/>
        </w:rPr>
        <w:t xml:space="preserve">’ Lambda, o </w:t>
      </w:r>
      <w:proofErr w:type="spellStart"/>
      <w:r w:rsidR="007A0C15" w:rsidRPr="007A0C15">
        <w:rPr>
          <w:rFonts w:eastAsia="Calibri"/>
          <w:sz w:val="24"/>
          <w:szCs w:val="24"/>
          <w:lang w:eastAsia="en-US"/>
        </w:rPr>
        <w:t>Pillai’s</w:t>
      </w:r>
      <w:proofErr w:type="spellEnd"/>
      <w:r w:rsidR="007A0C15" w:rsidRPr="007A0C15">
        <w:rPr>
          <w:rFonts w:eastAsia="Calibri"/>
          <w:sz w:val="24"/>
          <w:szCs w:val="24"/>
          <w:lang w:eastAsia="en-US"/>
        </w:rPr>
        <w:t xml:space="preserve"> </w:t>
      </w:r>
      <w:r w:rsidR="007A0C15" w:rsidRPr="007A0C15">
        <w:rPr>
          <w:rFonts w:eastAsia="Calibri"/>
          <w:i/>
          <w:sz w:val="24"/>
          <w:szCs w:val="24"/>
          <w:lang w:eastAsia="en-US"/>
        </w:rPr>
        <w:t>trace</w:t>
      </w:r>
      <w:r w:rsidR="007A0C15" w:rsidRPr="007A0C15">
        <w:rPr>
          <w:rFonts w:eastAsia="Calibri"/>
          <w:sz w:val="24"/>
          <w:szCs w:val="24"/>
          <w:lang w:eastAsia="en-US"/>
        </w:rPr>
        <w:t xml:space="preserve"> e o </w:t>
      </w:r>
      <w:proofErr w:type="spellStart"/>
      <w:r w:rsidR="007A0C15" w:rsidRPr="007A0C15">
        <w:rPr>
          <w:rFonts w:eastAsia="Calibri"/>
          <w:sz w:val="24"/>
          <w:szCs w:val="24"/>
          <w:lang w:eastAsia="en-US"/>
        </w:rPr>
        <w:t>Lawley-Hotelling</w:t>
      </w:r>
      <w:proofErr w:type="spellEnd"/>
      <w:r w:rsidR="007A0C15" w:rsidRPr="007A0C15">
        <w:rPr>
          <w:rFonts w:eastAsia="Calibri"/>
          <w:sz w:val="24"/>
          <w:szCs w:val="24"/>
          <w:lang w:eastAsia="en-US"/>
        </w:rPr>
        <w:t xml:space="preserve"> </w:t>
      </w:r>
      <w:r w:rsidR="007A0C15" w:rsidRPr="007A0C15">
        <w:rPr>
          <w:rFonts w:eastAsia="Calibri"/>
          <w:i/>
          <w:sz w:val="24"/>
          <w:szCs w:val="24"/>
          <w:lang w:eastAsia="en-US"/>
        </w:rPr>
        <w:t>trace</w:t>
      </w:r>
      <w:r w:rsidR="007A0C15" w:rsidRPr="007A0C15">
        <w:rPr>
          <w:rFonts w:eastAsia="Calibri"/>
          <w:sz w:val="24"/>
          <w:szCs w:val="24"/>
          <w:lang w:eastAsia="en-US"/>
        </w:rPr>
        <w:t xml:space="preserve">, cujas hipóteses nulas afirmam que os dois vetores de variáveis não são linearmente relacionados, ou seja, que as correlações canônicas são estatisticamente iguais a zero a um determinando nível de significância. </w:t>
      </w:r>
    </w:p>
    <w:p w:rsidR="007A0C15" w:rsidRPr="007A0C15" w:rsidRDefault="007A0C15" w:rsidP="007A0C15">
      <w:pPr>
        <w:suppressAutoHyphens w:val="0"/>
        <w:ind w:firstLine="709"/>
        <w:jc w:val="both"/>
        <w:rPr>
          <w:sz w:val="24"/>
          <w:szCs w:val="24"/>
          <w:lang w:eastAsia="en-US"/>
        </w:rPr>
      </w:pPr>
      <w:r w:rsidRPr="007A0C15">
        <w:rPr>
          <w:rFonts w:eastAsia="Calibri"/>
          <w:sz w:val="24"/>
          <w:szCs w:val="24"/>
          <w:lang w:eastAsia="en-US"/>
        </w:rPr>
        <w:t xml:space="preserve">Observando-se a Tabela </w:t>
      </w:r>
      <w:r w:rsidR="002064E7">
        <w:rPr>
          <w:rFonts w:eastAsia="Calibri"/>
          <w:sz w:val="24"/>
          <w:szCs w:val="24"/>
          <w:lang w:eastAsia="en-US"/>
        </w:rPr>
        <w:t>1</w:t>
      </w:r>
      <w:r w:rsidRPr="007A0C15">
        <w:rPr>
          <w:rFonts w:eastAsia="Calibri"/>
          <w:sz w:val="24"/>
          <w:szCs w:val="24"/>
          <w:lang w:eastAsia="en-US"/>
        </w:rPr>
        <w:t xml:space="preserve">, por meio do teste de </w:t>
      </w:r>
      <w:proofErr w:type="spellStart"/>
      <w:r w:rsidRPr="007A0C15">
        <w:rPr>
          <w:rFonts w:eastAsia="Calibri"/>
          <w:sz w:val="24"/>
          <w:szCs w:val="24"/>
          <w:lang w:eastAsia="en-US"/>
        </w:rPr>
        <w:t>Wilks</w:t>
      </w:r>
      <w:proofErr w:type="spellEnd"/>
      <w:r w:rsidRPr="007A0C15">
        <w:rPr>
          <w:rFonts w:eastAsia="Calibri"/>
          <w:sz w:val="24"/>
          <w:szCs w:val="24"/>
          <w:lang w:eastAsia="en-US"/>
        </w:rPr>
        <w:t xml:space="preserve">’ Lambda, pode-se rejeitar a hipótese nula de que as correlações canônicas sejam estatisticamente iguais a zero ao nível de significância de 5%, ou seja, pode-se rejeitar a hipótese nula de que os dois vetores de variáveis não sejam linearmente relacionados, ao nível de significância de 5%, sendo pelo menos a correlação canônica da primeira dimensão canônica estatisticamente diferente de zero. </w:t>
      </w:r>
      <w:r w:rsidRPr="007A0C15">
        <w:rPr>
          <w:sz w:val="24"/>
          <w:szCs w:val="24"/>
          <w:lang w:eastAsia="en-US"/>
        </w:rPr>
        <w:t xml:space="preserve">A estatística referente ao teste de </w:t>
      </w:r>
      <w:proofErr w:type="spellStart"/>
      <w:r w:rsidRPr="007A0C15">
        <w:rPr>
          <w:sz w:val="24"/>
          <w:szCs w:val="24"/>
          <w:lang w:eastAsia="en-US"/>
        </w:rPr>
        <w:t>Pillai’s</w:t>
      </w:r>
      <w:proofErr w:type="spellEnd"/>
      <w:r w:rsidRPr="007A0C15">
        <w:rPr>
          <w:sz w:val="24"/>
          <w:szCs w:val="24"/>
          <w:lang w:eastAsia="en-US"/>
        </w:rPr>
        <w:t xml:space="preserve"> </w:t>
      </w:r>
      <w:r w:rsidRPr="007A0C15">
        <w:rPr>
          <w:i/>
          <w:sz w:val="24"/>
          <w:szCs w:val="24"/>
          <w:lang w:eastAsia="en-US"/>
        </w:rPr>
        <w:t>Trace</w:t>
      </w:r>
      <w:r w:rsidRPr="007A0C15">
        <w:rPr>
          <w:sz w:val="24"/>
          <w:szCs w:val="24"/>
          <w:lang w:eastAsia="en-US"/>
        </w:rPr>
        <w:t xml:space="preserve"> indicou a rejeição da hipótese nula de que as correlações canônicas sejam estatisticamente iguais a zero ao nível de significância de 5%, ou seja, pelo teste de </w:t>
      </w:r>
      <w:proofErr w:type="spellStart"/>
      <w:r w:rsidRPr="007A0C15">
        <w:rPr>
          <w:sz w:val="24"/>
          <w:szCs w:val="24"/>
          <w:lang w:eastAsia="en-US"/>
        </w:rPr>
        <w:t>Pilla’s</w:t>
      </w:r>
      <w:proofErr w:type="spellEnd"/>
      <w:r w:rsidRPr="007A0C15">
        <w:rPr>
          <w:sz w:val="24"/>
          <w:szCs w:val="24"/>
          <w:lang w:eastAsia="en-US"/>
        </w:rPr>
        <w:t xml:space="preserve"> </w:t>
      </w:r>
      <w:r w:rsidRPr="007A0C15">
        <w:rPr>
          <w:i/>
          <w:sz w:val="24"/>
          <w:szCs w:val="24"/>
          <w:lang w:eastAsia="en-US"/>
        </w:rPr>
        <w:t>Trace</w:t>
      </w:r>
      <w:r w:rsidRPr="007A0C15">
        <w:rPr>
          <w:sz w:val="24"/>
          <w:szCs w:val="24"/>
          <w:lang w:eastAsia="en-US"/>
        </w:rPr>
        <w:t xml:space="preserve"> pelo menos a correlação canônica da primeira dimensão canônica é estatisticamente diferente de zero. Por fim, o teste de </w:t>
      </w:r>
      <w:proofErr w:type="spellStart"/>
      <w:r w:rsidRPr="007A0C15">
        <w:rPr>
          <w:sz w:val="24"/>
          <w:szCs w:val="24"/>
          <w:lang w:eastAsia="en-US"/>
        </w:rPr>
        <w:t>Lawley-Hotelling</w:t>
      </w:r>
      <w:proofErr w:type="spellEnd"/>
      <w:r w:rsidRPr="007A0C15">
        <w:rPr>
          <w:sz w:val="24"/>
          <w:szCs w:val="24"/>
          <w:lang w:eastAsia="en-US"/>
        </w:rPr>
        <w:t xml:space="preserve"> </w:t>
      </w:r>
      <w:r w:rsidRPr="007A0C15">
        <w:rPr>
          <w:i/>
          <w:sz w:val="24"/>
          <w:szCs w:val="24"/>
          <w:lang w:eastAsia="en-US"/>
        </w:rPr>
        <w:t>Trace</w:t>
      </w:r>
      <w:r w:rsidRPr="007A0C15">
        <w:rPr>
          <w:sz w:val="24"/>
          <w:szCs w:val="24"/>
          <w:lang w:eastAsia="en-US"/>
        </w:rPr>
        <w:t xml:space="preserve"> também indica que a correlação canônica da primeira dimensão é estatisticamente diferente de zero ao nível de 5%. Assim, pode-se confirmar que apenas uma única dimensão é necessária para descrever a relação existente entre as variáveis dependentes tipo, identidade, avaliação e resposta</w:t>
      </w:r>
      <w:r w:rsidRPr="007A0C15">
        <w:rPr>
          <w:i/>
          <w:sz w:val="24"/>
          <w:szCs w:val="24"/>
          <w:lang w:eastAsia="en-US"/>
        </w:rPr>
        <w:t xml:space="preserve"> </w:t>
      </w:r>
      <w:r w:rsidRPr="007A0C15">
        <w:rPr>
          <w:sz w:val="24"/>
          <w:szCs w:val="24"/>
          <w:lang w:eastAsia="en-US"/>
        </w:rPr>
        <w:t>e as variáveis explicativas ambiente, estratégia e tecnologia. Assim, pode-se escrever as seguintes expressões canônicas significantes:</w:t>
      </w:r>
    </w:p>
    <w:p w:rsidR="007A0C15" w:rsidRPr="007A0C15" w:rsidRDefault="00E86B25" w:rsidP="007A0C15">
      <w:pPr>
        <w:suppressAutoHyphens w:val="0"/>
        <w:ind w:firstLine="709"/>
        <w:jc w:val="both"/>
        <w:rPr>
          <w:sz w:val="24"/>
          <w:szCs w:val="24"/>
          <w:lang w:eastAsia="en-US"/>
        </w:rPr>
      </w:pPr>
      <m:oMathPara>
        <m:oMath>
          <m:sSub>
            <m:sSubPr>
              <m:ctrlPr>
                <w:rPr>
                  <w:rFonts w:ascii="Cambria Math" w:hAnsi="Cambria Math"/>
                  <w:i/>
                  <w:sz w:val="24"/>
                  <w:szCs w:val="24"/>
                  <w:lang w:eastAsia="en-US"/>
                </w:rPr>
              </m:ctrlPr>
            </m:sSubPr>
            <m:e>
              <m:r>
                <w:rPr>
                  <w:rFonts w:ascii="Cambria Math" w:hAnsi="Cambria Math"/>
                  <w:sz w:val="24"/>
                  <w:szCs w:val="24"/>
                  <w:lang w:eastAsia="en-US"/>
                </w:rPr>
                <m:t>U</m:t>
              </m:r>
            </m:e>
            <m:sub>
              <m:r>
                <w:rPr>
                  <w:rFonts w:ascii="Cambria Math" w:hAnsi="Cambria Math"/>
                  <w:sz w:val="24"/>
                  <w:szCs w:val="24"/>
                  <w:lang w:eastAsia="en-US"/>
                </w:rPr>
                <m:t>1i</m:t>
              </m:r>
            </m:sub>
          </m:sSub>
          <m:r>
            <w:rPr>
              <w:rFonts w:ascii="Cambria Math" w:hAnsi="Cambria Math"/>
              <w:sz w:val="24"/>
              <w:szCs w:val="24"/>
              <w:lang w:eastAsia="en-US"/>
            </w:rPr>
            <m:t>= 0,549</m:t>
          </m:r>
          <m:sSub>
            <m:sSubPr>
              <m:ctrlPr>
                <w:rPr>
                  <w:rFonts w:ascii="Cambria Math" w:hAnsi="Cambria Math"/>
                  <w:i/>
                  <w:sz w:val="24"/>
                  <w:szCs w:val="24"/>
                  <w:lang w:eastAsia="en-US"/>
                </w:rPr>
              </m:ctrlPr>
            </m:sSubPr>
            <m:e>
              <m:r>
                <w:rPr>
                  <w:rFonts w:ascii="Cambria Math" w:hAnsi="Cambria Math"/>
                  <w:sz w:val="24"/>
                  <w:szCs w:val="24"/>
                  <w:lang w:eastAsia="en-US"/>
                </w:rPr>
                <m:t>tip</m:t>
              </m:r>
            </m:e>
            <m:sub>
              <m:r>
                <w:rPr>
                  <w:rFonts w:ascii="Cambria Math" w:hAnsi="Cambria Math"/>
                  <w:sz w:val="24"/>
                  <w:szCs w:val="24"/>
                  <w:lang w:eastAsia="en-US"/>
                </w:rPr>
                <m:t>i</m:t>
              </m:r>
            </m:sub>
          </m:sSub>
          <m:r>
            <w:rPr>
              <w:rFonts w:ascii="Cambria Math" w:hAnsi="Cambria Math"/>
              <w:sz w:val="24"/>
              <w:szCs w:val="24"/>
              <w:lang w:eastAsia="en-US"/>
            </w:rPr>
            <m:t>+ 0,124</m:t>
          </m:r>
          <m:sSub>
            <m:sSubPr>
              <m:ctrlPr>
                <w:rPr>
                  <w:rFonts w:ascii="Cambria Math" w:hAnsi="Cambria Math"/>
                  <w:i/>
                  <w:sz w:val="24"/>
                  <w:szCs w:val="24"/>
                  <w:lang w:eastAsia="en-US"/>
                </w:rPr>
              </m:ctrlPr>
            </m:sSubPr>
            <m:e>
              <m:r>
                <w:rPr>
                  <w:rFonts w:ascii="Cambria Math" w:hAnsi="Cambria Math"/>
                  <w:sz w:val="24"/>
                  <w:szCs w:val="24"/>
                  <w:lang w:eastAsia="en-US"/>
                </w:rPr>
                <m:t>ide</m:t>
              </m:r>
            </m:e>
            <m:sub>
              <m:r>
                <w:rPr>
                  <w:rFonts w:ascii="Cambria Math" w:hAnsi="Cambria Math"/>
                  <w:sz w:val="24"/>
                  <w:szCs w:val="24"/>
                  <w:lang w:eastAsia="en-US"/>
                </w:rPr>
                <m:t>i</m:t>
              </m:r>
            </m:sub>
          </m:sSub>
          <m:r>
            <w:rPr>
              <w:rFonts w:ascii="Cambria Math" w:hAnsi="Cambria Math"/>
              <w:sz w:val="24"/>
              <w:szCs w:val="24"/>
              <w:lang w:eastAsia="en-US"/>
            </w:rPr>
            <m:t>+0,234</m:t>
          </m:r>
          <m:sSub>
            <m:sSubPr>
              <m:ctrlPr>
                <w:rPr>
                  <w:rFonts w:ascii="Cambria Math" w:hAnsi="Cambria Math"/>
                  <w:i/>
                  <w:sz w:val="24"/>
                  <w:szCs w:val="24"/>
                  <w:lang w:eastAsia="en-US"/>
                </w:rPr>
              </m:ctrlPr>
            </m:sSubPr>
            <m:e>
              <m:r>
                <w:rPr>
                  <w:rFonts w:ascii="Cambria Math" w:hAnsi="Cambria Math"/>
                  <w:sz w:val="24"/>
                  <w:szCs w:val="24"/>
                  <w:lang w:eastAsia="en-US"/>
                </w:rPr>
                <m:t>ava</m:t>
              </m:r>
            </m:e>
            <m:sub>
              <m:r>
                <w:rPr>
                  <w:rFonts w:ascii="Cambria Math" w:hAnsi="Cambria Math"/>
                  <w:sz w:val="24"/>
                  <w:szCs w:val="24"/>
                  <w:lang w:eastAsia="en-US"/>
                </w:rPr>
                <m:t>i</m:t>
              </m:r>
            </m:sub>
          </m:sSub>
          <m:r>
            <w:rPr>
              <w:rFonts w:ascii="Cambria Math" w:hAnsi="Cambria Math"/>
              <w:sz w:val="24"/>
              <w:szCs w:val="24"/>
              <w:lang w:eastAsia="en-US"/>
            </w:rPr>
            <m:t>+ 0,121</m:t>
          </m:r>
          <m:sSub>
            <m:sSubPr>
              <m:ctrlPr>
                <w:rPr>
                  <w:rFonts w:ascii="Cambria Math" w:hAnsi="Cambria Math"/>
                  <w:i/>
                  <w:sz w:val="24"/>
                  <w:szCs w:val="24"/>
                  <w:lang w:eastAsia="en-US"/>
                </w:rPr>
              </m:ctrlPr>
            </m:sSubPr>
            <m:e>
              <m:r>
                <w:rPr>
                  <w:rFonts w:ascii="Cambria Math" w:hAnsi="Cambria Math"/>
                  <w:sz w:val="24"/>
                  <w:szCs w:val="24"/>
                  <w:lang w:eastAsia="en-US"/>
                </w:rPr>
                <m:t>resp</m:t>
              </m:r>
            </m:e>
            <m:sub>
              <m:r>
                <w:rPr>
                  <w:rFonts w:ascii="Cambria Math" w:hAnsi="Cambria Math"/>
                  <w:sz w:val="24"/>
                  <w:szCs w:val="24"/>
                  <w:lang w:eastAsia="en-US"/>
                </w:rPr>
                <m:t>i</m:t>
              </m:r>
            </m:sub>
          </m:sSub>
        </m:oMath>
      </m:oMathPara>
    </w:p>
    <w:p w:rsidR="007A0C15" w:rsidRPr="007A0C15" w:rsidRDefault="00E86B25" w:rsidP="007A0C15">
      <w:pPr>
        <w:suppressAutoHyphens w:val="0"/>
        <w:ind w:firstLine="709"/>
        <w:jc w:val="both"/>
        <w:rPr>
          <w:sz w:val="24"/>
          <w:szCs w:val="24"/>
          <w:lang w:eastAsia="en-US"/>
        </w:rPr>
      </w:pPr>
      <m:oMathPara>
        <m:oMath>
          <m:sSub>
            <m:sSubPr>
              <m:ctrlPr>
                <w:rPr>
                  <w:rFonts w:ascii="Cambria Math" w:hAnsi="Cambria Math"/>
                  <w:i/>
                  <w:sz w:val="24"/>
                  <w:szCs w:val="24"/>
                  <w:lang w:eastAsia="en-US"/>
                </w:rPr>
              </m:ctrlPr>
            </m:sSubPr>
            <m:e>
              <m:r>
                <w:rPr>
                  <w:rFonts w:ascii="Cambria Math" w:hAnsi="Cambria Math"/>
                  <w:sz w:val="24"/>
                  <w:szCs w:val="24"/>
                  <w:lang w:eastAsia="en-US"/>
                </w:rPr>
                <m:t>V</m:t>
              </m:r>
            </m:e>
            <m:sub>
              <m:r>
                <w:rPr>
                  <w:rFonts w:ascii="Cambria Math" w:hAnsi="Cambria Math"/>
                  <w:sz w:val="24"/>
                  <w:szCs w:val="24"/>
                  <w:lang w:eastAsia="en-US"/>
                </w:rPr>
                <m:t>1i</m:t>
              </m:r>
            </m:sub>
          </m:sSub>
          <m:r>
            <w:rPr>
              <w:rFonts w:ascii="Cambria Math" w:hAnsi="Cambria Math"/>
              <w:sz w:val="24"/>
              <w:szCs w:val="24"/>
              <w:lang w:eastAsia="en-US"/>
            </w:rPr>
            <m:t>= 0,441</m:t>
          </m:r>
          <m:sSub>
            <m:sSubPr>
              <m:ctrlPr>
                <w:rPr>
                  <w:rFonts w:ascii="Cambria Math" w:hAnsi="Cambria Math"/>
                  <w:i/>
                  <w:sz w:val="24"/>
                  <w:szCs w:val="24"/>
                  <w:lang w:eastAsia="en-US"/>
                </w:rPr>
              </m:ctrlPr>
            </m:sSubPr>
            <m:e>
              <m:r>
                <w:rPr>
                  <w:rFonts w:ascii="Cambria Math" w:hAnsi="Cambria Math"/>
                  <w:sz w:val="24"/>
                  <w:szCs w:val="24"/>
                  <w:lang w:eastAsia="en-US"/>
                </w:rPr>
                <m:t>amb</m:t>
              </m:r>
            </m:e>
            <m:sub>
              <m:r>
                <w:rPr>
                  <w:rFonts w:ascii="Cambria Math" w:hAnsi="Cambria Math"/>
                  <w:sz w:val="24"/>
                  <w:szCs w:val="24"/>
                  <w:lang w:eastAsia="en-US"/>
                </w:rPr>
                <m:t>i</m:t>
              </m:r>
            </m:sub>
          </m:sSub>
          <m:r>
            <w:rPr>
              <w:rFonts w:ascii="Cambria Math" w:hAnsi="Cambria Math"/>
              <w:sz w:val="24"/>
              <w:szCs w:val="24"/>
              <w:lang w:eastAsia="en-US"/>
            </w:rPr>
            <m:t>+ 0,474</m:t>
          </m:r>
          <m:sSub>
            <m:sSubPr>
              <m:ctrlPr>
                <w:rPr>
                  <w:rFonts w:ascii="Cambria Math" w:hAnsi="Cambria Math"/>
                  <w:i/>
                  <w:sz w:val="24"/>
                  <w:szCs w:val="24"/>
                  <w:lang w:eastAsia="en-US"/>
                </w:rPr>
              </m:ctrlPr>
            </m:sSubPr>
            <m:e>
              <m:r>
                <w:rPr>
                  <w:rFonts w:ascii="Cambria Math" w:hAnsi="Cambria Math"/>
                  <w:sz w:val="24"/>
                  <w:szCs w:val="24"/>
                  <w:lang w:eastAsia="en-US"/>
                </w:rPr>
                <m:t>est</m:t>
              </m:r>
            </m:e>
            <m:sub>
              <m:r>
                <w:rPr>
                  <w:rFonts w:ascii="Cambria Math" w:hAnsi="Cambria Math"/>
                  <w:sz w:val="24"/>
                  <w:szCs w:val="24"/>
                  <w:lang w:eastAsia="en-US"/>
                </w:rPr>
                <m:t>i</m:t>
              </m:r>
            </m:sub>
          </m:sSub>
          <m:r>
            <w:rPr>
              <w:rFonts w:ascii="Cambria Math" w:hAnsi="Cambria Math"/>
              <w:sz w:val="24"/>
              <w:szCs w:val="24"/>
              <w:lang w:eastAsia="en-US"/>
            </w:rPr>
            <m:t>+ 0,103</m:t>
          </m:r>
          <m:sSub>
            <m:sSubPr>
              <m:ctrlPr>
                <w:rPr>
                  <w:rFonts w:ascii="Cambria Math" w:hAnsi="Cambria Math"/>
                  <w:i/>
                  <w:sz w:val="24"/>
                  <w:szCs w:val="24"/>
                  <w:lang w:eastAsia="en-US"/>
                </w:rPr>
              </m:ctrlPr>
            </m:sSubPr>
            <m:e>
              <m:r>
                <w:rPr>
                  <w:rFonts w:ascii="Cambria Math" w:hAnsi="Cambria Math"/>
                  <w:sz w:val="24"/>
                  <w:szCs w:val="24"/>
                  <w:lang w:eastAsia="en-US"/>
                </w:rPr>
                <m:t>tec</m:t>
              </m:r>
            </m:e>
            <m:sub>
              <m:r>
                <w:rPr>
                  <w:rFonts w:ascii="Cambria Math" w:hAnsi="Cambria Math"/>
                  <w:sz w:val="24"/>
                  <w:szCs w:val="24"/>
                  <w:lang w:eastAsia="en-US"/>
                </w:rPr>
                <m:t>i</m:t>
              </m:r>
            </m:sub>
          </m:sSub>
        </m:oMath>
      </m:oMathPara>
    </w:p>
    <w:p w:rsidR="007A0C15" w:rsidRPr="007A0C15" w:rsidRDefault="007A0C15" w:rsidP="007A0C15">
      <w:pPr>
        <w:suppressAutoHyphens w:val="0"/>
        <w:ind w:firstLine="709"/>
        <w:jc w:val="both"/>
        <w:rPr>
          <w:sz w:val="24"/>
          <w:szCs w:val="24"/>
          <w:lang w:eastAsia="en-US"/>
        </w:rPr>
      </w:pPr>
    </w:p>
    <w:p w:rsidR="007A0C15" w:rsidRPr="0035384E" w:rsidRDefault="007A0C15" w:rsidP="007A0C15">
      <w:pPr>
        <w:suppressAutoHyphens w:val="0"/>
        <w:ind w:firstLine="709"/>
        <w:jc w:val="both"/>
        <w:rPr>
          <w:sz w:val="24"/>
          <w:szCs w:val="24"/>
          <w:lang w:eastAsia="en-US"/>
        </w:rPr>
      </w:pPr>
      <w:r w:rsidRPr="007A0C15">
        <w:rPr>
          <w:sz w:val="24"/>
          <w:szCs w:val="24"/>
          <w:lang w:eastAsia="en-US"/>
        </w:rPr>
        <w:t xml:space="preserve">Após a análise de significância das dimensões canônicas, pode-se estudar a hierarquia de influências de cada variável original em cada variável canônica da primeira dimensão. A </w:t>
      </w:r>
      <w:r w:rsidRPr="0035384E">
        <w:rPr>
          <w:sz w:val="24"/>
          <w:szCs w:val="24"/>
          <w:lang w:eastAsia="en-US"/>
        </w:rPr>
        <w:t xml:space="preserve">Tabela </w:t>
      </w:r>
      <w:r w:rsidR="000D74BF">
        <w:rPr>
          <w:sz w:val="24"/>
          <w:szCs w:val="24"/>
          <w:lang w:eastAsia="en-US"/>
        </w:rPr>
        <w:t>3</w:t>
      </w:r>
      <w:r w:rsidR="00A84944">
        <w:rPr>
          <w:sz w:val="24"/>
          <w:szCs w:val="24"/>
          <w:lang w:eastAsia="en-US"/>
        </w:rPr>
        <w:t xml:space="preserve"> </w:t>
      </w:r>
      <w:r w:rsidRPr="0035384E">
        <w:rPr>
          <w:sz w:val="24"/>
          <w:szCs w:val="24"/>
          <w:lang w:eastAsia="en-US"/>
        </w:rPr>
        <w:t>apresenta tais dados.</w:t>
      </w:r>
    </w:p>
    <w:p w:rsidR="007A0C15" w:rsidRPr="0035384E" w:rsidRDefault="007A0C15" w:rsidP="007A0C15">
      <w:pPr>
        <w:suppressAutoHyphens w:val="0"/>
        <w:ind w:firstLine="709"/>
        <w:jc w:val="both"/>
        <w:rPr>
          <w:sz w:val="24"/>
          <w:szCs w:val="24"/>
          <w:lang w:eastAsia="en-US"/>
        </w:rPr>
      </w:pPr>
    </w:p>
    <w:p w:rsidR="007A0C15" w:rsidRDefault="007A0C15" w:rsidP="007A0C15">
      <w:pPr>
        <w:suppressAutoHyphens w:val="0"/>
        <w:jc w:val="both"/>
        <w:rPr>
          <w:b/>
          <w:szCs w:val="24"/>
        </w:rPr>
      </w:pPr>
      <w:bookmarkStart w:id="3" w:name="_Toc480237555"/>
      <w:r w:rsidRPr="0035384E">
        <w:rPr>
          <w:b/>
          <w:szCs w:val="24"/>
        </w:rPr>
        <w:t xml:space="preserve">Tabela </w:t>
      </w:r>
      <w:r w:rsidR="000D74BF">
        <w:rPr>
          <w:b/>
          <w:szCs w:val="24"/>
        </w:rPr>
        <w:t>3</w:t>
      </w:r>
    </w:p>
    <w:p w:rsidR="007A0C15" w:rsidRPr="007A0C15" w:rsidRDefault="007A0C15" w:rsidP="007A0C15">
      <w:pPr>
        <w:suppressAutoHyphens w:val="0"/>
        <w:jc w:val="both"/>
        <w:rPr>
          <w:szCs w:val="24"/>
        </w:rPr>
      </w:pPr>
      <w:r w:rsidRPr="007A0C15">
        <w:rPr>
          <w:szCs w:val="24"/>
        </w:rPr>
        <w:t>Hierarquia de influências das variáveis originais nas variáveis canônicas</w:t>
      </w:r>
      <w:bookmarkEnd w:id="3"/>
    </w:p>
    <w:tbl>
      <w:tblPr>
        <w:tblW w:w="5000" w:type="pct"/>
        <w:tblCellMar>
          <w:left w:w="70" w:type="dxa"/>
          <w:right w:w="70" w:type="dxa"/>
        </w:tblCellMar>
        <w:tblLook w:val="04A0" w:firstRow="1" w:lastRow="0" w:firstColumn="1" w:lastColumn="0" w:noHBand="0" w:noVBand="1"/>
      </w:tblPr>
      <w:tblGrid>
        <w:gridCol w:w="1436"/>
        <w:gridCol w:w="1110"/>
        <w:gridCol w:w="997"/>
        <w:gridCol w:w="990"/>
        <w:gridCol w:w="850"/>
        <w:gridCol w:w="854"/>
        <w:gridCol w:w="992"/>
        <w:gridCol w:w="848"/>
        <w:gridCol w:w="988"/>
      </w:tblGrid>
      <w:tr w:rsidR="007A0C15" w:rsidRPr="00785FC5" w:rsidTr="00785FC5">
        <w:trPr>
          <w:trHeight w:val="57"/>
        </w:trPr>
        <w:tc>
          <w:tcPr>
            <w:tcW w:w="792" w:type="pct"/>
            <w:vMerge w:val="restart"/>
            <w:tcBorders>
              <w:top w:val="single" w:sz="12" w:space="0" w:color="auto"/>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 </w:t>
            </w:r>
          </w:p>
        </w:tc>
        <w:tc>
          <w:tcPr>
            <w:tcW w:w="612" w:type="pct"/>
            <w:vMerge w:val="restart"/>
            <w:tcBorders>
              <w:top w:val="single" w:sz="12" w:space="0" w:color="auto"/>
              <w:left w:val="single" w:sz="4" w:space="0" w:color="auto"/>
              <w:bottom w:val="single" w:sz="4" w:space="0" w:color="auto"/>
              <w:right w:val="single" w:sz="4" w:space="0" w:color="auto"/>
            </w:tcBorders>
            <w:shd w:val="clear" w:color="auto" w:fill="auto"/>
            <w:vAlign w:val="bottom"/>
            <w:hideMark/>
          </w:tcPr>
          <w:p w:rsidR="007A0C15" w:rsidRPr="00785FC5" w:rsidRDefault="007A0C15" w:rsidP="007A0C15">
            <w:pPr>
              <w:suppressAutoHyphens w:val="0"/>
              <w:jc w:val="center"/>
              <w:rPr>
                <w:b/>
              </w:rPr>
            </w:pPr>
            <w:r w:rsidRPr="00785FC5">
              <w:rPr>
                <w:b/>
              </w:rPr>
              <w:t>Variáveis Canônicas</w:t>
            </w:r>
          </w:p>
        </w:tc>
        <w:tc>
          <w:tcPr>
            <w:tcW w:w="2036" w:type="pct"/>
            <w:gridSpan w:val="4"/>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r w:rsidRPr="00785FC5">
              <w:rPr>
                <w:b/>
              </w:rPr>
              <w:t>Variáveis Dependentes</w:t>
            </w:r>
          </w:p>
        </w:tc>
        <w:tc>
          <w:tcPr>
            <w:tcW w:w="1560" w:type="pct"/>
            <w:gridSpan w:val="3"/>
            <w:tcBorders>
              <w:top w:val="single" w:sz="12" w:space="0" w:color="auto"/>
              <w:left w:val="nil"/>
              <w:bottom w:val="single" w:sz="12" w:space="0" w:color="auto"/>
            </w:tcBorders>
            <w:shd w:val="clear" w:color="auto" w:fill="auto"/>
            <w:noWrap/>
            <w:vAlign w:val="bottom"/>
            <w:hideMark/>
          </w:tcPr>
          <w:p w:rsidR="007A0C15" w:rsidRPr="00785FC5" w:rsidRDefault="007A0C15" w:rsidP="007A0C15">
            <w:pPr>
              <w:suppressAutoHyphens w:val="0"/>
              <w:jc w:val="center"/>
              <w:rPr>
                <w:b/>
              </w:rPr>
            </w:pPr>
            <w:r w:rsidRPr="00785FC5">
              <w:rPr>
                <w:b/>
              </w:rPr>
              <w:t>Variáveis Explicativas</w:t>
            </w:r>
          </w:p>
        </w:tc>
      </w:tr>
      <w:tr w:rsidR="007A0C15" w:rsidRPr="00785FC5" w:rsidTr="00785FC5">
        <w:trPr>
          <w:trHeight w:val="57"/>
        </w:trPr>
        <w:tc>
          <w:tcPr>
            <w:tcW w:w="792" w:type="pct"/>
            <w:vMerge/>
            <w:tcBorders>
              <w:top w:val="single" w:sz="4" w:space="0" w:color="auto"/>
              <w:bottom w:val="single" w:sz="12" w:space="0" w:color="auto"/>
              <w:right w:val="single" w:sz="4" w:space="0" w:color="auto"/>
            </w:tcBorders>
            <w:vAlign w:val="center"/>
            <w:hideMark/>
          </w:tcPr>
          <w:p w:rsidR="007A0C15" w:rsidRPr="00785FC5" w:rsidRDefault="007A0C15" w:rsidP="007A0C15">
            <w:pPr>
              <w:suppressAutoHyphens w:val="0"/>
            </w:pPr>
          </w:p>
        </w:tc>
        <w:tc>
          <w:tcPr>
            <w:tcW w:w="612" w:type="pct"/>
            <w:vMerge/>
            <w:tcBorders>
              <w:top w:val="single" w:sz="4" w:space="0" w:color="auto"/>
              <w:left w:val="single" w:sz="4" w:space="0" w:color="auto"/>
              <w:bottom w:val="single" w:sz="12" w:space="0" w:color="auto"/>
              <w:right w:val="single" w:sz="4" w:space="0" w:color="auto"/>
            </w:tcBorders>
            <w:vAlign w:val="center"/>
            <w:hideMark/>
          </w:tcPr>
          <w:p w:rsidR="007A0C15" w:rsidRPr="00785FC5" w:rsidRDefault="007A0C15" w:rsidP="007A0C15">
            <w:pPr>
              <w:suppressAutoHyphens w:val="0"/>
              <w:rPr>
                <w:b/>
              </w:rPr>
            </w:pPr>
          </w:p>
        </w:tc>
        <w:tc>
          <w:tcPr>
            <w:tcW w:w="550"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proofErr w:type="spellStart"/>
            <w:r w:rsidRPr="00785FC5">
              <w:rPr>
                <w:b/>
              </w:rPr>
              <w:t>tip</w:t>
            </w:r>
            <w:proofErr w:type="spellEnd"/>
          </w:p>
        </w:tc>
        <w:tc>
          <w:tcPr>
            <w:tcW w:w="546"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r w:rsidRPr="00785FC5">
              <w:rPr>
                <w:b/>
              </w:rPr>
              <w:t>ide</w:t>
            </w:r>
          </w:p>
        </w:tc>
        <w:tc>
          <w:tcPr>
            <w:tcW w:w="469"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proofErr w:type="spellStart"/>
            <w:r w:rsidRPr="00785FC5">
              <w:rPr>
                <w:b/>
              </w:rPr>
              <w:t>ava</w:t>
            </w:r>
            <w:proofErr w:type="spellEnd"/>
          </w:p>
        </w:tc>
        <w:tc>
          <w:tcPr>
            <w:tcW w:w="471"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proofErr w:type="spellStart"/>
            <w:r w:rsidRPr="00785FC5">
              <w:rPr>
                <w:b/>
              </w:rPr>
              <w:t>resp</w:t>
            </w:r>
            <w:proofErr w:type="spellEnd"/>
          </w:p>
        </w:tc>
        <w:tc>
          <w:tcPr>
            <w:tcW w:w="547"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proofErr w:type="spellStart"/>
            <w:r w:rsidRPr="00785FC5">
              <w:rPr>
                <w:b/>
              </w:rPr>
              <w:t>amb</w:t>
            </w:r>
            <w:proofErr w:type="spellEnd"/>
          </w:p>
        </w:tc>
        <w:tc>
          <w:tcPr>
            <w:tcW w:w="468"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r w:rsidRPr="00785FC5">
              <w:rPr>
                <w:b/>
              </w:rPr>
              <w:t>est</w:t>
            </w:r>
          </w:p>
        </w:tc>
        <w:tc>
          <w:tcPr>
            <w:tcW w:w="545" w:type="pct"/>
            <w:tcBorders>
              <w:top w:val="single" w:sz="12" w:space="0" w:color="auto"/>
              <w:left w:val="nil"/>
              <w:bottom w:val="single" w:sz="12" w:space="0" w:color="auto"/>
            </w:tcBorders>
            <w:shd w:val="clear" w:color="auto" w:fill="auto"/>
            <w:noWrap/>
            <w:vAlign w:val="bottom"/>
            <w:hideMark/>
          </w:tcPr>
          <w:p w:rsidR="007A0C15" w:rsidRPr="00785FC5" w:rsidRDefault="007A0C15" w:rsidP="007A0C15">
            <w:pPr>
              <w:suppressAutoHyphens w:val="0"/>
              <w:jc w:val="center"/>
              <w:rPr>
                <w:b/>
              </w:rPr>
            </w:pPr>
            <w:proofErr w:type="spellStart"/>
            <w:r w:rsidRPr="00785FC5">
              <w:rPr>
                <w:b/>
              </w:rPr>
              <w:t>tec</w:t>
            </w:r>
            <w:proofErr w:type="spellEnd"/>
          </w:p>
        </w:tc>
      </w:tr>
      <w:tr w:rsidR="007A0C15" w:rsidRPr="00785FC5" w:rsidTr="00785FC5">
        <w:trPr>
          <w:trHeight w:val="57"/>
        </w:trPr>
        <w:tc>
          <w:tcPr>
            <w:tcW w:w="792" w:type="pct"/>
            <w:vMerge w:val="restart"/>
            <w:tcBorders>
              <w:top w:val="single" w:sz="12" w:space="0" w:color="auto"/>
              <w:bottom w:val="single" w:sz="4" w:space="0" w:color="auto"/>
              <w:right w:val="single" w:sz="4" w:space="0" w:color="auto"/>
            </w:tcBorders>
            <w:shd w:val="clear" w:color="auto" w:fill="auto"/>
            <w:vAlign w:val="bottom"/>
            <w:hideMark/>
          </w:tcPr>
          <w:p w:rsidR="007A0C15" w:rsidRPr="00785FC5" w:rsidRDefault="007A0C15" w:rsidP="007A0C15">
            <w:pPr>
              <w:suppressAutoHyphens w:val="0"/>
              <w:jc w:val="center"/>
              <w:rPr>
                <w:b/>
              </w:rPr>
            </w:pPr>
            <w:r w:rsidRPr="00785FC5">
              <w:rPr>
                <w:b/>
              </w:rPr>
              <w:t>Coeficientes Canônicos Normalizados</w:t>
            </w:r>
          </w:p>
        </w:tc>
        <w:tc>
          <w:tcPr>
            <w:tcW w:w="612"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r w:rsidRPr="00785FC5">
              <w:rPr>
                <w:b/>
              </w:rPr>
              <w:t>u1</w:t>
            </w:r>
          </w:p>
        </w:tc>
        <w:tc>
          <w:tcPr>
            <w:tcW w:w="550"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0,549</w:t>
            </w:r>
          </w:p>
        </w:tc>
        <w:tc>
          <w:tcPr>
            <w:tcW w:w="546"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rPr>
                <w:bCs/>
              </w:rPr>
            </w:pPr>
            <w:r w:rsidRPr="00785FC5">
              <w:rPr>
                <w:bCs/>
              </w:rPr>
              <w:t>0,124</w:t>
            </w:r>
          </w:p>
        </w:tc>
        <w:tc>
          <w:tcPr>
            <w:tcW w:w="469"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0,234</w:t>
            </w:r>
          </w:p>
        </w:tc>
        <w:tc>
          <w:tcPr>
            <w:tcW w:w="471"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0,121</w:t>
            </w:r>
          </w:p>
        </w:tc>
        <w:tc>
          <w:tcPr>
            <w:tcW w:w="547"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 -</w:t>
            </w:r>
          </w:p>
        </w:tc>
        <w:tc>
          <w:tcPr>
            <w:tcW w:w="468"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w:t>
            </w:r>
          </w:p>
        </w:tc>
        <w:tc>
          <w:tcPr>
            <w:tcW w:w="545" w:type="pct"/>
            <w:tcBorders>
              <w:top w:val="single" w:sz="12" w:space="0" w:color="auto"/>
              <w:left w:val="nil"/>
              <w:bottom w:val="single" w:sz="4" w:space="0" w:color="auto"/>
            </w:tcBorders>
            <w:shd w:val="clear" w:color="auto" w:fill="auto"/>
            <w:noWrap/>
            <w:vAlign w:val="bottom"/>
            <w:hideMark/>
          </w:tcPr>
          <w:p w:rsidR="007A0C15" w:rsidRPr="00785FC5" w:rsidRDefault="007A0C15" w:rsidP="007A0C15">
            <w:pPr>
              <w:suppressAutoHyphens w:val="0"/>
              <w:jc w:val="center"/>
            </w:pPr>
            <w:r w:rsidRPr="00785FC5">
              <w:t>-</w:t>
            </w:r>
          </w:p>
        </w:tc>
      </w:tr>
      <w:tr w:rsidR="007A0C15" w:rsidRPr="00785FC5" w:rsidTr="00785FC5">
        <w:trPr>
          <w:trHeight w:val="57"/>
        </w:trPr>
        <w:tc>
          <w:tcPr>
            <w:tcW w:w="792" w:type="pct"/>
            <w:vMerge/>
            <w:tcBorders>
              <w:top w:val="nil"/>
              <w:bottom w:val="single" w:sz="12" w:space="0" w:color="auto"/>
              <w:right w:val="single" w:sz="4" w:space="0" w:color="auto"/>
            </w:tcBorders>
            <w:vAlign w:val="center"/>
            <w:hideMark/>
          </w:tcPr>
          <w:p w:rsidR="007A0C15" w:rsidRPr="00785FC5" w:rsidRDefault="007A0C15" w:rsidP="007A0C15">
            <w:pPr>
              <w:suppressAutoHyphens w:val="0"/>
              <w:rPr>
                <w:b/>
              </w:rPr>
            </w:pPr>
          </w:p>
        </w:tc>
        <w:tc>
          <w:tcPr>
            <w:tcW w:w="612"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r w:rsidRPr="00785FC5">
              <w:rPr>
                <w:b/>
              </w:rPr>
              <w:t>v1</w:t>
            </w:r>
          </w:p>
        </w:tc>
        <w:tc>
          <w:tcPr>
            <w:tcW w:w="550"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 </w:t>
            </w:r>
          </w:p>
        </w:tc>
        <w:tc>
          <w:tcPr>
            <w:tcW w:w="546"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w:t>
            </w:r>
          </w:p>
        </w:tc>
        <w:tc>
          <w:tcPr>
            <w:tcW w:w="469"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w:t>
            </w:r>
          </w:p>
        </w:tc>
        <w:tc>
          <w:tcPr>
            <w:tcW w:w="471"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 </w:t>
            </w:r>
          </w:p>
        </w:tc>
        <w:tc>
          <w:tcPr>
            <w:tcW w:w="547"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0,441</w:t>
            </w:r>
          </w:p>
        </w:tc>
        <w:tc>
          <w:tcPr>
            <w:tcW w:w="468"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Cs/>
              </w:rPr>
            </w:pPr>
            <w:r w:rsidRPr="00785FC5">
              <w:rPr>
                <w:bCs/>
              </w:rPr>
              <w:t>0,474</w:t>
            </w:r>
          </w:p>
        </w:tc>
        <w:tc>
          <w:tcPr>
            <w:tcW w:w="545" w:type="pct"/>
            <w:tcBorders>
              <w:top w:val="nil"/>
              <w:left w:val="nil"/>
              <w:bottom w:val="single" w:sz="12" w:space="0" w:color="auto"/>
            </w:tcBorders>
            <w:shd w:val="clear" w:color="auto" w:fill="auto"/>
            <w:noWrap/>
            <w:vAlign w:val="bottom"/>
            <w:hideMark/>
          </w:tcPr>
          <w:p w:rsidR="007A0C15" w:rsidRPr="00785FC5" w:rsidRDefault="007A0C15" w:rsidP="007A0C15">
            <w:pPr>
              <w:suppressAutoHyphens w:val="0"/>
              <w:jc w:val="center"/>
            </w:pPr>
            <w:r w:rsidRPr="00785FC5">
              <w:t>0,103</w:t>
            </w:r>
          </w:p>
        </w:tc>
      </w:tr>
      <w:tr w:rsidR="007A0C15" w:rsidRPr="00785FC5" w:rsidTr="00785FC5">
        <w:trPr>
          <w:trHeight w:val="57"/>
        </w:trPr>
        <w:tc>
          <w:tcPr>
            <w:tcW w:w="792" w:type="pct"/>
            <w:vMerge w:val="restart"/>
            <w:tcBorders>
              <w:top w:val="single" w:sz="12" w:space="0" w:color="auto"/>
              <w:bottom w:val="single" w:sz="4" w:space="0" w:color="auto"/>
              <w:right w:val="single" w:sz="4" w:space="0" w:color="auto"/>
            </w:tcBorders>
            <w:shd w:val="clear" w:color="auto" w:fill="auto"/>
            <w:vAlign w:val="bottom"/>
            <w:hideMark/>
          </w:tcPr>
          <w:p w:rsidR="007A0C15" w:rsidRPr="00785FC5" w:rsidRDefault="007A0C15" w:rsidP="007A0C15">
            <w:pPr>
              <w:suppressAutoHyphens w:val="0"/>
              <w:jc w:val="center"/>
              <w:rPr>
                <w:b/>
              </w:rPr>
            </w:pPr>
            <w:r w:rsidRPr="00785FC5">
              <w:rPr>
                <w:b/>
              </w:rPr>
              <w:t>Cargas Canônicas</w:t>
            </w:r>
          </w:p>
        </w:tc>
        <w:tc>
          <w:tcPr>
            <w:tcW w:w="612"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r w:rsidRPr="00785FC5">
              <w:rPr>
                <w:b/>
              </w:rPr>
              <w:t>u1</w:t>
            </w:r>
          </w:p>
        </w:tc>
        <w:tc>
          <w:tcPr>
            <w:tcW w:w="550"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0,982</w:t>
            </w:r>
          </w:p>
        </w:tc>
        <w:tc>
          <w:tcPr>
            <w:tcW w:w="546"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rPr>
                <w:bCs/>
              </w:rPr>
            </w:pPr>
            <w:r w:rsidRPr="00785FC5">
              <w:rPr>
                <w:bCs/>
              </w:rPr>
              <w:t>0,939</w:t>
            </w:r>
          </w:p>
        </w:tc>
        <w:tc>
          <w:tcPr>
            <w:tcW w:w="469"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0,959</w:t>
            </w:r>
          </w:p>
        </w:tc>
        <w:tc>
          <w:tcPr>
            <w:tcW w:w="471"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0,969</w:t>
            </w:r>
          </w:p>
        </w:tc>
        <w:tc>
          <w:tcPr>
            <w:tcW w:w="547"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 </w:t>
            </w:r>
          </w:p>
        </w:tc>
        <w:tc>
          <w:tcPr>
            <w:tcW w:w="468" w:type="pct"/>
            <w:tcBorders>
              <w:top w:val="single" w:sz="12" w:space="0" w:color="auto"/>
              <w:left w:val="nil"/>
              <w:bottom w:val="single" w:sz="4"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w:t>
            </w:r>
          </w:p>
        </w:tc>
        <w:tc>
          <w:tcPr>
            <w:tcW w:w="545" w:type="pct"/>
            <w:tcBorders>
              <w:top w:val="single" w:sz="12" w:space="0" w:color="auto"/>
              <w:left w:val="nil"/>
              <w:bottom w:val="single" w:sz="4" w:space="0" w:color="auto"/>
            </w:tcBorders>
            <w:shd w:val="clear" w:color="auto" w:fill="auto"/>
            <w:noWrap/>
            <w:vAlign w:val="bottom"/>
            <w:hideMark/>
          </w:tcPr>
          <w:p w:rsidR="007A0C15" w:rsidRPr="00785FC5" w:rsidRDefault="007A0C15" w:rsidP="007A0C15">
            <w:pPr>
              <w:suppressAutoHyphens w:val="0"/>
              <w:jc w:val="center"/>
            </w:pPr>
            <w:r w:rsidRPr="00785FC5">
              <w:t>-</w:t>
            </w:r>
          </w:p>
        </w:tc>
      </w:tr>
      <w:tr w:rsidR="007A0C15" w:rsidRPr="00785FC5" w:rsidTr="00785FC5">
        <w:trPr>
          <w:trHeight w:val="57"/>
        </w:trPr>
        <w:tc>
          <w:tcPr>
            <w:tcW w:w="792" w:type="pct"/>
            <w:vMerge/>
            <w:tcBorders>
              <w:top w:val="nil"/>
              <w:bottom w:val="single" w:sz="12" w:space="0" w:color="auto"/>
              <w:right w:val="single" w:sz="4" w:space="0" w:color="auto"/>
            </w:tcBorders>
            <w:vAlign w:val="center"/>
            <w:hideMark/>
          </w:tcPr>
          <w:p w:rsidR="007A0C15" w:rsidRPr="00785FC5" w:rsidRDefault="007A0C15" w:rsidP="007A0C15">
            <w:pPr>
              <w:suppressAutoHyphens w:val="0"/>
            </w:pPr>
          </w:p>
        </w:tc>
        <w:tc>
          <w:tcPr>
            <w:tcW w:w="612"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
              </w:rPr>
            </w:pPr>
            <w:r w:rsidRPr="00785FC5">
              <w:rPr>
                <w:b/>
              </w:rPr>
              <w:t>v1</w:t>
            </w:r>
          </w:p>
        </w:tc>
        <w:tc>
          <w:tcPr>
            <w:tcW w:w="550"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 -</w:t>
            </w:r>
          </w:p>
        </w:tc>
        <w:tc>
          <w:tcPr>
            <w:tcW w:w="546"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w:t>
            </w:r>
          </w:p>
        </w:tc>
        <w:tc>
          <w:tcPr>
            <w:tcW w:w="469"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w:t>
            </w:r>
          </w:p>
        </w:tc>
        <w:tc>
          <w:tcPr>
            <w:tcW w:w="471"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w:t>
            </w:r>
          </w:p>
        </w:tc>
        <w:tc>
          <w:tcPr>
            <w:tcW w:w="547"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pPr>
            <w:r w:rsidRPr="00785FC5">
              <w:t>0,984</w:t>
            </w:r>
          </w:p>
        </w:tc>
        <w:tc>
          <w:tcPr>
            <w:tcW w:w="468" w:type="pct"/>
            <w:tcBorders>
              <w:top w:val="nil"/>
              <w:left w:val="nil"/>
              <w:bottom w:val="single" w:sz="12" w:space="0" w:color="auto"/>
              <w:right w:val="single" w:sz="4" w:space="0" w:color="auto"/>
            </w:tcBorders>
            <w:shd w:val="clear" w:color="auto" w:fill="auto"/>
            <w:noWrap/>
            <w:vAlign w:val="bottom"/>
            <w:hideMark/>
          </w:tcPr>
          <w:p w:rsidR="007A0C15" w:rsidRPr="00785FC5" w:rsidRDefault="007A0C15" w:rsidP="007A0C15">
            <w:pPr>
              <w:suppressAutoHyphens w:val="0"/>
              <w:jc w:val="center"/>
              <w:rPr>
                <w:bCs/>
              </w:rPr>
            </w:pPr>
            <w:r w:rsidRPr="00785FC5">
              <w:rPr>
                <w:bCs/>
              </w:rPr>
              <w:t>0,986</w:t>
            </w:r>
          </w:p>
        </w:tc>
        <w:tc>
          <w:tcPr>
            <w:tcW w:w="545" w:type="pct"/>
            <w:tcBorders>
              <w:top w:val="nil"/>
              <w:left w:val="nil"/>
              <w:bottom w:val="single" w:sz="12" w:space="0" w:color="auto"/>
            </w:tcBorders>
            <w:shd w:val="clear" w:color="auto" w:fill="auto"/>
            <w:noWrap/>
            <w:vAlign w:val="bottom"/>
            <w:hideMark/>
          </w:tcPr>
          <w:p w:rsidR="007A0C15" w:rsidRPr="00785FC5" w:rsidRDefault="007A0C15" w:rsidP="007A0C15">
            <w:pPr>
              <w:suppressAutoHyphens w:val="0"/>
              <w:jc w:val="center"/>
            </w:pPr>
            <w:r w:rsidRPr="00785FC5">
              <w:t>0,948</w:t>
            </w:r>
          </w:p>
        </w:tc>
      </w:tr>
    </w:tbl>
    <w:p w:rsidR="007A0C15" w:rsidRPr="007A0C15" w:rsidRDefault="007A0C15" w:rsidP="007A0C15">
      <w:pPr>
        <w:tabs>
          <w:tab w:val="left" w:pos="6032"/>
        </w:tabs>
        <w:suppressAutoHyphens w:val="0"/>
        <w:jc w:val="both"/>
        <w:rPr>
          <w:rFonts w:eastAsia="Calibri"/>
          <w:lang w:eastAsia="en-US"/>
        </w:rPr>
      </w:pPr>
      <w:r w:rsidRPr="007A0C15">
        <w:rPr>
          <w:rFonts w:eastAsia="Calibri"/>
          <w:lang w:eastAsia="en-US"/>
        </w:rPr>
        <w:t xml:space="preserve">Obs.: </w:t>
      </w:r>
      <w:proofErr w:type="spellStart"/>
      <w:r w:rsidRPr="007A0C15">
        <w:rPr>
          <w:rFonts w:eastAsia="Calibri"/>
          <w:lang w:eastAsia="en-US"/>
        </w:rPr>
        <w:t>tip</w:t>
      </w:r>
      <w:proofErr w:type="spellEnd"/>
      <w:r w:rsidRPr="007A0C15">
        <w:rPr>
          <w:rFonts w:eastAsia="Calibri"/>
          <w:lang w:eastAsia="en-US"/>
        </w:rPr>
        <w:t xml:space="preserve"> = tipo de riscos; ide = identificação dos riscos; </w:t>
      </w:r>
      <w:proofErr w:type="spellStart"/>
      <w:r w:rsidRPr="007A0C15">
        <w:rPr>
          <w:rFonts w:eastAsia="Calibri"/>
          <w:lang w:eastAsia="en-US"/>
        </w:rPr>
        <w:t>ava</w:t>
      </w:r>
      <w:proofErr w:type="spellEnd"/>
      <w:r w:rsidRPr="007A0C15">
        <w:rPr>
          <w:rFonts w:eastAsia="Calibri"/>
          <w:lang w:eastAsia="en-US"/>
        </w:rPr>
        <w:t xml:space="preserve"> = avaliação dos riscos; </w:t>
      </w:r>
      <w:proofErr w:type="spellStart"/>
      <w:r w:rsidRPr="007A0C15">
        <w:rPr>
          <w:rFonts w:eastAsia="Calibri"/>
          <w:lang w:eastAsia="en-US"/>
        </w:rPr>
        <w:t>resp</w:t>
      </w:r>
      <w:proofErr w:type="spellEnd"/>
      <w:r w:rsidRPr="007A0C15">
        <w:rPr>
          <w:rFonts w:eastAsia="Calibri"/>
          <w:lang w:eastAsia="en-US"/>
        </w:rPr>
        <w:t xml:space="preserve"> = resposta aos riscos; </w:t>
      </w:r>
      <w:proofErr w:type="spellStart"/>
      <w:r w:rsidRPr="007A0C15">
        <w:rPr>
          <w:rFonts w:eastAsia="Calibri"/>
          <w:lang w:eastAsia="en-US"/>
        </w:rPr>
        <w:t>amb</w:t>
      </w:r>
      <w:proofErr w:type="spellEnd"/>
      <w:r w:rsidRPr="007A0C15">
        <w:rPr>
          <w:rFonts w:eastAsia="Calibri"/>
          <w:lang w:eastAsia="en-US"/>
        </w:rPr>
        <w:t xml:space="preserve"> = ambiente; est = estratégia; </w:t>
      </w:r>
      <w:proofErr w:type="spellStart"/>
      <w:r w:rsidRPr="007A0C15">
        <w:rPr>
          <w:rFonts w:eastAsia="Calibri"/>
          <w:lang w:eastAsia="en-US"/>
        </w:rPr>
        <w:t>tec</w:t>
      </w:r>
      <w:proofErr w:type="spellEnd"/>
      <w:r w:rsidRPr="007A0C15">
        <w:rPr>
          <w:rFonts w:eastAsia="Calibri"/>
          <w:lang w:eastAsia="en-US"/>
        </w:rPr>
        <w:t xml:space="preserve"> = tecnologia.</w:t>
      </w:r>
    </w:p>
    <w:p w:rsidR="007A0C15" w:rsidRPr="007A0C15" w:rsidRDefault="007A0C15" w:rsidP="007A0C15">
      <w:pPr>
        <w:suppressAutoHyphens w:val="0"/>
        <w:jc w:val="both"/>
        <w:rPr>
          <w:lang w:eastAsia="en-US"/>
        </w:rPr>
      </w:pPr>
      <w:r w:rsidRPr="007A0C15">
        <w:rPr>
          <w:lang w:eastAsia="en-US"/>
        </w:rPr>
        <w:t>Fonte: Dados da pesquisa.</w:t>
      </w:r>
    </w:p>
    <w:p w:rsidR="007A0C15" w:rsidRPr="007A0C15" w:rsidRDefault="007A0C15" w:rsidP="007A0C15">
      <w:pPr>
        <w:suppressAutoHyphens w:val="0"/>
        <w:ind w:firstLine="709"/>
        <w:jc w:val="both"/>
        <w:rPr>
          <w:sz w:val="24"/>
          <w:szCs w:val="24"/>
          <w:lang w:eastAsia="en-US"/>
        </w:rPr>
      </w:pPr>
    </w:p>
    <w:p w:rsidR="007A0C15" w:rsidRPr="007A0C15" w:rsidRDefault="007A0C15" w:rsidP="007A0C15">
      <w:pPr>
        <w:suppressAutoHyphens w:val="0"/>
        <w:ind w:firstLine="709"/>
        <w:jc w:val="both"/>
        <w:rPr>
          <w:sz w:val="24"/>
          <w:szCs w:val="24"/>
          <w:lang w:eastAsia="en-US"/>
        </w:rPr>
      </w:pPr>
      <w:r w:rsidRPr="0035384E">
        <w:rPr>
          <w:rFonts w:eastAsia="Calibri"/>
          <w:sz w:val="24"/>
          <w:szCs w:val="24"/>
          <w:lang w:eastAsia="en-US"/>
        </w:rPr>
        <w:t xml:space="preserve">Com base nos dados apresentados na Tabela </w:t>
      </w:r>
      <w:r w:rsidR="000D74BF">
        <w:rPr>
          <w:rFonts w:eastAsia="Calibri"/>
          <w:sz w:val="24"/>
          <w:szCs w:val="24"/>
          <w:lang w:eastAsia="en-US"/>
        </w:rPr>
        <w:t>3</w:t>
      </w:r>
      <w:r w:rsidRPr="0035384E">
        <w:rPr>
          <w:rFonts w:eastAsia="Calibri"/>
          <w:sz w:val="24"/>
          <w:szCs w:val="24"/>
          <w:lang w:eastAsia="en-US"/>
        </w:rPr>
        <w:t>,</w:t>
      </w:r>
      <w:r w:rsidRPr="007A0C15">
        <w:rPr>
          <w:rFonts w:eastAsia="Calibri"/>
          <w:sz w:val="24"/>
          <w:szCs w:val="24"/>
          <w:lang w:eastAsia="en-US"/>
        </w:rPr>
        <w:t xml:space="preserve"> pode-se inferir que a variável Tipo de Riscos</w:t>
      </w:r>
      <w:r w:rsidRPr="007A0C15">
        <w:rPr>
          <w:rFonts w:eastAsia="Calibri"/>
          <w:i/>
          <w:sz w:val="24"/>
          <w:szCs w:val="24"/>
          <w:lang w:eastAsia="en-US"/>
        </w:rPr>
        <w:t xml:space="preserve"> </w:t>
      </w:r>
      <w:r w:rsidRPr="007A0C15">
        <w:rPr>
          <w:rFonts w:eastAsia="Calibri"/>
          <w:sz w:val="24"/>
          <w:szCs w:val="24"/>
          <w:lang w:eastAsia="en-US"/>
        </w:rPr>
        <w:t xml:space="preserve">apresenta maior influência para a formação de </w:t>
      </w:r>
      <m:oMath>
        <m:sSub>
          <m:sSubPr>
            <m:ctrlPr>
              <w:rPr>
                <w:rFonts w:ascii="Cambria Math" w:eastAsia="Calibri" w:hAnsi="Cambria Math"/>
                <w:i/>
                <w:sz w:val="24"/>
                <w:szCs w:val="24"/>
                <w:lang w:eastAsia="en-US"/>
              </w:rPr>
            </m:ctrlPr>
          </m:sSubPr>
          <m:e>
            <m:r>
              <w:rPr>
                <w:rFonts w:ascii="Cambria Math" w:eastAsia="Calibri" w:hAnsi="Cambria Math"/>
                <w:sz w:val="24"/>
                <w:szCs w:val="24"/>
                <w:lang w:eastAsia="en-US"/>
              </w:rPr>
              <m:t>u</m:t>
            </m:r>
          </m:e>
          <m:sub>
            <m:r>
              <w:rPr>
                <w:rFonts w:ascii="Cambria Math" w:eastAsia="Calibri" w:hAnsi="Cambria Math"/>
                <w:sz w:val="24"/>
                <w:szCs w:val="24"/>
                <w:lang w:eastAsia="en-US"/>
              </w:rPr>
              <m:t>1</m:t>
            </m:r>
          </m:sub>
        </m:sSub>
      </m:oMath>
      <w:r w:rsidRPr="007A0C15">
        <w:rPr>
          <w:sz w:val="24"/>
          <w:szCs w:val="24"/>
          <w:lang w:eastAsia="en-US"/>
        </w:rPr>
        <w:t xml:space="preserve">, ou seja, o ambiente, a estratégia e a tecnologia das instituições financeiras influenciam mais significativamente o tipo de risco </w:t>
      </w:r>
      <w:r w:rsidRPr="007A0C15">
        <w:rPr>
          <w:sz w:val="24"/>
          <w:szCs w:val="24"/>
          <w:lang w:eastAsia="en-US"/>
        </w:rPr>
        <w:lastRenderedPageBreak/>
        <w:t xml:space="preserve">enfrentado pelas organizações do que a identificação, a avaliação e resposta aos riscos. Em outras palavras, esta variável é uma melhor dependente das variáveis ambiente, estratégia e tecnologia, e gerará um R² maior caso seja estimado um modelo de regressão múltipla. </w:t>
      </w:r>
    </w:p>
    <w:p w:rsidR="007A0C15" w:rsidRPr="007A0C15" w:rsidRDefault="007A0C15" w:rsidP="007A0C15">
      <w:pPr>
        <w:suppressAutoHyphens w:val="0"/>
        <w:ind w:firstLine="709"/>
        <w:jc w:val="both"/>
        <w:rPr>
          <w:sz w:val="24"/>
          <w:szCs w:val="24"/>
          <w:lang w:eastAsia="en-US"/>
        </w:rPr>
      </w:pPr>
      <w:r w:rsidRPr="007A0C15">
        <w:rPr>
          <w:sz w:val="24"/>
          <w:szCs w:val="24"/>
          <w:lang w:eastAsia="en-US"/>
        </w:rPr>
        <w:t xml:space="preserve">Também, pode-se afirmar que com base na análise específica do comportamento das variáveis explicativas, que as variáveis ambiente e tecnologia podem não apresentar relação em um eventual modelo de regressão. A variável estratégia e a variável ambiente, apresentaram maior influência para a formação de </w:t>
      </w:r>
      <m:oMath>
        <m:sSub>
          <m:sSubPr>
            <m:ctrlPr>
              <w:rPr>
                <w:rFonts w:ascii="Cambria Math" w:eastAsia="Calibri" w:hAnsi="Cambria Math"/>
                <w:i/>
                <w:sz w:val="24"/>
                <w:szCs w:val="24"/>
                <w:lang w:eastAsia="en-US"/>
              </w:rPr>
            </m:ctrlPr>
          </m:sSubPr>
          <m:e>
            <m:r>
              <w:rPr>
                <w:rFonts w:ascii="Cambria Math" w:eastAsia="Calibri" w:hAnsi="Cambria Math"/>
                <w:sz w:val="24"/>
                <w:szCs w:val="24"/>
                <w:lang w:eastAsia="en-US"/>
              </w:rPr>
              <m:t>v</m:t>
            </m:r>
          </m:e>
          <m:sub>
            <m:r>
              <w:rPr>
                <w:rFonts w:ascii="Cambria Math" w:eastAsia="Calibri" w:hAnsi="Cambria Math"/>
                <w:sz w:val="24"/>
                <w:szCs w:val="24"/>
                <w:lang w:eastAsia="en-US"/>
              </w:rPr>
              <m:t>1</m:t>
            </m:r>
          </m:sub>
        </m:sSub>
      </m:oMath>
      <w:r w:rsidRPr="007A0C15">
        <w:rPr>
          <w:sz w:val="24"/>
          <w:szCs w:val="24"/>
          <w:lang w:eastAsia="en-US"/>
        </w:rPr>
        <w:t xml:space="preserve">, mesmo que a correlação entre elas seja negativa, já que para este modelo o que importa é a maior magnitude em módulo entre as cargas canônicas. Contudo, os tipos de riscos não são capazes de influenciar a gestão de risco, pois são decisões dos gestores das organizações. </w:t>
      </w:r>
    </w:p>
    <w:p w:rsidR="007A0C15" w:rsidRPr="0035384E" w:rsidRDefault="007A0C15" w:rsidP="007A0C15">
      <w:pPr>
        <w:suppressAutoHyphens w:val="0"/>
        <w:ind w:firstLine="709"/>
        <w:jc w:val="both"/>
        <w:rPr>
          <w:sz w:val="24"/>
          <w:szCs w:val="24"/>
          <w:lang w:eastAsia="en-US"/>
        </w:rPr>
      </w:pPr>
      <w:r w:rsidRPr="007A0C15">
        <w:rPr>
          <w:rFonts w:eastAsia="Calibri"/>
          <w:sz w:val="24"/>
          <w:szCs w:val="24"/>
          <w:lang w:eastAsia="en-US"/>
        </w:rPr>
        <w:t xml:space="preserve">A fim de comprovar estas </w:t>
      </w:r>
      <w:r w:rsidRPr="0035384E">
        <w:rPr>
          <w:rFonts w:eastAsia="Calibri"/>
          <w:sz w:val="24"/>
          <w:szCs w:val="24"/>
          <w:lang w:eastAsia="en-US"/>
        </w:rPr>
        <w:t xml:space="preserve">afirmações, por meio da análise de robustez, foram estimados isoladamente, quatro modelos de regressão múltipla, em que cada um traz, respectivamente, a variável </w:t>
      </w:r>
      <w:r w:rsidRPr="0035384E">
        <w:rPr>
          <w:i/>
          <w:sz w:val="24"/>
          <w:szCs w:val="24"/>
          <w:lang w:eastAsia="en-US"/>
        </w:rPr>
        <w:t>TIP</w:t>
      </w:r>
      <w:r w:rsidRPr="0035384E">
        <w:rPr>
          <w:sz w:val="24"/>
          <w:szCs w:val="24"/>
          <w:lang w:eastAsia="en-US"/>
        </w:rPr>
        <w:t xml:space="preserve">, </w:t>
      </w:r>
      <w:r w:rsidRPr="0035384E">
        <w:rPr>
          <w:i/>
          <w:sz w:val="24"/>
          <w:szCs w:val="24"/>
          <w:lang w:eastAsia="en-US"/>
        </w:rPr>
        <w:t xml:space="preserve">IDE, AVA </w:t>
      </w:r>
      <w:r w:rsidRPr="0035384E">
        <w:rPr>
          <w:sz w:val="24"/>
          <w:szCs w:val="24"/>
          <w:lang w:eastAsia="en-US"/>
        </w:rPr>
        <w:t xml:space="preserve">e </w:t>
      </w:r>
      <w:r w:rsidRPr="0035384E">
        <w:rPr>
          <w:i/>
          <w:sz w:val="24"/>
          <w:szCs w:val="24"/>
          <w:lang w:eastAsia="en-US"/>
        </w:rPr>
        <w:t xml:space="preserve">RESP </w:t>
      </w:r>
      <w:r w:rsidRPr="0035384E">
        <w:rPr>
          <w:sz w:val="24"/>
          <w:szCs w:val="24"/>
          <w:lang w:eastAsia="en-US"/>
        </w:rPr>
        <w:t xml:space="preserve">como dependentes. Os </w:t>
      </w:r>
      <w:r w:rsidRPr="0035384E">
        <w:rPr>
          <w:i/>
          <w:sz w:val="24"/>
          <w:szCs w:val="24"/>
          <w:lang w:eastAsia="en-US"/>
        </w:rPr>
        <w:t xml:space="preserve">outputs </w:t>
      </w:r>
      <w:r w:rsidRPr="0035384E">
        <w:rPr>
          <w:sz w:val="24"/>
          <w:szCs w:val="24"/>
          <w:lang w:eastAsia="en-US"/>
        </w:rPr>
        <w:t xml:space="preserve">estão dispostos na Tabela </w:t>
      </w:r>
      <w:r w:rsidR="000D74BF">
        <w:rPr>
          <w:sz w:val="24"/>
          <w:szCs w:val="24"/>
          <w:lang w:eastAsia="en-US"/>
        </w:rPr>
        <w:t>4</w:t>
      </w:r>
      <w:r w:rsidRPr="0035384E">
        <w:rPr>
          <w:sz w:val="24"/>
          <w:szCs w:val="24"/>
          <w:lang w:eastAsia="en-US"/>
        </w:rPr>
        <w:t>.</w:t>
      </w:r>
    </w:p>
    <w:p w:rsidR="00EF2281" w:rsidRPr="0035384E" w:rsidRDefault="00EF2281" w:rsidP="007A0C15">
      <w:pPr>
        <w:suppressAutoHyphens w:val="0"/>
        <w:jc w:val="both"/>
        <w:rPr>
          <w:b/>
          <w:sz w:val="24"/>
          <w:szCs w:val="22"/>
        </w:rPr>
      </w:pPr>
    </w:p>
    <w:p w:rsidR="007A0C15" w:rsidRPr="0035384E" w:rsidRDefault="007A0C15" w:rsidP="007A0C15">
      <w:pPr>
        <w:suppressAutoHyphens w:val="0"/>
        <w:jc w:val="both"/>
        <w:rPr>
          <w:b/>
          <w:szCs w:val="24"/>
        </w:rPr>
      </w:pPr>
      <w:bookmarkStart w:id="4" w:name="_Toc480237556"/>
      <w:r w:rsidRPr="0035384E">
        <w:rPr>
          <w:b/>
          <w:szCs w:val="24"/>
        </w:rPr>
        <w:t xml:space="preserve">Tabela </w:t>
      </w:r>
      <w:r w:rsidR="000D74BF">
        <w:rPr>
          <w:b/>
          <w:szCs w:val="24"/>
        </w:rPr>
        <w:t>4</w:t>
      </w:r>
    </w:p>
    <w:p w:rsidR="007A0C15" w:rsidRPr="0035384E" w:rsidRDefault="007A0C15" w:rsidP="007A0C15">
      <w:pPr>
        <w:suppressAutoHyphens w:val="0"/>
        <w:jc w:val="both"/>
        <w:rPr>
          <w:szCs w:val="24"/>
        </w:rPr>
      </w:pPr>
      <w:r w:rsidRPr="0035384E">
        <w:rPr>
          <w:szCs w:val="24"/>
        </w:rPr>
        <w:t>Resultados dos modelos de regressão múltipla</w:t>
      </w:r>
      <w:bookmarkEnd w:id="4"/>
    </w:p>
    <w:tbl>
      <w:tblPr>
        <w:tblW w:w="4997" w:type="pct"/>
        <w:tblCellMar>
          <w:left w:w="70" w:type="dxa"/>
          <w:right w:w="70" w:type="dxa"/>
        </w:tblCellMar>
        <w:tblLook w:val="04A0" w:firstRow="1" w:lastRow="0" w:firstColumn="1" w:lastColumn="0" w:noHBand="0" w:noVBand="1"/>
      </w:tblPr>
      <w:tblGrid>
        <w:gridCol w:w="1593"/>
        <w:gridCol w:w="1752"/>
        <w:gridCol w:w="1883"/>
        <w:gridCol w:w="1917"/>
        <w:gridCol w:w="1915"/>
      </w:tblGrid>
      <w:tr w:rsidR="007A0C15" w:rsidRPr="0035384E" w:rsidTr="003430BE">
        <w:trPr>
          <w:trHeight w:val="20"/>
        </w:trPr>
        <w:tc>
          <w:tcPr>
            <w:tcW w:w="879" w:type="pct"/>
            <w:tcBorders>
              <w:top w:val="single" w:sz="12" w:space="0" w:color="auto"/>
              <w:bottom w:val="single" w:sz="12" w:space="0" w:color="auto"/>
              <w:right w:val="single" w:sz="4"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Variáveis</w:t>
            </w:r>
          </w:p>
        </w:tc>
        <w:tc>
          <w:tcPr>
            <w:tcW w:w="967"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TIP</w:t>
            </w:r>
          </w:p>
        </w:tc>
        <w:tc>
          <w:tcPr>
            <w:tcW w:w="1039" w:type="pct"/>
            <w:tcBorders>
              <w:top w:val="single" w:sz="12" w:space="0" w:color="auto"/>
              <w:left w:val="nil"/>
              <w:bottom w:val="single" w:sz="12" w:space="0" w:color="auto"/>
              <w:right w:val="single" w:sz="4"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IDE</w:t>
            </w:r>
          </w:p>
        </w:tc>
        <w:tc>
          <w:tcPr>
            <w:tcW w:w="1058" w:type="pct"/>
            <w:tcBorders>
              <w:top w:val="single" w:sz="12" w:space="0" w:color="auto"/>
              <w:left w:val="nil"/>
              <w:bottom w:val="single" w:sz="12" w:space="0" w:color="auto"/>
              <w:right w:val="single" w:sz="8"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AVA</w:t>
            </w:r>
          </w:p>
        </w:tc>
        <w:tc>
          <w:tcPr>
            <w:tcW w:w="1057" w:type="pct"/>
            <w:tcBorders>
              <w:top w:val="single" w:sz="12" w:space="0" w:color="auto"/>
              <w:left w:val="single" w:sz="8" w:space="0" w:color="auto"/>
              <w:bottom w:val="single" w:sz="12" w:space="0" w:color="auto"/>
            </w:tcBorders>
          </w:tcPr>
          <w:p w:rsidR="007A0C15" w:rsidRPr="0035384E" w:rsidRDefault="007A0C15" w:rsidP="007A0C15">
            <w:pPr>
              <w:suppressAutoHyphens w:val="0"/>
              <w:jc w:val="center"/>
              <w:rPr>
                <w:b/>
              </w:rPr>
            </w:pPr>
            <w:r w:rsidRPr="0035384E">
              <w:rPr>
                <w:b/>
              </w:rPr>
              <w:t>RESP</w:t>
            </w:r>
          </w:p>
        </w:tc>
      </w:tr>
      <w:tr w:rsidR="007A0C15" w:rsidRPr="0035384E" w:rsidTr="003430BE">
        <w:trPr>
          <w:trHeight w:val="20"/>
        </w:trPr>
        <w:tc>
          <w:tcPr>
            <w:tcW w:w="879" w:type="pct"/>
            <w:tcBorders>
              <w:top w:val="single" w:sz="12" w:space="0" w:color="auto"/>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pPr>
            <w:r w:rsidRPr="0035384E">
              <w:t>Constante</w:t>
            </w:r>
          </w:p>
        </w:tc>
        <w:tc>
          <w:tcPr>
            <w:tcW w:w="967" w:type="pct"/>
            <w:tcBorders>
              <w:top w:val="single" w:sz="12" w:space="0" w:color="auto"/>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pPr>
            <w:r w:rsidRPr="0035384E">
              <w:t>0,673*</w:t>
            </w:r>
          </w:p>
        </w:tc>
        <w:tc>
          <w:tcPr>
            <w:tcW w:w="1039" w:type="pct"/>
            <w:tcBorders>
              <w:top w:val="single" w:sz="12" w:space="0" w:color="auto"/>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pPr>
            <w:r w:rsidRPr="0035384E">
              <w:t>0,509*</w:t>
            </w:r>
          </w:p>
        </w:tc>
        <w:tc>
          <w:tcPr>
            <w:tcW w:w="1058" w:type="pct"/>
            <w:tcBorders>
              <w:top w:val="single" w:sz="12" w:space="0" w:color="auto"/>
              <w:left w:val="nil"/>
              <w:bottom w:val="single" w:sz="4" w:space="0" w:color="auto"/>
              <w:right w:val="single" w:sz="8" w:space="0" w:color="auto"/>
            </w:tcBorders>
            <w:shd w:val="clear" w:color="auto" w:fill="auto"/>
            <w:noWrap/>
            <w:vAlign w:val="bottom"/>
            <w:hideMark/>
          </w:tcPr>
          <w:p w:rsidR="007A0C15" w:rsidRPr="0035384E" w:rsidRDefault="007A0C15" w:rsidP="007A0C15">
            <w:pPr>
              <w:suppressAutoHyphens w:val="0"/>
              <w:jc w:val="center"/>
            </w:pPr>
            <w:r w:rsidRPr="0035384E">
              <w:t>0,234</w:t>
            </w:r>
          </w:p>
        </w:tc>
        <w:tc>
          <w:tcPr>
            <w:tcW w:w="1057" w:type="pct"/>
            <w:tcBorders>
              <w:top w:val="single" w:sz="12" w:space="0" w:color="auto"/>
              <w:left w:val="single" w:sz="8" w:space="0" w:color="auto"/>
              <w:bottom w:val="single" w:sz="4" w:space="0" w:color="auto"/>
            </w:tcBorders>
          </w:tcPr>
          <w:p w:rsidR="007A0C15" w:rsidRPr="0035384E" w:rsidRDefault="007A0C15" w:rsidP="007A0C15">
            <w:pPr>
              <w:suppressAutoHyphens w:val="0"/>
              <w:jc w:val="center"/>
            </w:pPr>
            <w:r w:rsidRPr="0035384E">
              <w:t>-0,646</w:t>
            </w:r>
          </w:p>
        </w:tc>
      </w:tr>
      <w:tr w:rsidR="007A0C15" w:rsidRPr="0035384E" w:rsidTr="003430BE">
        <w:trPr>
          <w:trHeight w:val="20"/>
        </w:trPr>
        <w:tc>
          <w:tcPr>
            <w:tcW w:w="879" w:type="pct"/>
            <w:tcBorders>
              <w:top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pPr>
            <w:r w:rsidRPr="0035384E">
              <w:t>AMB</w:t>
            </w:r>
          </w:p>
        </w:tc>
        <w:tc>
          <w:tcPr>
            <w:tcW w:w="967" w:type="pct"/>
            <w:tcBorders>
              <w:top w:val="nil"/>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pPr>
            <w:r w:rsidRPr="0035384E">
              <w:t>0,497*</w:t>
            </w:r>
          </w:p>
        </w:tc>
        <w:tc>
          <w:tcPr>
            <w:tcW w:w="1039" w:type="pct"/>
            <w:tcBorders>
              <w:top w:val="nil"/>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pPr>
            <w:r w:rsidRPr="0035384E">
              <w:t>-0,041</w:t>
            </w:r>
          </w:p>
        </w:tc>
        <w:tc>
          <w:tcPr>
            <w:tcW w:w="1058" w:type="pct"/>
            <w:tcBorders>
              <w:top w:val="nil"/>
              <w:left w:val="nil"/>
              <w:bottom w:val="single" w:sz="4" w:space="0" w:color="auto"/>
              <w:right w:val="single" w:sz="8" w:space="0" w:color="auto"/>
            </w:tcBorders>
            <w:shd w:val="clear" w:color="auto" w:fill="auto"/>
            <w:noWrap/>
            <w:vAlign w:val="bottom"/>
            <w:hideMark/>
          </w:tcPr>
          <w:p w:rsidR="007A0C15" w:rsidRPr="0035384E" w:rsidRDefault="007A0C15" w:rsidP="007A0C15">
            <w:pPr>
              <w:suppressAutoHyphens w:val="0"/>
              <w:jc w:val="center"/>
            </w:pPr>
            <w:r w:rsidRPr="0035384E">
              <w:t>0,136</w:t>
            </w:r>
          </w:p>
        </w:tc>
        <w:tc>
          <w:tcPr>
            <w:tcW w:w="1057" w:type="pct"/>
            <w:tcBorders>
              <w:top w:val="nil"/>
              <w:left w:val="single" w:sz="8" w:space="0" w:color="auto"/>
              <w:bottom w:val="single" w:sz="4" w:space="0" w:color="auto"/>
            </w:tcBorders>
            <w:shd w:val="clear" w:color="auto" w:fill="auto"/>
          </w:tcPr>
          <w:p w:rsidR="007A0C15" w:rsidRPr="0035384E" w:rsidRDefault="007A0C15" w:rsidP="007A0C15">
            <w:pPr>
              <w:suppressAutoHyphens w:val="0"/>
              <w:jc w:val="center"/>
            </w:pPr>
            <w:r w:rsidRPr="0035384E">
              <w:t>-0,013</w:t>
            </w:r>
          </w:p>
        </w:tc>
      </w:tr>
      <w:tr w:rsidR="007A0C15" w:rsidRPr="0035384E" w:rsidTr="003430BE">
        <w:trPr>
          <w:trHeight w:val="20"/>
        </w:trPr>
        <w:tc>
          <w:tcPr>
            <w:tcW w:w="879" w:type="pct"/>
            <w:tcBorders>
              <w:top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pPr>
            <w:r w:rsidRPr="0035384E">
              <w:t>EST</w:t>
            </w:r>
          </w:p>
        </w:tc>
        <w:tc>
          <w:tcPr>
            <w:tcW w:w="967" w:type="pct"/>
            <w:tcBorders>
              <w:top w:val="nil"/>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pPr>
            <w:r w:rsidRPr="0035384E">
              <w:t>0,202*</w:t>
            </w:r>
          </w:p>
        </w:tc>
        <w:tc>
          <w:tcPr>
            <w:tcW w:w="1039" w:type="pct"/>
            <w:tcBorders>
              <w:top w:val="nil"/>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pPr>
            <w:r w:rsidRPr="0035384E">
              <w:t>0,531*</w:t>
            </w:r>
          </w:p>
        </w:tc>
        <w:tc>
          <w:tcPr>
            <w:tcW w:w="1058" w:type="pct"/>
            <w:tcBorders>
              <w:top w:val="nil"/>
              <w:left w:val="nil"/>
              <w:bottom w:val="single" w:sz="4" w:space="0" w:color="auto"/>
              <w:right w:val="single" w:sz="8" w:space="0" w:color="auto"/>
            </w:tcBorders>
            <w:shd w:val="clear" w:color="auto" w:fill="auto"/>
            <w:noWrap/>
            <w:vAlign w:val="bottom"/>
            <w:hideMark/>
          </w:tcPr>
          <w:p w:rsidR="007A0C15" w:rsidRPr="0035384E" w:rsidRDefault="007A0C15" w:rsidP="007A0C15">
            <w:pPr>
              <w:suppressAutoHyphens w:val="0"/>
              <w:jc w:val="center"/>
            </w:pPr>
            <w:r w:rsidRPr="0035384E">
              <w:t>0,297*</w:t>
            </w:r>
          </w:p>
        </w:tc>
        <w:tc>
          <w:tcPr>
            <w:tcW w:w="1057" w:type="pct"/>
            <w:tcBorders>
              <w:top w:val="nil"/>
              <w:left w:val="single" w:sz="8" w:space="0" w:color="auto"/>
              <w:bottom w:val="single" w:sz="4" w:space="0" w:color="auto"/>
            </w:tcBorders>
            <w:shd w:val="clear" w:color="auto" w:fill="auto"/>
          </w:tcPr>
          <w:p w:rsidR="007A0C15" w:rsidRPr="0035384E" w:rsidRDefault="007A0C15" w:rsidP="007A0C15">
            <w:pPr>
              <w:suppressAutoHyphens w:val="0"/>
              <w:jc w:val="center"/>
            </w:pPr>
            <w:r w:rsidRPr="0035384E">
              <w:t>0,597*</w:t>
            </w:r>
          </w:p>
        </w:tc>
      </w:tr>
      <w:tr w:rsidR="007A0C15" w:rsidRPr="0035384E" w:rsidTr="003430BE">
        <w:trPr>
          <w:trHeight w:val="20"/>
        </w:trPr>
        <w:tc>
          <w:tcPr>
            <w:tcW w:w="879" w:type="pct"/>
            <w:tcBorders>
              <w:top w:val="nil"/>
              <w:bottom w:val="single" w:sz="12" w:space="0" w:color="auto"/>
              <w:right w:val="single" w:sz="4" w:space="0" w:color="auto"/>
            </w:tcBorders>
            <w:shd w:val="clear" w:color="auto" w:fill="auto"/>
            <w:noWrap/>
            <w:vAlign w:val="bottom"/>
            <w:hideMark/>
          </w:tcPr>
          <w:p w:rsidR="007A0C15" w:rsidRPr="0035384E" w:rsidRDefault="007A0C15" w:rsidP="007A0C15">
            <w:pPr>
              <w:suppressAutoHyphens w:val="0"/>
            </w:pPr>
            <w:r w:rsidRPr="0035384E">
              <w:t>TEC</w:t>
            </w:r>
          </w:p>
        </w:tc>
        <w:tc>
          <w:tcPr>
            <w:tcW w:w="967" w:type="pct"/>
            <w:tcBorders>
              <w:top w:val="nil"/>
              <w:left w:val="nil"/>
              <w:bottom w:val="single" w:sz="12" w:space="0" w:color="auto"/>
              <w:right w:val="single" w:sz="4" w:space="0" w:color="auto"/>
            </w:tcBorders>
            <w:shd w:val="clear" w:color="auto" w:fill="auto"/>
            <w:noWrap/>
            <w:vAlign w:val="bottom"/>
            <w:hideMark/>
          </w:tcPr>
          <w:p w:rsidR="007A0C15" w:rsidRPr="0035384E" w:rsidRDefault="007A0C15" w:rsidP="007A0C15">
            <w:pPr>
              <w:suppressAutoHyphens w:val="0"/>
              <w:jc w:val="center"/>
            </w:pPr>
            <w:r w:rsidRPr="0035384E">
              <w:t>-0,107</w:t>
            </w:r>
          </w:p>
        </w:tc>
        <w:tc>
          <w:tcPr>
            <w:tcW w:w="1039" w:type="pct"/>
            <w:tcBorders>
              <w:top w:val="nil"/>
              <w:left w:val="nil"/>
              <w:bottom w:val="single" w:sz="12" w:space="0" w:color="auto"/>
              <w:right w:val="single" w:sz="4" w:space="0" w:color="auto"/>
            </w:tcBorders>
            <w:shd w:val="clear" w:color="auto" w:fill="auto"/>
            <w:noWrap/>
            <w:vAlign w:val="bottom"/>
            <w:hideMark/>
          </w:tcPr>
          <w:p w:rsidR="007A0C15" w:rsidRPr="0035384E" w:rsidRDefault="007A0C15" w:rsidP="007A0C15">
            <w:pPr>
              <w:suppressAutoHyphens w:val="0"/>
              <w:jc w:val="center"/>
            </w:pPr>
            <w:r w:rsidRPr="0035384E">
              <w:t>0,321*</w:t>
            </w:r>
          </w:p>
        </w:tc>
        <w:tc>
          <w:tcPr>
            <w:tcW w:w="1058" w:type="pct"/>
            <w:tcBorders>
              <w:top w:val="nil"/>
              <w:left w:val="nil"/>
              <w:bottom w:val="single" w:sz="12" w:space="0" w:color="auto"/>
              <w:right w:val="single" w:sz="8" w:space="0" w:color="auto"/>
            </w:tcBorders>
            <w:shd w:val="clear" w:color="auto" w:fill="auto"/>
            <w:noWrap/>
            <w:vAlign w:val="bottom"/>
            <w:hideMark/>
          </w:tcPr>
          <w:p w:rsidR="007A0C15" w:rsidRPr="0035384E" w:rsidRDefault="007A0C15" w:rsidP="007A0C15">
            <w:pPr>
              <w:suppressAutoHyphens w:val="0"/>
              <w:jc w:val="center"/>
            </w:pPr>
            <w:r w:rsidRPr="0035384E">
              <w:t>0,530*</w:t>
            </w:r>
          </w:p>
        </w:tc>
        <w:tc>
          <w:tcPr>
            <w:tcW w:w="1057" w:type="pct"/>
            <w:tcBorders>
              <w:top w:val="nil"/>
              <w:left w:val="single" w:sz="8" w:space="0" w:color="auto"/>
              <w:bottom w:val="single" w:sz="12" w:space="0" w:color="auto"/>
            </w:tcBorders>
            <w:shd w:val="clear" w:color="auto" w:fill="auto"/>
          </w:tcPr>
          <w:p w:rsidR="007A0C15" w:rsidRPr="0035384E" w:rsidRDefault="007A0C15" w:rsidP="007A0C15">
            <w:pPr>
              <w:suppressAutoHyphens w:val="0"/>
              <w:jc w:val="center"/>
            </w:pPr>
            <w:r w:rsidRPr="0035384E">
              <w:t>0,326*</w:t>
            </w:r>
          </w:p>
        </w:tc>
      </w:tr>
      <w:tr w:rsidR="007A0C15" w:rsidRPr="0035384E" w:rsidTr="003430BE">
        <w:trPr>
          <w:trHeight w:val="20"/>
        </w:trPr>
        <w:tc>
          <w:tcPr>
            <w:tcW w:w="879" w:type="pct"/>
            <w:tcBorders>
              <w:top w:val="single" w:sz="12" w:space="0" w:color="auto"/>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rPr>
                <w:b/>
              </w:rPr>
            </w:pPr>
            <w:r w:rsidRPr="0035384E">
              <w:rPr>
                <w:b/>
              </w:rPr>
              <w:t>R²</w:t>
            </w:r>
          </w:p>
        </w:tc>
        <w:tc>
          <w:tcPr>
            <w:tcW w:w="967" w:type="pct"/>
            <w:tcBorders>
              <w:top w:val="single" w:sz="12" w:space="0" w:color="auto"/>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0,929</w:t>
            </w:r>
          </w:p>
        </w:tc>
        <w:tc>
          <w:tcPr>
            <w:tcW w:w="1039" w:type="pct"/>
            <w:tcBorders>
              <w:top w:val="single" w:sz="12" w:space="0" w:color="auto"/>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0,859</w:t>
            </w:r>
          </w:p>
        </w:tc>
        <w:tc>
          <w:tcPr>
            <w:tcW w:w="1058" w:type="pct"/>
            <w:tcBorders>
              <w:top w:val="single" w:sz="12" w:space="0" w:color="auto"/>
              <w:left w:val="nil"/>
              <w:bottom w:val="single" w:sz="4" w:space="0" w:color="auto"/>
              <w:right w:val="single" w:sz="8"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0,891</w:t>
            </w:r>
          </w:p>
        </w:tc>
        <w:tc>
          <w:tcPr>
            <w:tcW w:w="1057" w:type="pct"/>
            <w:tcBorders>
              <w:top w:val="single" w:sz="12" w:space="0" w:color="auto"/>
              <w:left w:val="single" w:sz="8" w:space="0" w:color="auto"/>
              <w:bottom w:val="single" w:sz="4" w:space="0" w:color="auto"/>
            </w:tcBorders>
          </w:tcPr>
          <w:p w:rsidR="007A0C15" w:rsidRPr="0035384E" w:rsidRDefault="007A0C15" w:rsidP="007A0C15">
            <w:pPr>
              <w:suppressAutoHyphens w:val="0"/>
              <w:jc w:val="center"/>
              <w:rPr>
                <w:b/>
              </w:rPr>
            </w:pPr>
            <w:r w:rsidRPr="0035384E">
              <w:rPr>
                <w:b/>
              </w:rPr>
              <w:t>0,912</w:t>
            </w:r>
          </w:p>
        </w:tc>
      </w:tr>
      <w:tr w:rsidR="007A0C15" w:rsidRPr="0035384E" w:rsidTr="003430BE">
        <w:trPr>
          <w:trHeight w:val="20"/>
        </w:trPr>
        <w:tc>
          <w:tcPr>
            <w:tcW w:w="879" w:type="pct"/>
            <w:tcBorders>
              <w:top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rPr>
                <w:b/>
              </w:rPr>
            </w:pPr>
            <w:r w:rsidRPr="0035384E">
              <w:rPr>
                <w:b/>
              </w:rPr>
              <w:t>R</w:t>
            </w:r>
            <w:proofErr w:type="gramStart"/>
            <w:r w:rsidRPr="0035384E">
              <w:rPr>
                <w:b/>
              </w:rPr>
              <w:t>² Ajustado</w:t>
            </w:r>
            <w:proofErr w:type="gramEnd"/>
          </w:p>
        </w:tc>
        <w:tc>
          <w:tcPr>
            <w:tcW w:w="967" w:type="pct"/>
            <w:tcBorders>
              <w:top w:val="nil"/>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0,926</w:t>
            </w:r>
          </w:p>
        </w:tc>
        <w:tc>
          <w:tcPr>
            <w:tcW w:w="1039" w:type="pct"/>
            <w:tcBorders>
              <w:top w:val="nil"/>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0,853</w:t>
            </w:r>
          </w:p>
        </w:tc>
        <w:tc>
          <w:tcPr>
            <w:tcW w:w="1058" w:type="pct"/>
            <w:tcBorders>
              <w:top w:val="nil"/>
              <w:left w:val="nil"/>
              <w:bottom w:val="single" w:sz="4" w:space="0" w:color="auto"/>
              <w:right w:val="single" w:sz="8"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0,887</w:t>
            </w:r>
          </w:p>
        </w:tc>
        <w:tc>
          <w:tcPr>
            <w:tcW w:w="1057" w:type="pct"/>
            <w:tcBorders>
              <w:top w:val="nil"/>
              <w:left w:val="single" w:sz="8" w:space="0" w:color="auto"/>
              <w:bottom w:val="single" w:sz="4" w:space="0" w:color="auto"/>
            </w:tcBorders>
          </w:tcPr>
          <w:p w:rsidR="007A0C15" w:rsidRPr="0035384E" w:rsidRDefault="007A0C15" w:rsidP="007A0C15">
            <w:pPr>
              <w:suppressAutoHyphens w:val="0"/>
              <w:jc w:val="center"/>
              <w:rPr>
                <w:b/>
              </w:rPr>
            </w:pPr>
            <w:r w:rsidRPr="0035384E">
              <w:rPr>
                <w:b/>
              </w:rPr>
              <w:t>0,908</w:t>
            </w:r>
          </w:p>
        </w:tc>
      </w:tr>
      <w:tr w:rsidR="007A0C15" w:rsidRPr="0035384E" w:rsidTr="003430BE">
        <w:trPr>
          <w:trHeight w:val="20"/>
        </w:trPr>
        <w:tc>
          <w:tcPr>
            <w:tcW w:w="879" w:type="pct"/>
            <w:tcBorders>
              <w:top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rPr>
                <w:b/>
              </w:rPr>
            </w:pPr>
            <w:proofErr w:type="spellStart"/>
            <w:r w:rsidRPr="0035384E">
              <w:rPr>
                <w:b/>
              </w:rPr>
              <w:t>Sig</w:t>
            </w:r>
            <w:proofErr w:type="spellEnd"/>
            <w:r w:rsidRPr="0035384E">
              <w:rPr>
                <w:b/>
              </w:rPr>
              <w:t>. F</w:t>
            </w:r>
          </w:p>
        </w:tc>
        <w:tc>
          <w:tcPr>
            <w:tcW w:w="967" w:type="pct"/>
            <w:tcBorders>
              <w:top w:val="nil"/>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0,000</w:t>
            </w:r>
          </w:p>
        </w:tc>
        <w:tc>
          <w:tcPr>
            <w:tcW w:w="1039" w:type="pct"/>
            <w:tcBorders>
              <w:top w:val="nil"/>
              <w:left w:val="nil"/>
              <w:bottom w:val="single" w:sz="4" w:space="0" w:color="auto"/>
              <w:right w:val="single" w:sz="4"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0,000</w:t>
            </w:r>
          </w:p>
        </w:tc>
        <w:tc>
          <w:tcPr>
            <w:tcW w:w="1058" w:type="pct"/>
            <w:tcBorders>
              <w:top w:val="nil"/>
              <w:left w:val="nil"/>
              <w:bottom w:val="single" w:sz="4" w:space="0" w:color="auto"/>
              <w:right w:val="single" w:sz="8" w:space="0" w:color="auto"/>
            </w:tcBorders>
            <w:shd w:val="clear" w:color="auto" w:fill="auto"/>
            <w:noWrap/>
            <w:vAlign w:val="bottom"/>
            <w:hideMark/>
          </w:tcPr>
          <w:p w:rsidR="007A0C15" w:rsidRPr="0035384E" w:rsidRDefault="007A0C15" w:rsidP="007A0C15">
            <w:pPr>
              <w:suppressAutoHyphens w:val="0"/>
              <w:jc w:val="center"/>
              <w:rPr>
                <w:b/>
              </w:rPr>
            </w:pPr>
            <w:r w:rsidRPr="0035384E">
              <w:rPr>
                <w:b/>
              </w:rPr>
              <w:t>0,000</w:t>
            </w:r>
          </w:p>
        </w:tc>
        <w:tc>
          <w:tcPr>
            <w:tcW w:w="1057" w:type="pct"/>
            <w:tcBorders>
              <w:top w:val="nil"/>
              <w:left w:val="single" w:sz="8" w:space="0" w:color="auto"/>
              <w:bottom w:val="single" w:sz="4" w:space="0" w:color="auto"/>
            </w:tcBorders>
          </w:tcPr>
          <w:p w:rsidR="007A0C15" w:rsidRPr="0035384E" w:rsidRDefault="007A0C15" w:rsidP="007A0C15">
            <w:pPr>
              <w:suppressAutoHyphens w:val="0"/>
              <w:jc w:val="center"/>
              <w:rPr>
                <w:b/>
              </w:rPr>
            </w:pPr>
            <w:r w:rsidRPr="0035384E">
              <w:rPr>
                <w:b/>
              </w:rPr>
              <w:t>0,000</w:t>
            </w:r>
          </w:p>
        </w:tc>
      </w:tr>
      <w:tr w:rsidR="007A0C15" w:rsidRPr="0035384E" w:rsidTr="003430BE">
        <w:trPr>
          <w:trHeight w:val="20"/>
        </w:trPr>
        <w:tc>
          <w:tcPr>
            <w:tcW w:w="879" w:type="pct"/>
            <w:tcBorders>
              <w:top w:val="single" w:sz="4" w:space="0" w:color="auto"/>
              <w:bottom w:val="single" w:sz="12" w:space="0" w:color="auto"/>
              <w:right w:val="single" w:sz="4" w:space="0" w:color="auto"/>
            </w:tcBorders>
            <w:shd w:val="clear" w:color="auto" w:fill="auto"/>
            <w:noWrap/>
            <w:vAlign w:val="bottom"/>
          </w:tcPr>
          <w:p w:rsidR="007A0C15" w:rsidRPr="0035384E" w:rsidRDefault="007A0C15" w:rsidP="007A0C15">
            <w:pPr>
              <w:suppressAutoHyphens w:val="0"/>
              <w:rPr>
                <w:b/>
              </w:rPr>
            </w:pPr>
            <w:r w:rsidRPr="0035384E">
              <w:rPr>
                <w:b/>
              </w:rPr>
              <w:t>N° observações</w:t>
            </w:r>
          </w:p>
        </w:tc>
        <w:tc>
          <w:tcPr>
            <w:tcW w:w="967" w:type="pct"/>
            <w:tcBorders>
              <w:top w:val="single" w:sz="4" w:space="0" w:color="auto"/>
              <w:left w:val="nil"/>
              <w:bottom w:val="single" w:sz="12" w:space="0" w:color="auto"/>
              <w:right w:val="single" w:sz="4" w:space="0" w:color="auto"/>
            </w:tcBorders>
            <w:shd w:val="clear" w:color="auto" w:fill="auto"/>
            <w:noWrap/>
            <w:vAlign w:val="bottom"/>
          </w:tcPr>
          <w:p w:rsidR="007A0C15" w:rsidRPr="0035384E" w:rsidRDefault="007A0C15" w:rsidP="007A0C15">
            <w:pPr>
              <w:suppressAutoHyphens w:val="0"/>
              <w:jc w:val="center"/>
              <w:rPr>
                <w:b/>
              </w:rPr>
            </w:pPr>
            <w:r w:rsidRPr="0035384E">
              <w:rPr>
                <w:b/>
              </w:rPr>
              <w:t>77</w:t>
            </w:r>
          </w:p>
        </w:tc>
        <w:tc>
          <w:tcPr>
            <w:tcW w:w="1039" w:type="pct"/>
            <w:tcBorders>
              <w:top w:val="single" w:sz="4" w:space="0" w:color="auto"/>
              <w:left w:val="nil"/>
              <w:bottom w:val="single" w:sz="12" w:space="0" w:color="auto"/>
              <w:right w:val="single" w:sz="4" w:space="0" w:color="auto"/>
            </w:tcBorders>
            <w:shd w:val="clear" w:color="auto" w:fill="auto"/>
            <w:noWrap/>
            <w:vAlign w:val="bottom"/>
          </w:tcPr>
          <w:p w:rsidR="007A0C15" w:rsidRPr="0035384E" w:rsidRDefault="007A0C15" w:rsidP="007A0C15">
            <w:pPr>
              <w:suppressAutoHyphens w:val="0"/>
              <w:jc w:val="center"/>
              <w:rPr>
                <w:b/>
              </w:rPr>
            </w:pPr>
            <w:r w:rsidRPr="0035384E">
              <w:rPr>
                <w:b/>
              </w:rPr>
              <w:t>77</w:t>
            </w:r>
          </w:p>
        </w:tc>
        <w:tc>
          <w:tcPr>
            <w:tcW w:w="1058" w:type="pct"/>
            <w:tcBorders>
              <w:top w:val="single" w:sz="4" w:space="0" w:color="auto"/>
              <w:left w:val="nil"/>
              <w:bottom w:val="single" w:sz="12" w:space="0" w:color="auto"/>
              <w:right w:val="single" w:sz="8" w:space="0" w:color="auto"/>
            </w:tcBorders>
            <w:shd w:val="clear" w:color="auto" w:fill="auto"/>
            <w:noWrap/>
            <w:vAlign w:val="bottom"/>
          </w:tcPr>
          <w:p w:rsidR="007A0C15" w:rsidRPr="0035384E" w:rsidRDefault="007A0C15" w:rsidP="007A0C15">
            <w:pPr>
              <w:suppressAutoHyphens w:val="0"/>
              <w:jc w:val="center"/>
              <w:rPr>
                <w:b/>
              </w:rPr>
            </w:pPr>
            <w:r w:rsidRPr="0035384E">
              <w:rPr>
                <w:b/>
              </w:rPr>
              <w:t>77</w:t>
            </w:r>
          </w:p>
        </w:tc>
        <w:tc>
          <w:tcPr>
            <w:tcW w:w="1057" w:type="pct"/>
            <w:tcBorders>
              <w:top w:val="single" w:sz="4" w:space="0" w:color="auto"/>
              <w:left w:val="single" w:sz="8" w:space="0" w:color="auto"/>
              <w:bottom w:val="single" w:sz="12" w:space="0" w:color="auto"/>
            </w:tcBorders>
          </w:tcPr>
          <w:p w:rsidR="007A0C15" w:rsidRPr="0035384E" w:rsidRDefault="007A0C15" w:rsidP="007A0C15">
            <w:pPr>
              <w:suppressAutoHyphens w:val="0"/>
              <w:jc w:val="center"/>
              <w:rPr>
                <w:b/>
              </w:rPr>
            </w:pPr>
            <w:r w:rsidRPr="0035384E">
              <w:rPr>
                <w:b/>
              </w:rPr>
              <w:t>77</w:t>
            </w:r>
          </w:p>
        </w:tc>
      </w:tr>
    </w:tbl>
    <w:p w:rsidR="007A0C15" w:rsidRPr="0035384E" w:rsidRDefault="007A0C15" w:rsidP="007A0C15">
      <w:pPr>
        <w:suppressAutoHyphens w:val="0"/>
        <w:jc w:val="both"/>
        <w:rPr>
          <w:lang w:eastAsia="en-US"/>
        </w:rPr>
      </w:pPr>
      <w:r w:rsidRPr="0035384E">
        <w:rPr>
          <w:lang w:eastAsia="en-US"/>
        </w:rPr>
        <w:t>*Significativo ao nível de 5%</w:t>
      </w:r>
    </w:p>
    <w:p w:rsidR="007A0C15" w:rsidRPr="0035384E" w:rsidRDefault="007A0C15" w:rsidP="007A0C15">
      <w:pPr>
        <w:suppressAutoHyphens w:val="0"/>
        <w:jc w:val="both"/>
        <w:rPr>
          <w:lang w:eastAsia="en-US"/>
        </w:rPr>
      </w:pPr>
      <w:r w:rsidRPr="0035384E">
        <w:rPr>
          <w:lang w:eastAsia="en-US"/>
        </w:rPr>
        <w:t>Fonte: Dados da pesquisa.</w:t>
      </w:r>
    </w:p>
    <w:p w:rsidR="007A0C15" w:rsidRPr="0035384E" w:rsidRDefault="007A0C15" w:rsidP="007A0C15">
      <w:pPr>
        <w:suppressAutoHyphens w:val="0"/>
        <w:ind w:firstLine="709"/>
        <w:jc w:val="both"/>
        <w:rPr>
          <w:rFonts w:eastAsia="Calibri"/>
          <w:i/>
          <w:sz w:val="24"/>
          <w:szCs w:val="24"/>
          <w:lang w:eastAsia="en-US"/>
        </w:rPr>
      </w:pPr>
    </w:p>
    <w:p w:rsidR="003A6805" w:rsidRDefault="007A0C15" w:rsidP="007A0C15">
      <w:pPr>
        <w:suppressAutoHyphens w:val="0"/>
        <w:ind w:firstLine="709"/>
        <w:jc w:val="both"/>
        <w:rPr>
          <w:rFonts w:eastAsia="Calibri"/>
          <w:sz w:val="24"/>
          <w:szCs w:val="24"/>
          <w:lang w:eastAsia="en-US"/>
        </w:rPr>
      </w:pPr>
      <w:r w:rsidRPr="0035384E">
        <w:rPr>
          <w:rFonts w:eastAsia="Calibri"/>
          <w:sz w:val="24"/>
          <w:szCs w:val="24"/>
          <w:lang w:eastAsia="en-US"/>
        </w:rPr>
        <w:t xml:space="preserve">Diante dos resultados apresentados na Tabela </w:t>
      </w:r>
      <w:r w:rsidR="000D74BF">
        <w:rPr>
          <w:rFonts w:eastAsia="Calibri"/>
          <w:sz w:val="24"/>
          <w:szCs w:val="24"/>
          <w:lang w:eastAsia="en-US"/>
        </w:rPr>
        <w:t>4</w:t>
      </w:r>
      <w:r w:rsidRPr="007A0C15">
        <w:rPr>
          <w:rFonts w:eastAsia="Calibri"/>
          <w:sz w:val="24"/>
          <w:szCs w:val="24"/>
          <w:lang w:eastAsia="en-US"/>
        </w:rPr>
        <w:t xml:space="preserve">, pode-se inferir que o ambiente possui associação com as práticas de gestão de risco das instituições financeiras. No entanto, considerando o método de correlação canônica, pode-se mencionar que o ambiente possui menor significância para explicar as variáveis dependentes, porém possui relação para explicar as variáveis tipo dos riscos. </w:t>
      </w:r>
    </w:p>
    <w:p w:rsidR="007A0C15" w:rsidRPr="007A0C15" w:rsidRDefault="007A0C15" w:rsidP="007A0C15">
      <w:pPr>
        <w:suppressAutoHyphens w:val="0"/>
        <w:ind w:firstLine="709"/>
        <w:jc w:val="both"/>
        <w:rPr>
          <w:rFonts w:eastAsia="Calibri"/>
          <w:sz w:val="24"/>
          <w:szCs w:val="24"/>
          <w:lang w:eastAsia="en-US"/>
        </w:rPr>
      </w:pPr>
      <w:r w:rsidRPr="007A0C15">
        <w:rPr>
          <w:rFonts w:eastAsia="Calibri"/>
          <w:sz w:val="24"/>
          <w:szCs w:val="24"/>
          <w:lang w:eastAsia="en-US"/>
        </w:rPr>
        <w:t>Para diversos autores (</w:t>
      </w:r>
      <w:r w:rsidR="00F55091" w:rsidRPr="007A0C15">
        <w:rPr>
          <w:rFonts w:eastAsia="Calibri"/>
          <w:sz w:val="24"/>
          <w:szCs w:val="24"/>
          <w:lang w:eastAsia="en-US"/>
        </w:rPr>
        <w:t>Gordon</w:t>
      </w:r>
      <w:r w:rsidR="00F55091">
        <w:rPr>
          <w:rFonts w:eastAsia="Calibri"/>
          <w:sz w:val="24"/>
          <w:szCs w:val="24"/>
          <w:lang w:eastAsia="en-US"/>
        </w:rPr>
        <w:t xml:space="preserve"> &amp;</w:t>
      </w:r>
      <w:r w:rsidR="00F55091" w:rsidRPr="007A0C15">
        <w:rPr>
          <w:rFonts w:eastAsia="Calibri"/>
          <w:sz w:val="24"/>
          <w:szCs w:val="24"/>
          <w:lang w:eastAsia="en-US"/>
        </w:rPr>
        <w:t xml:space="preserve"> </w:t>
      </w:r>
      <w:proofErr w:type="spellStart"/>
      <w:r w:rsidR="00F55091" w:rsidRPr="007A0C15">
        <w:rPr>
          <w:rFonts w:eastAsia="Calibri"/>
          <w:sz w:val="24"/>
          <w:szCs w:val="24"/>
          <w:lang w:eastAsia="en-US"/>
        </w:rPr>
        <w:t>Narayanan</w:t>
      </w:r>
      <w:proofErr w:type="spellEnd"/>
      <w:r w:rsidR="00F55091" w:rsidRPr="007A0C15">
        <w:rPr>
          <w:rFonts w:eastAsia="Calibri"/>
          <w:sz w:val="24"/>
          <w:szCs w:val="24"/>
          <w:lang w:eastAsia="en-US"/>
        </w:rPr>
        <w:t xml:space="preserve">, 1984; </w:t>
      </w:r>
      <w:proofErr w:type="spellStart"/>
      <w:r w:rsidR="00F55091" w:rsidRPr="007A0C15">
        <w:rPr>
          <w:rFonts w:eastAsia="Calibri"/>
          <w:sz w:val="24"/>
          <w:szCs w:val="24"/>
          <w:lang w:eastAsia="en-US"/>
        </w:rPr>
        <w:t>Gul</w:t>
      </w:r>
      <w:proofErr w:type="spellEnd"/>
      <w:r w:rsidR="00F55091">
        <w:rPr>
          <w:rFonts w:eastAsia="Calibri"/>
          <w:sz w:val="24"/>
          <w:szCs w:val="24"/>
          <w:lang w:eastAsia="en-US"/>
        </w:rPr>
        <w:t xml:space="preserve"> &amp;</w:t>
      </w:r>
      <w:r w:rsidR="00F55091" w:rsidRPr="007A0C15">
        <w:rPr>
          <w:rFonts w:eastAsia="Calibri"/>
          <w:sz w:val="24"/>
          <w:szCs w:val="24"/>
          <w:lang w:eastAsia="en-US"/>
        </w:rPr>
        <w:t xml:space="preserve"> Chia, 1994; </w:t>
      </w:r>
      <w:proofErr w:type="spellStart"/>
      <w:r w:rsidR="00F55091" w:rsidRPr="007A0C15">
        <w:rPr>
          <w:rFonts w:eastAsia="Calibri"/>
          <w:sz w:val="24"/>
          <w:szCs w:val="24"/>
          <w:lang w:eastAsia="en-US"/>
        </w:rPr>
        <w:t>Subramanian</w:t>
      </w:r>
      <w:proofErr w:type="spellEnd"/>
      <w:r w:rsidR="00F55091" w:rsidRPr="007A0C15">
        <w:rPr>
          <w:rFonts w:eastAsia="Calibri"/>
          <w:sz w:val="24"/>
          <w:szCs w:val="24"/>
          <w:lang w:eastAsia="en-US"/>
        </w:rPr>
        <w:t xml:space="preserve"> </w:t>
      </w:r>
      <w:r w:rsidR="00F55091" w:rsidRPr="00F55091">
        <w:rPr>
          <w:rFonts w:eastAsia="Calibri"/>
          <w:i/>
          <w:sz w:val="24"/>
          <w:szCs w:val="24"/>
          <w:lang w:eastAsia="en-US"/>
        </w:rPr>
        <w:t>et al.</w:t>
      </w:r>
      <w:r w:rsidR="00F55091" w:rsidRPr="007A0C15">
        <w:rPr>
          <w:rFonts w:eastAsia="Calibri"/>
          <w:sz w:val="24"/>
          <w:szCs w:val="24"/>
          <w:lang w:eastAsia="en-US"/>
        </w:rPr>
        <w:t>, 2011; Silva</w:t>
      </w:r>
      <w:r w:rsidRPr="007A0C15">
        <w:rPr>
          <w:rFonts w:eastAsia="Calibri"/>
          <w:sz w:val="24"/>
          <w:szCs w:val="24"/>
          <w:lang w:eastAsia="en-US"/>
        </w:rPr>
        <w:t xml:space="preserve">, 2013), a tomada de decisão gerencial acontece em virtude do ambiente percebido. No entanto, ao testar esta variável percebeu-se que ela não é tão importante para os gestores das instituições financeiras em relação às práticas de gestão de risco. </w:t>
      </w:r>
    </w:p>
    <w:p w:rsidR="007A0C15" w:rsidRPr="007A0C15" w:rsidRDefault="007A0C15" w:rsidP="007A0C15">
      <w:pPr>
        <w:suppressAutoHyphens w:val="0"/>
        <w:ind w:firstLine="709"/>
        <w:jc w:val="both"/>
      </w:pPr>
      <w:r w:rsidRPr="007A0C15">
        <w:rPr>
          <w:sz w:val="24"/>
          <w:szCs w:val="22"/>
        </w:rPr>
        <w:t xml:space="preserve"> A variável contingencial ambiente é composta por elementos físicos e sociais que influenciam a tomada de decisão dos indivíduos (</w:t>
      </w:r>
      <w:r w:rsidR="00F55091" w:rsidRPr="007A0C15">
        <w:rPr>
          <w:sz w:val="24"/>
          <w:szCs w:val="22"/>
        </w:rPr>
        <w:t>Duncan</w:t>
      </w:r>
      <w:r w:rsidRPr="007A0C15">
        <w:rPr>
          <w:sz w:val="24"/>
          <w:szCs w:val="22"/>
        </w:rPr>
        <w:t>, 1972), ou seja, um fluxo de informações percebidas pelos seus membros (</w:t>
      </w:r>
      <w:proofErr w:type="spellStart"/>
      <w:r w:rsidR="00F55091" w:rsidRPr="007A0C15">
        <w:rPr>
          <w:sz w:val="24"/>
          <w:szCs w:val="22"/>
        </w:rPr>
        <w:t>Aldrich</w:t>
      </w:r>
      <w:proofErr w:type="spellEnd"/>
      <w:r w:rsidR="00F55091">
        <w:rPr>
          <w:sz w:val="24"/>
          <w:szCs w:val="22"/>
        </w:rPr>
        <w:t xml:space="preserve"> &amp;</w:t>
      </w:r>
      <w:r w:rsidR="00F55091" w:rsidRPr="007A0C15">
        <w:rPr>
          <w:sz w:val="24"/>
          <w:szCs w:val="22"/>
        </w:rPr>
        <w:t xml:space="preserve"> </w:t>
      </w:r>
      <w:proofErr w:type="spellStart"/>
      <w:r w:rsidR="00F55091" w:rsidRPr="007A0C15">
        <w:rPr>
          <w:sz w:val="24"/>
          <w:szCs w:val="22"/>
        </w:rPr>
        <w:t>Pfeffer</w:t>
      </w:r>
      <w:proofErr w:type="spellEnd"/>
      <w:r w:rsidRPr="007A0C15">
        <w:rPr>
          <w:sz w:val="24"/>
          <w:szCs w:val="22"/>
        </w:rPr>
        <w:t>, 1976). Ainda, diversas pesquisas evidenciam que a tomada de decisão dos gestores é decorrente de uma resposta ao ambiente percebido (</w:t>
      </w:r>
      <w:r w:rsidR="0007234D" w:rsidRPr="007A0C15">
        <w:rPr>
          <w:sz w:val="24"/>
          <w:szCs w:val="22"/>
        </w:rPr>
        <w:t>Downey</w:t>
      </w:r>
      <w:r w:rsidR="0007234D">
        <w:rPr>
          <w:sz w:val="24"/>
          <w:szCs w:val="22"/>
        </w:rPr>
        <w:t xml:space="preserve"> </w:t>
      </w:r>
      <w:r w:rsidR="0007234D" w:rsidRPr="0007234D">
        <w:rPr>
          <w:i/>
          <w:sz w:val="24"/>
          <w:szCs w:val="22"/>
        </w:rPr>
        <w:t>et al</w:t>
      </w:r>
      <w:r w:rsidRPr="0007234D">
        <w:rPr>
          <w:i/>
          <w:sz w:val="24"/>
          <w:szCs w:val="22"/>
        </w:rPr>
        <w:t>.</w:t>
      </w:r>
      <w:r w:rsidRPr="007A0C15">
        <w:rPr>
          <w:sz w:val="24"/>
          <w:szCs w:val="22"/>
        </w:rPr>
        <w:t xml:space="preserve">, 1975; </w:t>
      </w:r>
      <w:r w:rsidR="00F55091" w:rsidRPr="007A0C15">
        <w:rPr>
          <w:sz w:val="24"/>
          <w:szCs w:val="22"/>
        </w:rPr>
        <w:t>Gordon</w:t>
      </w:r>
      <w:r w:rsidR="00F55091">
        <w:rPr>
          <w:sz w:val="24"/>
          <w:szCs w:val="22"/>
        </w:rPr>
        <w:t xml:space="preserve"> &amp;</w:t>
      </w:r>
      <w:r w:rsidR="00F55091" w:rsidRPr="007A0C15">
        <w:rPr>
          <w:sz w:val="24"/>
          <w:szCs w:val="22"/>
        </w:rPr>
        <w:t xml:space="preserve"> </w:t>
      </w:r>
      <w:proofErr w:type="spellStart"/>
      <w:r w:rsidR="00F55091" w:rsidRPr="007A0C15">
        <w:rPr>
          <w:sz w:val="24"/>
          <w:szCs w:val="22"/>
        </w:rPr>
        <w:t>Narayanan</w:t>
      </w:r>
      <w:proofErr w:type="spellEnd"/>
      <w:r w:rsidRPr="007A0C15">
        <w:rPr>
          <w:sz w:val="24"/>
          <w:szCs w:val="22"/>
        </w:rPr>
        <w:t xml:space="preserve">, 1984; </w:t>
      </w:r>
      <w:proofErr w:type="spellStart"/>
      <w:r w:rsidR="00F55091" w:rsidRPr="007A0C15">
        <w:rPr>
          <w:sz w:val="24"/>
          <w:szCs w:val="22"/>
        </w:rPr>
        <w:t>Gul</w:t>
      </w:r>
      <w:proofErr w:type="spellEnd"/>
      <w:r w:rsidR="00F55091">
        <w:rPr>
          <w:sz w:val="24"/>
          <w:szCs w:val="22"/>
        </w:rPr>
        <w:t xml:space="preserve"> &amp;</w:t>
      </w:r>
      <w:r w:rsidR="00F55091" w:rsidRPr="007A0C15">
        <w:rPr>
          <w:sz w:val="24"/>
          <w:szCs w:val="22"/>
        </w:rPr>
        <w:t xml:space="preserve"> Chia</w:t>
      </w:r>
      <w:r w:rsidRPr="007A0C15">
        <w:rPr>
          <w:sz w:val="24"/>
          <w:szCs w:val="22"/>
        </w:rPr>
        <w:t xml:space="preserve">; 1994; </w:t>
      </w:r>
      <w:proofErr w:type="spellStart"/>
      <w:r w:rsidRPr="007A0C15">
        <w:rPr>
          <w:sz w:val="24"/>
          <w:szCs w:val="22"/>
        </w:rPr>
        <w:t>S</w:t>
      </w:r>
      <w:r w:rsidR="00F55091" w:rsidRPr="007A0C15">
        <w:rPr>
          <w:sz w:val="24"/>
          <w:szCs w:val="22"/>
        </w:rPr>
        <w:t>ubramanian</w:t>
      </w:r>
      <w:proofErr w:type="spellEnd"/>
      <w:r w:rsidRPr="007A0C15">
        <w:rPr>
          <w:sz w:val="24"/>
          <w:szCs w:val="22"/>
        </w:rPr>
        <w:t xml:space="preserve"> </w:t>
      </w:r>
      <w:r w:rsidRPr="00F55091">
        <w:rPr>
          <w:i/>
          <w:sz w:val="24"/>
          <w:szCs w:val="22"/>
        </w:rPr>
        <w:t>et al.</w:t>
      </w:r>
      <w:r w:rsidRPr="007A0C15">
        <w:rPr>
          <w:sz w:val="24"/>
          <w:szCs w:val="22"/>
        </w:rPr>
        <w:t xml:space="preserve">, 2011). </w:t>
      </w:r>
    </w:p>
    <w:p w:rsidR="007A0C15" w:rsidRPr="007A0C15" w:rsidRDefault="007A0C15" w:rsidP="007A0C15">
      <w:pPr>
        <w:suppressAutoHyphens w:val="0"/>
        <w:ind w:firstLine="709"/>
        <w:jc w:val="both"/>
        <w:rPr>
          <w:sz w:val="24"/>
          <w:szCs w:val="22"/>
        </w:rPr>
      </w:pPr>
      <w:r w:rsidRPr="007A0C15">
        <w:rPr>
          <w:sz w:val="24"/>
          <w:szCs w:val="22"/>
        </w:rPr>
        <w:t xml:space="preserve">Conforme Gordon e </w:t>
      </w:r>
      <w:proofErr w:type="spellStart"/>
      <w:r w:rsidRPr="007A0C15">
        <w:rPr>
          <w:sz w:val="24"/>
          <w:szCs w:val="22"/>
        </w:rPr>
        <w:t>Narayanan</w:t>
      </w:r>
      <w:proofErr w:type="spellEnd"/>
      <w:r w:rsidRPr="007A0C15">
        <w:rPr>
          <w:sz w:val="24"/>
          <w:szCs w:val="22"/>
        </w:rPr>
        <w:t xml:space="preserve"> (1984), as variações evidenciadas nos aspectos organizacionais são reflexo de estratégias idealizadas pelos tomadores de decisão para lidar com diferentes níveis de incerteza, ou seja, a estratégia adotada seria em resposta aos eventos ocorridos no ambiente em que a organização está inserida. </w:t>
      </w:r>
    </w:p>
    <w:p w:rsidR="007A0C15" w:rsidRPr="00785FC5" w:rsidRDefault="007A0C15" w:rsidP="00785FC5">
      <w:pPr>
        <w:suppressAutoHyphens w:val="0"/>
        <w:ind w:firstLine="709"/>
        <w:jc w:val="both"/>
        <w:rPr>
          <w:strike/>
          <w:sz w:val="24"/>
          <w:szCs w:val="22"/>
        </w:rPr>
      </w:pPr>
      <w:r w:rsidRPr="007A0C15">
        <w:rPr>
          <w:sz w:val="24"/>
          <w:szCs w:val="22"/>
        </w:rPr>
        <w:lastRenderedPageBreak/>
        <w:t xml:space="preserve">Os estudos em torno do ambiente da contabilidade gerencial, a exemplo de Gordon e </w:t>
      </w:r>
      <w:proofErr w:type="spellStart"/>
      <w:r w:rsidRPr="007A0C15">
        <w:rPr>
          <w:sz w:val="24"/>
          <w:szCs w:val="22"/>
        </w:rPr>
        <w:t>Narayanan</w:t>
      </w:r>
      <w:proofErr w:type="spellEnd"/>
      <w:r w:rsidRPr="007A0C15">
        <w:rPr>
          <w:sz w:val="24"/>
          <w:szCs w:val="22"/>
        </w:rPr>
        <w:t xml:space="preserve"> (1984) e </w:t>
      </w:r>
      <w:proofErr w:type="spellStart"/>
      <w:r w:rsidRPr="007A0C15">
        <w:rPr>
          <w:sz w:val="24"/>
          <w:szCs w:val="22"/>
        </w:rPr>
        <w:t>Gul</w:t>
      </w:r>
      <w:proofErr w:type="spellEnd"/>
      <w:r w:rsidRPr="007A0C15">
        <w:rPr>
          <w:sz w:val="24"/>
          <w:szCs w:val="22"/>
        </w:rPr>
        <w:t xml:space="preserve"> e Chia (1994) indicam que quando essa variável possui níveis altos de incerteza, as organizações podem solicitar informações adicionais para lidar com a complexidade do ambiente. Assim, este resultado corrobora com tais pesquisas. No que tange à Gestão de Risco, </w:t>
      </w:r>
      <w:proofErr w:type="spellStart"/>
      <w:r w:rsidRPr="007A0C15">
        <w:rPr>
          <w:sz w:val="24"/>
          <w:szCs w:val="22"/>
        </w:rPr>
        <w:t>Subramaniam</w:t>
      </w:r>
      <w:proofErr w:type="spellEnd"/>
      <w:r w:rsidRPr="007A0C15">
        <w:rPr>
          <w:sz w:val="24"/>
          <w:szCs w:val="22"/>
        </w:rPr>
        <w:t xml:space="preserve"> </w:t>
      </w:r>
      <w:r w:rsidRPr="00F55091">
        <w:rPr>
          <w:i/>
          <w:sz w:val="24"/>
          <w:szCs w:val="22"/>
        </w:rPr>
        <w:t>et al.</w:t>
      </w:r>
      <w:r w:rsidRPr="007A0C15">
        <w:rPr>
          <w:sz w:val="24"/>
          <w:szCs w:val="22"/>
        </w:rPr>
        <w:t xml:space="preserve"> (2011) evidenciaram uma relação positiva entre a percepção do ambiente e o nível de formalização da gestão de risco, sendo um fator fundamental para padronização do GRC. Tal resultado corrobora e confirma as evidências encontradas pela presente pesquisa no ambiente das instituições financeiras analisadas.</w:t>
      </w:r>
    </w:p>
    <w:p w:rsidR="007A0C15" w:rsidRPr="007A0C15" w:rsidRDefault="007A0C15" w:rsidP="007A0C15">
      <w:pPr>
        <w:suppressAutoHyphens w:val="0"/>
        <w:ind w:firstLine="709"/>
        <w:jc w:val="both"/>
        <w:rPr>
          <w:rFonts w:eastAsia="Calibri"/>
          <w:sz w:val="24"/>
          <w:szCs w:val="24"/>
          <w:lang w:eastAsia="en-US"/>
        </w:rPr>
      </w:pPr>
      <w:r w:rsidRPr="007A0C15">
        <w:rPr>
          <w:rFonts w:eastAsia="Calibri"/>
          <w:sz w:val="24"/>
          <w:szCs w:val="24"/>
          <w:lang w:eastAsia="en-US"/>
        </w:rPr>
        <w:t xml:space="preserve"> Diante do exposto, infere-se que a adoção de controles e processos de gestão de risco podem ter associação pelos gestores das instituições financeiras como um modo de redução da incerteza ambiental, principalmente no quesito dos tipos de riscos que estas empresas enfrentam, levando assim à não rejeição da hipótese</w:t>
      </w:r>
      <w:r w:rsidR="003A6805">
        <w:rPr>
          <w:rFonts w:eastAsia="Calibri"/>
          <w:sz w:val="24"/>
          <w:szCs w:val="24"/>
          <w:lang w:eastAsia="en-US"/>
        </w:rPr>
        <w:t xml:space="preserve"> </w:t>
      </w:r>
      <w:r w:rsidR="003A6805" w:rsidRPr="003A6805">
        <w:rPr>
          <w:rFonts w:eastAsia="Calibri"/>
          <w:b/>
          <w:sz w:val="24"/>
          <w:szCs w:val="24"/>
          <w:lang w:eastAsia="en-US"/>
        </w:rPr>
        <w:t>H</w:t>
      </w:r>
      <w:r w:rsidR="003A6805" w:rsidRPr="003A6805">
        <w:rPr>
          <w:rFonts w:eastAsia="Calibri"/>
          <w:b/>
          <w:sz w:val="24"/>
          <w:szCs w:val="24"/>
          <w:vertAlign w:val="subscript"/>
          <w:lang w:eastAsia="en-US"/>
        </w:rPr>
        <w:t>1</w:t>
      </w:r>
      <w:r w:rsidR="003A6805">
        <w:rPr>
          <w:rFonts w:eastAsia="Calibri"/>
          <w:sz w:val="24"/>
          <w:szCs w:val="24"/>
          <w:lang w:eastAsia="en-US"/>
        </w:rPr>
        <w:t xml:space="preserve">, </w:t>
      </w:r>
      <w:r w:rsidR="003A6805" w:rsidRPr="007A0C15">
        <w:rPr>
          <w:rFonts w:eastAsia="Calibri"/>
          <w:sz w:val="24"/>
          <w:szCs w:val="24"/>
          <w:lang w:eastAsia="en-US"/>
        </w:rPr>
        <w:t xml:space="preserve">que menciona haver </w:t>
      </w:r>
      <w:r w:rsidR="003A6805" w:rsidRPr="007A0C15">
        <w:rPr>
          <w:sz w:val="24"/>
          <w:szCs w:val="22"/>
        </w:rPr>
        <w:t>uma associação positiva entre o ambiente, caracterizado pela incerteza ambiental percebida pelo gestor da instituição financeira e os processos de Gestão de Riscos.</w:t>
      </w:r>
      <w:r w:rsidR="003A6805" w:rsidRPr="007A0C15">
        <w:rPr>
          <w:b/>
          <w:sz w:val="24"/>
          <w:szCs w:val="22"/>
        </w:rPr>
        <w:t xml:space="preserve"> </w:t>
      </w:r>
    </w:p>
    <w:p w:rsidR="003A6805" w:rsidRPr="003A6805" w:rsidRDefault="007A0C15" w:rsidP="003A6805">
      <w:pPr>
        <w:suppressAutoHyphens w:val="0"/>
        <w:ind w:firstLine="709"/>
        <w:jc w:val="both"/>
        <w:rPr>
          <w:rFonts w:eastAsia="Calibri"/>
          <w:sz w:val="24"/>
          <w:szCs w:val="24"/>
          <w:lang w:eastAsia="en-US"/>
        </w:rPr>
      </w:pPr>
      <w:r w:rsidRPr="007A0C15">
        <w:rPr>
          <w:rFonts w:eastAsia="Calibri"/>
          <w:sz w:val="24"/>
          <w:szCs w:val="24"/>
          <w:lang w:eastAsia="en-US"/>
        </w:rPr>
        <w:t xml:space="preserve">Embora foi variante a postura estratégica declarada pelos gestores respondentes, por meio da análise fatorial pode-se observar que a estratégia analisadora predomina nas instituições financeiras, ou seja, estas possuem a combinação de características prospectoras e defensoras. Assim, conforme a análise por meio da correlação canônica, observou-se que esta variável apresentou-se como importante para os gestores em relação às práticas de gestão de risco, sendo significante em todos os modelos apresentados na regressão linear múltipla, levando também à não rejeição da hipótese </w:t>
      </w:r>
      <w:r w:rsidR="003A6805" w:rsidRPr="003A6805">
        <w:rPr>
          <w:rFonts w:eastAsia="Calibri"/>
          <w:b/>
          <w:sz w:val="24"/>
          <w:szCs w:val="24"/>
          <w:lang w:eastAsia="en-US"/>
        </w:rPr>
        <w:t>H</w:t>
      </w:r>
      <w:r w:rsidR="003A6805" w:rsidRPr="003A6805">
        <w:rPr>
          <w:rFonts w:eastAsia="Calibri"/>
          <w:b/>
          <w:sz w:val="24"/>
          <w:szCs w:val="24"/>
          <w:vertAlign w:val="subscript"/>
          <w:lang w:eastAsia="en-US"/>
        </w:rPr>
        <w:t>2</w:t>
      </w:r>
      <w:r w:rsidR="003A6805">
        <w:rPr>
          <w:rFonts w:eastAsia="Calibri"/>
          <w:sz w:val="24"/>
          <w:szCs w:val="24"/>
          <w:lang w:eastAsia="en-US"/>
        </w:rPr>
        <w:t xml:space="preserve"> </w:t>
      </w:r>
      <w:r w:rsidRPr="007A0C15">
        <w:rPr>
          <w:rFonts w:eastAsia="Calibri"/>
          <w:sz w:val="24"/>
          <w:szCs w:val="24"/>
          <w:lang w:eastAsia="en-US"/>
        </w:rPr>
        <w:t>deste estudo</w:t>
      </w:r>
      <w:r w:rsidR="003A6805">
        <w:rPr>
          <w:rFonts w:eastAsia="Calibri"/>
          <w:sz w:val="24"/>
          <w:szCs w:val="24"/>
          <w:lang w:eastAsia="en-US"/>
        </w:rPr>
        <w:t xml:space="preserve">, que buscava confirmar se realmente havia </w:t>
      </w:r>
      <w:r w:rsidR="003A6805" w:rsidRPr="007A0C15">
        <w:rPr>
          <w:sz w:val="24"/>
          <w:szCs w:val="22"/>
        </w:rPr>
        <w:t>uma associação positiva entre o tipo de estratégia adotada pela organização</w:t>
      </w:r>
      <w:r w:rsidR="003A6805">
        <w:rPr>
          <w:sz w:val="24"/>
          <w:szCs w:val="22"/>
        </w:rPr>
        <w:t xml:space="preserve"> </w:t>
      </w:r>
      <w:r w:rsidR="003A6805" w:rsidRPr="007A0C15">
        <w:rPr>
          <w:sz w:val="24"/>
          <w:szCs w:val="22"/>
        </w:rPr>
        <w:t xml:space="preserve">e os processos de Gestão de Riscos em instituições financeiras. </w:t>
      </w:r>
    </w:p>
    <w:p w:rsidR="007A0C15" w:rsidRPr="007A0C15" w:rsidRDefault="007A0C15" w:rsidP="007A0C15">
      <w:pPr>
        <w:suppressAutoHyphens w:val="0"/>
        <w:ind w:firstLine="709"/>
        <w:jc w:val="both"/>
        <w:rPr>
          <w:sz w:val="24"/>
          <w:szCs w:val="22"/>
        </w:rPr>
      </w:pPr>
      <w:r w:rsidRPr="007A0C15">
        <w:rPr>
          <w:sz w:val="24"/>
          <w:szCs w:val="22"/>
        </w:rPr>
        <w:t xml:space="preserve">Quanto às características de empresas analisadoras, para Miles e </w:t>
      </w:r>
      <w:proofErr w:type="spellStart"/>
      <w:r w:rsidRPr="007A0C15">
        <w:rPr>
          <w:sz w:val="24"/>
          <w:szCs w:val="22"/>
        </w:rPr>
        <w:t>Snow</w:t>
      </w:r>
      <w:proofErr w:type="spellEnd"/>
      <w:r w:rsidRPr="007A0C15">
        <w:rPr>
          <w:sz w:val="24"/>
          <w:szCs w:val="22"/>
        </w:rPr>
        <w:t xml:space="preserve"> (1978), </w:t>
      </w:r>
      <w:r w:rsidR="003A6805">
        <w:rPr>
          <w:sz w:val="24"/>
          <w:szCs w:val="22"/>
        </w:rPr>
        <w:t>as mesm</w:t>
      </w:r>
      <w:r w:rsidRPr="007A0C15">
        <w:rPr>
          <w:sz w:val="24"/>
          <w:szCs w:val="22"/>
        </w:rPr>
        <w:t xml:space="preserve">as são uma combinação única dos tipos defensores e prospectores representando uma alternativa viável para essas duas estratégias. Assim, pode-se inferir que as instituições financeiras analisadas tentam minimizar riscos e maximizar a oportunidade de lucro, isto é, sua experiência permite combinar os pontos fortes das duas tipologias (defensora e prospectora) em um único sistema. Diante das evidências apresentadas, a variável estratégia parece estar mais relacionada com os processos de gestão de riscos nas instituições financeiras analisadas. </w:t>
      </w:r>
    </w:p>
    <w:p w:rsidR="007A0C15" w:rsidRPr="007A0C15" w:rsidRDefault="007A0C15" w:rsidP="007A0C15">
      <w:pPr>
        <w:suppressAutoHyphens w:val="0"/>
        <w:ind w:firstLine="709"/>
        <w:jc w:val="both"/>
        <w:rPr>
          <w:sz w:val="24"/>
          <w:szCs w:val="22"/>
        </w:rPr>
      </w:pPr>
      <w:r w:rsidRPr="007A0C15">
        <w:rPr>
          <w:sz w:val="24"/>
          <w:szCs w:val="22"/>
        </w:rPr>
        <w:t>No contexto dos estudos relacionados à gestão de risco, os resultados convergem com a pesquisas de McLaren</w:t>
      </w:r>
      <w:r w:rsidR="00F55091">
        <w:rPr>
          <w:sz w:val="24"/>
          <w:szCs w:val="22"/>
        </w:rPr>
        <w:t xml:space="preserve"> </w:t>
      </w:r>
      <w:r w:rsidR="00F55091" w:rsidRPr="00F55091">
        <w:rPr>
          <w:i/>
          <w:sz w:val="24"/>
          <w:szCs w:val="22"/>
        </w:rPr>
        <w:t>et al.</w:t>
      </w:r>
      <w:r w:rsidR="00F55091">
        <w:rPr>
          <w:sz w:val="24"/>
          <w:szCs w:val="22"/>
        </w:rPr>
        <w:t xml:space="preserve"> </w:t>
      </w:r>
      <w:r w:rsidRPr="007A0C15">
        <w:rPr>
          <w:sz w:val="24"/>
          <w:szCs w:val="22"/>
        </w:rPr>
        <w:t xml:space="preserve">(2004) que mencionam a existência de SCG e GRC somente em empresas com aspectos defensores e analisadores. </w:t>
      </w:r>
      <w:proofErr w:type="spellStart"/>
      <w:r w:rsidRPr="007A0C15">
        <w:rPr>
          <w:sz w:val="24"/>
          <w:szCs w:val="22"/>
        </w:rPr>
        <w:t>Smallmann</w:t>
      </w:r>
      <w:proofErr w:type="spellEnd"/>
      <w:r w:rsidRPr="007A0C15">
        <w:rPr>
          <w:sz w:val="24"/>
          <w:szCs w:val="22"/>
        </w:rPr>
        <w:t xml:space="preserve"> (1996) teoriza que as estruturas de GRC possuem variações entre as tipologias estratégicas de Miles e </w:t>
      </w:r>
      <w:proofErr w:type="spellStart"/>
      <w:r w:rsidRPr="007A0C15">
        <w:rPr>
          <w:sz w:val="24"/>
          <w:szCs w:val="22"/>
        </w:rPr>
        <w:t>Snow</w:t>
      </w:r>
      <w:proofErr w:type="spellEnd"/>
      <w:r w:rsidRPr="007A0C15">
        <w:rPr>
          <w:sz w:val="24"/>
          <w:szCs w:val="22"/>
        </w:rPr>
        <w:t xml:space="preserve"> (1978), pois pode haver diferença no tipo de definição de limites, na centralização ou descentralização do gerenciamento de risco e na maneira como os riscos são percebidos. </w:t>
      </w:r>
    </w:p>
    <w:p w:rsidR="007A0C15" w:rsidRPr="007A0C15" w:rsidRDefault="007A0C15" w:rsidP="007A0C15">
      <w:pPr>
        <w:suppressAutoHyphens w:val="0"/>
        <w:ind w:firstLine="709"/>
        <w:jc w:val="both"/>
        <w:rPr>
          <w:rFonts w:eastAsia="Calibri"/>
          <w:sz w:val="24"/>
          <w:szCs w:val="24"/>
          <w:lang w:eastAsia="en-US"/>
        </w:rPr>
      </w:pPr>
      <w:r w:rsidRPr="007A0C15">
        <w:rPr>
          <w:rFonts w:eastAsia="Calibri"/>
          <w:sz w:val="24"/>
          <w:szCs w:val="24"/>
          <w:lang w:eastAsia="en-US"/>
        </w:rPr>
        <w:t xml:space="preserve">Quanto à variável tecnologia que detinha a </w:t>
      </w:r>
      <w:r w:rsidR="003A6805">
        <w:rPr>
          <w:rFonts w:eastAsia="Calibri"/>
          <w:sz w:val="24"/>
          <w:szCs w:val="24"/>
          <w:lang w:eastAsia="en-US"/>
        </w:rPr>
        <w:t>terceira</w:t>
      </w:r>
      <w:r w:rsidRPr="007A0C15">
        <w:rPr>
          <w:rFonts w:eastAsia="Calibri"/>
          <w:sz w:val="24"/>
          <w:szCs w:val="24"/>
          <w:lang w:eastAsia="en-US"/>
        </w:rPr>
        <w:t xml:space="preserve"> hipótese</w:t>
      </w:r>
      <w:r w:rsidR="00785FC5">
        <w:rPr>
          <w:rFonts w:eastAsia="Calibri"/>
          <w:sz w:val="24"/>
          <w:szCs w:val="24"/>
          <w:lang w:eastAsia="en-US"/>
        </w:rPr>
        <w:t>, p</w:t>
      </w:r>
      <w:r w:rsidRPr="007A0C15">
        <w:rPr>
          <w:rFonts w:eastAsia="Calibri"/>
          <w:sz w:val="24"/>
          <w:szCs w:val="24"/>
          <w:lang w:eastAsia="en-US"/>
        </w:rPr>
        <w:t>esquisas recentes avançam na discussão ao relacionarem tecnologia com Tecnologia da Informação, principalmente por auxiliar o processo de gestão de risco (</w:t>
      </w:r>
      <w:r w:rsidR="00111814" w:rsidRPr="007A0C15">
        <w:rPr>
          <w:rFonts w:eastAsia="Calibri"/>
          <w:sz w:val="24"/>
          <w:szCs w:val="24"/>
          <w:lang w:eastAsia="en-US"/>
        </w:rPr>
        <w:t>Woods,</w:t>
      </w:r>
      <w:r w:rsidRPr="007A0C15">
        <w:rPr>
          <w:rFonts w:eastAsia="Calibri"/>
          <w:sz w:val="24"/>
          <w:szCs w:val="24"/>
          <w:lang w:eastAsia="en-US"/>
        </w:rPr>
        <w:t xml:space="preserve"> 2009; </w:t>
      </w:r>
      <w:r w:rsidR="005635CB" w:rsidRPr="008C479E">
        <w:rPr>
          <w:sz w:val="24"/>
          <w:szCs w:val="22"/>
        </w:rPr>
        <w:t>Arena</w:t>
      </w:r>
      <w:r w:rsidR="005635CB">
        <w:rPr>
          <w:sz w:val="24"/>
          <w:szCs w:val="22"/>
        </w:rPr>
        <w:t xml:space="preserve"> </w:t>
      </w:r>
      <w:r w:rsidR="005635CB" w:rsidRPr="005635CB">
        <w:rPr>
          <w:i/>
          <w:sz w:val="24"/>
          <w:szCs w:val="22"/>
        </w:rPr>
        <w:t>et al.</w:t>
      </w:r>
      <w:r w:rsidR="005635CB" w:rsidRPr="008C479E">
        <w:rPr>
          <w:sz w:val="24"/>
          <w:szCs w:val="22"/>
        </w:rPr>
        <w:t>,</w:t>
      </w:r>
      <w:r w:rsidRPr="007A0C15">
        <w:rPr>
          <w:rFonts w:eastAsia="Calibri"/>
          <w:sz w:val="24"/>
          <w:szCs w:val="24"/>
          <w:lang w:eastAsia="en-US"/>
        </w:rPr>
        <w:t xml:space="preserve"> 2010). Tem-se como premissa a evolução do foco da variável contingencial tecnologia, sendo importante observar que os estudos seminais a tratavam de forma diferente das pesquisas atuais. No entanto, pode-se mencionar que os processos produtivos possuem características mecanicistas ou orgânicas (</w:t>
      </w:r>
      <w:r w:rsidR="00111814" w:rsidRPr="007A0C15">
        <w:rPr>
          <w:rFonts w:eastAsia="Calibri"/>
          <w:sz w:val="24"/>
          <w:szCs w:val="24"/>
          <w:lang w:eastAsia="en-US"/>
        </w:rPr>
        <w:t>Woodward</w:t>
      </w:r>
      <w:r w:rsidRPr="007A0C15">
        <w:rPr>
          <w:rFonts w:eastAsia="Calibri"/>
          <w:sz w:val="24"/>
          <w:szCs w:val="24"/>
          <w:lang w:eastAsia="en-US"/>
        </w:rPr>
        <w:t>, 1965), tendo divergências quanto à sua análise e variabilidade (</w:t>
      </w:r>
      <w:proofErr w:type="spellStart"/>
      <w:r w:rsidRPr="007A0C15">
        <w:rPr>
          <w:rFonts w:eastAsia="Calibri"/>
          <w:sz w:val="24"/>
          <w:szCs w:val="24"/>
          <w:lang w:eastAsia="en-US"/>
        </w:rPr>
        <w:t>P</w:t>
      </w:r>
      <w:r w:rsidR="00111814" w:rsidRPr="007A0C15">
        <w:rPr>
          <w:rFonts w:eastAsia="Calibri"/>
          <w:sz w:val="24"/>
          <w:szCs w:val="24"/>
          <w:lang w:eastAsia="en-US"/>
        </w:rPr>
        <w:t>errow</w:t>
      </w:r>
      <w:proofErr w:type="spellEnd"/>
      <w:r w:rsidRPr="007A0C15">
        <w:rPr>
          <w:rFonts w:eastAsia="Calibri"/>
          <w:sz w:val="24"/>
          <w:szCs w:val="24"/>
          <w:lang w:eastAsia="en-US"/>
        </w:rPr>
        <w:t xml:space="preserve">, 1967). Entretanto, esses elementos são somados às novas características como tecnologias de </w:t>
      </w:r>
      <w:r w:rsidRPr="007A0C15">
        <w:rPr>
          <w:rFonts w:eastAsia="Calibri"/>
          <w:i/>
          <w:sz w:val="24"/>
          <w:szCs w:val="24"/>
          <w:lang w:eastAsia="en-US"/>
        </w:rPr>
        <w:t>hardwares</w:t>
      </w:r>
      <w:r w:rsidRPr="007A0C15">
        <w:rPr>
          <w:rFonts w:eastAsia="Calibri"/>
          <w:sz w:val="24"/>
          <w:szCs w:val="24"/>
          <w:lang w:eastAsia="en-US"/>
        </w:rPr>
        <w:t xml:space="preserve">, </w:t>
      </w:r>
      <w:r w:rsidRPr="007A0C15">
        <w:rPr>
          <w:rFonts w:eastAsia="Calibri"/>
          <w:i/>
          <w:sz w:val="24"/>
          <w:szCs w:val="24"/>
          <w:lang w:eastAsia="en-US"/>
        </w:rPr>
        <w:t xml:space="preserve">softwares </w:t>
      </w:r>
      <w:r w:rsidRPr="007A0C15">
        <w:rPr>
          <w:rFonts w:eastAsia="Calibri"/>
          <w:sz w:val="24"/>
          <w:szCs w:val="24"/>
          <w:lang w:eastAsia="en-US"/>
        </w:rPr>
        <w:t>e as tecnologias de comunicação.</w:t>
      </w:r>
    </w:p>
    <w:p w:rsidR="003A6805" w:rsidRDefault="007A0C15" w:rsidP="003A6805">
      <w:pPr>
        <w:suppressAutoHyphens w:val="0"/>
        <w:ind w:firstLine="709"/>
        <w:jc w:val="both"/>
        <w:rPr>
          <w:rFonts w:eastAsia="Calibri"/>
          <w:sz w:val="24"/>
          <w:szCs w:val="24"/>
          <w:lang w:eastAsia="en-US"/>
        </w:rPr>
      </w:pPr>
      <w:r w:rsidRPr="007A0C15">
        <w:rPr>
          <w:rFonts w:eastAsia="Calibri"/>
          <w:sz w:val="24"/>
          <w:szCs w:val="24"/>
          <w:lang w:eastAsia="en-US"/>
        </w:rPr>
        <w:lastRenderedPageBreak/>
        <w:t xml:space="preserve">Assim, considerando os resultados apresentados por esta pesquisa pode-se observar que a variável tecnologia pode justificar as práticas de gestão de risco nas instituições financeiras, convergindo com estudos como de Woods (2009) e Silva (2013). Em suma, infere-se que nas instituições financeiras os gerentes entendem que a tecnologia da informação pode ser importante para os processos e controles de gestão de risco, de forma positiva principalmente na identificação, avaliação e resposta aos riscos. Diante dos resultados apresentados a hipótese </w:t>
      </w:r>
      <w:r w:rsidR="003A6805" w:rsidRPr="003A6805">
        <w:rPr>
          <w:rFonts w:eastAsia="Calibri"/>
          <w:b/>
          <w:sz w:val="24"/>
          <w:szCs w:val="24"/>
          <w:lang w:eastAsia="en-US"/>
        </w:rPr>
        <w:t>H</w:t>
      </w:r>
      <w:r w:rsidR="003A6805" w:rsidRPr="003A6805">
        <w:rPr>
          <w:rFonts w:eastAsia="Calibri"/>
          <w:b/>
          <w:sz w:val="24"/>
          <w:szCs w:val="24"/>
          <w:vertAlign w:val="subscript"/>
          <w:lang w:eastAsia="en-US"/>
        </w:rPr>
        <w:t>3</w:t>
      </w:r>
      <w:r w:rsidR="003A6805">
        <w:rPr>
          <w:rFonts w:eastAsia="Calibri"/>
          <w:sz w:val="24"/>
          <w:szCs w:val="24"/>
          <w:lang w:eastAsia="en-US"/>
        </w:rPr>
        <w:t xml:space="preserve"> também </w:t>
      </w:r>
      <w:r w:rsidRPr="007A0C15">
        <w:rPr>
          <w:rFonts w:eastAsia="Calibri"/>
          <w:sz w:val="24"/>
          <w:szCs w:val="24"/>
          <w:lang w:eastAsia="en-US"/>
        </w:rPr>
        <w:t xml:space="preserve">não </w:t>
      </w:r>
      <w:r w:rsidRPr="0035384E">
        <w:rPr>
          <w:rFonts w:eastAsia="Calibri"/>
          <w:sz w:val="24"/>
          <w:szCs w:val="24"/>
          <w:lang w:eastAsia="en-US"/>
        </w:rPr>
        <w:t>pode ser rejeitada</w:t>
      </w:r>
      <w:r w:rsidR="003A6805">
        <w:rPr>
          <w:rFonts w:eastAsia="Calibri"/>
          <w:sz w:val="24"/>
          <w:szCs w:val="24"/>
          <w:lang w:eastAsia="en-US"/>
        </w:rPr>
        <w:t xml:space="preserve">, confirmando que há </w:t>
      </w:r>
      <w:r w:rsidR="003A6805" w:rsidRPr="007A0C15">
        <w:rPr>
          <w:sz w:val="24"/>
          <w:szCs w:val="22"/>
        </w:rPr>
        <w:t>uma associação positiva entre o nível de sofisticação da tecnologia e os processos de Gestão de Riscos em instituições financeiras</w:t>
      </w:r>
    </w:p>
    <w:p w:rsidR="007A0C15" w:rsidRPr="0035384E" w:rsidRDefault="007A0C15" w:rsidP="003A6805">
      <w:pPr>
        <w:suppressAutoHyphens w:val="0"/>
        <w:ind w:firstLine="709"/>
        <w:jc w:val="both"/>
        <w:rPr>
          <w:rFonts w:eastAsia="Calibri"/>
          <w:sz w:val="24"/>
          <w:szCs w:val="24"/>
          <w:lang w:eastAsia="en-US"/>
        </w:rPr>
      </w:pPr>
      <w:r w:rsidRPr="0035384E">
        <w:rPr>
          <w:rFonts w:eastAsia="Calibri"/>
          <w:sz w:val="24"/>
          <w:szCs w:val="24"/>
          <w:lang w:eastAsia="en-US"/>
        </w:rPr>
        <w:t>O resumo dos resultados para as hipóteses da pesquisa é apresentado n</w:t>
      </w:r>
      <w:r w:rsidR="00516DC4">
        <w:rPr>
          <w:rFonts w:eastAsia="Calibri"/>
          <w:sz w:val="24"/>
          <w:szCs w:val="24"/>
          <w:lang w:eastAsia="en-US"/>
        </w:rPr>
        <w:t>a</w:t>
      </w:r>
      <w:r w:rsidRPr="0035384E">
        <w:rPr>
          <w:rFonts w:eastAsia="Calibri"/>
          <w:sz w:val="24"/>
          <w:szCs w:val="24"/>
          <w:lang w:eastAsia="en-US"/>
        </w:rPr>
        <w:t xml:space="preserve"> </w:t>
      </w:r>
      <w:r w:rsidR="000D74BF">
        <w:rPr>
          <w:rFonts w:eastAsia="Calibri"/>
          <w:sz w:val="24"/>
          <w:szCs w:val="24"/>
          <w:lang w:eastAsia="en-US"/>
        </w:rPr>
        <w:t>Tabela</w:t>
      </w:r>
      <w:r w:rsidRPr="0035384E">
        <w:rPr>
          <w:rFonts w:eastAsia="Calibri"/>
          <w:sz w:val="24"/>
          <w:szCs w:val="24"/>
          <w:lang w:eastAsia="en-US"/>
        </w:rPr>
        <w:t xml:space="preserve"> </w:t>
      </w:r>
      <w:r w:rsidR="000D74BF">
        <w:rPr>
          <w:rFonts w:eastAsia="Calibri"/>
          <w:sz w:val="24"/>
          <w:szCs w:val="24"/>
          <w:lang w:eastAsia="en-US"/>
        </w:rPr>
        <w:t>5</w:t>
      </w:r>
      <w:r w:rsidRPr="0035384E">
        <w:rPr>
          <w:rFonts w:eastAsia="Calibri"/>
          <w:sz w:val="24"/>
          <w:szCs w:val="24"/>
          <w:lang w:eastAsia="en-US"/>
        </w:rPr>
        <w:t xml:space="preserve">. </w:t>
      </w:r>
    </w:p>
    <w:p w:rsidR="00EF2281" w:rsidRDefault="00EF2281" w:rsidP="007A0C15">
      <w:pPr>
        <w:suppressAutoHyphens w:val="0"/>
        <w:jc w:val="both"/>
        <w:rPr>
          <w:b/>
          <w:szCs w:val="24"/>
        </w:rPr>
      </w:pPr>
      <w:bookmarkStart w:id="5" w:name="_Toc480237478"/>
    </w:p>
    <w:p w:rsidR="007A0C15" w:rsidRPr="0035384E" w:rsidRDefault="000D74BF" w:rsidP="007A0C15">
      <w:pPr>
        <w:suppressAutoHyphens w:val="0"/>
        <w:jc w:val="both"/>
        <w:rPr>
          <w:b/>
          <w:szCs w:val="24"/>
        </w:rPr>
      </w:pPr>
      <w:r>
        <w:rPr>
          <w:b/>
          <w:szCs w:val="24"/>
        </w:rPr>
        <w:t>Tabela</w:t>
      </w:r>
      <w:r w:rsidR="007A0C15" w:rsidRPr="0035384E">
        <w:rPr>
          <w:b/>
          <w:szCs w:val="24"/>
        </w:rPr>
        <w:t xml:space="preserve"> </w:t>
      </w:r>
      <w:r>
        <w:rPr>
          <w:b/>
          <w:szCs w:val="24"/>
        </w:rPr>
        <w:t>5</w:t>
      </w:r>
    </w:p>
    <w:p w:rsidR="007A0C15" w:rsidRPr="007A0C15" w:rsidRDefault="007A0C15" w:rsidP="007A0C15">
      <w:pPr>
        <w:suppressAutoHyphens w:val="0"/>
        <w:jc w:val="both"/>
        <w:rPr>
          <w:szCs w:val="24"/>
        </w:rPr>
      </w:pPr>
      <w:r w:rsidRPr="0035384E">
        <w:rPr>
          <w:szCs w:val="24"/>
        </w:rPr>
        <w:t>Resumo do resultado d</w:t>
      </w:r>
      <w:r w:rsidRPr="007A0C15">
        <w:rPr>
          <w:szCs w:val="24"/>
        </w:rPr>
        <w:t>as hipóteses</w:t>
      </w:r>
      <w:bookmarkEnd w:id="5"/>
    </w:p>
    <w:tbl>
      <w:tblPr>
        <w:tblW w:w="4994" w:type="pct"/>
        <w:tblLayout w:type="fixed"/>
        <w:tblCellMar>
          <w:left w:w="70" w:type="dxa"/>
          <w:right w:w="70" w:type="dxa"/>
        </w:tblCellMar>
        <w:tblLook w:val="04A0" w:firstRow="1" w:lastRow="0" w:firstColumn="1" w:lastColumn="0" w:noHBand="0" w:noVBand="1"/>
      </w:tblPr>
      <w:tblGrid>
        <w:gridCol w:w="7778"/>
        <w:gridCol w:w="1266"/>
      </w:tblGrid>
      <w:tr w:rsidR="007A0C15" w:rsidRPr="007A0C15" w:rsidTr="003430BE">
        <w:trPr>
          <w:trHeight w:val="20"/>
        </w:trPr>
        <w:tc>
          <w:tcPr>
            <w:tcW w:w="4300" w:type="pct"/>
            <w:tcBorders>
              <w:top w:val="single" w:sz="4" w:space="0" w:color="auto"/>
              <w:left w:val="single" w:sz="4" w:space="0" w:color="auto"/>
              <w:bottom w:val="single" w:sz="8" w:space="0" w:color="auto"/>
              <w:right w:val="single" w:sz="4" w:space="0" w:color="auto"/>
            </w:tcBorders>
            <w:shd w:val="clear" w:color="auto" w:fill="auto"/>
            <w:noWrap/>
            <w:vAlign w:val="bottom"/>
            <w:hideMark/>
          </w:tcPr>
          <w:p w:rsidR="007A0C15" w:rsidRPr="007A0C15" w:rsidRDefault="007A0C15" w:rsidP="007A0C15">
            <w:pPr>
              <w:suppressAutoHyphens w:val="0"/>
              <w:jc w:val="center"/>
              <w:rPr>
                <w:b/>
              </w:rPr>
            </w:pPr>
            <w:r w:rsidRPr="007A0C15">
              <w:rPr>
                <w:b/>
              </w:rPr>
              <w:t>Hipóteses</w:t>
            </w:r>
          </w:p>
        </w:tc>
        <w:tc>
          <w:tcPr>
            <w:tcW w:w="700" w:type="pct"/>
            <w:tcBorders>
              <w:top w:val="single" w:sz="4" w:space="0" w:color="auto"/>
              <w:left w:val="single" w:sz="4" w:space="0" w:color="auto"/>
              <w:bottom w:val="single" w:sz="8" w:space="0" w:color="auto"/>
              <w:right w:val="single" w:sz="4" w:space="0" w:color="auto"/>
            </w:tcBorders>
            <w:shd w:val="clear" w:color="auto" w:fill="auto"/>
            <w:noWrap/>
            <w:vAlign w:val="bottom"/>
            <w:hideMark/>
          </w:tcPr>
          <w:p w:rsidR="007A0C15" w:rsidRPr="007A0C15" w:rsidRDefault="007A0C15" w:rsidP="007A0C15">
            <w:pPr>
              <w:suppressAutoHyphens w:val="0"/>
              <w:rPr>
                <w:b/>
              </w:rPr>
            </w:pPr>
            <w:r w:rsidRPr="007A0C15">
              <w:rPr>
                <w:b/>
              </w:rPr>
              <w:t> Resultados</w:t>
            </w:r>
          </w:p>
        </w:tc>
      </w:tr>
      <w:tr w:rsidR="007A0C15" w:rsidRPr="007A0C15" w:rsidTr="003430BE">
        <w:trPr>
          <w:trHeight w:val="20"/>
        </w:trPr>
        <w:tc>
          <w:tcPr>
            <w:tcW w:w="4300" w:type="pc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7A0C15" w:rsidRPr="007A0C15" w:rsidRDefault="007A0C15" w:rsidP="007A0C15">
            <w:pPr>
              <w:suppressAutoHyphens w:val="0"/>
              <w:jc w:val="both"/>
              <w:rPr>
                <w:b/>
                <w:bCs/>
              </w:rPr>
            </w:pPr>
            <w:r w:rsidRPr="007A0C15">
              <w:rPr>
                <w:b/>
                <w:bCs/>
              </w:rPr>
              <w:t>H</w:t>
            </w:r>
            <w:r w:rsidRPr="003A6805">
              <w:rPr>
                <w:b/>
                <w:bCs/>
                <w:vertAlign w:val="subscript"/>
              </w:rPr>
              <w:t>1</w:t>
            </w:r>
            <w:r w:rsidRPr="007A0C15">
              <w:rPr>
                <w:b/>
                <w:bCs/>
              </w:rPr>
              <w:t xml:space="preserve"> – </w:t>
            </w:r>
            <w:r w:rsidRPr="007A0C15">
              <w:rPr>
                <w:bCs/>
              </w:rPr>
              <w:t>Há uma</w:t>
            </w:r>
            <w:r w:rsidRPr="007A0C15">
              <w:rPr>
                <w:b/>
                <w:bCs/>
              </w:rPr>
              <w:t xml:space="preserve"> </w:t>
            </w:r>
            <w:r w:rsidRPr="007A0C15">
              <w:rPr>
                <w:bCs/>
              </w:rPr>
              <w:t>associação</w:t>
            </w:r>
            <w:r w:rsidRPr="007A0C15">
              <w:rPr>
                <w:b/>
                <w:bCs/>
              </w:rPr>
              <w:t xml:space="preserve"> </w:t>
            </w:r>
            <w:r w:rsidRPr="007A0C15">
              <w:rPr>
                <w:bCs/>
              </w:rPr>
              <w:t xml:space="preserve">positiva entre o ambiente, caracterizado pela incerteza ambiental percebida pelo gestor da instituição financeira e os processos de Gestão de Riscos. </w:t>
            </w:r>
          </w:p>
        </w:tc>
        <w:tc>
          <w:tcPr>
            <w:tcW w:w="700" w:type="pct"/>
            <w:tcBorders>
              <w:top w:val="single" w:sz="8" w:space="0" w:color="auto"/>
              <w:left w:val="nil"/>
              <w:bottom w:val="single" w:sz="4" w:space="0" w:color="auto"/>
              <w:right w:val="single" w:sz="4" w:space="0" w:color="auto"/>
            </w:tcBorders>
            <w:shd w:val="clear" w:color="auto" w:fill="auto"/>
            <w:noWrap/>
            <w:vAlign w:val="center"/>
            <w:hideMark/>
          </w:tcPr>
          <w:p w:rsidR="007A0C15" w:rsidRPr="007A0C15" w:rsidRDefault="007A0C15" w:rsidP="007A0C15">
            <w:pPr>
              <w:suppressAutoHyphens w:val="0"/>
              <w:jc w:val="center"/>
            </w:pPr>
            <w:r w:rsidRPr="007A0C15">
              <w:t xml:space="preserve">Não rejeita </w:t>
            </w:r>
          </w:p>
        </w:tc>
      </w:tr>
      <w:tr w:rsidR="007A0C15" w:rsidRPr="007A0C15" w:rsidTr="003430BE">
        <w:trPr>
          <w:trHeight w:val="20"/>
        </w:trPr>
        <w:tc>
          <w:tcPr>
            <w:tcW w:w="4300" w:type="pct"/>
            <w:tcBorders>
              <w:top w:val="nil"/>
              <w:left w:val="single" w:sz="4" w:space="0" w:color="auto"/>
              <w:bottom w:val="single" w:sz="4" w:space="0" w:color="auto"/>
              <w:right w:val="single" w:sz="4" w:space="0" w:color="auto"/>
            </w:tcBorders>
            <w:shd w:val="clear" w:color="auto" w:fill="auto"/>
            <w:noWrap/>
            <w:vAlign w:val="center"/>
            <w:hideMark/>
          </w:tcPr>
          <w:p w:rsidR="007A0C15" w:rsidRPr="007A0C15" w:rsidRDefault="007A0C15" w:rsidP="007A0C15">
            <w:pPr>
              <w:suppressAutoHyphens w:val="0"/>
              <w:jc w:val="both"/>
              <w:rPr>
                <w:b/>
                <w:bCs/>
              </w:rPr>
            </w:pPr>
            <w:r w:rsidRPr="007A0C15">
              <w:rPr>
                <w:b/>
                <w:bCs/>
              </w:rPr>
              <w:t>H</w:t>
            </w:r>
            <w:r w:rsidRPr="003A6805">
              <w:rPr>
                <w:b/>
                <w:bCs/>
                <w:vertAlign w:val="subscript"/>
              </w:rPr>
              <w:t>2</w:t>
            </w:r>
            <w:r w:rsidRPr="007A0C15">
              <w:rPr>
                <w:b/>
                <w:bCs/>
              </w:rPr>
              <w:t xml:space="preserve"> – </w:t>
            </w:r>
            <w:r w:rsidRPr="007A0C15">
              <w:rPr>
                <w:bCs/>
              </w:rPr>
              <w:t xml:space="preserve">Há uma associação positiva entre o tipo de estratégia adotada pela organização, tipificada de acordo com os Ciclos Adaptativos de Miles e </w:t>
            </w:r>
            <w:proofErr w:type="spellStart"/>
            <w:r w:rsidRPr="007A0C15">
              <w:rPr>
                <w:bCs/>
              </w:rPr>
              <w:t>Snow</w:t>
            </w:r>
            <w:proofErr w:type="spellEnd"/>
            <w:r w:rsidRPr="007A0C15">
              <w:rPr>
                <w:bCs/>
              </w:rPr>
              <w:t xml:space="preserve"> (1978) e os processos de Gestão de Riscos em instituições financeiras</w:t>
            </w:r>
            <w:r w:rsidRPr="007A0C15">
              <w:t>.</w:t>
            </w:r>
          </w:p>
        </w:tc>
        <w:tc>
          <w:tcPr>
            <w:tcW w:w="700" w:type="pct"/>
            <w:tcBorders>
              <w:top w:val="nil"/>
              <w:left w:val="nil"/>
              <w:bottom w:val="single" w:sz="4" w:space="0" w:color="auto"/>
              <w:right w:val="single" w:sz="4" w:space="0" w:color="auto"/>
            </w:tcBorders>
            <w:shd w:val="clear" w:color="auto" w:fill="auto"/>
            <w:noWrap/>
            <w:vAlign w:val="center"/>
            <w:hideMark/>
          </w:tcPr>
          <w:p w:rsidR="007A0C15" w:rsidRPr="007A0C15" w:rsidRDefault="007A0C15" w:rsidP="007A0C15">
            <w:pPr>
              <w:suppressAutoHyphens w:val="0"/>
              <w:jc w:val="center"/>
            </w:pPr>
            <w:r w:rsidRPr="007A0C15">
              <w:t xml:space="preserve">Não rejeita </w:t>
            </w:r>
          </w:p>
        </w:tc>
      </w:tr>
      <w:tr w:rsidR="007A0C15" w:rsidRPr="007A0C15" w:rsidTr="003430BE">
        <w:trPr>
          <w:trHeight w:val="20"/>
        </w:trPr>
        <w:tc>
          <w:tcPr>
            <w:tcW w:w="4300" w:type="pct"/>
            <w:tcBorders>
              <w:top w:val="nil"/>
              <w:left w:val="single" w:sz="4" w:space="0" w:color="auto"/>
              <w:bottom w:val="single" w:sz="4" w:space="0" w:color="auto"/>
              <w:right w:val="single" w:sz="4" w:space="0" w:color="auto"/>
            </w:tcBorders>
            <w:shd w:val="clear" w:color="auto" w:fill="auto"/>
            <w:noWrap/>
            <w:vAlign w:val="center"/>
            <w:hideMark/>
          </w:tcPr>
          <w:p w:rsidR="007A0C15" w:rsidRPr="007A0C15" w:rsidRDefault="007A0C15" w:rsidP="007A0C15">
            <w:pPr>
              <w:suppressAutoHyphens w:val="0"/>
              <w:jc w:val="both"/>
              <w:rPr>
                <w:b/>
                <w:bCs/>
              </w:rPr>
            </w:pPr>
            <w:r w:rsidRPr="007A0C15">
              <w:rPr>
                <w:b/>
                <w:bCs/>
              </w:rPr>
              <w:t>H</w:t>
            </w:r>
            <w:r w:rsidRPr="003A6805">
              <w:rPr>
                <w:b/>
                <w:bCs/>
                <w:vertAlign w:val="subscript"/>
              </w:rPr>
              <w:t>3</w:t>
            </w:r>
            <w:r w:rsidRPr="007A0C15">
              <w:rPr>
                <w:b/>
                <w:bCs/>
              </w:rPr>
              <w:t xml:space="preserve"> – </w:t>
            </w:r>
            <w:r w:rsidRPr="007A0C15">
              <w:rPr>
                <w:bCs/>
              </w:rPr>
              <w:t>Há uma associação positiva entre o nível de sofisticação da tecnologia e os processos de Gestão de Riscos em instituições financeiras.</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rsidR="007A0C15" w:rsidRPr="007A0C15" w:rsidRDefault="007A0C15" w:rsidP="007A0C15">
            <w:pPr>
              <w:suppressAutoHyphens w:val="0"/>
              <w:jc w:val="center"/>
            </w:pPr>
            <w:r w:rsidRPr="007A0C15">
              <w:t xml:space="preserve">Não rejeita </w:t>
            </w:r>
          </w:p>
        </w:tc>
      </w:tr>
    </w:tbl>
    <w:p w:rsidR="007A0C15" w:rsidRPr="007A0C15" w:rsidRDefault="007A0C15" w:rsidP="007A0C15">
      <w:pPr>
        <w:suppressAutoHyphens w:val="0"/>
        <w:jc w:val="both"/>
        <w:rPr>
          <w:rFonts w:eastAsia="Calibri"/>
          <w:lang w:eastAsia="en-US"/>
        </w:rPr>
      </w:pPr>
      <w:r w:rsidRPr="007A0C15">
        <w:rPr>
          <w:rFonts w:eastAsia="Calibri"/>
          <w:lang w:eastAsia="en-US"/>
        </w:rPr>
        <w:t>Fonte: Dados da pesquisa.</w:t>
      </w:r>
    </w:p>
    <w:p w:rsidR="007A0C15" w:rsidRPr="007A0C15" w:rsidRDefault="007A0C15" w:rsidP="00785FC5">
      <w:pPr>
        <w:suppressAutoHyphens w:val="0"/>
        <w:jc w:val="both"/>
        <w:rPr>
          <w:sz w:val="24"/>
          <w:szCs w:val="22"/>
        </w:rPr>
      </w:pPr>
      <w:bookmarkStart w:id="6" w:name="_Toc468389100"/>
    </w:p>
    <w:bookmarkEnd w:id="6"/>
    <w:p w:rsidR="007A0C15" w:rsidRPr="007A0C15" w:rsidRDefault="007A0C15" w:rsidP="007A0C15">
      <w:pPr>
        <w:suppressAutoHyphens w:val="0"/>
        <w:jc w:val="both"/>
        <w:rPr>
          <w:b/>
          <w:sz w:val="24"/>
          <w:szCs w:val="22"/>
        </w:rPr>
      </w:pPr>
      <w:r w:rsidRPr="007A0C15">
        <w:rPr>
          <w:b/>
          <w:sz w:val="24"/>
          <w:szCs w:val="22"/>
        </w:rPr>
        <w:t>5 Conclusões</w:t>
      </w:r>
    </w:p>
    <w:p w:rsidR="007A0C15" w:rsidRPr="007A0C15" w:rsidRDefault="007A0C15" w:rsidP="007A0C15">
      <w:pPr>
        <w:suppressAutoHyphens w:val="0"/>
        <w:ind w:firstLine="709"/>
        <w:jc w:val="both"/>
        <w:rPr>
          <w:rFonts w:eastAsia="Calibri"/>
          <w:sz w:val="24"/>
          <w:szCs w:val="19"/>
          <w:lang w:eastAsia="en-US"/>
        </w:rPr>
      </w:pPr>
      <w:r w:rsidRPr="007A0C15">
        <w:rPr>
          <w:rFonts w:eastAsia="Calibri"/>
          <w:sz w:val="24"/>
          <w:szCs w:val="19"/>
          <w:lang w:eastAsia="en-US"/>
        </w:rPr>
        <w:t xml:space="preserve">Por intermédio dos resultados obtidos com a aplicação do questionário, foi possível verificar que os gestores, com algumas exceções, percebem as subcategorias da dimensão Ambiente como passíveis de produzirem incerteza, podendo gerar riscos. Entre os fatores ambientais analisados, considera-se que os mais representativos em função das medianas são os produtos e serviços oferecidos, as incertezas decorrentes das tecnologias utilizadas nas prestações de serviços nas instituições financeiras, a competitividade do setor em relação ao preço dos serviços e produtos prestados e as ações dos concorrentes que </w:t>
      </w:r>
      <w:proofErr w:type="gramStart"/>
      <w:r w:rsidRPr="007A0C15">
        <w:rPr>
          <w:rFonts w:eastAsia="Calibri"/>
          <w:sz w:val="24"/>
          <w:szCs w:val="19"/>
          <w:lang w:eastAsia="en-US"/>
        </w:rPr>
        <w:t>tornou-se</w:t>
      </w:r>
      <w:proofErr w:type="gramEnd"/>
      <w:r w:rsidRPr="007A0C15">
        <w:rPr>
          <w:rFonts w:eastAsia="Calibri"/>
          <w:sz w:val="24"/>
          <w:szCs w:val="19"/>
          <w:lang w:eastAsia="en-US"/>
        </w:rPr>
        <w:t xml:space="preserve"> menos previsível nos últimos cinco anos.</w:t>
      </w:r>
    </w:p>
    <w:p w:rsidR="007A0C15" w:rsidRPr="007A0C15" w:rsidRDefault="007A0C15" w:rsidP="007A0C15">
      <w:pPr>
        <w:tabs>
          <w:tab w:val="left" w:pos="6032"/>
        </w:tabs>
        <w:suppressAutoHyphens w:val="0"/>
        <w:ind w:firstLine="709"/>
        <w:jc w:val="both"/>
        <w:rPr>
          <w:rFonts w:eastAsia="Calibri"/>
          <w:sz w:val="24"/>
          <w:szCs w:val="19"/>
          <w:lang w:eastAsia="en-US"/>
        </w:rPr>
      </w:pPr>
      <w:r w:rsidRPr="007A0C15">
        <w:rPr>
          <w:rFonts w:eastAsia="Calibri"/>
          <w:sz w:val="24"/>
          <w:szCs w:val="19"/>
          <w:lang w:eastAsia="en-US"/>
        </w:rPr>
        <w:t>Com relação à variável estratégia, verific</w:t>
      </w:r>
      <w:r w:rsidR="00785FC5">
        <w:rPr>
          <w:rFonts w:eastAsia="Calibri"/>
          <w:sz w:val="24"/>
          <w:szCs w:val="19"/>
          <w:lang w:eastAsia="en-US"/>
        </w:rPr>
        <w:t>ou-se</w:t>
      </w:r>
      <w:r w:rsidRPr="007A0C15">
        <w:rPr>
          <w:rFonts w:eastAsia="Calibri"/>
          <w:sz w:val="24"/>
          <w:szCs w:val="19"/>
          <w:lang w:eastAsia="en-US"/>
        </w:rPr>
        <w:t xml:space="preserve"> que os gestores, com algumas exceções, percebem todas as subcategorias da dimensão Estratégia como passíveis de produzirem incerteza, podendo gerar riscos. Entre os fatores de Estratégia analisados, considera-se que os mais representativos em função das medianas  são: na subcategoria de Empreendedorismo, a reação das instituições financeiras frente às oportunidades ou ameaças do mercado para manter ou melhorar sua posição; na subcategoria de Engenharia, a característica dos funcionários administrativos  possuírem habilidades diversas, flexíveis e que permitem criar alterações; e na subcategoria de Administração, pelas mesmas instituições financeiras citadas em identificar as tendências do setor frente às suas concorrentes ao mesmo tempo que solucionam problemas relacionados com as oferta de serviços e a necessidade dos clientes.</w:t>
      </w:r>
    </w:p>
    <w:p w:rsidR="007A0C15" w:rsidRPr="007A0C15" w:rsidRDefault="007A0C15" w:rsidP="007A0C15">
      <w:pPr>
        <w:tabs>
          <w:tab w:val="left" w:pos="6032"/>
        </w:tabs>
        <w:suppressAutoHyphens w:val="0"/>
        <w:ind w:firstLine="709"/>
        <w:jc w:val="both"/>
        <w:rPr>
          <w:rFonts w:eastAsia="Calibri"/>
          <w:sz w:val="24"/>
          <w:szCs w:val="24"/>
          <w:lang w:eastAsia="en-US"/>
        </w:rPr>
      </w:pPr>
      <w:r w:rsidRPr="007A0C15">
        <w:rPr>
          <w:rFonts w:eastAsia="Calibri"/>
          <w:sz w:val="24"/>
          <w:szCs w:val="24"/>
          <w:lang w:eastAsia="en-US"/>
        </w:rPr>
        <w:t xml:space="preserve">Infere-se também que a adoção de controles e processos de gestão de risco é um instrumento utilizado pelos gestores das instituições financeiras para reduzir a incerteza ambiental, principalmente no quesito dos tipos de riscos que as instituições financeiras estão expostas. </w:t>
      </w:r>
      <w:r w:rsidR="003F12A9">
        <w:rPr>
          <w:rFonts w:eastAsia="Calibri"/>
          <w:sz w:val="24"/>
          <w:szCs w:val="24"/>
          <w:lang w:eastAsia="en-US"/>
        </w:rPr>
        <w:t>Além disso,</w:t>
      </w:r>
      <w:r w:rsidRPr="007A0C15">
        <w:rPr>
          <w:rFonts w:eastAsia="Calibri"/>
          <w:sz w:val="24"/>
          <w:szCs w:val="24"/>
          <w:lang w:eastAsia="en-US"/>
        </w:rPr>
        <w:t xml:space="preserve"> a variável tecnologia serviu como justificativa para as práticas de gestão de risco nas instituições financeiras. </w:t>
      </w:r>
      <w:r w:rsidR="003F12A9">
        <w:rPr>
          <w:rFonts w:eastAsia="Calibri"/>
          <w:sz w:val="24"/>
          <w:szCs w:val="24"/>
          <w:lang w:eastAsia="en-US"/>
        </w:rPr>
        <w:t>Assim</w:t>
      </w:r>
      <w:r w:rsidRPr="007A0C15">
        <w:rPr>
          <w:rFonts w:eastAsia="Calibri"/>
          <w:sz w:val="24"/>
          <w:szCs w:val="24"/>
          <w:lang w:eastAsia="en-US"/>
        </w:rPr>
        <w:t xml:space="preserve">, infere-se que nas instituições financeiras os gerentes entendem que a tecnologia da informação pode ser importante para os processos e </w:t>
      </w:r>
      <w:r w:rsidRPr="007A0C15">
        <w:rPr>
          <w:rFonts w:eastAsia="Calibri"/>
          <w:sz w:val="24"/>
          <w:szCs w:val="24"/>
          <w:lang w:eastAsia="en-US"/>
        </w:rPr>
        <w:lastRenderedPageBreak/>
        <w:t xml:space="preserve">controles de gestão de risco, de forma positiva principalmente na identificação, avaliação e resposta aos riscos. </w:t>
      </w:r>
    </w:p>
    <w:p w:rsidR="007A0C15" w:rsidRPr="007A0C15" w:rsidRDefault="007A0C15" w:rsidP="007A0C15">
      <w:pPr>
        <w:suppressAutoHyphens w:val="0"/>
        <w:ind w:firstLine="709"/>
        <w:jc w:val="both"/>
        <w:rPr>
          <w:sz w:val="24"/>
          <w:szCs w:val="24"/>
        </w:rPr>
      </w:pPr>
      <w:r w:rsidRPr="007A0C15">
        <w:rPr>
          <w:sz w:val="24"/>
          <w:szCs w:val="24"/>
        </w:rPr>
        <w:t xml:space="preserve">Em relação à identificação de riscos, os resultados revelam que os riscos com maior probabilidade de ocorrência na maioria das instituições financeiras analisadas é o risco de crédito, risco operacional e risco estratégico.  Quanto aos processos de identificação de riscos, os resultados evidenciam que a maior parte das instituições investigadas procuram examinar </w:t>
      </w:r>
      <w:proofErr w:type="gramStart"/>
      <w:r w:rsidRPr="007A0C15">
        <w:rPr>
          <w:sz w:val="24"/>
          <w:szCs w:val="24"/>
        </w:rPr>
        <w:t>tanto</w:t>
      </w:r>
      <w:r w:rsidR="0035384E">
        <w:rPr>
          <w:sz w:val="24"/>
          <w:szCs w:val="24"/>
        </w:rPr>
        <w:t xml:space="preserve"> </w:t>
      </w:r>
      <w:r w:rsidRPr="007A0C15">
        <w:rPr>
          <w:sz w:val="24"/>
          <w:szCs w:val="24"/>
        </w:rPr>
        <w:t>eventos passados</w:t>
      </w:r>
      <w:proofErr w:type="gramEnd"/>
      <w:r>
        <w:rPr>
          <w:sz w:val="24"/>
          <w:szCs w:val="24"/>
        </w:rPr>
        <w:t>,</w:t>
      </w:r>
      <w:r w:rsidRPr="007A0C15">
        <w:rPr>
          <w:sz w:val="24"/>
          <w:szCs w:val="24"/>
        </w:rPr>
        <w:t xml:space="preserve"> quanto potenciais eventos futuros e entender o modo pelo qual os eventos que ocasionam riscos se inter-relacionam, para identificação de riscos em suas instituições. Já em relação aos métodos de identificação de riscos a maioria das organizações financeiras analisadas utilizam em maior proporção o levantamento de riscos, a inspeção pelo gerente de risco da instituição e a comunicação interna, como entrevistas com os funcionários. </w:t>
      </w:r>
    </w:p>
    <w:p w:rsidR="007A0C15" w:rsidRPr="007A0C15" w:rsidRDefault="007A0C15" w:rsidP="007A0C15">
      <w:pPr>
        <w:suppressAutoHyphens w:val="0"/>
        <w:ind w:firstLine="709"/>
        <w:jc w:val="both"/>
        <w:rPr>
          <w:sz w:val="24"/>
          <w:szCs w:val="24"/>
        </w:rPr>
      </w:pPr>
      <w:r w:rsidRPr="007A0C15">
        <w:rPr>
          <w:sz w:val="24"/>
          <w:szCs w:val="24"/>
        </w:rPr>
        <w:t xml:space="preserve">No tocante à avaliação dos riscos, os resultados evidenciaram que os processos mais utilizados </w:t>
      </w:r>
      <w:proofErr w:type="gramStart"/>
      <w:r w:rsidRPr="007A0C15">
        <w:rPr>
          <w:sz w:val="24"/>
          <w:szCs w:val="24"/>
        </w:rPr>
        <w:t>referem-se</w:t>
      </w:r>
      <w:proofErr w:type="gramEnd"/>
      <w:r w:rsidRPr="007A0C15">
        <w:rPr>
          <w:sz w:val="24"/>
          <w:szCs w:val="24"/>
        </w:rPr>
        <w:t xml:space="preserve"> primeiramente à instituição avaliar a probabilidade e o impacto de ocorrência de riscos e na sequência, os riscos são avaliados por meio de métodos qualitativos.  Com relação aos métodos de avaliação de riscos, observa-se o fluxo de caixa em risco e o valor em risco como os métodos mais utilizados pelas instituições financeiras analisadas. </w:t>
      </w:r>
    </w:p>
    <w:p w:rsidR="007A0C15" w:rsidRPr="007A0C15" w:rsidRDefault="007A0C15" w:rsidP="007A0C15">
      <w:pPr>
        <w:suppressAutoHyphens w:val="0"/>
        <w:ind w:firstLine="709"/>
        <w:jc w:val="both"/>
        <w:rPr>
          <w:sz w:val="24"/>
          <w:szCs w:val="24"/>
        </w:rPr>
      </w:pPr>
      <w:r w:rsidRPr="007A0C15">
        <w:rPr>
          <w:sz w:val="24"/>
          <w:szCs w:val="22"/>
        </w:rPr>
        <w:t xml:space="preserve">Quanto à resposta aos riscos, os resultados evidenciaram que </w:t>
      </w:r>
      <w:r w:rsidRPr="007A0C15">
        <w:rPr>
          <w:sz w:val="24"/>
          <w:szCs w:val="24"/>
        </w:rPr>
        <w:t xml:space="preserve">a maioria das instituições financeiras analisadas adotam como resposta aos riscos medidas para reduzir a probabilidade ou o impacto dos riscos ou até mesmo ambos, e procuram reduzir a probabilidade ou o impacto dos riscos pela transferência ou pelo compartilhamento de uma porção do risco. Tais evidências sugerem   que as organizações pesquisadas buscam meios para reduzir a ocorrência de riscos ou seus impactos nas atividades da instituição e buscam meios para compartilhar esses riscos. Os métodos de resposta aos riscos mais utilizados pelas instituições financeiras pesquisadas, referem-se aos investimentos em tecnologia, e realização de transações de </w:t>
      </w:r>
      <w:proofErr w:type="spellStart"/>
      <w:r w:rsidRPr="007A0C15">
        <w:rPr>
          <w:i/>
          <w:sz w:val="24"/>
          <w:szCs w:val="24"/>
        </w:rPr>
        <w:t>headging</w:t>
      </w:r>
      <w:proofErr w:type="spellEnd"/>
      <w:r w:rsidRPr="007A0C15">
        <w:rPr>
          <w:sz w:val="24"/>
          <w:szCs w:val="24"/>
        </w:rPr>
        <w:t>, ambos os métodos visam reduzir riscos.</w:t>
      </w:r>
    </w:p>
    <w:p w:rsidR="007A0C15" w:rsidRPr="007A0C15" w:rsidRDefault="007A0C15" w:rsidP="007A0C15">
      <w:pPr>
        <w:suppressAutoHyphens w:val="0"/>
        <w:ind w:firstLine="709"/>
        <w:jc w:val="both"/>
        <w:rPr>
          <w:sz w:val="24"/>
          <w:szCs w:val="24"/>
        </w:rPr>
      </w:pPr>
      <w:r w:rsidRPr="007A0C15">
        <w:rPr>
          <w:sz w:val="24"/>
          <w:szCs w:val="22"/>
        </w:rPr>
        <w:t xml:space="preserve">No que se refere à comunicação dos riscos, os resultados indicaram que de modo geral, todos os processos de gestão de riscos sugeridos são utilizados pelas instituições pesquisadas, destacando-se que os funcionários são instruídos sobre seus deveres e obrigações na instituição, e a comunicação dos riscos e políticas de risco fluem em todos os níveis e setores da organização. Os </w:t>
      </w:r>
      <w:r w:rsidRPr="007A0C15">
        <w:rPr>
          <w:sz w:val="24"/>
          <w:szCs w:val="24"/>
        </w:rPr>
        <w:t xml:space="preserve">métodos de comunicação de risco evidenciados são reuniões, mensagens de correio eletrônico e manuais de políticas. </w:t>
      </w:r>
    </w:p>
    <w:p w:rsidR="007A0C15" w:rsidRPr="007A0C15" w:rsidRDefault="007A0C15" w:rsidP="00B978B9">
      <w:pPr>
        <w:suppressAutoHyphens w:val="0"/>
        <w:ind w:firstLine="709"/>
        <w:jc w:val="both"/>
        <w:rPr>
          <w:sz w:val="24"/>
          <w:szCs w:val="24"/>
        </w:rPr>
      </w:pPr>
      <w:r w:rsidRPr="007A0C15">
        <w:rPr>
          <w:sz w:val="24"/>
          <w:szCs w:val="24"/>
        </w:rPr>
        <w:t xml:space="preserve">Em suma, conclui-se que o ambiente tem uma associação positiva com as práticas de GRC das instituições financeiras. </w:t>
      </w:r>
      <w:r w:rsidR="00785FC5">
        <w:rPr>
          <w:sz w:val="24"/>
          <w:szCs w:val="24"/>
        </w:rPr>
        <w:t>O</w:t>
      </w:r>
      <w:r w:rsidRPr="007A0C15">
        <w:rPr>
          <w:sz w:val="24"/>
          <w:szCs w:val="24"/>
        </w:rPr>
        <w:t xml:space="preserve">bserva-se também que há uma associação positiva entre o tipo de estratégia adotada pela organização, tipificada de acordo com os Ciclos Adaptativos de Miles e </w:t>
      </w:r>
      <w:proofErr w:type="spellStart"/>
      <w:r w:rsidRPr="007A0C15">
        <w:rPr>
          <w:sz w:val="24"/>
          <w:szCs w:val="24"/>
        </w:rPr>
        <w:t>Snow</w:t>
      </w:r>
      <w:proofErr w:type="spellEnd"/>
      <w:r w:rsidRPr="007A0C15">
        <w:rPr>
          <w:sz w:val="24"/>
          <w:szCs w:val="24"/>
        </w:rPr>
        <w:t xml:space="preserve"> (1978) e os processos de gestão de risco em instituições financeiras. Por fim, observou-se uma associação positiva entre o nível de sofisticação da tecnologia e os processos de gestão de risco nas instituições financeiras. Os resultados deste estudo evidenciaram haver uma relação entre variáveis contingenciais e os processos de gestão de risco nas instituições financeiras analisadas, contribuindo para o entendimento da Teoria Contingencial. </w:t>
      </w:r>
    </w:p>
    <w:p w:rsidR="003F12A9" w:rsidRDefault="007A0C15" w:rsidP="003F12A9">
      <w:pPr>
        <w:tabs>
          <w:tab w:val="left" w:pos="6032"/>
        </w:tabs>
        <w:suppressAutoHyphens w:val="0"/>
        <w:ind w:firstLine="709"/>
        <w:jc w:val="both"/>
        <w:rPr>
          <w:sz w:val="24"/>
          <w:szCs w:val="24"/>
        </w:rPr>
      </w:pPr>
      <w:r w:rsidRPr="007A0C15">
        <w:rPr>
          <w:rFonts w:eastAsia="Calibri"/>
          <w:sz w:val="24"/>
          <w:szCs w:val="24"/>
          <w:lang w:eastAsia="en-US"/>
        </w:rPr>
        <w:t>N</w:t>
      </w:r>
      <w:r w:rsidRPr="007A0C15">
        <w:rPr>
          <w:sz w:val="24"/>
          <w:szCs w:val="22"/>
        </w:rPr>
        <w:t>o tocante à percepção dos gestores quanto a cada uma das quatro variáveis contingenciais   investigadas, conclui-se que as instituições financeiras possuem uma estratégia analisadora, e, em decorrência da estratégia, ficou evidenciado que esta variável é a que melhor justifica as práticas de gestão de risco das instituições analisadas em função dos testes realizados. A variável ambiente e a tecnologia se mostraram relevantes de forma positiva para explicar as práticas de gestão de risco para as instituições financeiras observadas.</w:t>
      </w:r>
      <w:r w:rsidR="003F12A9">
        <w:rPr>
          <w:sz w:val="24"/>
          <w:szCs w:val="22"/>
        </w:rPr>
        <w:t xml:space="preserve"> </w:t>
      </w:r>
      <w:r w:rsidRPr="007A0C15">
        <w:rPr>
          <w:sz w:val="24"/>
          <w:szCs w:val="24"/>
        </w:rPr>
        <w:lastRenderedPageBreak/>
        <w:t xml:space="preserve">Adicionalmente, pode-se inferir que é a estratégia que melhor define os tipos de riscos à que as instituições financeiras estão expostas, pois de acordo com a estratégia adotada, e em decorrência desta, as instituições financeiras são vulneráveis à um conjunto específico de riscos. </w:t>
      </w:r>
    </w:p>
    <w:p w:rsidR="007A0C15" w:rsidRPr="007A0C15" w:rsidRDefault="007A0C15" w:rsidP="00B978B9">
      <w:pPr>
        <w:suppressAutoHyphens w:val="0"/>
        <w:ind w:firstLine="709"/>
        <w:jc w:val="both"/>
        <w:rPr>
          <w:sz w:val="24"/>
          <w:szCs w:val="26"/>
          <w:highlight w:val="cyan"/>
        </w:rPr>
      </w:pPr>
      <w:r w:rsidRPr="007A0C15">
        <w:rPr>
          <w:sz w:val="24"/>
          <w:szCs w:val="24"/>
        </w:rPr>
        <w:t>No entanto, todas as conclusões aqui estabelecidas sofrem as limitações.</w:t>
      </w:r>
      <w:bookmarkStart w:id="7" w:name="_Toc468389102"/>
      <w:r w:rsidR="00B978B9">
        <w:rPr>
          <w:sz w:val="24"/>
          <w:szCs w:val="24"/>
        </w:rPr>
        <w:t xml:space="preserve"> </w:t>
      </w:r>
      <w:r w:rsidR="0035384E" w:rsidRPr="0035384E">
        <w:rPr>
          <w:sz w:val="24"/>
          <w:szCs w:val="26"/>
        </w:rPr>
        <w:t xml:space="preserve">Uma </w:t>
      </w:r>
      <w:r w:rsidR="00B01636">
        <w:rPr>
          <w:sz w:val="24"/>
          <w:szCs w:val="26"/>
        </w:rPr>
        <w:t xml:space="preserve">destas </w:t>
      </w:r>
      <w:r w:rsidR="0035384E" w:rsidRPr="0035384E">
        <w:rPr>
          <w:sz w:val="24"/>
          <w:szCs w:val="26"/>
        </w:rPr>
        <w:t xml:space="preserve">está relacionada à amostra, </w:t>
      </w:r>
      <w:r w:rsidR="00A84944">
        <w:rPr>
          <w:sz w:val="24"/>
          <w:szCs w:val="26"/>
        </w:rPr>
        <w:t>pois</w:t>
      </w:r>
      <w:r w:rsidR="0035384E" w:rsidRPr="0035384E">
        <w:rPr>
          <w:sz w:val="24"/>
          <w:szCs w:val="26"/>
        </w:rPr>
        <w:t xml:space="preserve"> foram analisados os bancos múltiplos e bancos comerciais. A mesma possui amostragem aleatória, não podendo desta forma fazer a generalização dos resultados. Pode-se também considerar como limitação a análise apenas de um segmento específico, neste caso, as instituições financeiras, podendo abranger outros segmentos não estudados nesta dissertação. Quanto ao nível hierárquico do respondente, torna-se uma limitação também, pois os gerentes são operacionais e o instrumento de pesquisa não foi aplicado aos respondentes estratégicos do banco que seria a diretoria.</w:t>
      </w:r>
    </w:p>
    <w:bookmarkEnd w:id="7"/>
    <w:p w:rsidR="008F35CC" w:rsidRDefault="007A0C15" w:rsidP="00B978B9">
      <w:pPr>
        <w:suppressAutoHyphens w:val="0"/>
        <w:ind w:firstLine="709"/>
        <w:jc w:val="both"/>
        <w:rPr>
          <w:sz w:val="24"/>
          <w:szCs w:val="22"/>
        </w:rPr>
      </w:pPr>
      <w:r w:rsidRPr="007A0C15">
        <w:rPr>
          <w:sz w:val="24"/>
          <w:szCs w:val="22"/>
        </w:rPr>
        <w:t>Futuras pesquisas que comparem os resultados aqui obtidos são oportunas tanto em organizações financeiras quanto em outras configurações organizacionais. A relação da variável ambiente</w:t>
      </w:r>
      <w:r w:rsidR="00B978B9">
        <w:rPr>
          <w:sz w:val="24"/>
          <w:szCs w:val="22"/>
        </w:rPr>
        <w:t xml:space="preserve"> e a </w:t>
      </w:r>
      <w:r w:rsidR="00B978B9" w:rsidRPr="007A0C15">
        <w:rPr>
          <w:sz w:val="24"/>
          <w:szCs w:val="22"/>
        </w:rPr>
        <w:t>variabilidade da incerteza ambiental</w:t>
      </w:r>
      <w:r w:rsidRPr="007A0C15">
        <w:rPr>
          <w:sz w:val="24"/>
          <w:szCs w:val="22"/>
        </w:rPr>
        <w:t xml:space="preserve"> com as práticas de gestão de risco configura-se como campo promissor de pesquisas.</w:t>
      </w:r>
      <w:r w:rsidR="00B978B9">
        <w:rPr>
          <w:sz w:val="24"/>
          <w:szCs w:val="22"/>
        </w:rPr>
        <w:t xml:space="preserve"> </w:t>
      </w:r>
      <w:r w:rsidRPr="007A0C15">
        <w:rPr>
          <w:sz w:val="24"/>
          <w:szCs w:val="22"/>
        </w:rPr>
        <w:t xml:space="preserve">Ainda, futuros estudos podem ter como base as dimensões do ciclo adaptativo de Miles e </w:t>
      </w:r>
      <w:proofErr w:type="spellStart"/>
      <w:r w:rsidRPr="007A0C15">
        <w:rPr>
          <w:sz w:val="24"/>
          <w:szCs w:val="22"/>
        </w:rPr>
        <w:t>Snow</w:t>
      </w:r>
      <w:proofErr w:type="spellEnd"/>
      <w:r w:rsidRPr="007A0C15">
        <w:rPr>
          <w:sz w:val="24"/>
          <w:szCs w:val="22"/>
        </w:rPr>
        <w:t xml:space="preserve"> (1978), explorando o comportamento e ocorrência da variabilidade dessas dimensões em diferentes configurações organizacionais, inclusive observando seu impacto no desempenho organizacional.</w:t>
      </w:r>
      <w:r>
        <w:rPr>
          <w:sz w:val="24"/>
          <w:szCs w:val="22"/>
        </w:rPr>
        <w:t xml:space="preserve"> </w:t>
      </w:r>
    </w:p>
    <w:p w:rsidR="00B978B9" w:rsidRPr="008F35CC" w:rsidRDefault="00B978B9" w:rsidP="00B978B9">
      <w:pPr>
        <w:suppressAutoHyphens w:val="0"/>
        <w:ind w:firstLine="709"/>
        <w:jc w:val="both"/>
        <w:rPr>
          <w:b/>
          <w:sz w:val="24"/>
          <w:szCs w:val="22"/>
        </w:rPr>
      </w:pPr>
    </w:p>
    <w:p w:rsidR="008F35CC" w:rsidRDefault="008F35CC" w:rsidP="008F35CC">
      <w:pPr>
        <w:suppressAutoHyphens w:val="0"/>
        <w:jc w:val="both"/>
        <w:rPr>
          <w:b/>
          <w:sz w:val="24"/>
          <w:szCs w:val="22"/>
        </w:rPr>
      </w:pPr>
      <w:r w:rsidRPr="008F35CC">
        <w:rPr>
          <w:b/>
          <w:sz w:val="24"/>
          <w:szCs w:val="22"/>
        </w:rPr>
        <w:t>Referências</w:t>
      </w:r>
    </w:p>
    <w:p w:rsidR="00561A91" w:rsidRPr="00DE669F" w:rsidRDefault="00561A91" w:rsidP="00561A91">
      <w:pPr>
        <w:suppressAutoHyphens w:val="0"/>
        <w:jc w:val="both"/>
        <w:rPr>
          <w:lang w:val="en-US"/>
        </w:rPr>
      </w:pPr>
      <w:r w:rsidRPr="000D74BF">
        <w:t>Abdel-</w:t>
      </w:r>
      <w:proofErr w:type="spellStart"/>
      <w:r w:rsidRPr="000D74BF">
        <w:t>Kader</w:t>
      </w:r>
      <w:proofErr w:type="spellEnd"/>
      <w:r w:rsidRPr="000D74BF">
        <w:t xml:space="preserve">, M., &amp; Luther, R. (2008). </w:t>
      </w:r>
      <w:r w:rsidRPr="00561A91">
        <w:rPr>
          <w:lang w:val="en-US"/>
        </w:rPr>
        <w:t>The impact of firm characteristics on management accounting practices: A UK-based empirical analysis. </w:t>
      </w:r>
      <w:r w:rsidRPr="00561A91">
        <w:rPr>
          <w:i/>
          <w:iCs/>
          <w:lang w:val="en-US"/>
        </w:rPr>
        <w:t>The British Accounting Review</w:t>
      </w:r>
      <w:r w:rsidRPr="00561A91">
        <w:rPr>
          <w:lang w:val="en-US"/>
        </w:rPr>
        <w:t>, </w:t>
      </w:r>
      <w:r w:rsidRPr="00561A91">
        <w:rPr>
          <w:i/>
          <w:iCs/>
          <w:lang w:val="en-US"/>
        </w:rPr>
        <w:t>40</w:t>
      </w:r>
      <w:r w:rsidRPr="00561A91">
        <w:rPr>
          <w:lang w:val="en-US"/>
        </w:rPr>
        <w:t>(1), 2-27.</w:t>
      </w:r>
    </w:p>
    <w:p w:rsidR="00533CC9" w:rsidRPr="00DE669F" w:rsidRDefault="00533CC9" w:rsidP="0082426E">
      <w:pPr>
        <w:jc w:val="both"/>
        <w:rPr>
          <w:lang w:val="en-US"/>
        </w:rPr>
      </w:pPr>
      <w:r w:rsidRPr="00DE669F">
        <w:rPr>
          <w:shd w:val="clear" w:color="auto" w:fill="FFFFFF"/>
          <w:lang w:val="en-US"/>
        </w:rPr>
        <w:t xml:space="preserve">Abernethy, M. A., &amp; </w:t>
      </w:r>
      <w:proofErr w:type="spellStart"/>
      <w:r w:rsidRPr="00DE669F">
        <w:rPr>
          <w:shd w:val="clear" w:color="auto" w:fill="FFFFFF"/>
          <w:lang w:val="en-US"/>
        </w:rPr>
        <w:t>Stoelwinder</w:t>
      </w:r>
      <w:proofErr w:type="spellEnd"/>
      <w:r w:rsidRPr="00DE669F">
        <w:rPr>
          <w:shd w:val="clear" w:color="auto" w:fill="FFFFFF"/>
          <w:lang w:val="en-US"/>
        </w:rPr>
        <w:t>, J. U. (1991). Budget use, task uncertainty, system goal orientation and subunit performance: A test of the ‘</w:t>
      </w:r>
      <w:proofErr w:type="spellStart"/>
      <w:r w:rsidRPr="00DE669F">
        <w:rPr>
          <w:shd w:val="clear" w:color="auto" w:fill="FFFFFF"/>
          <w:lang w:val="en-US"/>
        </w:rPr>
        <w:t>fit’hypothesis</w:t>
      </w:r>
      <w:proofErr w:type="spellEnd"/>
      <w:r w:rsidRPr="00DE669F">
        <w:rPr>
          <w:shd w:val="clear" w:color="auto" w:fill="FFFFFF"/>
          <w:lang w:val="en-US"/>
        </w:rPr>
        <w:t xml:space="preserve"> in not-for-profit hospitals. </w:t>
      </w:r>
      <w:r w:rsidRPr="000D74BF">
        <w:rPr>
          <w:i/>
          <w:iCs/>
          <w:shd w:val="clear" w:color="auto" w:fill="FFFFFF"/>
          <w:lang w:val="en-US"/>
        </w:rPr>
        <w:t>Accounting, Organizations and Society</w:t>
      </w:r>
      <w:r w:rsidRPr="000D74BF">
        <w:rPr>
          <w:shd w:val="clear" w:color="auto" w:fill="FFFFFF"/>
          <w:lang w:val="en-US"/>
        </w:rPr>
        <w:t>, </w:t>
      </w:r>
      <w:r w:rsidRPr="000D74BF">
        <w:rPr>
          <w:i/>
          <w:iCs/>
          <w:shd w:val="clear" w:color="auto" w:fill="FFFFFF"/>
          <w:lang w:val="en-US"/>
        </w:rPr>
        <w:t>16</w:t>
      </w:r>
      <w:r w:rsidRPr="000D74BF">
        <w:rPr>
          <w:shd w:val="clear" w:color="auto" w:fill="FFFFFF"/>
          <w:lang w:val="en-US"/>
        </w:rPr>
        <w:t>(2), 105-120.</w:t>
      </w:r>
    </w:p>
    <w:p w:rsidR="00533CC9" w:rsidRPr="00DE669F" w:rsidRDefault="00533CC9" w:rsidP="0082426E">
      <w:pPr>
        <w:jc w:val="both"/>
        <w:rPr>
          <w:shd w:val="clear" w:color="auto" w:fill="FFFFFF"/>
          <w:lang w:val="en-US"/>
        </w:rPr>
      </w:pPr>
      <w:r w:rsidRPr="00DE669F">
        <w:rPr>
          <w:shd w:val="clear" w:color="auto" w:fill="FFFFFF"/>
          <w:lang w:val="en-US"/>
        </w:rPr>
        <w:t>Aldrich, H. E., &amp; Pfeffer, J. (1976). Environments of organizations. </w:t>
      </w:r>
      <w:r w:rsidRPr="00DE669F">
        <w:rPr>
          <w:i/>
          <w:iCs/>
          <w:shd w:val="clear" w:color="auto" w:fill="FFFFFF"/>
          <w:lang w:val="en-US"/>
        </w:rPr>
        <w:t>Annual review of sociology</w:t>
      </w:r>
      <w:r w:rsidRPr="00DE669F">
        <w:rPr>
          <w:shd w:val="clear" w:color="auto" w:fill="FFFFFF"/>
          <w:lang w:val="en-US"/>
        </w:rPr>
        <w:t>, </w:t>
      </w:r>
      <w:r w:rsidRPr="00DE669F">
        <w:rPr>
          <w:i/>
          <w:iCs/>
          <w:shd w:val="clear" w:color="auto" w:fill="FFFFFF"/>
          <w:lang w:val="en-US"/>
        </w:rPr>
        <w:t>2</w:t>
      </w:r>
      <w:r w:rsidRPr="00DE669F">
        <w:rPr>
          <w:shd w:val="clear" w:color="auto" w:fill="FFFFFF"/>
          <w:lang w:val="en-US"/>
        </w:rPr>
        <w:t>(1), 79-105.</w:t>
      </w:r>
    </w:p>
    <w:p w:rsidR="00533CC9" w:rsidRPr="00DE669F" w:rsidRDefault="00533CC9" w:rsidP="0082426E">
      <w:pPr>
        <w:jc w:val="both"/>
        <w:rPr>
          <w:shd w:val="clear" w:color="auto" w:fill="FFFFFF"/>
          <w:lang w:val="en-US"/>
        </w:rPr>
      </w:pPr>
      <w:r w:rsidRPr="00DE669F">
        <w:rPr>
          <w:shd w:val="clear" w:color="auto" w:fill="FFFFFF"/>
          <w:lang w:val="en-US"/>
        </w:rPr>
        <w:t>Hassan Al-Tamimi, H. A., &amp; Mohammed Al-</w:t>
      </w:r>
      <w:proofErr w:type="spellStart"/>
      <w:r w:rsidRPr="00DE669F">
        <w:rPr>
          <w:shd w:val="clear" w:color="auto" w:fill="FFFFFF"/>
          <w:lang w:val="en-US"/>
        </w:rPr>
        <w:t>Mazrooei</w:t>
      </w:r>
      <w:proofErr w:type="spellEnd"/>
      <w:r w:rsidRPr="00DE669F">
        <w:rPr>
          <w:shd w:val="clear" w:color="auto" w:fill="FFFFFF"/>
          <w:lang w:val="en-US"/>
        </w:rPr>
        <w:t>, F. (2007). Banks' risk management: a comparison study of UAE national and foreign banks. </w:t>
      </w:r>
      <w:r w:rsidRPr="00DE669F">
        <w:rPr>
          <w:i/>
          <w:iCs/>
          <w:shd w:val="clear" w:color="auto" w:fill="FFFFFF"/>
          <w:lang w:val="en-US"/>
        </w:rPr>
        <w:t>The Journal of Risk Finance</w:t>
      </w:r>
      <w:r w:rsidRPr="00DE669F">
        <w:rPr>
          <w:shd w:val="clear" w:color="auto" w:fill="FFFFFF"/>
          <w:lang w:val="en-US"/>
        </w:rPr>
        <w:t>, </w:t>
      </w:r>
      <w:r w:rsidRPr="00DE669F">
        <w:rPr>
          <w:i/>
          <w:iCs/>
          <w:shd w:val="clear" w:color="auto" w:fill="FFFFFF"/>
          <w:lang w:val="en-US"/>
        </w:rPr>
        <w:t>8</w:t>
      </w:r>
      <w:r w:rsidRPr="00DE669F">
        <w:rPr>
          <w:shd w:val="clear" w:color="auto" w:fill="FFFFFF"/>
          <w:lang w:val="en-US"/>
        </w:rPr>
        <w:t>(4), 394-409.</w:t>
      </w:r>
    </w:p>
    <w:p w:rsidR="00533CC9" w:rsidRPr="00DE669F" w:rsidRDefault="00533CC9" w:rsidP="0082426E">
      <w:pPr>
        <w:jc w:val="both"/>
      </w:pPr>
      <w:r w:rsidRPr="00DE669F">
        <w:rPr>
          <w:shd w:val="clear" w:color="auto" w:fill="FFFFFF"/>
          <w:lang w:val="en-US"/>
        </w:rPr>
        <w:t xml:space="preserve">Arena, M., </w:t>
      </w:r>
      <w:proofErr w:type="spellStart"/>
      <w:r w:rsidRPr="00DE669F">
        <w:rPr>
          <w:shd w:val="clear" w:color="auto" w:fill="FFFFFF"/>
          <w:lang w:val="en-US"/>
        </w:rPr>
        <w:t>Arnaboldi</w:t>
      </w:r>
      <w:proofErr w:type="spellEnd"/>
      <w:r w:rsidRPr="00DE669F">
        <w:rPr>
          <w:shd w:val="clear" w:color="auto" w:fill="FFFFFF"/>
          <w:lang w:val="en-US"/>
        </w:rPr>
        <w:t xml:space="preserve">, M., &amp; </w:t>
      </w:r>
      <w:proofErr w:type="spellStart"/>
      <w:r w:rsidRPr="00DE669F">
        <w:rPr>
          <w:shd w:val="clear" w:color="auto" w:fill="FFFFFF"/>
          <w:lang w:val="en-US"/>
        </w:rPr>
        <w:t>Azzone</w:t>
      </w:r>
      <w:proofErr w:type="spellEnd"/>
      <w:r w:rsidRPr="00DE669F">
        <w:rPr>
          <w:shd w:val="clear" w:color="auto" w:fill="FFFFFF"/>
          <w:lang w:val="en-US"/>
        </w:rPr>
        <w:t>, G. (2010). The organizational dynamics of enterprise risk management. </w:t>
      </w:r>
      <w:proofErr w:type="spellStart"/>
      <w:r w:rsidRPr="00DE669F">
        <w:rPr>
          <w:i/>
          <w:iCs/>
          <w:shd w:val="clear" w:color="auto" w:fill="FFFFFF"/>
        </w:rPr>
        <w:t>Accounting</w:t>
      </w:r>
      <w:proofErr w:type="spellEnd"/>
      <w:r w:rsidRPr="00DE669F">
        <w:rPr>
          <w:i/>
          <w:iCs/>
          <w:shd w:val="clear" w:color="auto" w:fill="FFFFFF"/>
        </w:rPr>
        <w:t xml:space="preserve">, </w:t>
      </w:r>
      <w:proofErr w:type="spellStart"/>
      <w:r w:rsidRPr="00DE669F">
        <w:rPr>
          <w:i/>
          <w:iCs/>
          <w:shd w:val="clear" w:color="auto" w:fill="FFFFFF"/>
        </w:rPr>
        <w:t>Organizations</w:t>
      </w:r>
      <w:proofErr w:type="spellEnd"/>
      <w:r w:rsidRPr="00DE669F">
        <w:rPr>
          <w:i/>
          <w:iCs/>
          <w:shd w:val="clear" w:color="auto" w:fill="FFFFFF"/>
        </w:rPr>
        <w:t xml:space="preserve"> </w:t>
      </w:r>
      <w:proofErr w:type="spellStart"/>
      <w:r w:rsidRPr="00DE669F">
        <w:rPr>
          <w:i/>
          <w:iCs/>
          <w:shd w:val="clear" w:color="auto" w:fill="FFFFFF"/>
        </w:rPr>
        <w:t>and</w:t>
      </w:r>
      <w:proofErr w:type="spellEnd"/>
      <w:r w:rsidRPr="00DE669F">
        <w:rPr>
          <w:i/>
          <w:iCs/>
          <w:shd w:val="clear" w:color="auto" w:fill="FFFFFF"/>
        </w:rPr>
        <w:t xml:space="preserve"> Society</w:t>
      </w:r>
      <w:r w:rsidRPr="00DE669F">
        <w:rPr>
          <w:shd w:val="clear" w:color="auto" w:fill="FFFFFF"/>
        </w:rPr>
        <w:t>, </w:t>
      </w:r>
      <w:r w:rsidRPr="00DE669F">
        <w:rPr>
          <w:i/>
          <w:iCs/>
          <w:shd w:val="clear" w:color="auto" w:fill="FFFFFF"/>
        </w:rPr>
        <w:t>35</w:t>
      </w:r>
      <w:r w:rsidRPr="00DE669F">
        <w:rPr>
          <w:shd w:val="clear" w:color="auto" w:fill="FFFFFF"/>
        </w:rPr>
        <w:t>(7), 659-675.</w:t>
      </w:r>
    </w:p>
    <w:p w:rsidR="00F85660" w:rsidRPr="00DE669F" w:rsidRDefault="00533CC9" w:rsidP="0082426E">
      <w:pPr>
        <w:jc w:val="both"/>
      </w:pPr>
      <w:proofErr w:type="spellStart"/>
      <w:r w:rsidRPr="00DE669F">
        <w:t>Assi</w:t>
      </w:r>
      <w:proofErr w:type="spellEnd"/>
      <w:r w:rsidR="00F85660" w:rsidRPr="00DE669F">
        <w:t>, M.</w:t>
      </w:r>
      <w:r w:rsidRPr="00DE669F">
        <w:t xml:space="preserve"> (2012).</w:t>
      </w:r>
      <w:r w:rsidR="00F85660" w:rsidRPr="00DE669F">
        <w:t xml:space="preserve"> </w:t>
      </w:r>
      <w:r w:rsidR="00F85660" w:rsidRPr="00DE669F">
        <w:rPr>
          <w:i/>
        </w:rPr>
        <w:t>Gestão de riscos com controles internos</w:t>
      </w:r>
      <w:r w:rsidR="00F85660" w:rsidRPr="00DE669F">
        <w:t>. São Paulo: Saint Paul Editora.</w:t>
      </w:r>
    </w:p>
    <w:p w:rsidR="00533CC9" w:rsidRPr="000D74BF" w:rsidRDefault="00533CC9" w:rsidP="0082426E">
      <w:pPr>
        <w:jc w:val="both"/>
        <w:rPr>
          <w:shd w:val="clear" w:color="auto" w:fill="FFFFFF"/>
          <w:lang w:val="en-US"/>
        </w:rPr>
      </w:pPr>
      <w:r w:rsidRPr="00DE669F">
        <w:rPr>
          <w:shd w:val="clear" w:color="auto" w:fill="FFFFFF"/>
          <w:lang w:val="en-US"/>
        </w:rPr>
        <w:t xml:space="preserve">Baines, A., &amp; </w:t>
      </w:r>
      <w:proofErr w:type="spellStart"/>
      <w:r w:rsidRPr="00DE669F">
        <w:rPr>
          <w:shd w:val="clear" w:color="auto" w:fill="FFFFFF"/>
          <w:lang w:val="en-US"/>
        </w:rPr>
        <w:t>Langfield</w:t>
      </w:r>
      <w:proofErr w:type="spellEnd"/>
      <w:r w:rsidRPr="00DE669F">
        <w:rPr>
          <w:shd w:val="clear" w:color="auto" w:fill="FFFFFF"/>
          <w:lang w:val="en-US"/>
        </w:rPr>
        <w:t>-Smith, K. (2003). Antecedents to management accounting change: a structural equation approach. </w:t>
      </w:r>
      <w:r w:rsidRPr="000D74BF">
        <w:rPr>
          <w:i/>
          <w:iCs/>
          <w:shd w:val="clear" w:color="auto" w:fill="FFFFFF"/>
          <w:lang w:val="en-US"/>
        </w:rPr>
        <w:t>Accounting, organizations and society</w:t>
      </w:r>
      <w:r w:rsidRPr="000D74BF">
        <w:rPr>
          <w:shd w:val="clear" w:color="auto" w:fill="FFFFFF"/>
          <w:lang w:val="en-US"/>
        </w:rPr>
        <w:t>, </w:t>
      </w:r>
      <w:r w:rsidRPr="000D74BF">
        <w:rPr>
          <w:i/>
          <w:iCs/>
          <w:shd w:val="clear" w:color="auto" w:fill="FFFFFF"/>
          <w:lang w:val="en-US"/>
        </w:rPr>
        <w:t>28</w:t>
      </w:r>
      <w:r w:rsidRPr="000D74BF">
        <w:rPr>
          <w:shd w:val="clear" w:color="auto" w:fill="FFFFFF"/>
          <w:lang w:val="en-US"/>
        </w:rPr>
        <w:t>(7-8), 675-698.</w:t>
      </w:r>
    </w:p>
    <w:p w:rsidR="00F85660" w:rsidRPr="00DE669F" w:rsidRDefault="00533CC9" w:rsidP="00533CC9">
      <w:pPr>
        <w:jc w:val="both"/>
        <w:rPr>
          <w:lang w:val="en-US"/>
        </w:rPr>
      </w:pPr>
      <w:r w:rsidRPr="00DE669F">
        <w:rPr>
          <w:shd w:val="clear" w:color="auto" w:fill="FFFFFF"/>
          <w:lang w:val="en-US"/>
        </w:rPr>
        <w:t>Beasley, M. S., Clune, R., &amp; Hermanson, D. R. (2005). Enterprise risk management: An empirical analysis of factors associated with the extent of implementation. </w:t>
      </w:r>
      <w:r w:rsidRPr="000D74BF">
        <w:rPr>
          <w:i/>
          <w:iCs/>
          <w:shd w:val="clear" w:color="auto" w:fill="FFFFFF"/>
          <w:lang w:val="en-US"/>
        </w:rPr>
        <w:t>Journal of accounting and public policy</w:t>
      </w:r>
      <w:r w:rsidRPr="000D74BF">
        <w:rPr>
          <w:shd w:val="clear" w:color="auto" w:fill="FFFFFF"/>
          <w:lang w:val="en-US"/>
        </w:rPr>
        <w:t>, </w:t>
      </w:r>
      <w:r w:rsidRPr="000D74BF">
        <w:rPr>
          <w:i/>
          <w:iCs/>
          <w:shd w:val="clear" w:color="auto" w:fill="FFFFFF"/>
          <w:lang w:val="en-US"/>
        </w:rPr>
        <w:t>24</w:t>
      </w:r>
      <w:r w:rsidRPr="000D74BF">
        <w:rPr>
          <w:shd w:val="clear" w:color="auto" w:fill="FFFFFF"/>
          <w:lang w:val="en-US"/>
        </w:rPr>
        <w:t>(6), 521-531.</w:t>
      </w:r>
    </w:p>
    <w:p w:rsidR="00533CC9" w:rsidRPr="00DE669F" w:rsidRDefault="00533CC9" w:rsidP="0082426E">
      <w:pPr>
        <w:jc w:val="both"/>
        <w:rPr>
          <w:lang w:val="en-US"/>
        </w:rPr>
      </w:pPr>
      <w:r w:rsidRPr="00DE669F">
        <w:rPr>
          <w:shd w:val="clear" w:color="auto" w:fill="FFFFFF"/>
          <w:lang w:val="en-US"/>
        </w:rPr>
        <w:t>Berry, A., &amp; Phillips, J. (1998). Pulling it together. </w:t>
      </w:r>
      <w:r w:rsidRPr="000D74BF">
        <w:rPr>
          <w:i/>
          <w:iCs/>
          <w:shd w:val="clear" w:color="auto" w:fill="FFFFFF"/>
          <w:lang w:val="en-US"/>
        </w:rPr>
        <w:t>Risk Management</w:t>
      </w:r>
      <w:r w:rsidRPr="000D74BF">
        <w:rPr>
          <w:shd w:val="clear" w:color="auto" w:fill="FFFFFF"/>
          <w:lang w:val="en-US"/>
        </w:rPr>
        <w:t>, </w:t>
      </w:r>
      <w:r w:rsidRPr="000D74BF">
        <w:rPr>
          <w:i/>
          <w:iCs/>
          <w:shd w:val="clear" w:color="auto" w:fill="FFFFFF"/>
          <w:lang w:val="en-US"/>
        </w:rPr>
        <w:t>45</w:t>
      </w:r>
      <w:r w:rsidRPr="000D74BF">
        <w:rPr>
          <w:shd w:val="clear" w:color="auto" w:fill="FFFFFF"/>
          <w:lang w:val="en-US"/>
        </w:rPr>
        <w:t>(9), 53-58.</w:t>
      </w:r>
    </w:p>
    <w:p w:rsidR="00533CC9" w:rsidRPr="00DE669F" w:rsidRDefault="00533CC9" w:rsidP="0082426E">
      <w:pPr>
        <w:jc w:val="both"/>
        <w:rPr>
          <w:lang w:val="en-US"/>
        </w:rPr>
      </w:pPr>
      <w:proofErr w:type="spellStart"/>
      <w:r w:rsidRPr="00DE669F">
        <w:rPr>
          <w:shd w:val="clear" w:color="auto" w:fill="FFFFFF"/>
          <w:lang w:val="en-US"/>
        </w:rPr>
        <w:t>Bhimani</w:t>
      </w:r>
      <w:proofErr w:type="spellEnd"/>
      <w:r w:rsidRPr="00DE669F">
        <w:rPr>
          <w:shd w:val="clear" w:color="auto" w:fill="FFFFFF"/>
          <w:lang w:val="en-US"/>
        </w:rPr>
        <w:t>, A. (2006). Comparative management accounting research: past forays and emerging frontiers. </w:t>
      </w:r>
      <w:r w:rsidRPr="00DE669F">
        <w:rPr>
          <w:i/>
          <w:iCs/>
          <w:shd w:val="clear" w:color="auto" w:fill="FFFFFF"/>
          <w:lang w:val="en-US"/>
        </w:rPr>
        <w:t>Handbooks of Management Accounting Research</w:t>
      </w:r>
      <w:r w:rsidRPr="00DE669F">
        <w:rPr>
          <w:shd w:val="clear" w:color="auto" w:fill="FFFFFF"/>
          <w:lang w:val="en-US"/>
        </w:rPr>
        <w:t>, </w:t>
      </w:r>
      <w:r w:rsidRPr="00DE669F">
        <w:rPr>
          <w:i/>
          <w:iCs/>
          <w:shd w:val="clear" w:color="auto" w:fill="FFFFFF"/>
          <w:lang w:val="en-US"/>
        </w:rPr>
        <w:t>1</w:t>
      </w:r>
      <w:r w:rsidRPr="00DE669F">
        <w:rPr>
          <w:shd w:val="clear" w:color="auto" w:fill="FFFFFF"/>
          <w:lang w:val="en-US"/>
        </w:rPr>
        <w:t>, 343-363.</w:t>
      </w:r>
    </w:p>
    <w:p w:rsidR="00533CC9" w:rsidRPr="000D74BF" w:rsidRDefault="005146A8" w:rsidP="0082426E">
      <w:pPr>
        <w:jc w:val="both"/>
        <w:rPr>
          <w:shd w:val="clear" w:color="auto" w:fill="FFFFFF"/>
        </w:rPr>
      </w:pPr>
      <w:r w:rsidRPr="00DE669F">
        <w:rPr>
          <w:shd w:val="clear" w:color="auto" w:fill="FFFFFF"/>
          <w:lang w:val="en-US"/>
        </w:rPr>
        <w:t>________</w:t>
      </w:r>
      <w:r>
        <w:rPr>
          <w:shd w:val="clear" w:color="auto" w:fill="FFFFFF"/>
          <w:lang w:val="en-US"/>
        </w:rPr>
        <w:t>_,</w:t>
      </w:r>
      <w:r w:rsidR="00F85660" w:rsidRPr="00DE669F">
        <w:rPr>
          <w:shd w:val="clear" w:color="auto" w:fill="FFFFFF"/>
          <w:lang w:val="en-US"/>
        </w:rPr>
        <w:t xml:space="preserve"> </w:t>
      </w:r>
      <w:r w:rsidR="00533CC9" w:rsidRPr="00DE669F">
        <w:rPr>
          <w:shd w:val="clear" w:color="auto" w:fill="FFFFFF"/>
          <w:lang w:val="en-US"/>
        </w:rPr>
        <w:t xml:space="preserve">&amp; </w:t>
      </w:r>
      <w:proofErr w:type="spellStart"/>
      <w:r w:rsidR="00533CC9" w:rsidRPr="00DE669F">
        <w:rPr>
          <w:shd w:val="clear" w:color="auto" w:fill="FFFFFF"/>
          <w:lang w:val="en-US"/>
        </w:rPr>
        <w:t>Langfield</w:t>
      </w:r>
      <w:proofErr w:type="spellEnd"/>
      <w:r w:rsidR="00533CC9" w:rsidRPr="00DE669F">
        <w:rPr>
          <w:shd w:val="clear" w:color="auto" w:fill="FFFFFF"/>
          <w:lang w:val="en-US"/>
        </w:rPr>
        <w:t>-Smith, K. (2007). Structure, formality and the importance of financial and non-financial information in strategy development and implementation. </w:t>
      </w:r>
      <w:r w:rsidR="00533CC9" w:rsidRPr="000D74BF">
        <w:rPr>
          <w:i/>
          <w:iCs/>
          <w:shd w:val="clear" w:color="auto" w:fill="FFFFFF"/>
        </w:rPr>
        <w:t xml:space="preserve">Management </w:t>
      </w:r>
      <w:proofErr w:type="spellStart"/>
      <w:r w:rsidR="00533CC9" w:rsidRPr="000D74BF">
        <w:rPr>
          <w:i/>
          <w:iCs/>
          <w:shd w:val="clear" w:color="auto" w:fill="FFFFFF"/>
        </w:rPr>
        <w:t>Accounting</w:t>
      </w:r>
      <w:proofErr w:type="spellEnd"/>
      <w:r w:rsidR="00533CC9" w:rsidRPr="000D74BF">
        <w:rPr>
          <w:i/>
          <w:iCs/>
          <w:shd w:val="clear" w:color="auto" w:fill="FFFFFF"/>
        </w:rPr>
        <w:t xml:space="preserve"> </w:t>
      </w:r>
      <w:proofErr w:type="spellStart"/>
      <w:r w:rsidR="00533CC9" w:rsidRPr="000D74BF">
        <w:rPr>
          <w:i/>
          <w:iCs/>
          <w:shd w:val="clear" w:color="auto" w:fill="FFFFFF"/>
        </w:rPr>
        <w:t>Research</w:t>
      </w:r>
      <w:proofErr w:type="spellEnd"/>
      <w:r w:rsidR="00533CC9" w:rsidRPr="000D74BF">
        <w:rPr>
          <w:shd w:val="clear" w:color="auto" w:fill="FFFFFF"/>
        </w:rPr>
        <w:t>, </w:t>
      </w:r>
      <w:r w:rsidR="00533CC9" w:rsidRPr="000D74BF">
        <w:rPr>
          <w:i/>
          <w:iCs/>
          <w:shd w:val="clear" w:color="auto" w:fill="FFFFFF"/>
        </w:rPr>
        <w:t>18</w:t>
      </w:r>
      <w:r w:rsidR="00533CC9" w:rsidRPr="000D74BF">
        <w:rPr>
          <w:shd w:val="clear" w:color="auto" w:fill="FFFFFF"/>
        </w:rPr>
        <w:t>(1), 3-31.</w:t>
      </w:r>
    </w:p>
    <w:p w:rsidR="00533CC9" w:rsidRPr="00DE669F" w:rsidRDefault="00533CC9" w:rsidP="0082426E">
      <w:pPr>
        <w:jc w:val="both"/>
        <w:rPr>
          <w:shd w:val="clear" w:color="auto" w:fill="FFFFFF"/>
        </w:rPr>
      </w:pPr>
      <w:proofErr w:type="spellStart"/>
      <w:r w:rsidRPr="00DE669F">
        <w:rPr>
          <w:shd w:val="clear" w:color="auto" w:fill="FFFFFF"/>
        </w:rPr>
        <w:t>Brighenti</w:t>
      </w:r>
      <w:proofErr w:type="spellEnd"/>
      <w:r w:rsidRPr="00DE669F">
        <w:rPr>
          <w:shd w:val="clear" w:color="auto" w:fill="FFFFFF"/>
        </w:rPr>
        <w:t>, J., &amp; Silva, M. Z. (2016). Percepção da incerteza do ambiente e gestão de risco: um estudo em organizações prestadoras de serviço de transporte rodoviário de cargas. </w:t>
      </w:r>
      <w:r w:rsidRPr="00DE669F">
        <w:rPr>
          <w:i/>
          <w:iCs/>
          <w:shd w:val="clear" w:color="auto" w:fill="FFFFFF"/>
        </w:rPr>
        <w:t>Revista Base (Administração e Contabilidade) da UNISINOS</w:t>
      </w:r>
      <w:r w:rsidRPr="00DE669F">
        <w:rPr>
          <w:shd w:val="clear" w:color="auto" w:fill="FFFFFF"/>
        </w:rPr>
        <w:t>, </w:t>
      </w:r>
      <w:r w:rsidRPr="00DE669F">
        <w:rPr>
          <w:i/>
          <w:iCs/>
          <w:shd w:val="clear" w:color="auto" w:fill="FFFFFF"/>
        </w:rPr>
        <w:t>13</w:t>
      </w:r>
      <w:r w:rsidRPr="00DE669F">
        <w:rPr>
          <w:shd w:val="clear" w:color="auto" w:fill="FFFFFF"/>
        </w:rPr>
        <w:t>(3), 200-215.</w:t>
      </w:r>
    </w:p>
    <w:p w:rsidR="00533CC9" w:rsidRPr="000D74BF" w:rsidRDefault="00533CC9" w:rsidP="0082426E">
      <w:pPr>
        <w:jc w:val="both"/>
        <w:rPr>
          <w:shd w:val="clear" w:color="auto" w:fill="FFFFFF"/>
          <w:lang w:val="en-US"/>
        </w:rPr>
      </w:pPr>
      <w:proofErr w:type="spellStart"/>
      <w:r w:rsidRPr="00DE669F">
        <w:rPr>
          <w:shd w:val="clear" w:color="auto" w:fill="FFFFFF"/>
        </w:rPr>
        <w:t>Cadez</w:t>
      </w:r>
      <w:proofErr w:type="spellEnd"/>
      <w:r w:rsidRPr="00DE669F">
        <w:rPr>
          <w:shd w:val="clear" w:color="auto" w:fill="FFFFFF"/>
        </w:rPr>
        <w:t xml:space="preserve">, S., &amp; </w:t>
      </w:r>
      <w:proofErr w:type="spellStart"/>
      <w:r w:rsidRPr="00DE669F">
        <w:rPr>
          <w:shd w:val="clear" w:color="auto" w:fill="FFFFFF"/>
        </w:rPr>
        <w:t>Guilding</w:t>
      </w:r>
      <w:proofErr w:type="spellEnd"/>
      <w:r w:rsidRPr="00DE669F">
        <w:rPr>
          <w:shd w:val="clear" w:color="auto" w:fill="FFFFFF"/>
        </w:rPr>
        <w:t xml:space="preserve">, C. (2008). </w:t>
      </w:r>
      <w:r w:rsidRPr="00DE669F">
        <w:rPr>
          <w:shd w:val="clear" w:color="auto" w:fill="FFFFFF"/>
          <w:lang w:val="en-US"/>
        </w:rPr>
        <w:t>An exploratory investigation of an integrated contingency model of strategic management accounting. </w:t>
      </w:r>
      <w:r w:rsidRPr="000D74BF">
        <w:rPr>
          <w:i/>
          <w:iCs/>
          <w:shd w:val="clear" w:color="auto" w:fill="FFFFFF"/>
          <w:lang w:val="en-US"/>
        </w:rPr>
        <w:t>Accounting, organizations and society</w:t>
      </w:r>
      <w:r w:rsidRPr="000D74BF">
        <w:rPr>
          <w:shd w:val="clear" w:color="auto" w:fill="FFFFFF"/>
          <w:lang w:val="en-US"/>
        </w:rPr>
        <w:t>, </w:t>
      </w:r>
      <w:r w:rsidRPr="000D74BF">
        <w:rPr>
          <w:i/>
          <w:iCs/>
          <w:shd w:val="clear" w:color="auto" w:fill="FFFFFF"/>
          <w:lang w:val="en-US"/>
        </w:rPr>
        <w:t>33</w:t>
      </w:r>
      <w:r w:rsidRPr="000D74BF">
        <w:rPr>
          <w:shd w:val="clear" w:color="auto" w:fill="FFFFFF"/>
          <w:lang w:val="en-US"/>
        </w:rPr>
        <w:t>(7-8), 836-863.</w:t>
      </w:r>
    </w:p>
    <w:p w:rsidR="00F85660" w:rsidRPr="00DE669F" w:rsidRDefault="00533CC9" w:rsidP="00533CC9">
      <w:pPr>
        <w:jc w:val="both"/>
        <w:rPr>
          <w:shd w:val="clear" w:color="auto" w:fill="FFFFFF"/>
        </w:rPr>
      </w:pPr>
      <w:r w:rsidRPr="00DE669F">
        <w:rPr>
          <w:shd w:val="clear" w:color="auto" w:fill="FFFFFF"/>
          <w:lang w:val="en-US"/>
        </w:rPr>
        <w:t>Carey, A. (2001). Effective risk management in financial institutions: the Turnbull approach. </w:t>
      </w:r>
      <w:r w:rsidRPr="00DE669F">
        <w:rPr>
          <w:i/>
          <w:iCs/>
          <w:shd w:val="clear" w:color="auto" w:fill="FFFFFF"/>
        </w:rPr>
        <w:t xml:space="preserve">Balance </w:t>
      </w:r>
      <w:proofErr w:type="spellStart"/>
      <w:r w:rsidRPr="00DE669F">
        <w:rPr>
          <w:i/>
          <w:iCs/>
          <w:shd w:val="clear" w:color="auto" w:fill="FFFFFF"/>
        </w:rPr>
        <w:t>Sheet</w:t>
      </w:r>
      <w:proofErr w:type="spellEnd"/>
      <w:r w:rsidRPr="00DE669F">
        <w:rPr>
          <w:shd w:val="clear" w:color="auto" w:fill="FFFFFF"/>
        </w:rPr>
        <w:t>, </w:t>
      </w:r>
      <w:r w:rsidRPr="00DE669F">
        <w:rPr>
          <w:i/>
          <w:iCs/>
          <w:shd w:val="clear" w:color="auto" w:fill="FFFFFF"/>
        </w:rPr>
        <w:t>9</w:t>
      </w:r>
      <w:r w:rsidRPr="00DE669F">
        <w:rPr>
          <w:shd w:val="clear" w:color="auto" w:fill="FFFFFF"/>
        </w:rPr>
        <w:t>(3), 24-27.</w:t>
      </w:r>
    </w:p>
    <w:p w:rsidR="00533CC9" w:rsidRPr="00DE669F" w:rsidRDefault="00533CC9" w:rsidP="0082426E">
      <w:pPr>
        <w:jc w:val="both"/>
      </w:pPr>
      <w:r w:rsidRPr="00DE669F">
        <w:rPr>
          <w:shd w:val="clear" w:color="auto" w:fill="FFFFFF"/>
        </w:rPr>
        <w:t xml:space="preserve">Carvalho, L. N. G., </w:t>
      </w:r>
      <w:proofErr w:type="spellStart"/>
      <w:r w:rsidRPr="00DE669F">
        <w:rPr>
          <w:shd w:val="clear" w:color="auto" w:fill="FFFFFF"/>
        </w:rPr>
        <w:t>Trapp</w:t>
      </w:r>
      <w:proofErr w:type="spellEnd"/>
      <w:r w:rsidRPr="00DE669F">
        <w:rPr>
          <w:shd w:val="clear" w:color="auto" w:fill="FFFFFF"/>
        </w:rPr>
        <w:t xml:space="preserve">, A. C. G., &amp; Chan, B. L. (2004). </w:t>
      </w:r>
      <w:proofErr w:type="spellStart"/>
      <w:r w:rsidRPr="00DE669F">
        <w:rPr>
          <w:shd w:val="clear" w:color="auto" w:fill="FFFFFF"/>
        </w:rPr>
        <w:t>Disclosure</w:t>
      </w:r>
      <w:proofErr w:type="spellEnd"/>
      <w:r w:rsidRPr="00DE669F">
        <w:rPr>
          <w:shd w:val="clear" w:color="auto" w:fill="FFFFFF"/>
        </w:rPr>
        <w:t xml:space="preserve"> e risco operacional: uma abordagem comparativa em instituições financeiras que atuam no Brasil, na Europa e nos Estados Unidos. </w:t>
      </w:r>
      <w:r w:rsidRPr="00DE669F">
        <w:rPr>
          <w:i/>
          <w:iCs/>
          <w:shd w:val="clear" w:color="auto" w:fill="FFFFFF"/>
        </w:rPr>
        <w:t>Revista de Administração da Universidade de São Paulo</w:t>
      </w:r>
      <w:r w:rsidRPr="00DE669F">
        <w:rPr>
          <w:shd w:val="clear" w:color="auto" w:fill="FFFFFF"/>
        </w:rPr>
        <w:t>, </w:t>
      </w:r>
      <w:r w:rsidRPr="00DE669F">
        <w:rPr>
          <w:i/>
          <w:iCs/>
          <w:shd w:val="clear" w:color="auto" w:fill="FFFFFF"/>
        </w:rPr>
        <w:t>39</w:t>
      </w:r>
      <w:r w:rsidRPr="00DE669F">
        <w:rPr>
          <w:shd w:val="clear" w:color="auto" w:fill="FFFFFF"/>
        </w:rPr>
        <w:t>(3), 264-273.</w:t>
      </w:r>
    </w:p>
    <w:p w:rsidR="00F85660" w:rsidRPr="00DE669F" w:rsidRDefault="00533CC9" w:rsidP="0082426E">
      <w:pPr>
        <w:jc w:val="both"/>
        <w:rPr>
          <w:lang w:val="en-US"/>
        </w:rPr>
      </w:pPr>
      <w:r w:rsidRPr="00F60535">
        <w:lastRenderedPageBreak/>
        <w:t>Chandler</w:t>
      </w:r>
      <w:r w:rsidR="00F85660" w:rsidRPr="00F60535">
        <w:t xml:space="preserve">, A. D. </w:t>
      </w:r>
      <w:r w:rsidRPr="00F60535">
        <w:t xml:space="preserve">(1962). </w:t>
      </w:r>
      <w:r w:rsidR="00F85660" w:rsidRPr="00DE669F">
        <w:rPr>
          <w:bCs/>
          <w:i/>
          <w:lang w:val="en-US"/>
        </w:rPr>
        <w:t>Strategy and structure, chapters in the history of the America industrial enterprise</w:t>
      </w:r>
      <w:r w:rsidR="00F85660" w:rsidRPr="00DE669F">
        <w:rPr>
          <w:lang w:val="en-US"/>
        </w:rPr>
        <w:t>. Cambridge: MIT Press.</w:t>
      </w:r>
    </w:p>
    <w:p w:rsidR="00533CC9" w:rsidRPr="00DE669F" w:rsidRDefault="00533CC9" w:rsidP="0082426E">
      <w:pPr>
        <w:jc w:val="both"/>
        <w:rPr>
          <w:lang w:val="en-US"/>
        </w:rPr>
      </w:pPr>
      <w:proofErr w:type="spellStart"/>
      <w:r w:rsidRPr="00DE669F">
        <w:rPr>
          <w:shd w:val="clear" w:color="auto" w:fill="FFFFFF"/>
          <w:lang w:val="en-US"/>
        </w:rPr>
        <w:t>Chenhall</w:t>
      </w:r>
      <w:proofErr w:type="spellEnd"/>
      <w:r w:rsidRPr="00DE669F">
        <w:rPr>
          <w:shd w:val="clear" w:color="auto" w:fill="FFFFFF"/>
          <w:lang w:val="en-US"/>
        </w:rPr>
        <w:t xml:space="preserve">, R. H., </w:t>
      </w:r>
      <w:proofErr w:type="spellStart"/>
      <w:r w:rsidRPr="00DE669F">
        <w:rPr>
          <w:shd w:val="clear" w:color="auto" w:fill="FFFFFF"/>
          <w:lang w:val="en-US"/>
        </w:rPr>
        <w:t>Kallunki</w:t>
      </w:r>
      <w:proofErr w:type="spellEnd"/>
      <w:r w:rsidRPr="00DE669F">
        <w:rPr>
          <w:shd w:val="clear" w:color="auto" w:fill="FFFFFF"/>
          <w:lang w:val="en-US"/>
        </w:rPr>
        <w:t xml:space="preserve">, J. P., &amp; </w:t>
      </w:r>
      <w:proofErr w:type="spellStart"/>
      <w:r w:rsidRPr="00DE669F">
        <w:rPr>
          <w:shd w:val="clear" w:color="auto" w:fill="FFFFFF"/>
          <w:lang w:val="en-US"/>
        </w:rPr>
        <w:t>Silvola</w:t>
      </w:r>
      <w:proofErr w:type="spellEnd"/>
      <w:r w:rsidRPr="00DE669F">
        <w:rPr>
          <w:shd w:val="clear" w:color="auto" w:fill="FFFFFF"/>
          <w:lang w:val="en-US"/>
        </w:rPr>
        <w:t>, H. (2011). Exploring the relationships between strategy, innovation, and management control systems: the roles of social networking, organic innovative culture, and formal controls. </w:t>
      </w:r>
      <w:r w:rsidRPr="00DE669F">
        <w:rPr>
          <w:i/>
          <w:iCs/>
          <w:shd w:val="clear" w:color="auto" w:fill="FFFFFF"/>
          <w:lang w:val="en-US"/>
        </w:rPr>
        <w:t>Journal of Management Accounting Research</w:t>
      </w:r>
      <w:r w:rsidRPr="00DE669F">
        <w:rPr>
          <w:shd w:val="clear" w:color="auto" w:fill="FFFFFF"/>
          <w:lang w:val="en-US"/>
        </w:rPr>
        <w:t>, </w:t>
      </w:r>
      <w:r w:rsidRPr="00DE669F">
        <w:rPr>
          <w:i/>
          <w:iCs/>
          <w:shd w:val="clear" w:color="auto" w:fill="FFFFFF"/>
          <w:lang w:val="en-US"/>
        </w:rPr>
        <w:t>23</w:t>
      </w:r>
      <w:r w:rsidRPr="00DE669F">
        <w:rPr>
          <w:shd w:val="clear" w:color="auto" w:fill="FFFFFF"/>
          <w:lang w:val="en-US"/>
        </w:rPr>
        <w:t>(1), 99-128.</w:t>
      </w:r>
      <w:r w:rsidRPr="00DE669F">
        <w:rPr>
          <w:lang w:val="en-US"/>
        </w:rPr>
        <w:t xml:space="preserve"> </w:t>
      </w:r>
    </w:p>
    <w:p w:rsidR="00533CC9" w:rsidRPr="00DE669F" w:rsidRDefault="00DE669F" w:rsidP="0082426E">
      <w:pPr>
        <w:jc w:val="both"/>
        <w:rPr>
          <w:shd w:val="clear" w:color="auto" w:fill="FFFFFF"/>
          <w:lang w:val="en-US"/>
        </w:rPr>
      </w:pPr>
      <w:r w:rsidRPr="00DE669F">
        <w:rPr>
          <w:shd w:val="clear" w:color="auto" w:fill="FFFFFF"/>
          <w:lang w:val="en-US"/>
        </w:rPr>
        <w:t>________</w:t>
      </w:r>
      <w:r w:rsidR="005146A8">
        <w:rPr>
          <w:shd w:val="clear" w:color="auto" w:fill="FFFFFF"/>
          <w:lang w:val="en-US"/>
        </w:rPr>
        <w:t>_</w:t>
      </w:r>
      <w:r w:rsidR="00533CC9" w:rsidRPr="00DE669F">
        <w:rPr>
          <w:shd w:val="clear" w:color="auto" w:fill="FFFFFF"/>
          <w:lang w:val="en-US"/>
        </w:rPr>
        <w:t>, R. H., &amp; Morris, D. (1986). The impact of structure, environment, and interdependence on the perceived usefulness of management accounting systems. </w:t>
      </w:r>
      <w:r w:rsidR="00533CC9" w:rsidRPr="00DE669F">
        <w:rPr>
          <w:i/>
          <w:iCs/>
          <w:shd w:val="clear" w:color="auto" w:fill="FFFFFF"/>
          <w:lang w:val="en-US"/>
        </w:rPr>
        <w:t>Accounting Review</w:t>
      </w:r>
      <w:r w:rsidR="00533CC9" w:rsidRPr="00DE669F">
        <w:rPr>
          <w:shd w:val="clear" w:color="auto" w:fill="FFFFFF"/>
          <w:lang w:val="en-US"/>
        </w:rPr>
        <w:t xml:space="preserve">, </w:t>
      </w:r>
      <w:r w:rsidRPr="00DE669F">
        <w:rPr>
          <w:i/>
          <w:shd w:val="clear" w:color="auto" w:fill="FFFFFF"/>
          <w:lang w:val="en-US"/>
        </w:rPr>
        <w:t>61</w:t>
      </w:r>
      <w:r w:rsidRPr="00DE669F">
        <w:rPr>
          <w:shd w:val="clear" w:color="auto" w:fill="FFFFFF"/>
          <w:lang w:val="en-US"/>
        </w:rPr>
        <w:t xml:space="preserve">(1), </w:t>
      </w:r>
      <w:r w:rsidR="00533CC9" w:rsidRPr="00DE669F">
        <w:rPr>
          <w:shd w:val="clear" w:color="auto" w:fill="FFFFFF"/>
          <w:lang w:val="en-US"/>
        </w:rPr>
        <w:t>16-35.</w:t>
      </w:r>
    </w:p>
    <w:p w:rsidR="00DE669F" w:rsidRPr="00DE669F" w:rsidRDefault="00F85660" w:rsidP="0082426E">
      <w:pPr>
        <w:jc w:val="both"/>
        <w:rPr>
          <w:lang w:val="en-US"/>
        </w:rPr>
      </w:pPr>
      <w:r w:rsidRPr="00DE669F">
        <w:rPr>
          <w:shd w:val="clear" w:color="auto" w:fill="FFFFFF"/>
          <w:lang w:val="en-US"/>
        </w:rPr>
        <w:t>_________</w:t>
      </w:r>
      <w:r w:rsidR="00DE669F" w:rsidRPr="00DE669F">
        <w:rPr>
          <w:shd w:val="clear" w:color="auto" w:fill="FFFFFF"/>
          <w:lang w:val="en-US"/>
        </w:rPr>
        <w:t>,</w:t>
      </w:r>
      <w:r w:rsidRPr="00DE669F">
        <w:rPr>
          <w:shd w:val="clear" w:color="auto" w:fill="FFFFFF"/>
          <w:lang w:val="en-US"/>
        </w:rPr>
        <w:t xml:space="preserve"> </w:t>
      </w:r>
      <w:r w:rsidR="00DE669F" w:rsidRPr="00DE669F">
        <w:rPr>
          <w:shd w:val="clear" w:color="auto" w:fill="FFFFFF"/>
          <w:lang w:val="en-US"/>
        </w:rPr>
        <w:t xml:space="preserve">&amp; </w:t>
      </w:r>
      <w:proofErr w:type="spellStart"/>
      <w:r w:rsidR="00DE669F" w:rsidRPr="00DE669F">
        <w:rPr>
          <w:shd w:val="clear" w:color="auto" w:fill="FFFFFF"/>
          <w:lang w:val="en-US"/>
        </w:rPr>
        <w:t>Langfield</w:t>
      </w:r>
      <w:proofErr w:type="spellEnd"/>
      <w:r w:rsidR="00DE669F" w:rsidRPr="00DE669F">
        <w:rPr>
          <w:shd w:val="clear" w:color="auto" w:fill="FFFFFF"/>
          <w:lang w:val="en-US"/>
        </w:rPr>
        <w:t>-Smith, K. (1998). Adoption and benefits of management accounting practices: an Australian study. </w:t>
      </w:r>
      <w:r w:rsidR="00DE669F" w:rsidRPr="00DE669F">
        <w:rPr>
          <w:i/>
          <w:iCs/>
          <w:shd w:val="clear" w:color="auto" w:fill="FFFFFF"/>
          <w:lang w:val="en-US"/>
        </w:rPr>
        <w:t>Management accounting research</w:t>
      </w:r>
      <w:r w:rsidR="00DE669F" w:rsidRPr="00DE669F">
        <w:rPr>
          <w:shd w:val="clear" w:color="auto" w:fill="FFFFFF"/>
          <w:lang w:val="en-US"/>
        </w:rPr>
        <w:t>, </w:t>
      </w:r>
      <w:r w:rsidR="00DE669F" w:rsidRPr="00DE669F">
        <w:rPr>
          <w:i/>
          <w:iCs/>
          <w:shd w:val="clear" w:color="auto" w:fill="FFFFFF"/>
          <w:lang w:val="en-US"/>
        </w:rPr>
        <w:t>9</w:t>
      </w:r>
      <w:r w:rsidR="00DE669F" w:rsidRPr="00DE669F">
        <w:rPr>
          <w:shd w:val="clear" w:color="auto" w:fill="FFFFFF"/>
          <w:lang w:val="en-US"/>
        </w:rPr>
        <w:t>(1), 1-19.</w:t>
      </w:r>
    </w:p>
    <w:p w:rsidR="00DE669F" w:rsidRPr="00DE669F" w:rsidRDefault="00F85660" w:rsidP="0082426E">
      <w:pPr>
        <w:jc w:val="both"/>
        <w:rPr>
          <w:lang w:val="en-US"/>
        </w:rPr>
      </w:pPr>
      <w:r w:rsidRPr="00DE669F">
        <w:rPr>
          <w:lang w:val="en-US"/>
        </w:rPr>
        <w:t xml:space="preserve">_________. </w:t>
      </w:r>
      <w:r w:rsidR="00DE669F" w:rsidRPr="00DE669F">
        <w:rPr>
          <w:shd w:val="clear" w:color="auto" w:fill="FFFFFF"/>
          <w:lang w:val="en-US"/>
        </w:rPr>
        <w:t>(2003). Management control systems design within its organizational context: findings from contingency-based research and directions for the future. </w:t>
      </w:r>
      <w:r w:rsidR="00DE669F" w:rsidRPr="00DE669F">
        <w:rPr>
          <w:i/>
          <w:iCs/>
          <w:shd w:val="clear" w:color="auto" w:fill="FFFFFF"/>
          <w:lang w:val="en-US"/>
        </w:rPr>
        <w:t>Accounting, organizations and society</w:t>
      </w:r>
      <w:r w:rsidR="00DE669F" w:rsidRPr="00DE669F">
        <w:rPr>
          <w:shd w:val="clear" w:color="auto" w:fill="FFFFFF"/>
          <w:lang w:val="en-US"/>
        </w:rPr>
        <w:t>, </w:t>
      </w:r>
      <w:r w:rsidR="00DE669F" w:rsidRPr="00DE669F">
        <w:rPr>
          <w:i/>
          <w:iCs/>
          <w:shd w:val="clear" w:color="auto" w:fill="FFFFFF"/>
          <w:lang w:val="en-US"/>
        </w:rPr>
        <w:t>28</w:t>
      </w:r>
      <w:r w:rsidR="00DE669F" w:rsidRPr="00DE669F">
        <w:rPr>
          <w:shd w:val="clear" w:color="auto" w:fill="FFFFFF"/>
          <w:lang w:val="en-US"/>
        </w:rPr>
        <w:t>(2-3), 127-168.</w:t>
      </w:r>
    </w:p>
    <w:p w:rsidR="00DE669F" w:rsidRPr="00DE669F" w:rsidRDefault="00DE669F" w:rsidP="0082426E">
      <w:pPr>
        <w:jc w:val="both"/>
      </w:pPr>
      <w:r w:rsidRPr="00DE669F">
        <w:rPr>
          <w:shd w:val="clear" w:color="auto" w:fill="FFFFFF"/>
          <w:lang w:val="en-US"/>
        </w:rPr>
        <w:t xml:space="preserve">Ching, H. Y., &amp; Colombo, T. M. (2012). </w:t>
      </w:r>
      <w:r w:rsidRPr="00DE669F">
        <w:rPr>
          <w:shd w:val="clear" w:color="auto" w:fill="FFFFFF"/>
        </w:rPr>
        <w:t>Gestão de risco nas empresas do segmento Novo Mercado: um estudo exploratório. </w:t>
      </w:r>
      <w:r w:rsidRPr="00DE669F">
        <w:rPr>
          <w:i/>
          <w:iCs/>
          <w:shd w:val="clear" w:color="auto" w:fill="FFFFFF"/>
        </w:rPr>
        <w:t>Revista de Economia e Administração</w:t>
      </w:r>
      <w:r w:rsidRPr="00DE669F">
        <w:rPr>
          <w:shd w:val="clear" w:color="auto" w:fill="FFFFFF"/>
        </w:rPr>
        <w:t>, </w:t>
      </w:r>
      <w:r w:rsidRPr="00DE669F">
        <w:rPr>
          <w:i/>
          <w:iCs/>
          <w:shd w:val="clear" w:color="auto" w:fill="FFFFFF"/>
        </w:rPr>
        <w:t>11</w:t>
      </w:r>
      <w:r w:rsidRPr="00DE669F">
        <w:rPr>
          <w:shd w:val="clear" w:color="auto" w:fill="FFFFFF"/>
        </w:rPr>
        <w:t>(2).</w:t>
      </w:r>
    </w:p>
    <w:p w:rsidR="00DE669F" w:rsidRPr="00DE669F" w:rsidRDefault="00DE669F" w:rsidP="0082426E">
      <w:pPr>
        <w:jc w:val="both"/>
        <w:rPr>
          <w:lang w:val="en-US"/>
        </w:rPr>
      </w:pPr>
      <w:proofErr w:type="spellStart"/>
      <w:r w:rsidRPr="000D74BF">
        <w:rPr>
          <w:shd w:val="clear" w:color="auto" w:fill="FFFFFF"/>
        </w:rPr>
        <w:t>Collier</w:t>
      </w:r>
      <w:proofErr w:type="spellEnd"/>
      <w:r w:rsidRPr="000D74BF">
        <w:rPr>
          <w:shd w:val="clear" w:color="auto" w:fill="FFFFFF"/>
        </w:rPr>
        <w:t>, P. M., Berry, A. J., &amp; Burke, G. T. (2007). </w:t>
      </w:r>
      <w:r w:rsidRPr="00DE669F">
        <w:rPr>
          <w:i/>
          <w:iCs/>
          <w:shd w:val="clear" w:color="auto" w:fill="FFFFFF"/>
          <w:lang w:val="en-US"/>
        </w:rPr>
        <w:t>Risk and management accounting: best practice guidelines for enterprise-wide internal control procedures,</w:t>
      </w:r>
      <w:r w:rsidRPr="00DE669F">
        <w:rPr>
          <w:shd w:val="clear" w:color="auto" w:fill="FFFFFF"/>
          <w:lang w:val="en-US"/>
        </w:rPr>
        <w:t> </w:t>
      </w:r>
      <w:r w:rsidRPr="00DE669F">
        <w:rPr>
          <w:i/>
          <w:shd w:val="clear" w:color="auto" w:fill="FFFFFF"/>
          <w:lang w:val="en-US"/>
        </w:rPr>
        <w:t>2</w:t>
      </w:r>
      <w:r w:rsidRPr="00DE669F">
        <w:rPr>
          <w:shd w:val="clear" w:color="auto" w:fill="FFFFFF"/>
          <w:lang w:val="en-US"/>
        </w:rPr>
        <w:t>(11), 1-8.</w:t>
      </w:r>
    </w:p>
    <w:p w:rsidR="00F85660" w:rsidRPr="00DE669F" w:rsidRDefault="00F85660" w:rsidP="0082426E">
      <w:pPr>
        <w:jc w:val="both"/>
        <w:rPr>
          <w:lang w:val="en-US"/>
        </w:rPr>
      </w:pPr>
      <w:r w:rsidRPr="00DE669F">
        <w:rPr>
          <w:lang w:val="en-US"/>
        </w:rPr>
        <w:t xml:space="preserve">COSO. </w:t>
      </w:r>
      <w:r w:rsidR="00DE669F" w:rsidRPr="00DE669F">
        <w:rPr>
          <w:lang w:val="en-US"/>
        </w:rPr>
        <w:t xml:space="preserve">(2007). </w:t>
      </w:r>
      <w:r w:rsidRPr="00DE669F">
        <w:rPr>
          <w:lang w:val="en-US"/>
        </w:rPr>
        <w:t xml:space="preserve">Committee of Sponsoring Organizations of the Treadway Commission. </w:t>
      </w:r>
      <w:r w:rsidRPr="00DE669F">
        <w:rPr>
          <w:bCs/>
          <w:i/>
          <w:lang w:val="en-US"/>
        </w:rPr>
        <w:t xml:space="preserve">Enterprise Risk Management </w:t>
      </w:r>
      <w:r w:rsidRPr="00DE669F">
        <w:rPr>
          <w:i/>
          <w:lang w:val="en-US"/>
        </w:rPr>
        <w:t>–</w:t>
      </w:r>
      <w:r w:rsidRPr="00DE669F">
        <w:rPr>
          <w:lang w:val="en-US"/>
        </w:rPr>
        <w:t xml:space="preserve"> Integrated Framework: Executive Summary.</w:t>
      </w:r>
    </w:p>
    <w:p w:rsidR="00F85660" w:rsidRPr="0082426E" w:rsidRDefault="00DE669F" w:rsidP="0082426E">
      <w:pPr>
        <w:jc w:val="both"/>
      </w:pPr>
      <w:proofErr w:type="spellStart"/>
      <w:r w:rsidRPr="00DE669F">
        <w:rPr>
          <w:lang w:val="en-US"/>
        </w:rPr>
        <w:t>Crouhy</w:t>
      </w:r>
      <w:proofErr w:type="spellEnd"/>
      <w:r w:rsidRPr="00DE669F">
        <w:rPr>
          <w:lang w:val="en-US"/>
        </w:rPr>
        <w:t xml:space="preserve">, M., </w:t>
      </w:r>
      <w:proofErr w:type="spellStart"/>
      <w:r w:rsidRPr="00DE669F">
        <w:rPr>
          <w:lang w:val="en-US"/>
        </w:rPr>
        <w:t>Galai</w:t>
      </w:r>
      <w:proofErr w:type="spellEnd"/>
      <w:r w:rsidRPr="00DE669F">
        <w:rPr>
          <w:lang w:val="en-US"/>
        </w:rPr>
        <w:t xml:space="preserve">, D., &amp; Mark, </w:t>
      </w:r>
      <w:r w:rsidR="00F85660" w:rsidRPr="00DE669F">
        <w:rPr>
          <w:lang w:val="en-US"/>
        </w:rPr>
        <w:t>R.</w:t>
      </w:r>
      <w:r w:rsidRPr="00DE669F">
        <w:rPr>
          <w:lang w:val="en-US"/>
        </w:rPr>
        <w:t xml:space="preserve"> </w:t>
      </w:r>
      <w:r>
        <w:rPr>
          <w:lang w:val="en-US"/>
        </w:rPr>
        <w:t>(2004).</w:t>
      </w:r>
      <w:r w:rsidR="00F85660" w:rsidRPr="00DE669F">
        <w:rPr>
          <w:lang w:val="en-US"/>
        </w:rPr>
        <w:t xml:space="preserve"> </w:t>
      </w:r>
      <w:r w:rsidR="00F85660" w:rsidRPr="00DE669F">
        <w:rPr>
          <w:i/>
        </w:rPr>
        <w:t>Gerenciamento de risco:</w:t>
      </w:r>
      <w:r w:rsidR="00F85660" w:rsidRPr="0082426E">
        <w:t xml:space="preserve"> abordagem conceitual e prática. Rio de Janeiro: </w:t>
      </w:r>
      <w:proofErr w:type="spellStart"/>
      <w:r w:rsidR="00F85660" w:rsidRPr="0082426E">
        <w:t>Qualitymark</w:t>
      </w:r>
      <w:proofErr w:type="spellEnd"/>
      <w:r w:rsidR="00F85660" w:rsidRPr="0082426E">
        <w:t>.</w:t>
      </w:r>
    </w:p>
    <w:p w:rsidR="00DE669F" w:rsidRPr="000440CF" w:rsidRDefault="00DE669F" w:rsidP="0082426E">
      <w:pPr>
        <w:jc w:val="both"/>
        <w:rPr>
          <w:lang w:val="en-US"/>
        </w:rPr>
      </w:pPr>
      <w:proofErr w:type="spellStart"/>
      <w:r w:rsidRPr="000440CF">
        <w:rPr>
          <w:shd w:val="clear" w:color="auto" w:fill="FFFFFF"/>
        </w:rPr>
        <w:t>Donaldson</w:t>
      </w:r>
      <w:proofErr w:type="spellEnd"/>
      <w:r w:rsidRPr="000440CF">
        <w:rPr>
          <w:shd w:val="clear" w:color="auto" w:fill="FFFFFF"/>
        </w:rPr>
        <w:t>, L. (1999). Teoria da contingência estrutural. </w:t>
      </w:r>
      <w:r w:rsidRPr="000440CF">
        <w:rPr>
          <w:i/>
          <w:iCs/>
          <w:shd w:val="clear" w:color="auto" w:fill="FFFFFF"/>
          <w:lang w:val="en-US"/>
        </w:rPr>
        <w:t xml:space="preserve">Handbook de </w:t>
      </w:r>
      <w:proofErr w:type="spellStart"/>
      <w:r w:rsidRPr="000440CF">
        <w:rPr>
          <w:i/>
          <w:iCs/>
          <w:shd w:val="clear" w:color="auto" w:fill="FFFFFF"/>
          <w:lang w:val="en-US"/>
        </w:rPr>
        <w:t>estudos</w:t>
      </w:r>
      <w:proofErr w:type="spellEnd"/>
      <w:r w:rsidRPr="000440CF">
        <w:rPr>
          <w:i/>
          <w:iCs/>
          <w:shd w:val="clear" w:color="auto" w:fill="FFFFFF"/>
          <w:lang w:val="en-US"/>
        </w:rPr>
        <w:t xml:space="preserve"> </w:t>
      </w:r>
      <w:proofErr w:type="spellStart"/>
      <w:r w:rsidRPr="000440CF">
        <w:rPr>
          <w:i/>
          <w:iCs/>
          <w:shd w:val="clear" w:color="auto" w:fill="FFFFFF"/>
          <w:lang w:val="en-US"/>
        </w:rPr>
        <w:t>organizacionais</w:t>
      </w:r>
      <w:proofErr w:type="spellEnd"/>
      <w:r w:rsidRPr="000440CF">
        <w:rPr>
          <w:shd w:val="clear" w:color="auto" w:fill="FFFFFF"/>
          <w:lang w:val="en-US"/>
        </w:rPr>
        <w:t>, </w:t>
      </w:r>
      <w:r w:rsidRPr="000440CF">
        <w:rPr>
          <w:i/>
          <w:iCs/>
          <w:shd w:val="clear" w:color="auto" w:fill="FFFFFF"/>
          <w:lang w:val="en-US"/>
        </w:rPr>
        <w:t>1</w:t>
      </w:r>
      <w:r w:rsidRPr="000440CF">
        <w:rPr>
          <w:shd w:val="clear" w:color="auto" w:fill="FFFFFF"/>
          <w:lang w:val="en-US"/>
        </w:rPr>
        <w:t>, 105-133.</w:t>
      </w:r>
    </w:p>
    <w:p w:rsidR="00F85660" w:rsidRPr="000440CF" w:rsidRDefault="005146A8" w:rsidP="005146A8">
      <w:pPr>
        <w:jc w:val="both"/>
        <w:rPr>
          <w:lang w:val="en-US"/>
        </w:rPr>
      </w:pPr>
      <w:r w:rsidRPr="000440CF">
        <w:rPr>
          <w:shd w:val="clear" w:color="auto" w:fill="FFFFFF"/>
          <w:lang w:val="en-US"/>
        </w:rPr>
        <w:t>_________</w:t>
      </w:r>
      <w:r w:rsidR="00F85660" w:rsidRPr="000440CF">
        <w:rPr>
          <w:lang w:val="en-US"/>
        </w:rPr>
        <w:t>.</w:t>
      </w:r>
      <w:r w:rsidRPr="000440CF">
        <w:rPr>
          <w:lang w:val="en-US"/>
        </w:rPr>
        <w:t xml:space="preserve"> (2001).</w:t>
      </w:r>
      <w:r w:rsidR="00F85660" w:rsidRPr="000440CF">
        <w:rPr>
          <w:lang w:val="en-US"/>
        </w:rPr>
        <w:t xml:space="preserve"> Structural Contingency Theory</w:t>
      </w:r>
      <w:r w:rsidRPr="000440CF">
        <w:rPr>
          <w:lang w:val="en-US"/>
        </w:rPr>
        <w:t xml:space="preserve">, </w:t>
      </w:r>
      <w:r w:rsidRPr="000440CF">
        <w:rPr>
          <w:i/>
          <w:lang w:val="en-US"/>
        </w:rPr>
        <w:t xml:space="preserve">International Encyclopedia of the Social &amp; Behavioral Sciences, </w:t>
      </w:r>
      <w:r w:rsidRPr="000440CF">
        <w:rPr>
          <w:lang w:val="en-US"/>
        </w:rPr>
        <w:t>15210-15215</w:t>
      </w:r>
      <w:r w:rsidR="00F85660" w:rsidRPr="000440CF">
        <w:rPr>
          <w:lang w:val="en-US"/>
        </w:rPr>
        <w:t>.</w:t>
      </w:r>
    </w:p>
    <w:p w:rsidR="005146A8" w:rsidRPr="000440CF" w:rsidRDefault="005146A8" w:rsidP="0082426E">
      <w:pPr>
        <w:jc w:val="both"/>
        <w:rPr>
          <w:lang w:val="en-US"/>
        </w:rPr>
      </w:pPr>
      <w:r w:rsidRPr="000440CF">
        <w:rPr>
          <w:shd w:val="clear" w:color="auto" w:fill="FFFFFF"/>
          <w:lang w:val="en-US"/>
        </w:rPr>
        <w:t xml:space="preserve">Downey, H. K., </w:t>
      </w:r>
      <w:proofErr w:type="spellStart"/>
      <w:r w:rsidRPr="000440CF">
        <w:rPr>
          <w:shd w:val="clear" w:color="auto" w:fill="FFFFFF"/>
          <w:lang w:val="en-US"/>
        </w:rPr>
        <w:t>Hellriegel</w:t>
      </w:r>
      <w:proofErr w:type="spellEnd"/>
      <w:r w:rsidRPr="000440CF">
        <w:rPr>
          <w:shd w:val="clear" w:color="auto" w:fill="FFFFFF"/>
          <w:lang w:val="en-US"/>
        </w:rPr>
        <w:t>, D., &amp; Slocum Jr, J. W. (1975). Environmental uncertainty: The construct and its application. </w:t>
      </w:r>
      <w:r w:rsidRPr="000D74BF">
        <w:rPr>
          <w:i/>
          <w:iCs/>
          <w:shd w:val="clear" w:color="auto" w:fill="FFFFFF"/>
          <w:lang w:val="en-US"/>
        </w:rPr>
        <w:t>Administrative science quarterly</w:t>
      </w:r>
      <w:r w:rsidRPr="000D74BF">
        <w:rPr>
          <w:shd w:val="clear" w:color="auto" w:fill="FFFFFF"/>
          <w:lang w:val="en-US"/>
        </w:rPr>
        <w:t xml:space="preserve">, </w:t>
      </w:r>
      <w:r w:rsidRPr="000D74BF">
        <w:rPr>
          <w:i/>
          <w:shd w:val="clear" w:color="auto" w:fill="FFFFFF"/>
          <w:lang w:val="en-US"/>
        </w:rPr>
        <w:t>20</w:t>
      </w:r>
      <w:r w:rsidRPr="000D74BF">
        <w:rPr>
          <w:shd w:val="clear" w:color="auto" w:fill="FFFFFF"/>
          <w:lang w:val="en-US"/>
        </w:rPr>
        <w:t>, 613-629.</w:t>
      </w:r>
    </w:p>
    <w:p w:rsidR="00055F80" w:rsidRPr="000440CF" w:rsidRDefault="00055F80" w:rsidP="0082426E">
      <w:pPr>
        <w:jc w:val="both"/>
        <w:rPr>
          <w:lang w:val="en-US"/>
        </w:rPr>
      </w:pPr>
      <w:r w:rsidRPr="000440CF">
        <w:rPr>
          <w:shd w:val="clear" w:color="auto" w:fill="FFFFFF"/>
          <w:lang w:val="en-US"/>
        </w:rPr>
        <w:t>Duncan, R. B. (1972). Characteristics of organizational environments and perceived environmental uncertainty. </w:t>
      </w:r>
      <w:r w:rsidRPr="000440CF">
        <w:rPr>
          <w:i/>
          <w:iCs/>
          <w:shd w:val="clear" w:color="auto" w:fill="FFFFFF"/>
          <w:lang w:val="en-US"/>
        </w:rPr>
        <w:t>Administrative science quarterly</w:t>
      </w:r>
      <w:r w:rsidRPr="000440CF">
        <w:rPr>
          <w:shd w:val="clear" w:color="auto" w:fill="FFFFFF"/>
          <w:lang w:val="en-US"/>
        </w:rPr>
        <w:t>, 313-327.</w:t>
      </w:r>
    </w:p>
    <w:p w:rsidR="00055F80" w:rsidRPr="000465E5" w:rsidRDefault="00055F80" w:rsidP="0082426E">
      <w:pPr>
        <w:jc w:val="both"/>
        <w:rPr>
          <w:lang w:val="en-US"/>
        </w:rPr>
      </w:pPr>
      <w:proofErr w:type="spellStart"/>
      <w:r w:rsidRPr="000465E5">
        <w:rPr>
          <w:shd w:val="clear" w:color="auto" w:fill="FFFFFF"/>
          <w:lang w:val="en-US"/>
        </w:rPr>
        <w:t>Ewusi</w:t>
      </w:r>
      <w:proofErr w:type="spellEnd"/>
      <w:r w:rsidRPr="000465E5">
        <w:rPr>
          <w:shd w:val="clear" w:color="auto" w:fill="FFFFFF"/>
          <w:lang w:val="en-US"/>
        </w:rPr>
        <w:t>-Mensah, K. (1981). The external organizational environment and its impact on management information systems. </w:t>
      </w:r>
      <w:r w:rsidRPr="000D74BF">
        <w:rPr>
          <w:i/>
          <w:iCs/>
          <w:shd w:val="clear" w:color="auto" w:fill="FFFFFF"/>
          <w:lang w:val="en-US"/>
        </w:rPr>
        <w:t>Accounting, Organizations and Society</w:t>
      </w:r>
      <w:r w:rsidRPr="000D74BF">
        <w:rPr>
          <w:shd w:val="clear" w:color="auto" w:fill="FFFFFF"/>
          <w:lang w:val="en-US"/>
        </w:rPr>
        <w:t>, </w:t>
      </w:r>
      <w:r w:rsidRPr="000D74BF">
        <w:rPr>
          <w:i/>
          <w:iCs/>
          <w:shd w:val="clear" w:color="auto" w:fill="FFFFFF"/>
          <w:lang w:val="en-US"/>
        </w:rPr>
        <w:t>6</w:t>
      </w:r>
      <w:r w:rsidRPr="000D74BF">
        <w:rPr>
          <w:shd w:val="clear" w:color="auto" w:fill="FFFFFF"/>
          <w:lang w:val="en-US"/>
        </w:rPr>
        <w:t>(4), 301-316.</w:t>
      </w:r>
    </w:p>
    <w:p w:rsidR="00F85660" w:rsidRPr="000465E5" w:rsidRDefault="00F85660" w:rsidP="0082426E">
      <w:pPr>
        <w:jc w:val="both"/>
      </w:pPr>
      <w:r w:rsidRPr="000465E5">
        <w:rPr>
          <w:bCs/>
          <w:lang w:val="en-US"/>
        </w:rPr>
        <w:t xml:space="preserve">FERMA. </w:t>
      </w:r>
      <w:r w:rsidR="000440CF" w:rsidRPr="000465E5">
        <w:rPr>
          <w:bCs/>
          <w:lang w:val="en-US"/>
        </w:rPr>
        <w:t xml:space="preserve">2002. </w:t>
      </w:r>
      <w:r w:rsidRPr="000465E5">
        <w:rPr>
          <w:bCs/>
          <w:i/>
          <w:lang w:val="en-US"/>
        </w:rPr>
        <w:t>Federation of European Risk Management Associations</w:t>
      </w:r>
      <w:r w:rsidRPr="000465E5">
        <w:rPr>
          <w:lang w:val="en-US"/>
        </w:rPr>
        <w:t xml:space="preserve">. </w:t>
      </w:r>
      <w:r w:rsidR="000440CF" w:rsidRPr="000465E5">
        <w:t xml:space="preserve">Recuperado em 12 setembro, 2016, </w:t>
      </w:r>
      <w:proofErr w:type="gramStart"/>
      <w:r w:rsidR="000440CF" w:rsidRPr="000465E5">
        <w:t xml:space="preserve">de </w:t>
      </w:r>
      <w:r w:rsidRPr="000465E5">
        <w:t xml:space="preserve"> http://www.ferma.eu/wp-content/uploads/2011/11/a-risk-management-standard-portuguese-version.pdf</w:t>
      </w:r>
      <w:proofErr w:type="gramEnd"/>
      <w:r w:rsidRPr="000465E5">
        <w:t xml:space="preserve">. </w:t>
      </w:r>
    </w:p>
    <w:p w:rsidR="000440CF" w:rsidRPr="000465E5" w:rsidRDefault="000440CF" w:rsidP="0082426E">
      <w:pPr>
        <w:jc w:val="both"/>
        <w:rPr>
          <w:lang w:val="en-US"/>
        </w:rPr>
      </w:pPr>
      <w:r w:rsidRPr="000465E5">
        <w:rPr>
          <w:shd w:val="clear" w:color="auto" w:fill="FFFFFF"/>
          <w:lang w:val="en-US"/>
        </w:rPr>
        <w:t xml:space="preserve">Ferreira, A., &amp; </w:t>
      </w:r>
      <w:proofErr w:type="spellStart"/>
      <w:r w:rsidRPr="000465E5">
        <w:rPr>
          <w:shd w:val="clear" w:color="auto" w:fill="FFFFFF"/>
          <w:lang w:val="en-US"/>
        </w:rPr>
        <w:t>Otley</w:t>
      </w:r>
      <w:proofErr w:type="spellEnd"/>
      <w:r w:rsidRPr="000465E5">
        <w:rPr>
          <w:shd w:val="clear" w:color="auto" w:fill="FFFFFF"/>
          <w:lang w:val="en-US"/>
        </w:rPr>
        <w:t>, D. (2009). The design and use of performance management systems: An extended framework for analysis. </w:t>
      </w:r>
      <w:r w:rsidRPr="000465E5">
        <w:rPr>
          <w:i/>
          <w:iCs/>
          <w:shd w:val="clear" w:color="auto" w:fill="FFFFFF"/>
          <w:lang w:val="en-US"/>
        </w:rPr>
        <w:t>Management accounting research</w:t>
      </w:r>
      <w:r w:rsidRPr="000465E5">
        <w:rPr>
          <w:shd w:val="clear" w:color="auto" w:fill="FFFFFF"/>
          <w:lang w:val="en-US"/>
        </w:rPr>
        <w:t>, </w:t>
      </w:r>
      <w:r w:rsidRPr="000465E5">
        <w:rPr>
          <w:i/>
          <w:iCs/>
          <w:shd w:val="clear" w:color="auto" w:fill="FFFFFF"/>
          <w:lang w:val="en-US"/>
        </w:rPr>
        <w:t>20</w:t>
      </w:r>
      <w:r w:rsidRPr="000465E5">
        <w:rPr>
          <w:shd w:val="clear" w:color="auto" w:fill="FFFFFF"/>
          <w:lang w:val="en-US"/>
        </w:rPr>
        <w:t>(4), 263-282.</w:t>
      </w:r>
    </w:p>
    <w:p w:rsidR="000440CF" w:rsidRPr="000465E5" w:rsidRDefault="000440CF" w:rsidP="0082426E">
      <w:pPr>
        <w:jc w:val="both"/>
        <w:rPr>
          <w:lang w:val="en-US"/>
        </w:rPr>
      </w:pPr>
      <w:proofErr w:type="spellStart"/>
      <w:r w:rsidRPr="000465E5">
        <w:rPr>
          <w:shd w:val="clear" w:color="auto" w:fill="FFFFFF"/>
          <w:lang w:val="en-US"/>
        </w:rPr>
        <w:t>Frezatti</w:t>
      </w:r>
      <w:proofErr w:type="spellEnd"/>
      <w:r w:rsidRPr="000465E5">
        <w:rPr>
          <w:shd w:val="clear" w:color="auto" w:fill="FFFFFF"/>
          <w:lang w:val="en-US"/>
        </w:rPr>
        <w:t>, F., Rocha, W., &amp; do Nascimento, A. R. (2000). </w:t>
      </w:r>
      <w:r w:rsidRPr="000465E5">
        <w:rPr>
          <w:i/>
          <w:iCs/>
          <w:shd w:val="clear" w:color="auto" w:fill="FFFFFF"/>
        </w:rPr>
        <w:t>Controle gerencial: uma abordagem da contabilidade gerencial no contexto econômico, comportamental e sociológico</w:t>
      </w:r>
      <w:r w:rsidRPr="000465E5">
        <w:rPr>
          <w:shd w:val="clear" w:color="auto" w:fill="FFFFFF"/>
        </w:rPr>
        <w:t xml:space="preserve">. </w:t>
      </w:r>
      <w:proofErr w:type="spellStart"/>
      <w:r w:rsidRPr="000465E5">
        <w:rPr>
          <w:shd w:val="clear" w:color="auto" w:fill="FFFFFF"/>
          <w:lang w:val="en-US"/>
        </w:rPr>
        <w:t>Editora</w:t>
      </w:r>
      <w:proofErr w:type="spellEnd"/>
      <w:r w:rsidRPr="000465E5">
        <w:rPr>
          <w:shd w:val="clear" w:color="auto" w:fill="FFFFFF"/>
          <w:lang w:val="en-US"/>
        </w:rPr>
        <w:t xml:space="preserve"> Atlas SA.</w:t>
      </w:r>
    </w:p>
    <w:p w:rsidR="000440CF" w:rsidRPr="000465E5" w:rsidRDefault="000440CF" w:rsidP="0082426E">
      <w:pPr>
        <w:jc w:val="both"/>
        <w:rPr>
          <w:lang w:val="en-US"/>
        </w:rPr>
      </w:pPr>
      <w:r w:rsidRPr="000465E5">
        <w:rPr>
          <w:shd w:val="clear" w:color="auto" w:fill="FFFFFF"/>
          <w:lang w:val="en-US"/>
        </w:rPr>
        <w:t xml:space="preserve">Gordon, L. A., &amp; Miller, D. (1976). A contingency framework for the design of accounting information systems. </w:t>
      </w:r>
      <w:r w:rsidRPr="000465E5">
        <w:rPr>
          <w:i/>
          <w:iCs/>
          <w:shd w:val="clear" w:color="auto" w:fill="FFFFFF"/>
          <w:lang w:val="en-US"/>
        </w:rPr>
        <w:t>Accounting, Organizations and Society</w:t>
      </w:r>
      <w:r w:rsidRPr="000465E5">
        <w:rPr>
          <w:shd w:val="clear" w:color="auto" w:fill="FFFFFF"/>
          <w:lang w:val="en-US"/>
        </w:rPr>
        <w:t xml:space="preserve">, </w:t>
      </w:r>
      <w:r w:rsidRPr="000465E5">
        <w:rPr>
          <w:i/>
          <w:shd w:val="clear" w:color="auto" w:fill="FFFFFF"/>
          <w:lang w:val="en-US"/>
        </w:rPr>
        <w:t>1</w:t>
      </w:r>
      <w:r w:rsidRPr="000465E5">
        <w:rPr>
          <w:shd w:val="clear" w:color="auto" w:fill="FFFFFF"/>
          <w:lang w:val="en-US"/>
        </w:rPr>
        <w:t>(1), 59-69.</w:t>
      </w:r>
    </w:p>
    <w:p w:rsidR="000440CF" w:rsidRPr="000465E5" w:rsidRDefault="000440CF" w:rsidP="0082426E">
      <w:pPr>
        <w:jc w:val="both"/>
        <w:rPr>
          <w:lang w:val="en-US"/>
        </w:rPr>
      </w:pPr>
      <w:r w:rsidRPr="000465E5">
        <w:rPr>
          <w:shd w:val="clear" w:color="auto" w:fill="FFFFFF"/>
          <w:lang w:val="en-US"/>
        </w:rPr>
        <w:t xml:space="preserve">_________, &amp; Narayanan, V. K. (1984). </w:t>
      </w:r>
      <w:proofErr w:type="gramStart"/>
      <w:r w:rsidRPr="000465E5">
        <w:rPr>
          <w:shd w:val="clear" w:color="auto" w:fill="FFFFFF"/>
          <w:lang w:val="en-US"/>
        </w:rPr>
        <w:t>Management accounting systems,</w:t>
      </w:r>
      <w:proofErr w:type="gramEnd"/>
      <w:r w:rsidRPr="000465E5">
        <w:rPr>
          <w:shd w:val="clear" w:color="auto" w:fill="FFFFFF"/>
          <w:lang w:val="en-US"/>
        </w:rPr>
        <w:t xml:space="preserve"> perceived environmental uncertainty and organization structure: an empirical investigation. </w:t>
      </w:r>
      <w:r w:rsidRPr="000465E5">
        <w:rPr>
          <w:i/>
          <w:iCs/>
          <w:shd w:val="clear" w:color="auto" w:fill="FFFFFF"/>
          <w:lang w:val="en-US"/>
        </w:rPr>
        <w:t>Accounting, organizations and society</w:t>
      </w:r>
      <w:r w:rsidRPr="000465E5">
        <w:rPr>
          <w:shd w:val="clear" w:color="auto" w:fill="FFFFFF"/>
          <w:lang w:val="en-US"/>
        </w:rPr>
        <w:t>, </w:t>
      </w:r>
      <w:r w:rsidRPr="000465E5">
        <w:rPr>
          <w:i/>
          <w:iCs/>
          <w:shd w:val="clear" w:color="auto" w:fill="FFFFFF"/>
          <w:lang w:val="en-US"/>
        </w:rPr>
        <w:t>9</w:t>
      </w:r>
      <w:r w:rsidRPr="000465E5">
        <w:rPr>
          <w:shd w:val="clear" w:color="auto" w:fill="FFFFFF"/>
          <w:lang w:val="en-US"/>
        </w:rPr>
        <w:t>(1), 33-47.</w:t>
      </w:r>
    </w:p>
    <w:p w:rsidR="000440CF" w:rsidRPr="000465E5" w:rsidRDefault="000440CF" w:rsidP="0082426E">
      <w:pPr>
        <w:jc w:val="both"/>
        <w:rPr>
          <w:lang w:val="en-US"/>
        </w:rPr>
      </w:pPr>
      <w:r w:rsidRPr="000465E5">
        <w:rPr>
          <w:shd w:val="clear" w:color="auto" w:fill="FFFFFF"/>
          <w:lang w:val="en-US"/>
        </w:rPr>
        <w:t>_________, Loeb, M. P., &amp; Tseng, C. Y. (2009). Enterprise risk management and firm performance: A contingency perspective. </w:t>
      </w:r>
      <w:r w:rsidRPr="000465E5">
        <w:rPr>
          <w:i/>
          <w:iCs/>
          <w:shd w:val="clear" w:color="auto" w:fill="FFFFFF"/>
          <w:lang w:val="en-US"/>
        </w:rPr>
        <w:t>Journal of Accounting and Public Policy</w:t>
      </w:r>
      <w:r w:rsidRPr="000465E5">
        <w:rPr>
          <w:shd w:val="clear" w:color="auto" w:fill="FFFFFF"/>
          <w:lang w:val="en-US"/>
        </w:rPr>
        <w:t>, </w:t>
      </w:r>
      <w:r w:rsidRPr="000465E5">
        <w:rPr>
          <w:i/>
          <w:iCs/>
          <w:shd w:val="clear" w:color="auto" w:fill="FFFFFF"/>
          <w:lang w:val="en-US"/>
        </w:rPr>
        <w:t>28</w:t>
      </w:r>
      <w:r w:rsidRPr="000465E5">
        <w:rPr>
          <w:shd w:val="clear" w:color="auto" w:fill="FFFFFF"/>
          <w:lang w:val="en-US"/>
        </w:rPr>
        <w:t>(4), 301-327.</w:t>
      </w:r>
    </w:p>
    <w:p w:rsidR="000440CF" w:rsidRPr="000465E5" w:rsidRDefault="000440CF" w:rsidP="0082426E">
      <w:pPr>
        <w:jc w:val="both"/>
        <w:rPr>
          <w:lang w:val="en-US"/>
        </w:rPr>
      </w:pPr>
      <w:r w:rsidRPr="000465E5">
        <w:rPr>
          <w:shd w:val="clear" w:color="auto" w:fill="FFFFFF"/>
          <w:lang w:val="en-US"/>
        </w:rPr>
        <w:t>Gosselin, M. (2011). Contextual factors affecting the deployment of innovative performance measurement systems. </w:t>
      </w:r>
      <w:r w:rsidRPr="000465E5">
        <w:rPr>
          <w:i/>
          <w:iCs/>
          <w:shd w:val="clear" w:color="auto" w:fill="FFFFFF"/>
          <w:lang w:val="en-US"/>
        </w:rPr>
        <w:t>Journal of Applied Accounting Research</w:t>
      </w:r>
      <w:r w:rsidRPr="000465E5">
        <w:rPr>
          <w:shd w:val="clear" w:color="auto" w:fill="FFFFFF"/>
          <w:lang w:val="en-US"/>
        </w:rPr>
        <w:t>, </w:t>
      </w:r>
      <w:r w:rsidRPr="000465E5">
        <w:rPr>
          <w:i/>
          <w:iCs/>
          <w:shd w:val="clear" w:color="auto" w:fill="FFFFFF"/>
          <w:lang w:val="en-US"/>
        </w:rPr>
        <w:t>12</w:t>
      </w:r>
      <w:r w:rsidRPr="000465E5">
        <w:rPr>
          <w:shd w:val="clear" w:color="auto" w:fill="FFFFFF"/>
          <w:lang w:val="en-US"/>
        </w:rPr>
        <w:t>(3), 260-277.</w:t>
      </w:r>
      <w:r w:rsidRPr="000465E5">
        <w:rPr>
          <w:lang w:val="en-US"/>
        </w:rPr>
        <w:t xml:space="preserve"> </w:t>
      </w:r>
    </w:p>
    <w:p w:rsidR="000440CF" w:rsidRPr="000465E5" w:rsidRDefault="000440CF" w:rsidP="0082426E">
      <w:pPr>
        <w:jc w:val="both"/>
        <w:rPr>
          <w:shd w:val="clear" w:color="auto" w:fill="FFFFFF"/>
          <w:lang w:val="en-US"/>
        </w:rPr>
      </w:pPr>
      <w:r w:rsidRPr="000465E5">
        <w:rPr>
          <w:shd w:val="clear" w:color="auto" w:fill="FFFFFF"/>
          <w:lang w:val="en-US"/>
        </w:rPr>
        <w:t>Govindarajan, V. (1984). Appropriateness of accounting data in performance evaluation: an empirical examination of environmental uncertainty as an intervening variable. </w:t>
      </w:r>
      <w:r w:rsidRPr="000465E5">
        <w:rPr>
          <w:i/>
          <w:iCs/>
          <w:shd w:val="clear" w:color="auto" w:fill="FFFFFF"/>
          <w:lang w:val="en-US"/>
        </w:rPr>
        <w:t>Accounting, organizations and society</w:t>
      </w:r>
      <w:r w:rsidRPr="000465E5">
        <w:rPr>
          <w:shd w:val="clear" w:color="auto" w:fill="FFFFFF"/>
          <w:lang w:val="en-US"/>
        </w:rPr>
        <w:t>, </w:t>
      </w:r>
      <w:r w:rsidRPr="000465E5">
        <w:rPr>
          <w:i/>
          <w:iCs/>
          <w:shd w:val="clear" w:color="auto" w:fill="FFFFFF"/>
          <w:lang w:val="en-US"/>
        </w:rPr>
        <w:t>9</w:t>
      </w:r>
      <w:r w:rsidRPr="000465E5">
        <w:rPr>
          <w:shd w:val="clear" w:color="auto" w:fill="FFFFFF"/>
          <w:lang w:val="en-US"/>
        </w:rPr>
        <w:t>(2), 125-135.</w:t>
      </w:r>
    </w:p>
    <w:p w:rsidR="00F85660" w:rsidRPr="000465E5" w:rsidRDefault="000440CF" w:rsidP="000440CF">
      <w:pPr>
        <w:jc w:val="both"/>
        <w:rPr>
          <w:lang w:val="en-US"/>
        </w:rPr>
      </w:pPr>
      <w:r w:rsidRPr="000465E5">
        <w:rPr>
          <w:shd w:val="clear" w:color="auto" w:fill="FFFFFF"/>
          <w:lang w:val="en-US"/>
        </w:rPr>
        <w:t xml:space="preserve">_________, </w:t>
      </w:r>
      <w:r w:rsidRPr="000D74BF">
        <w:rPr>
          <w:shd w:val="clear" w:color="auto" w:fill="FFFFFF"/>
          <w:lang w:val="en-US"/>
        </w:rPr>
        <w:t xml:space="preserve">&amp; Gupta, A. K. (1985). </w:t>
      </w:r>
      <w:r w:rsidRPr="000465E5">
        <w:rPr>
          <w:shd w:val="clear" w:color="auto" w:fill="FFFFFF"/>
          <w:lang w:val="en-US"/>
        </w:rPr>
        <w:t>Linking control systems to business unit strategy: impact on performance. </w:t>
      </w:r>
      <w:r w:rsidRPr="000D74BF">
        <w:rPr>
          <w:i/>
          <w:iCs/>
          <w:shd w:val="clear" w:color="auto" w:fill="FFFFFF"/>
          <w:lang w:val="en-US"/>
        </w:rPr>
        <w:t>Accounting, Organizations and Society</w:t>
      </w:r>
      <w:r w:rsidRPr="000D74BF">
        <w:rPr>
          <w:shd w:val="clear" w:color="auto" w:fill="FFFFFF"/>
          <w:lang w:val="en-US"/>
        </w:rPr>
        <w:t>, </w:t>
      </w:r>
      <w:r w:rsidRPr="000D74BF">
        <w:rPr>
          <w:i/>
          <w:iCs/>
          <w:shd w:val="clear" w:color="auto" w:fill="FFFFFF"/>
          <w:lang w:val="en-US"/>
        </w:rPr>
        <w:t>10</w:t>
      </w:r>
      <w:r w:rsidRPr="000D74BF">
        <w:rPr>
          <w:shd w:val="clear" w:color="auto" w:fill="FFFFFF"/>
          <w:lang w:val="en-US"/>
        </w:rPr>
        <w:t>(1), 51-66.</w:t>
      </w:r>
    </w:p>
    <w:p w:rsidR="00FD2137" w:rsidRPr="000465E5" w:rsidRDefault="00FD2137" w:rsidP="0082426E">
      <w:pPr>
        <w:jc w:val="both"/>
        <w:rPr>
          <w:lang w:val="en-US"/>
        </w:rPr>
      </w:pPr>
      <w:r w:rsidRPr="000465E5">
        <w:rPr>
          <w:shd w:val="clear" w:color="auto" w:fill="FFFFFF"/>
          <w:lang w:val="en-US"/>
        </w:rPr>
        <w:t xml:space="preserve">Gul, F. A., &amp; Chia, Y. M. (1994). </w:t>
      </w:r>
      <w:proofErr w:type="gramStart"/>
      <w:r w:rsidRPr="000465E5">
        <w:rPr>
          <w:shd w:val="clear" w:color="auto" w:fill="FFFFFF"/>
          <w:lang w:val="en-US"/>
        </w:rPr>
        <w:t>The effects of management accounting systems,</w:t>
      </w:r>
      <w:proofErr w:type="gramEnd"/>
      <w:r w:rsidRPr="000465E5">
        <w:rPr>
          <w:shd w:val="clear" w:color="auto" w:fill="FFFFFF"/>
          <w:lang w:val="en-US"/>
        </w:rPr>
        <w:t xml:space="preserve"> perceived environmental uncertainty and decentralization on managerial performance: a test of three-way interaction. </w:t>
      </w:r>
      <w:r w:rsidRPr="000465E5">
        <w:rPr>
          <w:i/>
          <w:iCs/>
          <w:shd w:val="clear" w:color="auto" w:fill="FFFFFF"/>
          <w:lang w:val="en-US"/>
        </w:rPr>
        <w:t>Accounting, Organizations and Society</w:t>
      </w:r>
      <w:r w:rsidRPr="000465E5">
        <w:rPr>
          <w:shd w:val="clear" w:color="auto" w:fill="FFFFFF"/>
          <w:lang w:val="en-US"/>
        </w:rPr>
        <w:t>, </w:t>
      </w:r>
      <w:r w:rsidRPr="000465E5">
        <w:rPr>
          <w:i/>
          <w:iCs/>
          <w:shd w:val="clear" w:color="auto" w:fill="FFFFFF"/>
          <w:lang w:val="en-US"/>
        </w:rPr>
        <w:t>19</w:t>
      </w:r>
      <w:r w:rsidRPr="000465E5">
        <w:rPr>
          <w:shd w:val="clear" w:color="auto" w:fill="FFFFFF"/>
          <w:lang w:val="en-US"/>
        </w:rPr>
        <w:t>(4-5), 413-426.</w:t>
      </w:r>
    </w:p>
    <w:p w:rsidR="00FD2137" w:rsidRPr="000465E5" w:rsidRDefault="00FD2137" w:rsidP="0082426E">
      <w:pPr>
        <w:jc w:val="both"/>
        <w:rPr>
          <w:shd w:val="clear" w:color="auto" w:fill="FFFFFF"/>
          <w:lang w:val="en-US"/>
        </w:rPr>
      </w:pPr>
      <w:r w:rsidRPr="000465E5">
        <w:rPr>
          <w:shd w:val="clear" w:color="auto" w:fill="FFFFFF"/>
          <w:lang w:val="en-US"/>
        </w:rPr>
        <w:t xml:space="preserve">Hammad, S. A., </w:t>
      </w:r>
      <w:proofErr w:type="spellStart"/>
      <w:r w:rsidRPr="000465E5">
        <w:rPr>
          <w:shd w:val="clear" w:color="auto" w:fill="FFFFFF"/>
          <w:lang w:val="en-US"/>
        </w:rPr>
        <w:t>Jusoh</w:t>
      </w:r>
      <w:proofErr w:type="spellEnd"/>
      <w:r w:rsidRPr="000465E5">
        <w:rPr>
          <w:shd w:val="clear" w:color="auto" w:fill="FFFFFF"/>
          <w:lang w:val="en-US"/>
        </w:rPr>
        <w:t xml:space="preserve">, R., &amp; Yen Nee </w:t>
      </w:r>
      <w:proofErr w:type="spellStart"/>
      <w:r w:rsidRPr="000465E5">
        <w:rPr>
          <w:shd w:val="clear" w:color="auto" w:fill="FFFFFF"/>
          <w:lang w:val="en-US"/>
        </w:rPr>
        <w:t>Oon</w:t>
      </w:r>
      <w:proofErr w:type="spellEnd"/>
      <w:r w:rsidRPr="000465E5">
        <w:rPr>
          <w:shd w:val="clear" w:color="auto" w:fill="FFFFFF"/>
          <w:lang w:val="en-US"/>
        </w:rPr>
        <w:t>, E. (2010). Management accounting system for hospitals: a research framework. </w:t>
      </w:r>
      <w:r w:rsidRPr="000465E5">
        <w:rPr>
          <w:i/>
          <w:iCs/>
          <w:shd w:val="clear" w:color="auto" w:fill="FFFFFF"/>
          <w:lang w:val="en-US"/>
        </w:rPr>
        <w:t>Industrial Management &amp; Data Systems</w:t>
      </w:r>
      <w:r w:rsidRPr="000465E5">
        <w:rPr>
          <w:shd w:val="clear" w:color="auto" w:fill="FFFFFF"/>
          <w:lang w:val="en-US"/>
        </w:rPr>
        <w:t>, </w:t>
      </w:r>
      <w:r w:rsidRPr="000465E5">
        <w:rPr>
          <w:i/>
          <w:iCs/>
          <w:shd w:val="clear" w:color="auto" w:fill="FFFFFF"/>
          <w:lang w:val="en-US"/>
        </w:rPr>
        <w:t>110</w:t>
      </w:r>
      <w:r w:rsidRPr="000465E5">
        <w:rPr>
          <w:shd w:val="clear" w:color="auto" w:fill="FFFFFF"/>
          <w:lang w:val="en-US"/>
        </w:rPr>
        <w:t>(5), 762-784.</w:t>
      </w:r>
    </w:p>
    <w:p w:rsidR="00FD2137" w:rsidRPr="000465E5" w:rsidRDefault="00FD2137" w:rsidP="0082426E">
      <w:pPr>
        <w:jc w:val="both"/>
        <w:rPr>
          <w:lang w:val="en-US"/>
        </w:rPr>
      </w:pPr>
      <w:proofErr w:type="spellStart"/>
      <w:r w:rsidRPr="000465E5">
        <w:rPr>
          <w:shd w:val="clear" w:color="auto" w:fill="FFFFFF"/>
          <w:lang w:val="en-US"/>
        </w:rPr>
        <w:t>Kanthi</w:t>
      </w:r>
      <w:proofErr w:type="spellEnd"/>
      <w:r w:rsidRPr="000465E5">
        <w:rPr>
          <w:shd w:val="clear" w:color="auto" w:fill="FFFFFF"/>
          <w:lang w:val="en-US"/>
        </w:rPr>
        <w:t xml:space="preserve"> </w:t>
      </w:r>
      <w:proofErr w:type="spellStart"/>
      <w:r w:rsidRPr="000465E5">
        <w:rPr>
          <w:shd w:val="clear" w:color="auto" w:fill="FFFFFF"/>
          <w:lang w:val="en-US"/>
        </w:rPr>
        <w:t>Herath</w:t>
      </w:r>
      <w:proofErr w:type="spellEnd"/>
      <w:r w:rsidRPr="000465E5">
        <w:rPr>
          <w:shd w:val="clear" w:color="auto" w:fill="FFFFFF"/>
          <w:lang w:val="en-US"/>
        </w:rPr>
        <w:t>, S. (2007). A framework for management control research. </w:t>
      </w:r>
      <w:r w:rsidRPr="000D74BF">
        <w:rPr>
          <w:i/>
          <w:iCs/>
          <w:shd w:val="clear" w:color="auto" w:fill="FFFFFF"/>
          <w:lang w:val="en-US"/>
        </w:rPr>
        <w:t>Journal of management development</w:t>
      </w:r>
      <w:r w:rsidRPr="000D74BF">
        <w:rPr>
          <w:shd w:val="clear" w:color="auto" w:fill="FFFFFF"/>
          <w:lang w:val="en-US"/>
        </w:rPr>
        <w:t>, </w:t>
      </w:r>
      <w:r w:rsidRPr="000D74BF">
        <w:rPr>
          <w:i/>
          <w:iCs/>
          <w:shd w:val="clear" w:color="auto" w:fill="FFFFFF"/>
          <w:lang w:val="en-US"/>
        </w:rPr>
        <w:t>26</w:t>
      </w:r>
      <w:r w:rsidRPr="000D74BF">
        <w:rPr>
          <w:shd w:val="clear" w:color="auto" w:fill="FFFFFF"/>
          <w:lang w:val="en-US"/>
        </w:rPr>
        <w:t>(9), 895-915.</w:t>
      </w:r>
    </w:p>
    <w:p w:rsidR="00FD2137" w:rsidRPr="000465E5" w:rsidRDefault="00FD2137" w:rsidP="0082426E">
      <w:pPr>
        <w:jc w:val="both"/>
        <w:rPr>
          <w:lang w:val="en-US"/>
        </w:rPr>
      </w:pPr>
      <w:r w:rsidRPr="000465E5">
        <w:rPr>
          <w:shd w:val="clear" w:color="auto" w:fill="FFFFFF"/>
          <w:lang w:val="en-US"/>
        </w:rPr>
        <w:lastRenderedPageBreak/>
        <w:t>_________. (2004). A contingency model of the association between strategy, environmental uncertainty and performance measurement: impact on organizational performance. </w:t>
      </w:r>
      <w:r w:rsidRPr="000465E5">
        <w:rPr>
          <w:i/>
          <w:iCs/>
          <w:shd w:val="clear" w:color="auto" w:fill="FFFFFF"/>
          <w:lang w:val="en-US"/>
        </w:rPr>
        <w:t>International Business Review</w:t>
      </w:r>
      <w:r w:rsidRPr="000465E5">
        <w:rPr>
          <w:shd w:val="clear" w:color="auto" w:fill="FFFFFF"/>
          <w:lang w:val="en-US"/>
        </w:rPr>
        <w:t>, </w:t>
      </w:r>
      <w:r w:rsidRPr="000465E5">
        <w:rPr>
          <w:i/>
          <w:iCs/>
          <w:shd w:val="clear" w:color="auto" w:fill="FFFFFF"/>
          <w:lang w:val="en-US"/>
        </w:rPr>
        <w:t>13</w:t>
      </w:r>
      <w:r w:rsidRPr="000465E5">
        <w:rPr>
          <w:shd w:val="clear" w:color="auto" w:fill="FFFFFF"/>
          <w:lang w:val="en-US"/>
        </w:rPr>
        <w:t>(4), 485-502.</w:t>
      </w:r>
    </w:p>
    <w:p w:rsidR="000465E5" w:rsidRPr="000465E5" w:rsidRDefault="000465E5" w:rsidP="0082426E">
      <w:pPr>
        <w:jc w:val="both"/>
        <w:rPr>
          <w:lang w:val="en-US"/>
        </w:rPr>
      </w:pPr>
      <w:r w:rsidRPr="000465E5">
        <w:rPr>
          <w:shd w:val="clear" w:color="auto" w:fill="FFFFFF"/>
          <w:lang w:val="en-US"/>
        </w:rPr>
        <w:t>Hussain, H. A., &amp; Al-</w:t>
      </w:r>
      <w:proofErr w:type="spellStart"/>
      <w:r w:rsidRPr="000465E5">
        <w:rPr>
          <w:shd w:val="clear" w:color="auto" w:fill="FFFFFF"/>
          <w:lang w:val="en-US"/>
        </w:rPr>
        <w:t>Ajmi</w:t>
      </w:r>
      <w:proofErr w:type="spellEnd"/>
      <w:r w:rsidRPr="000465E5">
        <w:rPr>
          <w:shd w:val="clear" w:color="auto" w:fill="FFFFFF"/>
          <w:lang w:val="en-US"/>
        </w:rPr>
        <w:t>, J. (2012). Risk management practices of conventional and Islamic banks in Bahrain. </w:t>
      </w:r>
      <w:r w:rsidRPr="000465E5">
        <w:rPr>
          <w:i/>
          <w:iCs/>
          <w:shd w:val="clear" w:color="auto" w:fill="FFFFFF"/>
          <w:lang w:val="en-US"/>
        </w:rPr>
        <w:t>The Journal of Risk Finance</w:t>
      </w:r>
      <w:r w:rsidRPr="000465E5">
        <w:rPr>
          <w:shd w:val="clear" w:color="auto" w:fill="FFFFFF"/>
          <w:lang w:val="en-US"/>
        </w:rPr>
        <w:t>, </w:t>
      </w:r>
      <w:r w:rsidRPr="000465E5">
        <w:rPr>
          <w:i/>
          <w:iCs/>
          <w:shd w:val="clear" w:color="auto" w:fill="FFFFFF"/>
          <w:lang w:val="en-US"/>
        </w:rPr>
        <w:t>13</w:t>
      </w:r>
      <w:r w:rsidRPr="000465E5">
        <w:rPr>
          <w:shd w:val="clear" w:color="auto" w:fill="FFFFFF"/>
          <w:lang w:val="en-US"/>
        </w:rPr>
        <w:t>(3), 215-239.</w:t>
      </w:r>
    </w:p>
    <w:p w:rsidR="000465E5" w:rsidRPr="000465E5" w:rsidRDefault="000465E5" w:rsidP="0082426E">
      <w:pPr>
        <w:jc w:val="both"/>
        <w:rPr>
          <w:lang w:val="en-US"/>
        </w:rPr>
      </w:pPr>
      <w:proofErr w:type="spellStart"/>
      <w:r w:rsidRPr="000465E5">
        <w:rPr>
          <w:shd w:val="clear" w:color="auto" w:fill="FFFFFF"/>
          <w:lang w:val="en-US"/>
        </w:rPr>
        <w:t>Ittner</w:t>
      </w:r>
      <w:proofErr w:type="spellEnd"/>
      <w:r w:rsidRPr="000465E5">
        <w:rPr>
          <w:shd w:val="clear" w:color="auto" w:fill="FFFFFF"/>
          <w:lang w:val="en-US"/>
        </w:rPr>
        <w:t xml:space="preserve">, C. D., &amp; </w:t>
      </w:r>
      <w:proofErr w:type="spellStart"/>
      <w:r w:rsidRPr="000465E5">
        <w:rPr>
          <w:shd w:val="clear" w:color="auto" w:fill="FFFFFF"/>
          <w:lang w:val="en-US"/>
        </w:rPr>
        <w:t>Larcker</w:t>
      </w:r>
      <w:proofErr w:type="spellEnd"/>
      <w:r w:rsidRPr="000465E5">
        <w:rPr>
          <w:shd w:val="clear" w:color="auto" w:fill="FFFFFF"/>
          <w:lang w:val="en-US"/>
        </w:rPr>
        <w:t>, D. F. (2001). Assessing empirical research in managerial accounting: a value-based management perspective. </w:t>
      </w:r>
      <w:r w:rsidRPr="000465E5">
        <w:rPr>
          <w:i/>
          <w:iCs/>
          <w:shd w:val="clear" w:color="auto" w:fill="FFFFFF"/>
          <w:lang w:val="en-US"/>
        </w:rPr>
        <w:t>Journal of accounting and economics</w:t>
      </w:r>
      <w:r w:rsidRPr="000465E5">
        <w:rPr>
          <w:shd w:val="clear" w:color="auto" w:fill="FFFFFF"/>
          <w:lang w:val="en-US"/>
        </w:rPr>
        <w:t>, </w:t>
      </w:r>
      <w:r w:rsidRPr="000465E5">
        <w:rPr>
          <w:i/>
          <w:iCs/>
          <w:shd w:val="clear" w:color="auto" w:fill="FFFFFF"/>
          <w:lang w:val="en-US"/>
        </w:rPr>
        <w:t>32</w:t>
      </w:r>
      <w:r w:rsidRPr="000465E5">
        <w:rPr>
          <w:shd w:val="clear" w:color="auto" w:fill="FFFFFF"/>
          <w:lang w:val="en-US"/>
        </w:rPr>
        <w:t>(1-3), 349-410.</w:t>
      </w:r>
    </w:p>
    <w:p w:rsidR="000465E5" w:rsidRPr="000465E5" w:rsidRDefault="000465E5" w:rsidP="0082426E">
      <w:pPr>
        <w:jc w:val="both"/>
        <w:rPr>
          <w:lang w:val="en-US"/>
        </w:rPr>
      </w:pPr>
      <w:proofErr w:type="spellStart"/>
      <w:r w:rsidRPr="000465E5">
        <w:rPr>
          <w:shd w:val="clear" w:color="auto" w:fill="FFFFFF"/>
          <w:lang w:val="en-US"/>
        </w:rPr>
        <w:t>Jokipii</w:t>
      </w:r>
      <w:proofErr w:type="spellEnd"/>
      <w:r w:rsidRPr="000465E5">
        <w:rPr>
          <w:shd w:val="clear" w:color="auto" w:fill="FFFFFF"/>
          <w:lang w:val="en-US"/>
        </w:rPr>
        <w:t xml:space="preserve">, A. (2010). Determinants and consequences of internal control in firms: a contingency </w:t>
      </w:r>
      <w:proofErr w:type="gramStart"/>
      <w:r w:rsidRPr="000465E5">
        <w:rPr>
          <w:shd w:val="clear" w:color="auto" w:fill="FFFFFF"/>
          <w:lang w:val="en-US"/>
        </w:rPr>
        <w:t>theory based</w:t>
      </w:r>
      <w:proofErr w:type="gramEnd"/>
      <w:r w:rsidRPr="000465E5">
        <w:rPr>
          <w:shd w:val="clear" w:color="auto" w:fill="FFFFFF"/>
          <w:lang w:val="en-US"/>
        </w:rPr>
        <w:t xml:space="preserve"> analysis. </w:t>
      </w:r>
      <w:r w:rsidRPr="000D74BF">
        <w:rPr>
          <w:i/>
          <w:iCs/>
          <w:shd w:val="clear" w:color="auto" w:fill="FFFFFF"/>
          <w:lang w:val="en-US"/>
        </w:rPr>
        <w:t>Journal of Management &amp; Governance</w:t>
      </w:r>
      <w:r w:rsidRPr="000D74BF">
        <w:rPr>
          <w:shd w:val="clear" w:color="auto" w:fill="FFFFFF"/>
          <w:lang w:val="en-US"/>
        </w:rPr>
        <w:t>, </w:t>
      </w:r>
      <w:r w:rsidRPr="000D74BF">
        <w:rPr>
          <w:i/>
          <w:iCs/>
          <w:shd w:val="clear" w:color="auto" w:fill="FFFFFF"/>
          <w:lang w:val="en-US"/>
        </w:rPr>
        <w:t>14</w:t>
      </w:r>
      <w:r w:rsidRPr="000D74BF">
        <w:rPr>
          <w:shd w:val="clear" w:color="auto" w:fill="FFFFFF"/>
          <w:lang w:val="en-US"/>
        </w:rPr>
        <w:t>(2), 115-144.</w:t>
      </w:r>
    </w:p>
    <w:p w:rsidR="000465E5" w:rsidRPr="000465E5" w:rsidRDefault="000465E5" w:rsidP="0082426E">
      <w:pPr>
        <w:jc w:val="both"/>
        <w:rPr>
          <w:lang w:val="en-US"/>
        </w:rPr>
      </w:pPr>
      <w:proofErr w:type="spellStart"/>
      <w:r w:rsidRPr="000465E5">
        <w:rPr>
          <w:shd w:val="clear" w:color="auto" w:fill="FFFFFF"/>
          <w:lang w:val="en-US"/>
        </w:rPr>
        <w:t>Kloot</w:t>
      </w:r>
      <w:proofErr w:type="spellEnd"/>
      <w:r w:rsidRPr="000465E5">
        <w:rPr>
          <w:shd w:val="clear" w:color="auto" w:fill="FFFFFF"/>
          <w:lang w:val="en-US"/>
        </w:rPr>
        <w:t>, L. (1997). Organizational learning and management control systems: responding to environmental change. </w:t>
      </w:r>
      <w:r w:rsidRPr="000465E5">
        <w:rPr>
          <w:i/>
          <w:iCs/>
          <w:shd w:val="clear" w:color="auto" w:fill="FFFFFF"/>
          <w:lang w:val="en-US"/>
        </w:rPr>
        <w:t>Management Accounting Research</w:t>
      </w:r>
      <w:r w:rsidRPr="000465E5">
        <w:rPr>
          <w:shd w:val="clear" w:color="auto" w:fill="FFFFFF"/>
          <w:lang w:val="en-US"/>
        </w:rPr>
        <w:t>, </w:t>
      </w:r>
      <w:r w:rsidRPr="000465E5">
        <w:rPr>
          <w:i/>
          <w:iCs/>
          <w:shd w:val="clear" w:color="auto" w:fill="FFFFFF"/>
          <w:lang w:val="en-US"/>
        </w:rPr>
        <w:t>8</w:t>
      </w:r>
      <w:r w:rsidRPr="000465E5">
        <w:rPr>
          <w:shd w:val="clear" w:color="auto" w:fill="FFFFFF"/>
          <w:lang w:val="en-US"/>
        </w:rPr>
        <w:t>(1), 47-73.</w:t>
      </w:r>
    </w:p>
    <w:p w:rsidR="000465E5" w:rsidRPr="000465E5" w:rsidRDefault="000465E5" w:rsidP="0082426E">
      <w:pPr>
        <w:jc w:val="both"/>
        <w:rPr>
          <w:lang w:val="en-US"/>
        </w:rPr>
      </w:pPr>
      <w:proofErr w:type="spellStart"/>
      <w:r w:rsidRPr="000465E5">
        <w:rPr>
          <w:shd w:val="clear" w:color="auto" w:fill="FFFFFF"/>
          <w:lang w:val="en-US"/>
        </w:rPr>
        <w:t>Langfield</w:t>
      </w:r>
      <w:proofErr w:type="spellEnd"/>
      <w:r w:rsidRPr="000465E5">
        <w:rPr>
          <w:shd w:val="clear" w:color="auto" w:fill="FFFFFF"/>
          <w:lang w:val="en-US"/>
        </w:rPr>
        <w:t>-Smith, K. (2006). A review of quantitative research in management control systems and strategy. </w:t>
      </w:r>
      <w:r w:rsidRPr="000465E5">
        <w:rPr>
          <w:i/>
          <w:iCs/>
          <w:shd w:val="clear" w:color="auto" w:fill="FFFFFF"/>
          <w:lang w:val="en-US"/>
        </w:rPr>
        <w:t>Handbooks of Management Accounting Research</w:t>
      </w:r>
      <w:r w:rsidRPr="000465E5">
        <w:rPr>
          <w:shd w:val="clear" w:color="auto" w:fill="FFFFFF"/>
          <w:lang w:val="en-US"/>
        </w:rPr>
        <w:t>, </w:t>
      </w:r>
      <w:r w:rsidRPr="000465E5">
        <w:rPr>
          <w:i/>
          <w:iCs/>
          <w:shd w:val="clear" w:color="auto" w:fill="FFFFFF"/>
          <w:lang w:val="en-US"/>
        </w:rPr>
        <w:t>2</w:t>
      </w:r>
      <w:r w:rsidRPr="000465E5">
        <w:rPr>
          <w:shd w:val="clear" w:color="auto" w:fill="FFFFFF"/>
          <w:lang w:val="en-US"/>
        </w:rPr>
        <w:t>, 753-783.</w:t>
      </w:r>
      <w:r w:rsidRPr="000465E5">
        <w:rPr>
          <w:lang w:val="en-US"/>
        </w:rPr>
        <w:t xml:space="preserve"> </w:t>
      </w:r>
    </w:p>
    <w:p w:rsidR="000465E5" w:rsidRPr="000D74BF" w:rsidRDefault="000465E5" w:rsidP="0082426E">
      <w:pPr>
        <w:jc w:val="both"/>
        <w:rPr>
          <w:shd w:val="clear" w:color="auto" w:fill="FFFFFF"/>
          <w:lang w:val="en-US"/>
        </w:rPr>
      </w:pPr>
      <w:r w:rsidRPr="000465E5">
        <w:rPr>
          <w:shd w:val="clear" w:color="auto" w:fill="FFFFFF"/>
          <w:lang w:val="en-US"/>
        </w:rPr>
        <w:t>McLaren, T., Head, M., &amp; Yuan, Y. (2004). Strategic fit of supply chain management information systems: A measurement model. International Conference on Information Systems (</w:t>
      </w:r>
      <w:r w:rsidRPr="000D74BF">
        <w:rPr>
          <w:i/>
          <w:iCs/>
          <w:shd w:val="clear" w:color="auto" w:fill="FFFFFF"/>
          <w:lang w:val="en-US"/>
        </w:rPr>
        <w:t>ICIS)</w:t>
      </w:r>
      <w:r w:rsidRPr="000D74BF">
        <w:rPr>
          <w:shd w:val="clear" w:color="auto" w:fill="FFFFFF"/>
          <w:lang w:val="en-US"/>
        </w:rPr>
        <w:t xml:space="preserve">, </w:t>
      </w:r>
      <w:r w:rsidRPr="000D74BF">
        <w:rPr>
          <w:i/>
          <w:shd w:val="clear" w:color="auto" w:fill="FFFFFF"/>
          <w:lang w:val="en-US"/>
        </w:rPr>
        <w:t>25</w:t>
      </w:r>
      <w:r w:rsidRPr="000D74BF">
        <w:rPr>
          <w:shd w:val="clear" w:color="auto" w:fill="FFFFFF"/>
          <w:lang w:val="en-US"/>
        </w:rPr>
        <w:t>, 597-606.</w:t>
      </w:r>
    </w:p>
    <w:p w:rsidR="0082426E" w:rsidRPr="000465E5" w:rsidRDefault="000465E5" w:rsidP="000465E5">
      <w:pPr>
        <w:jc w:val="both"/>
        <w:rPr>
          <w:lang w:val="en-US"/>
        </w:rPr>
      </w:pPr>
      <w:r w:rsidRPr="000465E5">
        <w:rPr>
          <w:shd w:val="clear" w:color="auto" w:fill="FFFFFF"/>
          <w:lang w:val="en-US"/>
        </w:rPr>
        <w:t xml:space="preserve">Miles, R. E., Snow, C. C., Meyer, A. D., &amp; Coleman Jr, H. J. (1978). </w:t>
      </w:r>
      <w:r w:rsidRPr="000D74BF">
        <w:rPr>
          <w:shd w:val="clear" w:color="auto" w:fill="FFFFFF"/>
          <w:lang w:val="en-US"/>
        </w:rPr>
        <w:t>Organizational strategy, structure, and process. </w:t>
      </w:r>
      <w:r w:rsidRPr="000D74BF">
        <w:rPr>
          <w:i/>
          <w:iCs/>
          <w:shd w:val="clear" w:color="auto" w:fill="FFFFFF"/>
          <w:lang w:val="en-US"/>
        </w:rPr>
        <w:t>Academy of management review</w:t>
      </w:r>
      <w:r w:rsidRPr="000D74BF">
        <w:rPr>
          <w:shd w:val="clear" w:color="auto" w:fill="FFFFFF"/>
          <w:lang w:val="en-US"/>
        </w:rPr>
        <w:t>, </w:t>
      </w:r>
      <w:r w:rsidRPr="000D74BF">
        <w:rPr>
          <w:i/>
          <w:iCs/>
          <w:shd w:val="clear" w:color="auto" w:fill="FFFFFF"/>
          <w:lang w:val="en-US"/>
        </w:rPr>
        <w:t>3</w:t>
      </w:r>
      <w:r w:rsidRPr="000D74BF">
        <w:rPr>
          <w:shd w:val="clear" w:color="auto" w:fill="FFFFFF"/>
          <w:lang w:val="en-US"/>
        </w:rPr>
        <w:t>(3), 546-562.</w:t>
      </w:r>
    </w:p>
    <w:p w:rsidR="0082426E" w:rsidRPr="000465E5" w:rsidRDefault="0082426E" w:rsidP="0082426E">
      <w:pPr>
        <w:jc w:val="both"/>
        <w:rPr>
          <w:lang w:val="en-US"/>
        </w:rPr>
      </w:pPr>
      <w:r w:rsidRPr="000465E5">
        <w:rPr>
          <w:lang w:val="en-US"/>
        </w:rPr>
        <w:t>_________; S</w:t>
      </w:r>
      <w:r w:rsidR="000465E5" w:rsidRPr="000465E5">
        <w:rPr>
          <w:lang w:val="en-US"/>
        </w:rPr>
        <w:t>now</w:t>
      </w:r>
      <w:r w:rsidRPr="000465E5">
        <w:rPr>
          <w:lang w:val="en-US"/>
        </w:rPr>
        <w:t>, C. C.</w:t>
      </w:r>
      <w:r w:rsidR="000465E5" w:rsidRPr="000465E5">
        <w:rPr>
          <w:lang w:val="en-US"/>
        </w:rPr>
        <w:t xml:space="preserve"> (1978).</w:t>
      </w:r>
      <w:r w:rsidRPr="000465E5">
        <w:rPr>
          <w:lang w:val="en-US"/>
        </w:rPr>
        <w:t xml:space="preserve"> </w:t>
      </w:r>
      <w:r w:rsidRPr="000465E5">
        <w:rPr>
          <w:bCs/>
          <w:i/>
          <w:lang w:val="en-US"/>
        </w:rPr>
        <w:t>Organizational Strategy</w:t>
      </w:r>
      <w:r w:rsidRPr="000465E5">
        <w:rPr>
          <w:i/>
          <w:lang w:val="en-US"/>
        </w:rPr>
        <w:t xml:space="preserve">: </w:t>
      </w:r>
      <w:r w:rsidRPr="000465E5">
        <w:rPr>
          <w:lang w:val="en-US"/>
        </w:rPr>
        <w:t>Structure and Process. New York: McGraw-Hill.</w:t>
      </w:r>
    </w:p>
    <w:p w:rsidR="000465E5" w:rsidRPr="00633D0C" w:rsidRDefault="000465E5" w:rsidP="0082426E">
      <w:pPr>
        <w:jc w:val="both"/>
        <w:rPr>
          <w:lang w:val="en-US"/>
        </w:rPr>
      </w:pPr>
      <w:proofErr w:type="spellStart"/>
      <w:r w:rsidRPr="00633D0C">
        <w:rPr>
          <w:shd w:val="clear" w:color="auto" w:fill="FFFFFF"/>
          <w:lang w:val="en-US"/>
        </w:rPr>
        <w:t>Moores</w:t>
      </w:r>
      <w:proofErr w:type="spellEnd"/>
      <w:r w:rsidRPr="00633D0C">
        <w:rPr>
          <w:shd w:val="clear" w:color="auto" w:fill="FFFFFF"/>
          <w:lang w:val="en-US"/>
        </w:rPr>
        <w:t>, K., &amp; Yuen, S. (2001). Management accounting systems and organizational configuration: a life-cycle perspective. </w:t>
      </w:r>
      <w:r w:rsidRPr="00633D0C">
        <w:rPr>
          <w:i/>
          <w:iCs/>
          <w:shd w:val="clear" w:color="auto" w:fill="FFFFFF"/>
          <w:lang w:val="en-US"/>
        </w:rPr>
        <w:t>Accounting, organizations and society</w:t>
      </w:r>
      <w:r w:rsidRPr="00633D0C">
        <w:rPr>
          <w:shd w:val="clear" w:color="auto" w:fill="FFFFFF"/>
          <w:lang w:val="en-US"/>
        </w:rPr>
        <w:t>, </w:t>
      </w:r>
      <w:r w:rsidRPr="00633D0C">
        <w:rPr>
          <w:i/>
          <w:iCs/>
          <w:shd w:val="clear" w:color="auto" w:fill="FFFFFF"/>
          <w:lang w:val="en-US"/>
        </w:rPr>
        <w:t>26</w:t>
      </w:r>
      <w:r w:rsidRPr="00633D0C">
        <w:rPr>
          <w:shd w:val="clear" w:color="auto" w:fill="FFFFFF"/>
          <w:lang w:val="en-US"/>
        </w:rPr>
        <w:t>(4-5), 351-389.</w:t>
      </w:r>
    </w:p>
    <w:p w:rsidR="00633D0C" w:rsidRPr="00633D0C" w:rsidRDefault="000465E5" w:rsidP="0082426E">
      <w:pPr>
        <w:autoSpaceDE w:val="0"/>
        <w:autoSpaceDN w:val="0"/>
        <w:adjustRightInd w:val="0"/>
        <w:jc w:val="both"/>
        <w:rPr>
          <w:shd w:val="clear" w:color="auto" w:fill="FFFFFF"/>
          <w:lang w:val="en-US"/>
        </w:rPr>
      </w:pPr>
      <w:proofErr w:type="spellStart"/>
      <w:r w:rsidRPr="00633D0C">
        <w:rPr>
          <w:shd w:val="clear" w:color="auto" w:fill="FFFFFF"/>
          <w:lang w:val="en-US"/>
        </w:rPr>
        <w:t>Otley</w:t>
      </w:r>
      <w:proofErr w:type="spellEnd"/>
      <w:r w:rsidRPr="00633D0C">
        <w:rPr>
          <w:shd w:val="clear" w:color="auto" w:fill="FFFFFF"/>
          <w:lang w:val="en-US"/>
        </w:rPr>
        <w:t xml:space="preserve">, D. T. (1980). The contingency theory of management accounting: achievement and prognosis. </w:t>
      </w:r>
      <w:r w:rsidR="00633D0C" w:rsidRPr="00633D0C">
        <w:rPr>
          <w:i/>
          <w:shd w:val="clear" w:color="auto" w:fill="FFFFFF"/>
          <w:lang w:val="en-US"/>
        </w:rPr>
        <w:t>Accounting, Organizations and Society</w:t>
      </w:r>
      <w:r w:rsidR="00633D0C" w:rsidRPr="00633D0C">
        <w:rPr>
          <w:shd w:val="clear" w:color="auto" w:fill="FFFFFF"/>
          <w:lang w:val="en-US"/>
        </w:rPr>
        <w:t xml:space="preserve">, </w:t>
      </w:r>
      <w:r w:rsidR="00633D0C" w:rsidRPr="00633D0C">
        <w:rPr>
          <w:i/>
          <w:shd w:val="clear" w:color="auto" w:fill="FFFFFF"/>
          <w:lang w:val="en-US"/>
        </w:rPr>
        <w:t>5</w:t>
      </w:r>
      <w:r w:rsidR="00633D0C" w:rsidRPr="00633D0C">
        <w:rPr>
          <w:shd w:val="clear" w:color="auto" w:fill="FFFFFF"/>
          <w:lang w:val="en-US"/>
        </w:rPr>
        <w:t>(4), 413-428.</w:t>
      </w:r>
    </w:p>
    <w:p w:rsidR="00633D0C" w:rsidRPr="00633D0C" w:rsidRDefault="00633D0C" w:rsidP="0082426E">
      <w:pPr>
        <w:autoSpaceDE w:val="0"/>
        <w:autoSpaceDN w:val="0"/>
        <w:adjustRightInd w:val="0"/>
        <w:jc w:val="both"/>
      </w:pPr>
      <w:proofErr w:type="spellStart"/>
      <w:r w:rsidRPr="00633D0C">
        <w:rPr>
          <w:shd w:val="clear" w:color="auto" w:fill="FFFFFF"/>
          <w:lang w:val="en-US"/>
        </w:rPr>
        <w:t>Perrow</w:t>
      </w:r>
      <w:proofErr w:type="spellEnd"/>
      <w:r w:rsidRPr="00633D0C">
        <w:rPr>
          <w:shd w:val="clear" w:color="auto" w:fill="FFFFFF"/>
          <w:lang w:val="en-US"/>
        </w:rPr>
        <w:t>, C. (1967). A framework for the comparative analysis of organizations. </w:t>
      </w:r>
      <w:r w:rsidRPr="00633D0C">
        <w:rPr>
          <w:i/>
          <w:iCs/>
          <w:shd w:val="clear" w:color="auto" w:fill="FFFFFF"/>
        </w:rPr>
        <w:t xml:space="preserve">American </w:t>
      </w:r>
      <w:proofErr w:type="spellStart"/>
      <w:r w:rsidRPr="00633D0C">
        <w:rPr>
          <w:i/>
          <w:iCs/>
          <w:shd w:val="clear" w:color="auto" w:fill="FFFFFF"/>
        </w:rPr>
        <w:t>Sociological</w:t>
      </w:r>
      <w:proofErr w:type="spellEnd"/>
      <w:r w:rsidRPr="00633D0C">
        <w:rPr>
          <w:i/>
          <w:iCs/>
          <w:shd w:val="clear" w:color="auto" w:fill="FFFFFF"/>
        </w:rPr>
        <w:t xml:space="preserve"> Review</w:t>
      </w:r>
      <w:r w:rsidRPr="00633D0C">
        <w:rPr>
          <w:shd w:val="clear" w:color="auto" w:fill="FFFFFF"/>
        </w:rPr>
        <w:t xml:space="preserve">, </w:t>
      </w:r>
      <w:r w:rsidRPr="00633D0C">
        <w:rPr>
          <w:i/>
          <w:shd w:val="clear" w:color="auto" w:fill="FFFFFF"/>
        </w:rPr>
        <w:t>32</w:t>
      </w:r>
      <w:r w:rsidRPr="00633D0C">
        <w:rPr>
          <w:shd w:val="clear" w:color="auto" w:fill="FFFFFF"/>
        </w:rPr>
        <w:t>(2), 194-208.</w:t>
      </w:r>
    </w:p>
    <w:p w:rsidR="0082426E" w:rsidRPr="00633D0C" w:rsidRDefault="00633D0C" w:rsidP="0082426E">
      <w:pPr>
        <w:jc w:val="both"/>
        <w:rPr>
          <w:lang w:val="en-US"/>
        </w:rPr>
      </w:pPr>
      <w:r w:rsidRPr="00633D0C">
        <w:t>Porter</w:t>
      </w:r>
      <w:r w:rsidR="0082426E" w:rsidRPr="00633D0C">
        <w:t>, M. E.</w:t>
      </w:r>
      <w:r w:rsidRPr="00633D0C">
        <w:t xml:space="preserve"> (1994).</w:t>
      </w:r>
      <w:r w:rsidR="0082426E" w:rsidRPr="00633D0C">
        <w:t xml:space="preserve"> </w:t>
      </w:r>
      <w:r w:rsidR="0082426E" w:rsidRPr="00633D0C">
        <w:rPr>
          <w:bCs/>
          <w:i/>
        </w:rPr>
        <w:t>Estratégia competitiva</w:t>
      </w:r>
      <w:r w:rsidR="0082426E" w:rsidRPr="00633D0C">
        <w:rPr>
          <w:i/>
        </w:rPr>
        <w:t xml:space="preserve">: </w:t>
      </w:r>
      <w:r w:rsidR="0082426E" w:rsidRPr="00633D0C">
        <w:t xml:space="preserve">técnicas para análise de indústrias e da concorrência. </w:t>
      </w:r>
      <w:r w:rsidR="0082426E" w:rsidRPr="00633D0C">
        <w:rPr>
          <w:lang w:val="en-US"/>
        </w:rPr>
        <w:t>8 ed. Rio de Janeiro: Campus.</w:t>
      </w:r>
    </w:p>
    <w:p w:rsidR="0082426E" w:rsidRPr="00633D0C" w:rsidRDefault="00633D0C" w:rsidP="00633D0C">
      <w:pPr>
        <w:jc w:val="both"/>
        <w:rPr>
          <w:lang w:val="en-US"/>
        </w:rPr>
      </w:pPr>
      <w:proofErr w:type="spellStart"/>
      <w:r w:rsidRPr="00633D0C">
        <w:rPr>
          <w:shd w:val="clear" w:color="auto" w:fill="FFFFFF"/>
          <w:lang w:val="en-US"/>
        </w:rPr>
        <w:t>Quattrone</w:t>
      </w:r>
      <w:proofErr w:type="spellEnd"/>
      <w:r w:rsidRPr="00633D0C">
        <w:rPr>
          <w:shd w:val="clear" w:color="auto" w:fill="FFFFFF"/>
          <w:lang w:val="en-US"/>
        </w:rPr>
        <w:t xml:space="preserve">, P., &amp; Hopper, T. (2005). A ‘time–space odyssey’: management control systems in two multinational </w:t>
      </w:r>
      <w:proofErr w:type="spellStart"/>
      <w:r w:rsidRPr="00633D0C">
        <w:rPr>
          <w:shd w:val="clear" w:color="auto" w:fill="FFFFFF"/>
          <w:lang w:val="en-US"/>
        </w:rPr>
        <w:t>organisations</w:t>
      </w:r>
      <w:proofErr w:type="spellEnd"/>
      <w:r w:rsidRPr="00633D0C">
        <w:rPr>
          <w:shd w:val="clear" w:color="auto" w:fill="FFFFFF"/>
          <w:lang w:val="en-US"/>
        </w:rPr>
        <w:t>. </w:t>
      </w:r>
      <w:r w:rsidRPr="000D74BF">
        <w:rPr>
          <w:i/>
          <w:iCs/>
          <w:shd w:val="clear" w:color="auto" w:fill="FFFFFF"/>
          <w:lang w:val="en-US"/>
        </w:rPr>
        <w:t>Accounting, Organizations and Society</w:t>
      </w:r>
      <w:r w:rsidRPr="000D74BF">
        <w:rPr>
          <w:shd w:val="clear" w:color="auto" w:fill="FFFFFF"/>
          <w:lang w:val="en-US"/>
        </w:rPr>
        <w:t>, </w:t>
      </w:r>
      <w:r w:rsidRPr="000D74BF">
        <w:rPr>
          <w:i/>
          <w:iCs/>
          <w:shd w:val="clear" w:color="auto" w:fill="FFFFFF"/>
          <w:lang w:val="en-US"/>
        </w:rPr>
        <w:t>30</w:t>
      </w:r>
      <w:r w:rsidRPr="000D74BF">
        <w:rPr>
          <w:shd w:val="clear" w:color="auto" w:fill="FFFFFF"/>
          <w:lang w:val="en-US"/>
        </w:rPr>
        <w:t>(7-8), 735-764.</w:t>
      </w:r>
    </w:p>
    <w:p w:rsidR="0082426E" w:rsidRPr="00633D0C" w:rsidRDefault="00633D0C" w:rsidP="0082426E">
      <w:pPr>
        <w:jc w:val="both"/>
      </w:pPr>
      <w:proofErr w:type="spellStart"/>
      <w:r w:rsidRPr="00633D0C">
        <w:rPr>
          <w:lang w:val="en-US"/>
        </w:rPr>
        <w:t>Renn</w:t>
      </w:r>
      <w:proofErr w:type="spellEnd"/>
      <w:r w:rsidR="0082426E" w:rsidRPr="00633D0C">
        <w:rPr>
          <w:lang w:val="en-US"/>
        </w:rPr>
        <w:t>, O.</w:t>
      </w:r>
      <w:r>
        <w:rPr>
          <w:lang w:val="en-US"/>
        </w:rPr>
        <w:t xml:space="preserve"> (1992).</w:t>
      </w:r>
      <w:r w:rsidR="0082426E" w:rsidRPr="00633D0C">
        <w:rPr>
          <w:lang w:val="en-US"/>
        </w:rPr>
        <w:t xml:space="preserve"> Concepts of risk: a classification. In: S. </w:t>
      </w:r>
      <w:proofErr w:type="spellStart"/>
      <w:r w:rsidRPr="00633D0C">
        <w:rPr>
          <w:lang w:val="en-US"/>
        </w:rPr>
        <w:t>Krimsky</w:t>
      </w:r>
      <w:proofErr w:type="spellEnd"/>
      <w:r>
        <w:rPr>
          <w:lang w:val="en-US"/>
        </w:rPr>
        <w:t>, &amp;</w:t>
      </w:r>
      <w:r w:rsidRPr="00633D0C">
        <w:rPr>
          <w:lang w:val="en-US"/>
        </w:rPr>
        <w:t xml:space="preserve"> Golding</w:t>
      </w:r>
      <w:r>
        <w:rPr>
          <w:lang w:val="en-US"/>
        </w:rPr>
        <w:t>, D.</w:t>
      </w:r>
      <w:r w:rsidR="0082426E" w:rsidRPr="00633D0C">
        <w:rPr>
          <w:lang w:val="en-US"/>
        </w:rPr>
        <w:t xml:space="preserve"> </w:t>
      </w:r>
      <w:r w:rsidR="0082426E" w:rsidRPr="00633D0C">
        <w:rPr>
          <w:bCs/>
          <w:i/>
          <w:lang w:val="en-US"/>
        </w:rPr>
        <w:t>Social Theories of Risk</w:t>
      </w:r>
      <w:r w:rsidR="0082426E" w:rsidRPr="00633D0C">
        <w:rPr>
          <w:lang w:val="en-US"/>
        </w:rPr>
        <w:t xml:space="preserve">. </w:t>
      </w:r>
      <w:proofErr w:type="spellStart"/>
      <w:r w:rsidR="0082426E" w:rsidRPr="00633D0C">
        <w:t>Westport</w:t>
      </w:r>
      <w:proofErr w:type="spellEnd"/>
      <w:r w:rsidR="0082426E" w:rsidRPr="00633D0C">
        <w:t xml:space="preserve">: </w:t>
      </w:r>
      <w:proofErr w:type="spellStart"/>
      <w:r w:rsidR="0082426E" w:rsidRPr="00633D0C">
        <w:t>Praeger</w:t>
      </w:r>
      <w:proofErr w:type="spellEnd"/>
      <w:r w:rsidR="0082426E" w:rsidRPr="00633D0C">
        <w:t>.</w:t>
      </w:r>
    </w:p>
    <w:p w:rsidR="0082426E" w:rsidRPr="00633D0C" w:rsidRDefault="00633D0C" w:rsidP="0082426E">
      <w:pPr>
        <w:pStyle w:val="Default"/>
        <w:jc w:val="both"/>
        <w:rPr>
          <w:color w:val="auto"/>
          <w:sz w:val="20"/>
          <w:szCs w:val="20"/>
        </w:rPr>
      </w:pPr>
      <w:r w:rsidRPr="00633D0C">
        <w:rPr>
          <w:color w:val="auto"/>
          <w:sz w:val="20"/>
          <w:szCs w:val="20"/>
        </w:rPr>
        <w:t>Silva</w:t>
      </w:r>
      <w:r w:rsidR="0082426E" w:rsidRPr="00633D0C">
        <w:rPr>
          <w:color w:val="auto"/>
          <w:sz w:val="20"/>
          <w:szCs w:val="20"/>
        </w:rPr>
        <w:t xml:space="preserve">, M. Z. </w:t>
      </w:r>
      <w:r w:rsidRPr="00633D0C">
        <w:rPr>
          <w:color w:val="auto"/>
          <w:sz w:val="20"/>
          <w:szCs w:val="20"/>
        </w:rPr>
        <w:t xml:space="preserve">(2013). </w:t>
      </w:r>
      <w:r w:rsidR="0082426E" w:rsidRPr="00633D0C">
        <w:rPr>
          <w:bCs/>
          <w:i/>
          <w:color w:val="auto"/>
          <w:sz w:val="20"/>
          <w:szCs w:val="20"/>
        </w:rPr>
        <w:t xml:space="preserve">Gerenciamento de riscos corporativos sob o enfoque da teoria contingencial: </w:t>
      </w:r>
      <w:r w:rsidR="0082426E" w:rsidRPr="00633D0C">
        <w:rPr>
          <w:bCs/>
          <w:color w:val="auto"/>
          <w:sz w:val="20"/>
          <w:szCs w:val="20"/>
        </w:rPr>
        <w:t>estudo de caso em uma organização hospitalar.</w:t>
      </w:r>
      <w:r w:rsidR="0082426E" w:rsidRPr="00633D0C">
        <w:rPr>
          <w:b/>
          <w:bCs/>
          <w:color w:val="auto"/>
          <w:sz w:val="20"/>
          <w:szCs w:val="20"/>
        </w:rPr>
        <w:t xml:space="preserve"> </w:t>
      </w:r>
      <w:r w:rsidR="0082426E" w:rsidRPr="00633D0C">
        <w:rPr>
          <w:color w:val="auto"/>
          <w:sz w:val="20"/>
          <w:szCs w:val="20"/>
        </w:rPr>
        <w:t>2013. 285 f. Tese (Doutorado em Ciências Contábeis e Administração) – Programa de Pós-Graduação em Ciências Contábeis da Universidade Regional de Blumenau, Blumenau.</w:t>
      </w:r>
    </w:p>
    <w:p w:rsidR="00633D0C" w:rsidRPr="00633D0C" w:rsidRDefault="00633D0C" w:rsidP="0082426E">
      <w:pPr>
        <w:jc w:val="both"/>
        <w:rPr>
          <w:lang w:val="en-US"/>
        </w:rPr>
      </w:pPr>
      <w:r w:rsidRPr="00633D0C">
        <w:rPr>
          <w:shd w:val="clear" w:color="auto" w:fill="FFFFFF"/>
          <w:lang w:val="en-US"/>
        </w:rPr>
        <w:t xml:space="preserve">Smallman, C. (1996). Risk and organizational </w:t>
      </w:r>
      <w:proofErr w:type="spellStart"/>
      <w:r w:rsidRPr="00633D0C">
        <w:rPr>
          <w:shd w:val="clear" w:color="auto" w:fill="FFFFFF"/>
          <w:lang w:val="en-US"/>
        </w:rPr>
        <w:t>behaviour</w:t>
      </w:r>
      <w:proofErr w:type="spellEnd"/>
      <w:r w:rsidRPr="00633D0C">
        <w:rPr>
          <w:shd w:val="clear" w:color="auto" w:fill="FFFFFF"/>
          <w:lang w:val="en-US"/>
        </w:rPr>
        <w:t>: a research model. </w:t>
      </w:r>
      <w:r w:rsidRPr="00633D0C">
        <w:rPr>
          <w:i/>
          <w:iCs/>
          <w:shd w:val="clear" w:color="auto" w:fill="FFFFFF"/>
          <w:lang w:val="en-US"/>
        </w:rPr>
        <w:t>Disaster Prevention and Management: An International Journal</w:t>
      </w:r>
      <w:r w:rsidRPr="00633D0C">
        <w:rPr>
          <w:shd w:val="clear" w:color="auto" w:fill="FFFFFF"/>
          <w:lang w:val="en-US"/>
        </w:rPr>
        <w:t>, </w:t>
      </w:r>
      <w:r w:rsidRPr="00633D0C">
        <w:rPr>
          <w:i/>
          <w:iCs/>
          <w:shd w:val="clear" w:color="auto" w:fill="FFFFFF"/>
          <w:lang w:val="en-US"/>
        </w:rPr>
        <w:t>5</w:t>
      </w:r>
      <w:r w:rsidRPr="00633D0C">
        <w:rPr>
          <w:shd w:val="clear" w:color="auto" w:fill="FFFFFF"/>
          <w:lang w:val="en-US"/>
        </w:rPr>
        <w:t>(2), 12-26.</w:t>
      </w:r>
    </w:p>
    <w:p w:rsidR="0082426E" w:rsidRPr="00633D0C" w:rsidRDefault="00633D0C" w:rsidP="0082426E">
      <w:pPr>
        <w:jc w:val="both"/>
        <w:rPr>
          <w:lang w:val="en-US"/>
        </w:rPr>
      </w:pPr>
      <w:proofErr w:type="spellStart"/>
      <w:r w:rsidRPr="00633D0C">
        <w:rPr>
          <w:lang w:val="en-US"/>
        </w:rPr>
        <w:t>Soin</w:t>
      </w:r>
      <w:proofErr w:type="spellEnd"/>
      <w:r w:rsidRPr="00633D0C">
        <w:rPr>
          <w:lang w:val="en-US"/>
        </w:rPr>
        <w:t xml:space="preserve">, K., &amp; Collier, </w:t>
      </w:r>
      <w:r w:rsidR="0082426E" w:rsidRPr="00633D0C">
        <w:rPr>
          <w:lang w:val="en-US"/>
        </w:rPr>
        <w:t xml:space="preserve">P. </w:t>
      </w:r>
      <w:r w:rsidRPr="00633D0C">
        <w:rPr>
          <w:lang w:val="en-US"/>
        </w:rPr>
        <w:t xml:space="preserve">(2013). </w:t>
      </w:r>
      <w:r w:rsidR="0082426E" w:rsidRPr="00633D0C">
        <w:rPr>
          <w:lang w:val="en-US"/>
        </w:rPr>
        <w:t xml:space="preserve">Risk and risk management in management accounting and control - Editorial. </w:t>
      </w:r>
      <w:r w:rsidR="0082426E" w:rsidRPr="00633D0C">
        <w:rPr>
          <w:bCs/>
          <w:i/>
          <w:lang w:val="en-US"/>
        </w:rPr>
        <w:t>Management Accounting Research</w:t>
      </w:r>
      <w:r w:rsidR="0082426E" w:rsidRPr="00633D0C">
        <w:rPr>
          <w:lang w:val="en-US"/>
        </w:rPr>
        <w:t xml:space="preserve">, </w:t>
      </w:r>
      <w:r w:rsidR="0082426E" w:rsidRPr="00633D0C">
        <w:rPr>
          <w:i/>
          <w:lang w:val="en-US"/>
        </w:rPr>
        <w:t>24</w:t>
      </w:r>
      <w:r w:rsidR="0082426E" w:rsidRPr="00633D0C">
        <w:rPr>
          <w:lang w:val="en-US"/>
        </w:rPr>
        <w:t>, 82-87.</w:t>
      </w:r>
      <w:r w:rsidRPr="00633D0C">
        <w:rPr>
          <w:lang w:val="en-US"/>
        </w:rPr>
        <w:t xml:space="preserve"> </w:t>
      </w:r>
    </w:p>
    <w:p w:rsidR="00633D0C" w:rsidRPr="00633D0C" w:rsidRDefault="00633D0C" w:rsidP="0082426E">
      <w:pPr>
        <w:jc w:val="both"/>
        <w:rPr>
          <w:lang w:val="en-US"/>
        </w:rPr>
      </w:pPr>
      <w:r w:rsidRPr="00633D0C">
        <w:rPr>
          <w:shd w:val="clear" w:color="auto" w:fill="FFFFFF"/>
          <w:lang w:val="en-US"/>
        </w:rPr>
        <w:t>Stewart, L. J. (2002). Management control theory and its application to US medical practice: a critical review of contemporary literature and a call for research. </w:t>
      </w:r>
      <w:r w:rsidRPr="00633D0C">
        <w:rPr>
          <w:i/>
          <w:iCs/>
          <w:shd w:val="clear" w:color="auto" w:fill="FFFFFF"/>
          <w:lang w:val="en-US"/>
        </w:rPr>
        <w:t>Research in Healthcare Financial Management</w:t>
      </w:r>
      <w:r w:rsidRPr="00633D0C">
        <w:rPr>
          <w:shd w:val="clear" w:color="auto" w:fill="FFFFFF"/>
          <w:lang w:val="en-US"/>
        </w:rPr>
        <w:t>, </w:t>
      </w:r>
      <w:r w:rsidRPr="00633D0C">
        <w:rPr>
          <w:i/>
          <w:iCs/>
          <w:shd w:val="clear" w:color="auto" w:fill="FFFFFF"/>
          <w:lang w:val="en-US"/>
        </w:rPr>
        <w:t>7</w:t>
      </w:r>
      <w:r w:rsidRPr="00633D0C">
        <w:rPr>
          <w:shd w:val="clear" w:color="auto" w:fill="FFFFFF"/>
          <w:lang w:val="en-US"/>
        </w:rPr>
        <w:t>(1), 1-20.</w:t>
      </w:r>
    </w:p>
    <w:p w:rsidR="00633D0C" w:rsidRPr="00633D0C" w:rsidRDefault="00633D0C" w:rsidP="0082426E">
      <w:pPr>
        <w:jc w:val="both"/>
        <w:rPr>
          <w:lang w:val="en-US"/>
        </w:rPr>
      </w:pPr>
      <w:r w:rsidRPr="00633D0C">
        <w:rPr>
          <w:shd w:val="clear" w:color="auto" w:fill="FFFFFF"/>
          <w:lang w:val="en-US"/>
        </w:rPr>
        <w:t xml:space="preserve">Subramaniam, N., Collier, P., </w:t>
      </w:r>
      <w:proofErr w:type="spellStart"/>
      <w:r w:rsidRPr="00633D0C">
        <w:rPr>
          <w:shd w:val="clear" w:color="auto" w:fill="FFFFFF"/>
          <w:lang w:val="en-US"/>
        </w:rPr>
        <w:t>Phang</w:t>
      </w:r>
      <w:proofErr w:type="spellEnd"/>
      <w:r w:rsidRPr="00633D0C">
        <w:rPr>
          <w:shd w:val="clear" w:color="auto" w:fill="FFFFFF"/>
          <w:lang w:val="en-US"/>
        </w:rPr>
        <w:t xml:space="preserve">, M., &amp; Burke, G. (2011). The effects of perceived business uncertainty, external consultants and risk management on </w:t>
      </w:r>
      <w:proofErr w:type="spellStart"/>
      <w:r w:rsidRPr="00633D0C">
        <w:rPr>
          <w:shd w:val="clear" w:color="auto" w:fill="FFFFFF"/>
          <w:lang w:val="en-US"/>
        </w:rPr>
        <w:t>organisational</w:t>
      </w:r>
      <w:proofErr w:type="spellEnd"/>
      <w:r w:rsidRPr="00633D0C">
        <w:rPr>
          <w:shd w:val="clear" w:color="auto" w:fill="FFFFFF"/>
          <w:lang w:val="en-US"/>
        </w:rPr>
        <w:t xml:space="preserve"> outcomes. </w:t>
      </w:r>
      <w:r w:rsidRPr="00633D0C">
        <w:rPr>
          <w:i/>
          <w:iCs/>
          <w:shd w:val="clear" w:color="auto" w:fill="FFFFFF"/>
          <w:lang w:val="en-US"/>
        </w:rPr>
        <w:t>Journal of Accounting &amp; Organizational Change</w:t>
      </w:r>
      <w:r w:rsidRPr="00633D0C">
        <w:rPr>
          <w:shd w:val="clear" w:color="auto" w:fill="FFFFFF"/>
          <w:lang w:val="en-US"/>
        </w:rPr>
        <w:t>, </w:t>
      </w:r>
      <w:r w:rsidRPr="00633D0C">
        <w:rPr>
          <w:i/>
          <w:iCs/>
          <w:shd w:val="clear" w:color="auto" w:fill="FFFFFF"/>
          <w:lang w:val="en-US"/>
        </w:rPr>
        <w:t>7</w:t>
      </w:r>
      <w:r w:rsidRPr="00633D0C">
        <w:rPr>
          <w:shd w:val="clear" w:color="auto" w:fill="FFFFFF"/>
          <w:lang w:val="en-US"/>
        </w:rPr>
        <w:t>(2), 132-157.</w:t>
      </w:r>
    </w:p>
    <w:p w:rsidR="00633D0C" w:rsidRPr="000D74BF" w:rsidRDefault="00633D0C" w:rsidP="0082426E">
      <w:pPr>
        <w:pStyle w:val="Refernciaartigos"/>
        <w:spacing w:before="0"/>
        <w:rPr>
          <w:sz w:val="20"/>
          <w:szCs w:val="20"/>
          <w:lang w:val="en-US"/>
        </w:rPr>
      </w:pPr>
      <w:r w:rsidRPr="00633D0C">
        <w:rPr>
          <w:sz w:val="20"/>
          <w:szCs w:val="20"/>
          <w:shd w:val="clear" w:color="auto" w:fill="FFFFFF"/>
          <w:lang w:val="en-US"/>
        </w:rPr>
        <w:t xml:space="preserve">Trapp, A. C. G., &amp; </w:t>
      </w:r>
      <w:proofErr w:type="spellStart"/>
      <w:r w:rsidRPr="00633D0C">
        <w:rPr>
          <w:sz w:val="20"/>
          <w:szCs w:val="20"/>
          <w:shd w:val="clear" w:color="auto" w:fill="FFFFFF"/>
          <w:lang w:val="en-US"/>
        </w:rPr>
        <w:t>Corrar</w:t>
      </w:r>
      <w:proofErr w:type="spellEnd"/>
      <w:r w:rsidRPr="00633D0C">
        <w:rPr>
          <w:sz w:val="20"/>
          <w:szCs w:val="20"/>
          <w:shd w:val="clear" w:color="auto" w:fill="FFFFFF"/>
          <w:lang w:val="en-US"/>
        </w:rPr>
        <w:t xml:space="preserve">, L. J. (2005). </w:t>
      </w:r>
      <w:r w:rsidRPr="00633D0C">
        <w:rPr>
          <w:sz w:val="20"/>
          <w:szCs w:val="20"/>
          <w:shd w:val="clear" w:color="auto" w:fill="FFFFFF"/>
        </w:rPr>
        <w:t>Avaliação e gerenciamento do risco operacional no Brasil: análise de caso de uma instituição financeira de grande porte. </w:t>
      </w:r>
      <w:proofErr w:type="spellStart"/>
      <w:r w:rsidRPr="000D74BF">
        <w:rPr>
          <w:i/>
          <w:iCs/>
          <w:sz w:val="20"/>
          <w:szCs w:val="20"/>
          <w:shd w:val="clear" w:color="auto" w:fill="FFFFFF"/>
          <w:lang w:val="en-US"/>
        </w:rPr>
        <w:t>Revista</w:t>
      </w:r>
      <w:proofErr w:type="spellEnd"/>
      <w:r w:rsidRPr="000D74BF">
        <w:rPr>
          <w:i/>
          <w:iCs/>
          <w:sz w:val="20"/>
          <w:szCs w:val="20"/>
          <w:shd w:val="clear" w:color="auto" w:fill="FFFFFF"/>
          <w:lang w:val="en-US"/>
        </w:rPr>
        <w:t xml:space="preserve"> </w:t>
      </w:r>
      <w:proofErr w:type="spellStart"/>
      <w:r w:rsidRPr="000D74BF">
        <w:rPr>
          <w:i/>
          <w:iCs/>
          <w:sz w:val="20"/>
          <w:szCs w:val="20"/>
          <w:shd w:val="clear" w:color="auto" w:fill="FFFFFF"/>
          <w:lang w:val="en-US"/>
        </w:rPr>
        <w:t>Contabilidade</w:t>
      </w:r>
      <w:proofErr w:type="spellEnd"/>
      <w:r w:rsidRPr="000D74BF">
        <w:rPr>
          <w:i/>
          <w:iCs/>
          <w:sz w:val="20"/>
          <w:szCs w:val="20"/>
          <w:shd w:val="clear" w:color="auto" w:fill="FFFFFF"/>
          <w:lang w:val="en-US"/>
        </w:rPr>
        <w:t xml:space="preserve"> &amp; </w:t>
      </w:r>
      <w:proofErr w:type="spellStart"/>
      <w:r w:rsidRPr="000D74BF">
        <w:rPr>
          <w:i/>
          <w:iCs/>
          <w:sz w:val="20"/>
          <w:szCs w:val="20"/>
          <w:shd w:val="clear" w:color="auto" w:fill="FFFFFF"/>
          <w:lang w:val="en-US"/>
        </w:rPr>
        <w:t>Finanças</w:t>
      </w:r>
      <w:proofErr w:type="spellEnd"/>
      <w:r w:rsidRPr="000D74BF">
        <w:rPr>
          <w:sz w:val="20"/>
          <w:szCs w:val="20"/>
          <w:shd w:val="clear" w:color="auto" w:fill="FFFFFF"/>
          <w:lang w:val="en-US"/>
        </w:rPr>
        <w:t>, </w:t>
      </w:r>
      <w:r w:rsidRPr="000D74BF">
        <w:rPr>
          <w:i/>
          <w:iCs/>
          <w:sz w:val="20"/>
          <w:szCs w:val="20"/>
          <w:shd w:val="clear" w:color="auto" w:fill="FFFFFF"/>
          <w:lang w:val="en-US"/>
        </w:rPr>
        <w:t>16</w:t>
      </w:r>
      <w:r w:rsidRPr="000D74BF">
        <w:rPr>
          <w:sz w:val="20"/>
          <w:szCs w:val="20"/>
          <w:shd w:val="clear" w:color="auto" w:fill="FFFFFF"/>
          <w:lang w:val="en-US"/>
        </w:rPr>
        <w:t>(37), 24-36.</w:t>
      </w:r>
    </w:p>
    <w:p w:rsidR="00633D0C" w:rsidRPr="00633D0C" w:rsidRDefault="00633D0C" w:rsidP="0082426E">
      <w:pPr>
        <w:jc w:val="both"/>
        <w:rPr>
          <w:lang w:val="en-US"/>
        </w:rPr>
      </w:pPr>
      <w:r w:rsidRPr="00633D0C">
        <w:rPr>
          <w:shd w:val="clear" w:color="auto" w:fill="FFFFFF"/>
          <w:lang w:val="en-US"/>
        </w:rPr>
        <w:t>Widener, S. K. (2007). An empirical analysis of the levers of control framework. </w:t>
      </w:r>
      <w:r w:rsidRPr="000D74BF">
        <w:rPr>
          <w:i/>
          <w:iCs/>
          <w:shd w:val="clear" w:color="auto" w:fill="FFFFFF"/>
          <w:lang w:val="en-US"/>
        </w:rPr>
        <w:t>Accounting, organizations and society</w:t>
      </w:r>
      <w:r w:rsidRPr="000D74BF">
        <w:rPr>
          <w:shd w:val="clear" w:color="auto" w:fill="FFFFFF"/>
          <w:lang w:val="en-US"/>
        </w:rPr>
        <w:t>, </w:t>
      </w:r>
      <w:r w:rsidRPr="000D74BF">
        <w:rPr>
          <w:i/>
          <w:iCs/>
          <w:shd w:val="clear" w:color="auto" w:fill="FFFFFF"/>
          <w:lang w:val="en-US"/>
        </w:rPr>
        <w:t>32</w:t>
      </w:r>
      <w:r w:rsidRPr="000D74BF">
        <w:rPr>
          <w:shd w:val="clear" w:color="auto" w:fill="FFFFFF"/>
          <w:lang w:val="en-US"/>
        </w:rPr>
        <w:t>(7-8), 757-788.</w:t>
      </w:r>
    </w:p>
    <w:p w:rsidR="00633D0C" w:rsidRPr="00633D0C" w:rsidRDefault="00633D0C" w:rsidP="0082426E">
      <w:pPr>
        <w:jc w:val="both"/>
        <w:rPr>
          <w:lang w:val="en-US"/>
        </w:rPr>
      </w:pPr>
      <w:r w:rsidRPr="00633D0C">
        <w:rPr>
          <w:shd w:val="clear" w:color="auto" w:fill="FFFFFF"/>
          <w:lang w:val="en-US"/>
        </w:rPr>
        <w:t>Woods, M. (2009). A contingency theory perspective on the risk management control system within Birmingham City Council. </w:t>
      </w:r>
      <w:r w:rsidRPr="00633D0C">
        <w:rPr>
          <w:i/>
          <w:iCs/>
          <w:shd w:val="clear" w:color="auto" w:fill="FFFFFF"/>
          <w:lang w:val="en-US"/>
        </w:rPr>
        <w:t>Management Accounting Research</w:t>
      </w:r>
      <w:r w:rsidRPr="00633D0C">
        <w:rPr>
          <w:shd w:val="clear" w:color="auto" w:fill="FFFFFF"/>
          <w:lang w:val="en-US"/>
        </w:rPr>
        <w:t>, </w:t>
      </w:r>
      <w:r w:rsidRPr="00633D0C">
        <w:rPr>
          <w:i/>
          <w:iCs/>
          <w:shd w:val="clear" w:color="auto" w:fill="FFFFFF"/>
          <w:lang w:val="en-US"/>
        </w:rPr>
        <w:t>20</w:t>
      </w:r>
      <w:r w:rsidRPr="00633D0C">
        <w:rPr>
          <w:shd w:val="clear" w:color="auto" w:fill="FFFFFF"/>
          <w:lang w:val="en-US"/>
        </w:rPr>
        <w:t>(1), 69-81.</w:t>
      </w:r>
    </w:p>
    <w:p w:rsidR="0082426E" w:rsidRPr="000D74BF" w:rsidRDefault="00633D0C" w:rsidP="0082426E">
      <w:pPr>
        <w:jc w:val="both"/>
      </w:pPr>
      <w:r w:rsidRPr="00633D0C">
        <w:rPr>
          <w:lang w:val="en-US"/>
        </w:rPr>
        <w:t>Woodward</w:t>
      </w:r>
      <w:r w:rsidR="0082426E" w:rsidRPr="00633D0C">
        <w:rPr>
          <w:lang w:val="en-US"/>
        </w:rPr>
        <w:t xml:space="preserve">, J. </w:t>
      </w:r>
      <w:r w:rsidRPr="00633D0C">
        <w:rPr>
          <w:lang w:val="en-US"/>
        </w:rPr>
        <w:t xml:space="preserve">(1965). </w:t>
      </w:r>
      <w:r w:rsidR="0082426E" w:rsidRPr="00633D0C">
        <w:rPr>
          <w:bCs/>
          <w:i/>
          <w:lang w:val="en-US"/>
        </w:rPr>
        <w:t>Industrial organization, theory and practice</w:t>
      </w:r>
      <w:r w:rsidR="0082426E" w:rsidRPr="00633D0C">
        <w:rPr>
          <w:lang w:val="en-US"/>
        </w:rPr>
        <w:t xml:space="preserve">. </w:t>
      </w:r>
      <w:r w:rsidR="0082426E" w:rsidRPr="000D74BF">
        <w:t xml:space="preserve">New York: Oxford </w:t>
      </w:r>
      <w:proofErr w:type="spellStart"/>
      <w:r w:rsidR="0082426E" w:rsidRPr="000D74BF">
        <w:t>University</w:t>
      </w:r>
      <w:proofErr w:type="spellEnd"/>
      <w:r w:rsidR="0082426E" w:rsidRPr="000D74BF">
        <w:t xml:space="preserve"> Press.</w:t>
      </w:r>
    </w:p>
    <w:p w:rsidR="00633D0C" w:rsidRPr="00633D0C" w:rsidRDefault="00633D0C" w:rsidP="0082426E">
      <w:pPr>
        <w:jc w:val="both"/>
      </w:pPr>
      <w:proofErr w:type="spellStart"/>
      <w:r w:rsidRPr="00633D0C">
        <w:rPr>
          <w:shd w:val="clear" w:color="auto" w:fill="FFFFFF"/>
        </w:rPr>
        <w:t>Zonatto</w:t>
      </w:r>
      <w:proofErr w:type="spellEnd"/>
      <w:r w:rsidRPr="00633D0C">
        <w:rPr>
          <w:shd w:val="clear" w:color="auto" w:fill="FFFFFF"/>
        </w:rPr>
        <w:t>, V. C. S. (2014). </w:t>
      </w:r>
      <w:r w:rsidRPr="00633D0C">
        <w:rPr>
          <w:i/>
          <w:iCs/>
          <w:shd w:val="clear" w:color="auto" w:fill="FFFFFF"/>
        </w:rPr>
        <w:t xml:space="preserve">Influência de fatores sociais cognitivos de capacidade, vontade e oportunidade sobre o desempenho gerencial nas atividades orçamentárias das maiores empresas exportadoras do Brasil. 332 f. </w:t>
      </w:r>
      <w:r w:rsidRPr="00633D0C">
        <w:rPr>
          <w:shd w:val="clear" w:color="auto" w:fill="FFFFFF"/>
        </w:rPr>
        <w:t>Tese. (Doutorado em Ciências Contábeis e Administração) - Programa de Pós-Graduação em Ciências Contábeis da Universidade Regional de Blumenau, Blumenau.</w:t>
      </w:r>
    </w:p>
    <w:p w:rsidR="00785FC5" w:rsidRPr="008F35CC" w:rsidRDefault="00785FC5" w:rsidP="0082426E">
      <w:pPr>
        <w:suppressAutoHyphens w:val="0"/>
        <w:jc w:val="both"/>
        <w:rPr>
          <w:b/>
          <w:sz w:val="24"/>
          <w:szCs w:val="22"/>
        </w:rPr>
      </w:pPr>
    </w:p>
    <w:sectPr w:rsidR="00785FC5" w:rsidRPr="008F35CC" w:rsidSect="00C04F45">
      <w:headerReference w:type="default" r:id="rId8"/>
      <w:footerReference w:type="default" r:id="rId9"/>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B25" w:rsidRDefault="00E86B25" w:rsidP="008A5824">
      <w:r>
        <w:separator/>
      </w:r>
    </w:p>
  </w:endnote>
  <w:endnote w:type="continuationSeparator" w:id="0">
    <w:p w:rsidR="00E86B25" w:rsidRDefault="00E86B25"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0000000000000000000"/>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rsidR="00F55091" w:rsidRDefault="00F55091">
        <w:pPr>
          <w:pStyle w:val="Rodap"/>
          <w:jc w:val="right"/>
          <w:rPr>
            <w:rFonts w:ascii="Times New Roman" w:hAnsi="Times New Roman" w:cs="Times New Roman"/>
          </w:rPr>
        </w:pPr>
      </w:p>
      <w:p w:rsidR="00F55091" w:rsidRPr="00C04F45" w:rsidRDefault="00F55091">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rsidR="00F55091" w:rsidRDefault="00F55091">
    <w:pPr>
      <w:pStyle w:val="Rodap"/>
      <w:rPr>
        <w:rFonts w:ascii="Times New Roman" w:hAnsi="Times New Roman" w:cs="Times New Roman"/>
      </w:rPr>
    </w:pPr>
  </w:p>
  <w:p w:rsidR="00F55091" w:rsidRPr="00C04F45" w:rsidRDefault="00F55091"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B25" w:rsidRDefault="00E86B25" w:rsidP="008A5824">
      <w:r>
        <w:separator/>
      </w:r>
    </w:p>
  </w:footnote>
  <w:footnote w:type="continuationSeparator" w:id="0">
    <w:p w:rsidR="00E86B25" w:rsidRDefault="00E86B25"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091" w:rsidRPr="00E361F4" w:rsidRDefault="00F55091" w:rsidP="00E361F4">
    <w:pPr>
      <w:pStyle w:val="Cabealho"/>
    </w:pPr>
    <w:r>
      <w:rPr>
        <w:noProof/>
        <w:lang w:eastAsia="pt-BR"/>
      </w:rPr>
      <w:drawing>
        <wp:inline distT="0" distB="0" distL="0" distR="0">
          <wp:extent cx="5756275" cy="10864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564F5A"/>
    <w:multiLevelType w:val="multilevel"/>
    <w:tmpl w:val="0F1E635C"/>
    <w:lvl w:ilvl="0">
      <w:start w:val="1"/>
      <w:numFmt w:val="decimal"/>
      <w:lvlText w:val="%1"/>
      <w:lvlJc w:val="left"/>
      <w:pPr>
        <w:ind w:left="502"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440CF"/>
    <w:rsid w:val="000465E5"/>
    <w:rsid w:val="00055F80"/>
    <w:rsid w:val="00056FC5"/>
    <w:rsid w:val="00067126"/>
    <w:rsid w:val="0007234D"/>
    <w:rsid w:val="000D74BF"/>
    <w:rsid w:val="000F7084"/>
    <w:rsid w:val="00111814"/>
    <w:rsid w:val="00112FAA"/>
    <w:rsid w:val="001416F5"/>
    <w:rsid w:val="0016220D"/>
    <w:rsid w:val="00194BA9"/>
    <w:rsid w:val="001A4423"/>
    <w:rsid w:val="001C328B"/>
    <w:rsid w:val="001E257C"/>
    <w:rsid w:val="001F6A6D"/>
    <w:rsid w:val="002064E7"/>
    <w:rsid w:val="00256F99"/>
    <w:rsid w:val="002A48C4"/>
    <w:rsid w:val="002B0015"/>
    <w:rsid w:val="002B2B78"/>
    <w:rsid w:val="002F3BC9"/>
    <w:rsid w:val="0032357D"/>
    <w:rsid w:val="003430BE"/>
    <w:rsid w:val="003461E0"/>
    <w:rsid w:val="0035384E"/>
    <w:rsid w:val="0036377D"/>
    <w:rsid w:val="0036609D"/>
    <w:rsid w:val="0038579D"/>
    <w:rsid w:val="003A6805"/>
    <w:rsid w:val="003B0DF6"/>
    <w:rsid w:val="003C07C9"/>
    <w:rsid w:val="003C1181"/>
    <w:rsid w:val="003F12A9"/>
    <w:rsid w:val="004020EB"/>
    <w:rsid w:val="0046295D"/>
    <w:rsid w:val="00473887"/>
    <w:rsid w:val="004818BA"/>
    <w:rsid w:val="00491708"/>
    <w:rsid w:val="00495603"/>
    <w:rsid w:val="004F2DEA"/>
    <w:rsid w:val="005146A8"/>
    <w:rsid w:val="00516DC4"/>
    <w:rsid w:val="00533CC9"/>
    <w:rsid w:val="00561A91"/>
    <w:rsid w:val="005635CB"/>
    <w:rsid w:val="005B19AD"/>
    <w:rsid w:val="006064A3"/>
    <w:rsid w:val="00631DCF"/>
    <w:rsid w:val="00633D0C"/>
    <w:rsid w:val="00637B1D"/>
    <w:rsid w:val="00680EE8"/>
    <w:rsid w:val="00685636"/>
    <w:rsid w:val="00686527"/>
    <w:rsid w:val="006A7390"/>
    <w:rsid w:val="0072578D"/>
    <w:rsid w:val="007814BD"/>
    <w:rsid w:val="00782050"/>
    <w:rsid w:val="00785FC5"/>
    <w:rsid w:val="007A0C15"/>
    <w:rsid w:val="0082426E"/>
    <w:rsid w:val="00830D75"/>
    <w:rsid w:val="00860B20"/>
    <w:rsid w:val="0087260C"/>
    <w:rsid w:val="008A5824"/>
    <w:rsid w:val="008C479E"/>
    <w:rsid w:val="008D4F05"/>
    <w:rsid w:val="008F35CC"/>
    <w:rsid w:val="009833D5"/>
    <w:rsid w:val="009D2CB2"/>
    <w:rsid w:val="00A6533A"/>
    <w:rsid w:val="00A84944"/>
    <w:rsid w:val="00A86ECF"/>
    <w:rsid w:val="00AB2DFE"/>
    <w:rsid w:val="00B01636"/>
    <w:rsid w:val="00B14DB4"/>
    <w:rsid w:val="00B32719"/>
    <w:rsid w:val="00B41CAF"/>
    <w:rsid w:val="00B978B9"/>
    <w:rsid w:val="00BD0F13"/>
    <w:rsid w:val="00C04F45"/>
    <w:rsid w:val="00C30374"/>
    <w:rsid w:val="00C7421B"/>
    <w:rsid w:val="00CA2367"/>
    <w:rsid w:val="00CA25AA"/>
    <w:rsid w:val="00CE5296"/>
    <w:rsid w:val="00CF645C"/>
    <w:rsid w:val="00D42D92"/>
    <w:rsid w:val="00D729F6"/>
    <w:rsid w:val="00D91EAD"/>
    <w:rsid w:val="00DB3EB6"/>
    <w:rsid w:val="00DE669F"/>
    <w:rsid w:val="00E04688"/>
    <w:rsid w:val="00E317AE"/>
    <w:rsid w:val="00E361F4"/>
    <w:rsid w:val="00E6136F"/>
    <w:rsid w:val="00E86B25"/>
    <w:rsid w:val="00ED7A83"/>
    <w:rsid w:val="00EF2281"/>
    <w:rsid w:val="00F50C9B"/>
    <w:rsid w:val="00F55091"/>
    <w:rsid w:val="00F60535"/>
    <w:rsid w:val="00F85660"/>
    <w:rsid w:val="00FD12D7"/>
    <w:rsid w:val="00FD2137"/>
    <w:rsid w:val="00FE1CF2"/>
    <w:rsid w:val="00FF07B7"/>
    <w:rsid w:val="00FF180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F35F21"/>
  <w15:docId w15:val="{40E26582-25B2-4DB1-951C-D5EBE1AB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paragraph" w:customStyle="1" w:styleId="Ttulo-2">
    <w:name w:val="Título - 2"/>
    <w:basedOn w:val="Normal"/>
    <w:link w:val="Ttulo-2Char"/>
    <w:qFormat/>
    <w:rsid w:val="008C479E"/>
    <w:pPr>
      <w:suppressAutoHyphens w:val="0"/>
      <w:jc w:val="both"/>
    </w:pPr>
    <w:rPr>
      <w:b/>
      <w:szCs w:val="24"/>
    </w:rPr>
  </w:style>
  <w:style w:type="character" w:customStyle="1" w:styleId="Ttulo-2Char">
    <w:name w:val="Título - 2 Char"/>
    <w:link w:val="Ttulo-2"/>
    <w:rsid w:val="008C479E"/>
    <w:rPr>
      <w:rFonts w:ascii="Times New Roman" w:eastAsia="Times New Roman" w:hAnsi="Times New Roman" w:cs="Times New Roman"/>
      <w:b/>
      <w:sz w:val="20"/>
      <w:lang w:eastAsia="pt-BR"/>
    </w:rPr>
  </w:style>
  <w:style w:type="character" w:customStyle="1" w:styleId="apple-converted-space">
    <w:name w:val="apple-converted-space"/>
    <w:basedOn w:val="Fontepargpadro"/>
    <w:rsid w:val="00F85660"/>
  </w:style>
  <w:style w:type="paragraph" w:customStyle="1" w:styleId="Default">
    <w:name w:val="Default"/>
    <w:rsid w:val="0082426E"/>
    <w:pPr>
      <w:autoSpaceDE w:val="0"/>
      <w:autoSpaceDN w:val="0"/>
      <w:adjustRightInd w:val="0"/>
    </w:pPr>
    <w:rPr>
      <w:rFonts w:ascii="Times New Roman" w:eastAsiaTheme="minorEastAsia" w:hAnsi="Times New Roman" w:cs="Times New Roman"/>
      <w:color w:val="000000"/>
      <w:lang w:eastAsia="pt-BR"/>
    </w:rPr>
  </w:style>
  <w:style w:type="paragraph" w:customStyle="1" w:styleId="Refernciaartigos">
    <w:name w:val="Referência (artigos)"/>
    <w:basedOn w:val="Normal"/>
    <w:link w:val="RefernciaartigosChar"/>
    <w:qFormat/>
    <w:rsid w:val="0082426E"/>
    <w:pPr>
      <w:suppressAutoHyphens w:val="0"/>
      <w:spacing w:before="280"/>
      <w:jc w:val="both"/>
    </w:pPr>
    <w:rPr>
      <w:rFonts w:eastAsiaTheme="minorHAnsi"/>
      <w:sz w:val="24"/>
      <w:szCs w:val="24"/>
      <w:lang w:eastAsia="en-US"/>
    </w:rPr>
  </w:style>
  <w:style w:type="character" w:customStyle="1" w:styleId="RefernciaartigosChar">
    <w:name w:val="Referência (artigos) Char"/>
    <w:basedOn w:val="Fontepargpadro"/>
    <w:link w:val="Refernciaartigos"/>
    <w:rsid w:val="008242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757240217">
      <w:bodyDiv w:val="1"/>
      <w:marLeft w:val="0"/>
      <w:marRight w:val="0"/>
      <w:marTop w:val="0"/>
      <w:marBottom w:val="0"/>
      <w:divBdr>
        <w:top w:val="none" w:sz="0" w:space="0" w:color="auto"/>
        <w:left w:val="none" w:sz="0" w:space="0" w:color="auto"/>
        <w:bottom w:val="none" w:sz="0" w:space="0" w:color="auto"/>
        <w:right w:val="none" w:sz="0" w:space="0" w:color="auto"/>
      </w:divBdr>
    </w:div>
    <w:div w:id="1796018997">
      <w:bodyDiv w:val="1"/>
      <w:marLeft w:val="0"/>
      <w:marRight w:val="0"/>
      <w:marTop w:val="0"/>
      <w:marBottom w:val="0"/>
      <w:divBdr>
        <w:top w:val="none" w:sz="0" w:space="0" w:color="auto"/>
        <w:left w:val="none" w:sz="0" w:space="0" w:color="auto"/>
        <w:bottom w:val="none" w:sz="0" w:space="0" w:color="auto"/>
        <w:right w:val="none" w:sz="0" w:space="0" w:color="auto"/>
      </w:divBdr>
      <w:divsChild>
        <w:div w:id="1057046115">
          <w:marLeft w:val="0"/>
          <w:marRight w:val="0"/>
          <w:marTop w:val="0"/>
          <w:marBottom w:val="0"/>
          <w:divBdr>
            <w:top w:val="none" w:sz="0" w:space="0" w:color="auto"/>
            <w:left w:val="none" w:sz="0" w:space="0" w:color="auto"/>
            <w:bottom w:val="none" w:sz="0" w:space="0" w:color="auto"/>
            <w:right w:val="none" w:sz="0" w:space="0" w:color="auto"/>
          </w:divBdr>
        </w:div>
      </w:divsChild>
    </w:div>
    <w:div w:id="1886092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7729-825B-4DD1-BE8B-C52EFE55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9313</Words>
  <Characters>50291</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Mara</cp:lastModifiedBy>
  <cp:revision>18</cp:revision>
  <cp:lastPrinted>2018-05-01T00:20:00Z</cp:lastPrinted>
  <dcterms:created xsi:type="dcterms:W3CDTF">2018-04-28T10:57:00Z</dcterms:created>
  <dcterms:modified xsi:type="dcterms:W3CDTF">2018-05-01T00:21:00Z</dcterms:modified>
</cp:coreProperties>
</file>