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bookmarkStart w:id="0" w:name="_Hlk512861732"/>
    </w:p>
    <w:p w:rsidR="0036377D" w:rsidRDefault="009707D1" w:rsidP="0036377D">
      <w:pPr>
        <w:jc w:val="center"/>
        <w:rPr>
          <w:b/>
          <w:sz w:val="24"/>
        </w:rPr>
      </w:pPr>
      <w:r w:rsidRPr="009707D1">
        <w:rPr>
          <w:b/>
          <w:sz w:val="24"/>
        </w:rPr>
        <w:t xml:space="preserve">O </w:t>
      </w:r>
      <w:r>
        <w:rPr>
          <w:b/>
          <w:sz w:val="24"/>
        </w:rPr>
        <w:t>ciclo de vida das empresas brasileiras não financeiras e sua estrutura de capital</w:t>
      </w:r>
    </w:p>
    <w:p w:rsidR="009707D1" w:rsidRDefault="009707D1" w:rsidP="0036377D">
      <w:pPr>
        <w:jc w:val="center"/>
        <w:rPr>
          <w:color w:val="999999"/>
        </w:rPr>
      </w:pPr>
    </w:p>
    <w:p w:rsidR="009707D1" w:rsidRDefault="009707D1" w:rsidP="0036377D">
      <w:pPr>
        <w:jc w:val="right"/>
        <w:rPr>
          <w:b/>
          <w:sz w:val="24"/>
          <w:szCs w:val="24"/>
        </w:rPr>
      </w:pPr>
      <w:r>
        <w:rPr>
          <w:b/>
          <w:sz w:val="24"/>
          <w:szCs w:val="24"/>
        </w:rPr>
        <w:t>Renielly Nascimento Iara</w:t>
      </w:r>
    </w:p>
    <w:p w:rsidR="0036377D" w:rsidRDefault="009707D1" w:rsidP="0036377D">
      <w:pPr>
        <w:jc w:val="right"/>
        <w:rPr>
          <w:b/>
          <w:sz w:val="24"/>
          <w:szCs w:val="24"/>
        </w:rPr>
      </w:pPr>
      <w:r>
        <w:rPr>
          <w:b/>
          <w:sz w:val="24"/>
          <w:szCs w:val="24"/>
        </w:rPr>
        <w:t>Universidade de Brasília</w:t>
      </w:r>
      <w:r w:rsidR="0036377D">
        <w:rPr>
          <w:b/>
          <w:sz w:val="24"/>
          <w:szCs w:val="24"/>
        </w:rPr>
        <w:t xml:space="preserve"> (</w:t>
      </w:r>
      <w:r>
        <w:rPr>
          <w:b/>
          <w:sz w:val="24"/>
          <w:szCs w:val="24"/>
        </w:rPr>
        <w:t>UnB</w:t>
      </w:r>
      <w:r w:rsidR="0036377D">
        <w:rPr>
          <w:b/>
          <w:sz w:val="24"/>
          <w:szCs w:val="24"/>
        </w:rPr>
        <w:t>)</w:t>
      </w:r>
    </w:p>
    <w:p w:rsidR="009707D1" w:rsidRDefault="009707D1" w:rsidP="0036377D">
      <w:pPr>
        <w:jc w:val="right"/>
        <w:rPr>
          <w:b/>
          <w:i/>
          <w:sz w:val="24"/>
          <w:szCs w:val="24"/>
        </w:rPr>
      </w:pPr>
      <w:r>
        <w:rPr>
          <w:b/>
          <w:sz w:val="24"/>
          <w:szCs w:val="24"/>
        </w:rPr>
        <w:t>Universidade Federal de Goiás (UFG)</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9707D1">
        <w:rPr>
          <w:b/>
          <w:i/>
          <w:sz w:val="24"/>
          <w:szCs w:val="24"/>
        </w:rPr>
        <w:t>renyelly@gmail.com</w:t>
      </w:r>
    </w:p>
    <w:p w:rsidR="0036377D" w:rsidRDefault="0036377D" w:rsidP="0036377D">
      <w:pPr>
        <w:jc w:val="right"/>
        <w:rPr>
          <w:b/>
          <w:sz w:val="24"/>
          <w:szCs w:val="24"/>
        </w:rPr>
      </w:pPr>
    </w:p>
    <w:p w:rsidR="009707D1" w:rsidRDefault="009707D1" w:rsidP="00067126">
      <w:pPr>
        <w:widowControl w:val="0"/>
        <w:jc w:val="right"/>
        <w:rPr>
          <w:b/>
          <w:sz w:val="24"/>
          <w:szCs w:val="24"/>
        </w:rPr>
      </w:pPr>
      <w:r w:rsidRPr="009707D1">
        <w:rPr>
          <w:b/>
          <w:sz w:val="24"/>
          <w:szCs w:val="24"/>
        </w:rPr>
        <w:t xml:space="preserve">Monize Ramos do Nascimento </w:t>
      </w:r>
    </w:p>
    <w:p w:rsidR="009707D1" w:rsidRDefault="009707D1" w:rsidP="00067126">
      <w:pPr>
        <w:widowControl w:val="0"/>
        <w:jc w:val="right"/>
        <w:rPr>
          <w:b/>
          <w:sz w:val="24"/>
          <w:szCs w:val="24"/>
        </w:rPr>
      </w:pPr>
      <w:r w:rsidRPr="009707D1">
        <w:rPr>
          <w:b/>
          <w:sz w:val="24"/>
          <w:szCs w:val="24"/>
        </w:rPr>
        <w:t>Universidade Federal de Goiás (UFG)</w:t>
      </w:r>
    </w:p>
    <w:p w:rsidR="0036377D" w:rsidRDefault="00C04F45" w:rsidP="00067126">
      <w:pPr>
        <w:widowControl w:val="0"/>
        <w:jc w:val="right"/>
        <w:rPr>
          <w:b/>
          <w:i/>
          <w:sz w:val="24"/>
          <w:szCs w:val="24"/>
        </w:rPr>
      </w:pPr>
      <w:r>
        <w:rPr>
          <w:b/>
          <w:i/>
          <w:sz w:val="24"/>
          <w:szCs w:val="24"/>
        </w:rPr>
        <w:t>E</w:t>
      </w:r>
      <w:r w:rsidR="0036377D">
        <w:rPr>
          <w:b/>
          <w:i/>
          <w:sz w:val="24"/>
          <w:szCs w:val="24"/>
        </w:rPr>
        <w:t>-mail</w:t>
      </w:r>
      <w:r>
        <w:rPr>
          <w:b/>
          <w:i/>
          <w:sz w:val="24"/>
          <w:szCs w:val="24"/>
        </w:rPr>
        <w:t>:</w:t>
      </w:r>
      <w:r w:rsidR="009707D1" w:rsidRPr="009707D1">
        <w:t xml:space="preserve"> </w:t>
      </w:r>
      <w:r w:rsidR="009707D1" w:rsidRPr="009707D1">
        <w:rPr>
          <w:b/>
          <w:i/>
          <w:sz w:val="24"/>
          <w:szCs w:val="24"/>
        </w:rPr>
        <w:t>monizeeramos@gmail.com</w:t>
      </w:r>
    </w:p>
    <w:p w:rsidR="009707D1" w:rsidRDefault="009707D1" w:rsidP="00067126">
      <w:pPr>
        <w:widowControl w:val="0"/>
        <w:jc w:val="right"/>
        <w:rPr>
          <w:b/>
          <w:sz w:val="24"/>
          <w:szCs w:val="24"/>
        </w:rPr>
      </w:pPr>
    </w:p>
    <w:p w:rsidR="009707D1" w:rsidRDefault="009707D1" w:rsidP="009707D1">
      <w:pPr>
        <w:widowControl w:val="0"/>
        <w:jc w:val="right"/>
        <w:rPr>
          <w:b/>
          <w:sz w:val="24"/>
          <w:szCs w:val="24"/>
        </w:rPr>
      </w:pPr>
      <w:r w:rsidRPr="009707D1">
        <w:rPr>
          <w:b/>
          <w:sz w:val="24"/>
          <w:szCs w:val="24"/>
        </w:rPr>
        <w:t>Moisés Ferreira da Cunha</w:t>
      </w:r>
    </w:p>
    <w:p w:rsidR="009707D1" w:rsidRDefault="009707D1" w:rsidP="009707D1">
      <w:pPr>
        <w:widowControl w:val="0"/>
        <w:jc w:val="right"/>
        <w:rPr>
          <w:b/>
          <w:sz w:val="24"/>
          <w:szCs w:val="24"/>
        </w:rPr>
      </w:pPr>
      <w:r w:rsidRPr="009707D1">
        <w:rPr>
          <w:b/>
          <w:sz w:val="24"/>
          <w:szCs w:val="24"/>
        </w:rPr>
        <w:t>Universidade Federal de Goiás (UFG)</w:t>
      </w:r>
    </w:p>
    <w:p w:rsidR="009707D1" w:rsidRDefault="009707D1" w:rsidP="009707D1">
      <w:pPr>
        <w:widowControl w:val="0"/>
        <w:jc w:val="right"/>
        <w:rPr>
          <w:b/>
          <w:sz w:val="24"/>
          <w:szCs w:val="24"/>
        </w:rPr>
      </w:pPr>
      <w:r>
        <w:rPr>
          <w:b/>
          <w:i/>
          <w:sz w:val="24"/>
          <w:szCs w:val="24"/>
        </w:rPr>
        <w:t>E-mail:</w:t>
      </w:r>
      <w:r w:rsidRPr="009707D1">
        <w:rPr>
          <w:b/>
          <w:i/>
          <w:sz w:val="24"/>
          <w:szCs w:val="24"/>
        </w:rPr>
        <w:t xml:space="preserve"> moises.cunha2807@gmail.com</w:t>
      </w:r>
    </w:p>
    <w:p w:rsidR="009707D1" w:rsidRDefault="009707D1" w:rsidP="00067126">
      <w:pPr>
        <w:widowControl w:val="0"/>
        <w:jc w:val="right"/>
        <w:rPr>
          <w:b/>
          <w:sz w:val="24"/>
          <w:szCs w:val="24"/>
        </w:rPr>
      </w:pPr>
    </w:p>
    <w:p w:rsidR="009707D1" w:rsidRDefault="009707D1" w:rsidP="009707D1">
      <w:pPr>
        <w:widowControl w:val="0"/>
        <w:jc w:val="right"/>
        <w:rPr>
          <w:b/>
          <w:sz w:val="24"/>
          <w:szCs w:val="24"/>
        </w:rPr>
      </w:pPr>
      <w:r>
        <w:rPr>
          <w:b/>
          <w:sz w:val="24"/>
          <w:szCs w:val="24"/>
        </w:rPr>
        <w:t>Daiana Paula Pimenta</w:t>
      </w:r>
    </w:p>
    <w:p w:rsidR="009707D1" w:rsidRDefault="009707D1" w:rsidP="009707D1">
      <w:pPr>
        <w:widowControl w:val="0"/>
        <w:jc w:val="right"/>
        <w:rPr>
          <w:b/>
          <w:sz w:val="24"/>
          <w:szCs w:val="24"/>
        </w:rPr>
      </w:pPr>
      <w:r w:rsidRPr="009707D1">
        <w:rPr>
          <w:b/>
          <w:sz w:val="24"/>
          <w:szCs w:val="24"/>
        </w:rPr>
        <w:t>Universidade Federal de Goiás (UFG)</w:t>
      </w:r>
    </w:p>
    <w:p w:rsidR="009707D1" w:rsidRDefault="009707D1" w:rsidP="009707D1">
      <w:pPr>
        <w:widowControl w:val="0"/>
        <w:jc w:val="right"/>
        <w:rPr>
          <w:b/>
          <w:sz w:val="24"/>
          <w:szCs w:val="24"/>
        </w:rPr>
      </w:pPr>
      <w:r>
        <w:rPr>
          <w:b/>
          <w:i/>
          <w:sz w:val="24"/>
          <w:szCs w:val="24"/>
        </w:rPr>
        <w:t>E-mail:</w:t>
      </w:r>
      <w:r w:rsidRPr="009707D1">
        <w:t xml:space="preserve"> </w:t>
      </w:r>
      <w:r w:rsidRPr="009707D1">
        <w:rPr>
          <w:b/>
          <w:i/>
          <w:sz w:val="24"/>
          <w:szCs w:val="24"/>
        </w:rPr>
        <w:t>daiana-pimenta@hotmail.com</w:t>
      </w:r>
    </w:p>
    <w:p w:rsidR="009707D1" w:rsidRDefault="009707D1" w:rsidP="00067126">
      <w:pPr>
        <w:widowControl w:val="0"/>
        <w:jc w:val="right"/>
        <w:rPr>
          <w:b/>
          <w:sz w:val="24"/>
          <w:szCs w:val="24"/>
        </w:rPr>
      </w:pP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E13CBB" w:rsidRDefault="00E13CBB" w:rsidP="00067126">
      <w:pPr>
        <w:widowControl w:val="0"/>
        <w:jc w:val="both"/>
        <w:rPr>
          <w:sz w:val="24"/>
          <w:szCs w:val="24"/>
        </w:rPr>
      </w:pPr>
      <w:r w:rsidRPr="00E13CBB">
        <w:rPr>
          <w:sz w:val="24"/>
          <w:szCs w:val="24"/>
        </w:rPr>
        <w:t xml:space="preserve">O objetivo desta pesquisa foi investigar como os determinantes da estrutura de capital de empresas brasileiras podem influenciar o endividamento da empresa ao longo do seu ciclo de vida organizacional, tendo como fundo teórico as teorias de </w:t>
      </w:r>
      <w:r w:rsidRPr="00734C9C">
        <w:rPr>
          <w:i/>
          <w:sz w:val="24"/>
          <w:szCs w:val="24"/>
        </w:rPr>
        <w:t>pecking order</w:t>
      </w:r>
      <w:r w:rsidRPr="00E13CBB">
        <w:rPr>
          <w:sz w:val="24"/>
          <w:szCs w:val="24"/>
        </w:rPr>
        <w:t xml:space="preserve">, </w:t>
      </w:r>
      <w:bookmarkStart w:id="1" w:name="_GoBack"/>
      <w:r w:rsidRPr="00734C9C">
        <w:rPr>
          <w:i/>
          <w:sz w:val="24"/>
          <w:szCs w:val="24"/>
        </w:rPr>
        <w:t>trade-off</w:t>
      </w:r>
      <w:bookmarkEnd w:id="1"/>
      <w:r w:rsidRPr="00E13CBB">
        <w:rPr>
          <w:sz w:val="24"/>
          <w:szCs w:val="24"/>
        </w:rPr>
        <w:t xml:space="preserve"> e ciclo de vida organizacional. Foram estudadas as empresas brasileiras, de capital aberto, com dados disponíveis entre 2008 e 2016. Os dados coletados nas bases de dados Thomson Reuters e Economática foram analisados através dos softwares Stata e Excel, resultando em 1.675 observações no período de 2008 a 2016. Dentre os resultados encontrados merece destaque a confirmação das diferenças no endividamento das empresas brasileiras a depender da fase do ciclo de vida em que se encontram. Sendo as empresas em fase de crescimento e introdução aquelas com maiores níveis de dívida. Diante dos resultados é possível pensar que a não linearidade dos efeitos dos determinantes da estrutura de capital sobre o endividamento deve-se às especificidades de investimento e necessidade de crédito de cada fase do ciclo de vida organizacional.</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5E67BF">
        <w:rPr>
          <w:sz w:val="24"/>
          <w:szCs w:val="24"/>
        </w:rPr>
        <w:t>ESTRURURA DE CAPITAL; CICLO DE VIDA; DETERMINANTES DA ESTRUTURA DE CAPITAL</w:t>
      </w:r>
      <w:r>
        <w:rPr>
          <w:sz w:val="24"/>
          <w:szCs w:val="24"/>
        </w:rPr>
        <w:t>.</w:t>
      </w:r>
    </w:p>
    <w:p w:rsidR="0036377D" w:rsidRDefault="0036377D" w:rsidP="00067126">
      <w:pPr>
        <w:widowControl w:val="0"/>
        <w:rPr>
          <w:sz w:val="24"/>
          <w:szCs w:val="24"/>
        </w:rPr>
      </w:pPr>
    </w:p>
    <w:p w:rsidR="0036377D" w:rsidRDefault="0036377D" w:rsidP="00067126">
      <w:pPr>
        <w:widowControl w:val="0"/>
        <w:rPr>
          <w:b/>
          <w:sz w:val="24"/>
          <w:szCs w:val="24"/>
        </w:rPr>
      </w:pPr>
      <w:r>
        <w:rPr>
          <w:b/>
          <w:sz w:val="24"/>
          <w:szCs w:val="24"/>
        </w:rPr>
        <w:t xml:space="preserve">Linha Temática: </w:t>
      </w:r>
      <w:r w:rsidR="005E67BF" w:rsidRPr="005E67BF">
        <w:rPr>
          <w:sz w:val="24"/>
          <w:szCs w:val="24"/>
        </w:rPr>
        <w:t>Finanças e Mercado de Capitais</w:t>
      </w:r>
    </w:p>
    <w:p w:rsidR="005E67BF" w:rsidRPr="0036377D" w:rsidRDefault="005E67BF" w:rsidP="00067126">
      <w:pPr>
        <w:widowControl w:val="0"/>
        <w:rPr>
          <w:sz w:val="24"/>
          <w:szCs w:val="24"/>
        </w:rPr>
      </w:pPr>
    </w:p>
    <w:p w:rsidR="00361C60" w:rsidRDefault="00361C60"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Pr="00C04F45" w:rsidRDefault="001C328B" w:rsidP="005E67BF">
      <w:pPr>
        <w:widowControl w:val="0"/>
        <w:jc w:val="both"/>
        <w:rPr>
          <w:b/>
          <w:sz w:val="24"/>
          <w:szCs w:val="24"/>
        </w:rPr>
      </w:pPr>
      <w:r w:rsidRPr="00C04F45">
        <w:rPr>
          <w:b/>
          <w:sz w:val="24"/>
          <w:szCs w:val="24"/>
        </w:rPr>
        <w:lastRenderedPageBreak/>
        <w:t>1 Introdução</w:t>
      </w:r>
    </w:p>
    <w:p w:rsidR="005E67BF" w:rsidRPr="005E67BF" w:rsidRDefault="005E67BF" w:rsidP="005E67BF">
      <w:pPr>
        <w:widowControl w:val="0"/>
        <w:ind w:firstLine="709"/>
        <w:jc w:val="both"/>
        <w:rPr>
          <w:sz w:val="24"/>
          <w:szCs w:val="24"/>
        </w:rPr>
      </w:pPr>
      <w:r w:rsidRPr="005E67BF">
        <w:rPr>
          <w:sz w:val="24"/>
          <w:szCs w:val="24"/>
        </w:rPr>
        <w:t>A relevância da estrutura de financiamento sobre o valor da empresa é uma das principais questões em finanças corporativas e mesmo passando-se mais de cinquent</w:t>
      </w:r>
      <w:r w:rsidR="00C76519">
        <w:rPr>
          <w:sz w:val="24"/>
          <w:szCs w:val="24"/>
        </w:rPr>
        <w:t xml:space="preserve">a anos do trabalho pioneiro de </w:t>
      </w:r>
      <w:r w:rsidRPr="005E67BF">
        <w:rPr>
          <w:sz w:val="24"/>
          <w:szCs w:val="24"/>
        </w:rPr>
        <w:t>Modigliani e Miller (1958) a problemática permanece sem consenso. Sob o pressuposto de mercados perfeitos, eles demonstraram que o valor da empresa se altera em função dos investimentos realizados e não pela escolha das fontes que os financiam. Num segundo trabalho, Modigliani e Miller (1963) reconheceram os efeitos d</w:t>
      </w:r>
      <w:r w:rsidR="00CF28E3">
        <w:rPr>
          <w:sz w:val="24"/>
          <w:szCs w:val="24"/>
        </w:rPr>
        <w:t>a</w:t>
      </w:r>
      <w:r w:rsidRPr="005E67BF">
        <w:rPr>
          <w:sz w:val="24"/>
          <w:szCs w:val="24"/>
        </w:rPr>
        <w:t xml:space="preserve"> compensação, em forma de economia fiscal, que o uso de dívida proporciona para as empresas, demonstrando que o benefício fiscal da dívida reduz o custo de capital e consequentemente afeta o valor da empresa.</w:t>
      </w:r>
    </w:p>
    <w:p w:rsidR="005E67BF" w:rsidRPr="005E67BF" w:rsidRDefault="005E67BF" w:rsidP="005E67BF">
      <w:pPr>
        <w:widowControl w:val="0"/>
        <w:ind w:firstLine="709"/>
        <w:jc w:val="both"/>
        <w:rPr>
          <w:sz w:val="24"/>
          <w:szCs w:val="24"/>
        </w:rPr>
      </w:pPr>
      <w:r w:rsidRPr="005E67BF">
        <w:rPr>
          <w:sz w:val="24"/>
          <w:szCs w:val="24"/>
        </w:rPr>
        <w:t xml:space="preserve">Neste caso, o valor de uma empresa com dívidas equivaleria ao de uma empresa sem dívidas acrescido do valor presente do benefício fiscal decorrente do endividamento, o que levaria as empresas a maximizarem seu valor quando se financiassem integralmente com recursos de terceiros. No entanto, Modigliani e Miller (1963) ressaltam que essa configuração de financiamento não deve ser esperada, devido aos fatores limitantes da alavancagem, como restrições de endividamento impostas por credores e a necessidade </w:t>
      </w:r>
      <w:r w:rsidR="00CF28E3" w:rsidRPr="005E67BF">
        <w:rPr>
          <w:sz w:val="24"/>
          <w:szCs w:val="24"/>
        </w:rPr>
        <w:t>de as</w:t>
      </w:r>
      <w:r w:rsidRPr="005E67BF">
        <w:rPr>
          <w:sz w:val="24"/>
          <w:szCs w:val="24"/>
        </w:rPr>
        <w:t xml:space="preserve"> empresas manterem uma reserva da capacidade de endividamento para situações emergenciais.</w:t>
      </w:r>
    </w:p>
    <w:p w:rsidR="005E67BF" w:rsidRPr="005E67BF" w:rsidRDefault="005E67BF" w:rsidP="005E67BF">
      <w:pPr>
        <w:widowControl w:val="0"/>
        <w:ind w:firstLine="709"/>
        <w:jc w:val="both"/>
        <w:rPr>
          <w:sz w:val="24"/>
          <w:szCs w:val="24"/>
        </w:rPr>
      </w:pPr>
      <w:r w:rsidRPr="005E67BF">
        <w:rPr>
          <w:sz w:val="24"/>
          <w:szCs w:val="24"/>
        </w:rPr>
        <w:t xml:space="preserve">Haja vista a existência de mercados imperfeitos, outras teorias foram propostas na tentativa de explicar o mix das fontes de recursos escolhidas para o financiamento dos investimentos. Assim, duas teorias, recorrentemente tidas como concorrentes, se destacam na literatura: teoria de </w:t>
      </w:r>
      <w:r w:rsidRPr="00C76519">
        <w:rPr>
          <w:i/>
          <w:sz w:val="24"/>
          <w:szCs w:val="24"/>
        </w:rPr>
        <w:t>trade-off</w:t>
      </w:r>
      <w:r w:rsidRPr="005E67BF">
        <w:rPr>
          <w:sz w:val="24"/>
          <w:szCs w:val="24"/>
        </w:rPr>
        <w:t xml:space="preserve"> e teoria de </w:t>
      </w:r>
      <w:r w:rsidRPr="00C76519">
        <w:rPr>
          <w:i/>
          <w:sz w:val="24"/>
          <w:szCs w:val="24"/>
        </w:rPr>
        <w:t>pecking order</w:t>
      </w:r>
      <w:r w:rsidRPr="005E67BF">
        <w:rPr>
          <w:sz w:val="24"/>
          <w:szCs w:val="24"/>
        </w:rPr>
        <w:t xml:space="preserve">. </w:t>
      </w:r>
    </w:p>
    <w:p w:rsidR="005E67BF" w:rsidRPr="005E67BF" w:rsidRDefault="005E67BF" w:rsidP="005E67BF">
      <w:pPr>
        <w:widowControl w:val="0"/>
        <w:ind w:firstLine="709"/>
        <w:jc w:val="both"/>
        <w:rPr>
          <w:sz w:val="24"/>
          <w:szCs w:val="24"/>
        </w:rPr>
      </w:pPr>
      <w:r w:rsidRPr="005E67BF">
        <w:rPr>
          <w:sz w:val="24"/>
          <w:szCs w:val="24"/>
        </w:rPr>
        <w:t>As implicações empíricas dessas abordagens teóricas foram reunidas e resumidas por Harris e Raviv (1991). Características específicas das empresas e de seus setores de atuação foram evidenciadas como determinantes da estrutura de capital das empresas. Em geral, o endividamento da empresa aumenta com a presença de ativos tangíveis, benefícios fiscais não advindos de dívida, oportunidades de crescimento e tamanho da empresa, e pode diminuir com a volatilidade, despesas com publicidade e propaganda, despesas com pesquisa e desenvolvimento, probabilidade de falência, rentabilidade e especificidade do produto (Harris &amp; Raviv, 1991).</w:t>
      </w:r>
    </w:p>
    <w:p w:rsidR="005E67BF" w:rsidRPr="005E67BF" w:rsidRDefault="005E67BF" w:rsidP="005E67BF">
      <w:pPr>
        <w:widowControl w:val="0"/>
        <w:ind w:firstLine="709"/>
        <w:jc w:val="both"/>
        <w:rPr>
          <w:sz w:val="24"/>
          <w:szCs w:val="24"/>
        </w:rPr>
      </w:pPr>
      <w:r w:rsidRPr="005E67BF">
        <w:rPr>
          <w:sz w:val="24"/>
          <w:szCs w:val="24"/>
        </w:rPr>
        <w:t>Segundo estudos teóricos e empíricos (Dickinson, 2011; Lester, Parnell, &amp; Carraher, 2003; Miller &amp; Friesen, 1983, 1984; Mueller, 1972; Quinn &amp; Cameron, 1983), essas características apresentam padrões sistematicamente diferentes ao longo do ciclo de vida da empresa (La Rocca, La Rocca, &amp; Cariola, 2011). As fases do ciclo de vida de uma empresa determinam a natureza de suas necessidades financeiras, a disponibilidade de recursos financeiros e o custo de capital associado (La Rocca et al., 2011).</w:t>
      </w:r>
    </w:p>
    <w:p w:rsidR="005E67BF" w:rsidRPr="005E67BF" w:rsidRDefault="005E67BF" w:rsidP="005E67BF">
      <w:pPr>
        <w:widowControl w:val="0"/>
        <w:ind w:firstLine="709"/>
        <w:jc w:val="both"/>
        <w:rPr>
          <w:sz w:val="24"/>
          <w:szCs w:val="24"/>
        </w:rPr>
      </w:pPr>
      <w:r w:rsidRPr="005E67BF">
        <w:rPr>
          <w:sz w:val="24"/>
          <w:szCs w:val="24"/>
        </w:rPr>
        <w:t>Os estágios do ciclo de vida perpassam por fases de introdução, crescimento, maturidade, reestruturação e declínio (Dickinson, 2011). As empresas se movem desordenadamente entre estas fases, pois são um portfólio de multiprodutos disponibilizados em mercados distintos, cada qual em sua própria fase de desenvolvimento, e inovações, expansão para novos mercados e/ou mudanças estruturais (Dickinson, 2011). O trânsito pelas fases não é determinístico, podendo uma empresa sair da maturidade e voltar ao crescimento ou pular a fase de introdução, por exemplo (Miller &amp; Friesen, 1984). Por essa razão, o ciclo de vida empresarial pode ser de natureza cíclica, e a empresa deve se esforçar para manter-se em algum lugar entre o crescimento e a maturidade, onde a estrutura de prêmio pelo risco é otimizada (Dickinson, 2011).</w:t>
      </w:r>
    </w:p>
    <w:p w:rsidR="00E97DB3" w:rsidRDefault="005E67BF" w:rsidP="005E67BF">
      <w:pPr>
        <w:widowControl w:val="0"/>
        <w:ind w:firstLine="709"/>
        <w:jc w:val="both"/>
        <w:rPr>
          <w:sz w:val="24"/>
          <w:szCs w:val="24"/>
        </w:rPr>
      </w:pPr>
      <w:r w:rsidRPr="005E67BF">
        <w:rPr>
          <w:sz w:val="24"/>
          <w:szCs w:val="24"/>
        </w:rPr>
        <w:lastRenderedPageBreak/>
        <w:t xml:space="preserve">Bulan e Yan (2009), La Rocca, La Rocca e Cariola (2011), Reis e Gil Neto (2014) Castro, Tascón e Amor-Tapia (2015), Tian, Han e Zhang (2015), Ahsan, Wang e Qureshi (2016), Habib e Hasan (2017) perceberam a similaridade dos fatores que distinguem as fases do ciclo de vida com os que explicam a estrutura de capital das empresas, acreditando que essa combinação pode ser a razão das relações não lineares dos determinantes da estrutura de capital com o endividamento. A literatura sobre estrutura de capital é extensa, contudo, os efeitos do ciclo de vida das empresas sobre a eficiência das teorias de </w:t>
      </w:r>
      <w:r w:rsidRPr="00361C60">
        <w:rPr>
          <w:i/>
          <w:sz w:val="24"/>
          <w:szCs w:val="24"/>
        </w:rPr>
        <w:t>trade-off</w:t>
      </w:r>
      <w:r w:rsidRPr="005E67BF">
        <w:rPr>
          <w:sz w:val="24"/>
          <w:szCs w:val="24"/>
        </w:rPr>
        <w:t xml:space="preserve"> e </w:t>
      </w:r>
      <w:r w:rsidRPr="00361C60">
        <w:rPr>
          <w:i/>
          <w:sz w:val="24"/>
          <w:szCs w:val="24"/>
        </w:rPr>
        <w:t>pecking order</w:t>
      </w:r>
      <w:r w:rsidRPr="005E67BF">
        <w:rPr>
          <w:sz w:val="24"/>
          <w:szCs w:val="24"/>
        </w:rPr>
        <w:t xml:space="preserve"> na explicação das estruturas de capital das empresas até então foram insuficientemente pesquisados. Observadas as restrições financeiras mais severas em países com mercados emergentes, como o Brasil, especialmente em períodos de crise financeira e econômica, estes estudos são ainda menos frequentes (Marti</w:t>
      </w:r>
      <w:r w:rsidR="00117376">
        <w:rPr>
          <w:sz w:val="24"/>
          <w:szCs w:val="24"/>
        </w:rPr>
        <w:t>ns &amp; Terra, 2014; Terra, 2011).</w:t>
      </w:r>
    </w:p>
    <w:p w:rsidR="005E67BF" w:rsidRPr="005E67BF" w:rsidRDefault="005E67BF" w:rsidP="005E67BF">
      <w:pPr>
        <w:widowControl w:val="0"/>
        <w:ind w:firstLine="709"/>
        <w:jc w:val="both"/>
        <w:rPr>
          <w:sz w:val="24"/>
          <w:szCs w:val="24"/>
        </w:rPr>
      </w:pPr>
      <w:r w:rsidRPr="005E67BF">
        <w:rPr>
          <w:sz w:val="24"/>
          <w:szCs w:val="24"/>
        </w:rPr>
        <w:t xml:space="preserve">La Rocca </w:t>
      </w:r>
      <w:proofErr w:type="gramStart"/>
      <w:r w:rsidRPr="005E67BF">
        <w:rPr>
          <w:sz w:val="24"/>
          <w:szCs w:val="24"/>
        </w:rPr>
        <w:t>et</w:t>
      </w:r>
      <w:proofErr w:type="gramEnd"/>
      <w:r w:rsidRPr="005E67BF">
        <w:rPr>
          <w:sz w:val="24"/>
          <w:szCs w:val="24"/>
        </w:rPr>
        <w:t xml:space="preserve"> al.,</w:t>
      </w:r>
      <w:r w:rsidR="00361C60">
        <w:rPr>
          <w:sz w:val="24"/>
          <w:szCs w:val="24"/>
        </w:rPr>
        <w:t xml:space="preserve"> </w:t>
      </w:r>
      <w:r w:rsidRPr="005E67BF">
        <w:rPr>
          <w:sz w:val="24"/>
          <w:szCs w:val="24"/>
        </w:rPr>
        <w:t>(2011) ressaltam a importância de se conhecer a capacidade das empresas em fase inicial ou de crescimento, visto o papel relevante que desempenham em suas economias. Este conhecimento permite aos gestores alinhar sua tomada de decisão aos objetivos de crescimento da empresa, considerando as possíveis restrições que elas possam enfrentar. Além disso, governos e instituições de crédito podem ponderar os efeitos institucionais do ambiente que as empresas estão inseridas e apoiar o desenvolvimento dessas empresas de forma adequada, disponibilizando linhas de crédito, por exemplo, que atendam a essa demanda específica. De modo geral, as empresas têm objetivos de crescimento diferentes ao longo do seu ciclo de vida, em cada fase dele o acesso ao financiamento sofre influências distintas, sendo necessário compreender como agem e quais são as consequências dessas influências (Fraser, Bhaumik, &amp; Wright, 2015).</w:t>
      </w:r>
    </w:p>
    <w:p w:rsidR="00E97DB3" w:rsidRPr="005E67BF" w:rsidRDefault="005E67BF" w:rsidP="00117376">
      <w:pPr>
        <w:widowControl w:val="0"/>
        <w:ind w:firstLine="709"/>
        <w:jc w:val="both"/>
        <w:rPr>
          <w:sz w:val="24"/>
          <w:szCs w:val="24"/>
        </w:rPr>
      </w:pPr>
      <w:r w:rsidRPr="005E67BF">
        <w:rPr>
          <w:sz w:val="24"/>
          <w:szCs w:val="24"/>
        </w:rPr>
        <w:t>No contexto brasileiro, Kayo et al. (2004), Reis e Gill Neto (2014) e Reis, Campos e Pasquini (2017) observaram efeitos de determinantes da estrutura de capital sobre as empresas, mas com foco nas empresas em fase de alto e b</w:t>
      </w:r>
      <w:r w:rsidR="00117376">
        <w:rPr>
          <w:sz w:val="24"/>
          <w:szCs w:val="24"/>
        </w:rPr>
        <w:t xml:space="preserve">aixo crescimento. Permanecendo </w:t>
      </w:r>
      <w:r w:rsidRPr="005E67BF">
        <w:rPr>
          <w:sz w:val="24"/>
          <w:szCs w:val="24"/>
        </w:rPr>
        <w:t>uma lacuna sobre os efeitos destes determinantes na estrutura de capital das empresas brasileiras em outras fases do ciclo de vida organizacional, como as fases de introdução, maturidade, reestruturação e declínio.</w:t>
      </w:r>
      <w:r w:rsidR="00E97DB3">
        <w:rPr>
          <w:sz w:val="24"/>
          <w:szCs w:val="24"/>
        </w:rPr>
        <w:t xml:space="preserve"> </w:t>
      </w:r>
      <w:r w:rsidR="00E97DB3" w:rsidRPr="005E67BF">
        <w:rPr>
          <w:sz w:val="24"/>
          <w:szCs w:val="24"/>
        </w:rPr>
        <w:t>Portanto, o objetivo desta pesquisa é investigar como os determinantes da estrutura de capital de empresas brasileiras podem influenciar o endividamento da empresa ao longo do seu ciclo de vida organizacional.</w:t>
      </w:r>
      <w:r w:rsidR="00E97DB3">
        <w:rPr>
          <w:sz w:val="24"/>
          <w:szCs w:val="24"/>
        </w:rPr>
        <w:t xml:space="preserve"> </w:t>
      </w:r>
    </w:p>
    <w:p w:rsidR="00122E61" w:rsidRDefault="00122E61" w:rsidP="005E67BF">
      <w:pPr>
        <w:widowControl w:val="0"/>
        <w:ind w:firstLine="709"/>
        <w:jc w:val="both"/>
        <w:rPr>
          <w:sz w:val="24"/>
          <w:szCs w:val="24"/>
        </w:rPr>
      </w:pPr>
    </w:p>
    <w:p w:rsidR="00122E61" w:rsidRPr="00C04F45" w:rsidRDefault="00122E61" w:rsidP="00122E61">
      <w:pPr>
        <w:widowControl w:val="0"/>
        <w:jc w:val="both"/>
        <w:rPr>
          <w:b/>
          <w:sz w:val="24"/>
          <w:szCs w:val="24"/>
        </w:rPr>
      </w:pPr>
      <w:r>
        <w:rPr>
          <w:b/>
          <w:sz w:val="24"/>
          <w:szCs w:val="24"/>
        </w:rPr>
        <w:t>2</w:t>
      </w:r>
      <w:r w:rsidRPr="00C04F45">
        <w:rPr>
          <w:b/>
          <w:sz w:val="24"/>
          <w:szCs w:val="24"/>
        </w:rPr>
        <w:t xml:space="preserve"> </w:t>
      </w:r>
      <w:r>
        <w:rPr>
          <w:b/>
          <w:sz w:val="24"/>
          <w:szCs w:val="24"/>
        </w:rPr>
        <w:t>Fundamentação Teórica</w:t>
      </w:r>
    </w:p>
    <w:p w:rsidR="00122E61" w:rsidRPr="00122E61" w:rsidRDefault="00122E61" w:rsidP="00122E61">
      <w:pPr>
        <w:widowControl w:val="0"/>
        <w:ind w:firstLine="709"/>
        <w:jc w:val="both"/>
        <w:rPr>
          <w:sz w:val="24"/>
          <w:szCs w:val="24"/>
        </w:rPr>
      </w:pPr>
      <w:r w:rsidRPr="00122E61">
        <w:rPr>
          <w:sz w:val="24"/>
          <w:szCs w:val="24"/>
        </w:rPr>
        <w:t xml:space="preserve">A relevância da estrutura de financiamento sobre o valor da empresa é uma das principais questões em finanças corporativas e mesmo passando-se mais de cinquenta anos do trabalho pioneiro de Modigliani e Miller (1958) a problemática permanece sem consenso. Outras teorias foram sendo propostas na tentativa de explicar o mix das fontes de recursos escolhidas para o financiamento dos investimentos. Dentre elas, duas teorias recorrentemente tidas como concorrentes se destacam na literatura: teoria de </w:t>
      </w:r>
      <w:r w:rsidRPr="00361C60">
        <w:rPr>
          <w:i/>
          <w:sz w:val="24"/>
          <w:szCs w:val="24"/>
        </w:rPr>
        <w:t>trade-off</w:t>
      </w:r>
      <w:r w:rsidRPr="00122E61">
        <w:rPr>
          <w:sz w:val="24"/>
          <w:szCs w:val="24"/>
        </w:rPr>
        <w:t xml:space="preserve"> e teoria de </w:t>
      </w:r>
      <w:r w:rsidRPr="00361C60">
        <w:rPr>
          <w:i/>
          <w:sz w:val="24"/>
          <w:szCs w:val="24"/>
        </w:rPr>
        <w:t>pecking order</w:t>
      </w:r>
      <w:r w:rsidRPr="00122E61">
        <w:rPr>
          <w:sz w:val="24"/>
          <w:szCs w:val="24"/>
        </w:rPr>
        <w:t xml:space="preserve">. </w:t>
      </w:r>
    </w:p>
    <w:p w:rsidR="00122E61" w:rsidRPr="00122E61" w:rsidRDefault="00122E61" w:rsidP="00122E61">
      <w:pPr>
        <w:widowControl w:val="0"/>
        <w:ind w:firstLine="709"/>
        <w:jc w:val="both"/>
        <w:rPr>
          <w:sz w:val="24"/>
          <w:szCs w:val="24"/>
        </w:rPr>
      </w:pPr>
      <w:r w:rsidRPr="00122E61">
        <w:rPr>
          <w:sz w:val="24"/>
          <w:szCs w:val="24"/>
        </w:rPr>
        <w:t xml:space="preserve">Segundo a teoria de </w:t>
      </w:r>
      <w:r w:rsidRPr="00361C60">
        <w:rPr>
          <w:i/>
          <w:sz w:val="24"/>
          <w:szCs w:val="24"/>
        </w:rPr>
        <w:t>trade-off</w:t>
      </w:r>
      <w:r w:rsidRPr="00122E61">
        <w:rPr>
          <w:sz w:val="24"/>
          <w:szCs w:val="24"/>
        </w:rPr>
        <w:t xml:space="preserve">, as empresas tomam suas decisões sobre estrutura de capital a fim de alcançar um nível ótimo de endividamento, através do equilíbrio entre os benefícios e os custos de utilização da dívida (Myers, 1984). No entanto, as empresas oscilam seu endividamento real em torno desse nível ótimo e fazem ajustes à medida que os benefícios superarem os custos de ajustamento (Hovakiman e Li, 2011). </w:t>
      </w:r>
    </w:p>
    <w:p w:rsidR="00122E61" w:rsidRDefault="00122E61" w:rsidP="00122E61">
      <w:pPr>
        <w:widowControl w:val="0"/>
        <w:ind w:firstLine="709"/>
        <w:jc w:val="both"/>
        <w:rPr>
          <w:sz w:val="24"/>
          <w:szCs w:val="24"/>
        </w:rPr>
      </w:pPr>
      <w:r w:rsidRPr="00122E61">
        <w:rPr>
          <w:sz w:val="24"/>
          <w:szCs w:val="24"/>
        </w:rPr>
        <w:t xml:space="preserve">A teoria de </w:t>
      </w:r>
      <w:r w:rsidRPr="00FF5B59">
        <w:rPr>
          <w:i/>
          <w:sz w:val="24"/>
          <w:szCs w:val="24"/>
        </w:rPr>
        <w:t>pecking order</w:t>
      </w:r>
      <w:r w:rsidRPr="00122E61">
        <w:rPr>
          <w:sz w:val="24"/>
          <w:szCs w:val="24"/>
        </w:rPr>
        <w:t xml:space="preserve"> foi inaugurada por Myers e Majluf (1984) e prediz uma </w:t>
      </w:r>
      <w:r w:rsidRPr="00122E61">
        <w:rPr>
          <w:sz w:val="24"/>
          <w:szCs w:val="24"/>
        </w:rPr>
        <w:lastRenderedPageBreak/>
        <w:t>hierarquia na busca por recursos, sendo preferíveis os recursos internos em relação aos externos por não implicarem em qualquer tipo de anúncio da captação de recursos por parte da empresa e consequentemente, nenhuma ou pouquíssima divulgação de informação ao mercado. Quando se fazem necessários recursos externos, a empresa opta pela emissão de títulos de dívidas menos arriscadas em detrimento dos títulos de ações, pois são menos sensíveis ao mercado, não envolvendo subavaliação (Harris e Raviv, 1991). Logo, não haverá emissão de ações subvalorizadas, desde que a transferência de riqueza dos acionistas existentes para os novos seja mais do que compensada pelo valor presente líquido do novo projeto (Myers, 2001).</w:t>
      </w:r>
    </w:p>
    <w:p w:rsidR="00122E61" w:rsidRDefault="00122E61" w:rsidP="00122E61">
      <w:pPr>
        <w:widowControl w:val="0"/>
        <w:ind w:firstLine="709"/>
        <w:jc w:val="both"/>
        <w:rPr>
          <w:sz w:val="24"/>
          <w:szCs w:val="24"/>
        </w:rPr>
      </w:pPr>
    </w:p>
    <w:p w:rsidR="00122E61" w:rsidRPr="00C04F45" w:rsidRDefault="00122E61" w:rsidP="00122E61">
      <w:pPr>
        <w:widowControl w:val="0"/>
        <w:jc w:val="both"/>
        <w:rPr>
          <w:b/>
          <w:sz w:val="24"/>
          <w:szCs w:val="24"/>
        </w:rPr>
      </w:pPr>
      <w:r>
        <w:rPr>
          <w:b/>
          <w:sz w:val="24"/>
          <w:szCs w:val="24"/>
        </w:rPr>
        <w:t>2.1</w:t>
      </w:r>
      <w:r w:rsidRPr="00C04F45">
        <w:rPr>
          <w:b/>
          <w:sz w:val="24"/>
          <w:szCs w:val="24"/>
        </w:rPr>
        <w:t xml:space="preserve"> </w:t>
      </w:r>
      <w:r w:rsidRPr="00122E61">
        <w:rPr>
          <w:b/>
          <w:sz w:val="24"/>
          <w:szCs w:val="24"/>
        </w:rPr>
        <w:t xml:space="preserve">Fases do </w:t>
      </w:r>
      <w:r w:rsidR="00C76519">
        <w:rPr>
          <w:b/>
          <w:sz w:val="24"/>
          <w:szCs w:val="24"/>
        </w:rPr>
        <w:t>c</w:t>
      </w:r>
      <w:r w:rsidRPr="00122E61">
        <w:rPr>
          <w:b/>
          <w:sz w:val="24"/>
          <w:szCs w:val="24"/>
        </w:rPr>
        <w:t xml:space="preserve">iclo de </w:t>
      </w:r>
      <w:r w:rsidR="00C76519">
        <w:rPr>
          <w:b/>
          <w:sz w:val="24"/>
          <w:szCs w:val="24"/>
        </w:rPr>
        <w:t>v</w:t>
      </w:r>
      <w:r w:rsidRPr="00122E61">
        <w:rPr>
          <w:b/>
          <w:sz w:val="24"/>
          <w:szCs w:val="24"/>
        </w:rPr>
        <w:t xml:space="preserve">ida </w:t>
      </w:r>
      <w:r w:rsidR="00C76519">
        <w:rPr>
          <w:b/>
          <w:sz w:val="24"/>
          <w:szCs w:val="24"/>
        </w:rPr>
        <w:t>o</w:t>
      </w:r>
      <w:r w:rsidRPr="00122E61">
        <w:rPr>
          <w:b/>
          <w:sz w:val="24"/>
          <w:szCs w:val="24"/>
        </w:rPr>
        <w:t>rganizacional</w:t>
      </w:r>
    </w:p>
    <w:p w:rsidR="00122E61" w:rsidRDefault="00122E61" w:rsidP="00122E61">
      <w:pPr>
        <w:widowControl w:val="0"/>
        <w:ind w:firstLine="709"/>
        <w:jc w:val="both"/>
        <w:rPr>
          <w:sz w:val="24"/>
          <w:szCs w:val="24"/>
        </w:rPr>
      </w:pPr>
      <w:r w:rsidRPr="00122E61">
        <w:rPr>
          <w:sz w:val="24"/>
          <w:szCs w:val="24"/>
        </w:rPr>
        <w:t>O ciclo de vida das empresas resulta da combinação de fatores internos e externos, como gestão estratégica, estrutura e método de tomada de decisão, entre outros, conciliados à multiprodutos em fases distintas. Essa complexa combinação dificulta o processo de identificação da fase em que uma empresa encontra-se no ciclo de vida organizacional (Dickinson, 2011), mas também desperta o interesse de pesquisadores há anos.</w:t>
      </w:r>
    </w:p>
    <w:p w:rsidR="00835696" w:rsidRDefault="00835696" w:rsidP="00835696">
      <w:pPr>
        <w:widowControl w:val="0"/>
        <w:ind w:firstLine="709"/>
        <w:jc w:val="both"/>
        <w:rPr>
          <w:sz w:val="24"/>
          <w:szCs w:val="24"/>
        </w:rPr>
      </w:pPr>
      <w:r>
        <w:rPr>
          <w:sz w:val="24"/>
          <w:szCs w:val="24"/>
        </w:rPr>
        <w:t xml:space="preserve">Segundo os estudos de </w:t>
      </w:r>
      <w:r w:rsidRPr="00122E61">
        <w:rPr>
          <w:sz w:val="24"/>
          <w:szCs w:val="24"/>
        </w:rPr>
        <w:t>Mueller (1972)</w:t>
      </w:r>
      <w:r>
        <w:rPr>
          <w:sz w:val="24"/>
          <w:szCs w:val="24"/>
        </w:rPr>
        <w:t xml:space="preserve">, </w:t>
      </w:r>
      <w:r w:rsidRPr="00122E61">
        <w:rPr>
          <w:sz w:val="24"/>
          <w:szCs w:val="24"/>
        </w:rPr>
        <w:t>Quinn e Cameron (1983)</w:t>
      </w:r>
      <w:r>
        <w:rPr>
          <w:sz w:val="24"/>
          <w:szCs w:val="24"/>
        </w:rPr>
        <w:t xml:space="preserve">, </w:t>
      </w:r>
      <w:r w:rsidRPr="00122E61">
        <w:rPr>
          <w:sz w:val="24"/>
          <w:szCs w:val="24"/>
        </w:rPr>
        <w:t>Miller e Friesen (1983, 1984)</w:t>
      </w:r>
      <w:r>
        <w:rPr>
          <w:sz w:val="24"/>
          <w:szCs w:val="24"/>
        </w:rPr>
        <w:t xml:space="preserve"> e </w:t>
      </w:r>
      <w:r w:rsidRPr="00122E61">
        <w:rPr>
          <w:sz w:val="24"/>
          <w:szCs w:val="24"/>
        </w:rPr>
        <w:t>Lester, Parnell e Carraher (2003)</w:t>
      </w:r>
      <w:r>
        <w:rPr>
          <w:sz w:val="24"/>
          <w:szCs w:val="24"/>
        </w:rPr>
        <w:t xml:space="preserve">, </w:t>
      </w:r>
      <w:r w:rsidR="00DC3E1C">
        <w:rPr>
          <w:sz w:val="24"/>
          <w:szCs w:val="24"/>
        </w:rPr>
        <w:t xml:space="preserve">as empresas em </w:t>
      </w:r>
      <w:r w:rsidRPr="00122E61">
        <w:rPr>
          <w:sz w:val="24"/>
          <w:szCs w:val="24"/>
        </w:rPr>
        <w:t>fase de introdução são pequenas em termos absolutos e em relação aos concorrentes, com o poder concentrado nas mãos de um ou poucos indivíduos, mas tentam estabelecer uma estratégia de mercado para um produto que atenda a um nicho de mercado que até então não era atendido.</w:t>
      </w:r>
      <w:r>
        <w:rPr>
          <w:sz w:val="24"/>
          <w:szCs w:val="24"/>
        </w:rPr>
        <w:t xml:space="preserve"> </w:t>
      </w:r>
      <w:r w:rsidRPr="00122E61">
        <w:rPr>
          <w:sz w:val="24"/>
          <w:szCs w:val="24"/>
        </w:rPr>
        <w:t>Na fase de crescimento, as empresas são mais velhas e maiores, com ênfase à diversificação dos produtos, mas sem extrapolar, oferecendo uma matriz de opções ainda focada sobre um grupo de clientes, o que acaba implicando em um ambiente mais heterogêneo</w:t>
      </w:r>
      <w:r w:rsidR="00DC3E1C">
        <w:rPr>
          <w:sz w:val="24"/>
          <w:szCs w:val="24"/>
        </w:rPr>
        <w:t xml:space="preserve">, podendo </w:t>
      </w:r>
      <w:r w:rsidRPr="00122E61">
        <w:rPr>
          <w:sz w:val="24"/>
          <w:szCs w:val="24"/>
        </w:rPr>
        <w:t>haver aquisição de outras empresas concorrentes de menor porte, sendo integradas à base estrutural da empresa</w:t>
      </w:r>
      <w:r w:rsidR="00DC3E1C">
        <w:rPr>
          <w:sz w:val="24"/>
          <w:szCs w:val="24"/>
        </w:rPr>
        <w:t xml:space="preserve">, além disso, a </w:t>
      </w:r>
      <w:r w:rsidRPr="00122E61">
        <w:rPr>
          <w:sz w:val="24"/>
          <w:szCs w:val="24"/>
        </w:rPr>
        <w:t>propriedade é menos concentrada e as decisões sofrem mais influência dos clientes.</w:t>
      </w:r>
      <w:r>
        <w:rPr>
          <w:sz w:val="24"/>
          <w:szCs w:val="24"/>
        </w:rPr>
        <w:t xml:space="preserve"> </w:t>
      </w:r>
      <w:r w:rsidRPr="00122E61">
        <w:rPr>
          <w:sz w:val="24"/>
          <w:szCs w:val="24"/>
        </w:rPr>
        <w:t>Durante a maturidade, as empresas mais velhas e maiores também são conservadoras e apresentam uma estrutura de propriedade mais pulverizada</w:t>
      </w:r>
      <w:r w:rsidR="00DC3E1C">
        <w:rPr>
          <w:sz w:val="24"/>
          <w:szCs w:val="24"/>
        </w:rPr>
        <w:t>, focadas no</w:t>
      </w:r>
      <w:r w:rsidRPr="00122E61">
        <w:rPr>
          <w:sz w:val="24"/>
          <w:szCs w:val="24"/>
        </w:rPr>
        <w:t xml:space="preserve"> objetivo </w:t>
      </w:r>
      <w:r w:rsidR="00DC3E1C">
        <w:rPr>
          <w:sz w:val="24"/>
          <w:szCs w:val="24"/>
        </w:rPr>
        <w:t>de</w:t>
      </w:r>
      <w:r w:rsidRPr="00122E61">
        <w:rPr>
          <w:sz w:val="24"/>
          <w:szCs w:val="24"/>
        </w:rPr>
        <w:t xml:space="preserve"> melhorar a rentabilidade e a eficiência das operações, para isso dá-se uma ênfase em controles formais de custos, orçamentos e desempenho. Quando as empresas estão na fase de reestruturação </w:t>
      </w:r>
      <w:proofErr w:type="gramStart"/>
      <w:r w:rsidRPr="00122E61">
        <w:rPr>
          <w:sz w:val="24"/>
          <w:szCs w:val="24"/>
        </w:rPr>
        <w:t>a</w:t>
      </w:r>
      <w:proofErr w:type="gramEnd"/>
      <w:r w:rsidRPr="00122E61">
        <w:rPr>
          <w:sz w:val="24"/>
          <w:szCs w:val="24"/>
        </w:rPr>
        <w:t xml:space="preserve"> inovação é uma forte característica</w:t>
      </w:r>
      <w:r w:rsidR="00DC3E1C">
        <w:rPr>
          <w:sz w:val="24"/>
          <w:szCs w:val="24"/>
        </w:rPr>
        <w:t>, n</w:t>
      </w:r>
      <w:r w:rsidRPr="00122E61">
        <w:rPr>
          <w:sz w:val="24"/>
          <w:szCs w:val="24"/>
        </w:rPr>
        <w:t>ovas linhas de produtos surgem, as empresas tornam-se mais diversificadas adquirindo outras empresas em setores de atuação diferentes do que já se atua, resultando em um ambiente mais heterogêneo do que nunca</w:t>
      </w:r>
      <w:r w:rsidR="00DC3E1C">
        <w:rPr>
          <w:sz w:val="24"/>
          <w:szCs w:val="24"/>
        </w:rPr>
        <w:t xml:space="preserve">, onde o </w:t>
      </w:r>
      <w:r w:rsidRPr="00122E61">
        <w:rPr>
          <w:sz w:val="24"/>
          <w:szCs w:val="24"/>
        </w:rPr>
        <w:t>tamanho máximo da empresa é alcançado, mas o crescimento não se limita ao seu próprio tamanho e busca-se uma expansão de mercado</w:t>
      </w:r>
      <w:r w:rsidR="00DC3E1C">
        <w:rPr>
          <w:sz w:val="24"/>
          <w:szCs w:val="24"/>
        </w:rPr>
        <w:t>, já a</w:t>
      </w:r>
      <w:r w:rsidRPr="00122E61">
        <w:rPr>
          <w:sz w:val="24"/>
          <w:szCs w:val="24"/>
        </w:rPr>
        <w:t xml:space="preserve"> estrutura acompanha a estratégia e também se torna menos concentrada, são adotadas estruturas divisionais, com chefes responsáveis pela tomada de decisão e desempenho em cada mercado de atuação.</w:t>
      </w:r>
      <w:r>
        <w:rPr>
          <w:sz w:val="24"/>
          <w:szCs w:val="24"/>
        </w:rPr>
        <w:t xml:space="preserve"> Por fim, na </w:t>
      </w:r>
      <w:r w:rsidRPr="00122E61">
        <w:rPr>
          <w:sz w:val="24"/>
          <w:szCs w:val="24"/>
        </w:rPr>
        <w:t>fase de declínio, as empresas tornam-se estagnadas, tentando assegurar seu desempenho através de produtos antiquados, o que implica numa redução de preços</w:t>
      </w:r>
      <w:r w:rsidR="00DC3E1C">
        <w:rPr>
          <w:sz w:val="24"/>
          <w:szCs w:val="24"/>
        </w:rPr>
        <w:t>, a</w:t>
      </w:r>
      <w:r w:rsidRPr="00122E61">
        <w:rPr>
          <w:sz w:val="24"/>
          <w:szCs w:val="24"/>
        </w:rPr>
        <w:t xml:space="preserve"> tomada de decisão, mesmo sobre operações de rotina, está concentrada sobre os principais gestores, não há um processo de informação bem desenvolvido</w:t>
      </w:r>
      <w:r w:rsidR="00DC3E1C">
        <w:rPr>
          <w:sz w:val="24"/>
          <w:szCs w:val="24"/>
        </w:rPr>
        <w:t>, p</w:t>
      </w:r>
      <w:r w:rsidRPr="00122E61">
        <w:rPr>
          <w:sz w:val="24"/>
          <w:szCs w:val="24"/>
        </w:rPr>
        <w:t xml:space="preserve">oucas medidas </w:t>
      </w:r>
      <w:r w:rsidR="00DC3E1C">
        <w:rPr>
          <w:sz w:val="24"/>
          <w:szCs w:val="24"/>
        </w:rPr>
        <w:t>(</w:t>
      </w:r>
      <w:r w:rsidRPr="00122E61">
        <w:rPr>
          <w:sz w:val="24"/>
          <w:szCs w:val="24"/>
        </w:rPr>
        <w:t>ou nenhuma</w:t>
      </w:r>
      <w:r w:rsidR="00DC3E1C">
        <w:rPr>
          <w:sz w:val="24"/>
          <w:szCs w:val="24"/>
        </w:rPr>
        <w:t>)</w:t>
      </w:r>
      <w:r w:rsidRPr="00122E61">
        <w:rPr>
          <w:sz w:val="24"/>
          <w:szCs w:val="24"/>
        </w:rPr>
        <w:t xml:space="preserve"> são tomadas para identificar condições de concorrência e preferências dos clientes</w:t>
      </w:r>
      <w:r w:rsidR="00DC3E1C">
        <w:rPr>
          <w:sz w:val="24"/>
          <w:szCs w:val="24"/>
        </w:rPr>
        <w:t xml:space="preserve">, persistindo um </w:t>
      </w:r>
      <w:r w:rsidRPr="00122E61">
        <w:rPr>
          <w:sz w:val="24"/>
          <w:szCs w:val="24"/>
        </w:rPr>
        <w:t>forte conservadorismo, com relutância até mesmo em copiar inovações dos concorrentes.</w:t>
      </w:r>
    </w:p>
    <w:p w:rsidR="00122E61" w:rsidRPr="00122E61" w:rsidRDefault="00122E61" w:rsidP="00122E61">
      <w:pPr>
        <w:widowControl w:val="0"/>
        <w:ind w:firstLine="709"/>
        <w:jc w:val="both"/>
        <w:rPr>
          <w:sz w:val="24"/>
          <w:szCs w:val="24"/>
        </w:rPr>
      </w:pPr>
      <w:r w:rsidRPr="00122E61">
        <w:rPr>
          <w:sz w:val="24"/>
          <w:szCs w:val="24"/>
        </w:rPr>
        <w:t xml:space="preserve">Sendo o ciclo de vida uma tendência central, não uma ordem de evolução, uma parte significativa das empresas não apresenta uma progressão comum ao longo do ciclo de vida, </w:t>
      </w:r>
      <w:r w:rsidRPr="00122E61">
        <w:rPr>
          <w:sz w:val="24"/>
          <w:szCs w:val="24"/>
        </w:rPr>
        <w:lastRenderedPageBreak/>
        <w:t>indo da introdução ao declínio (Miller &amp; Friesen, 1984). Assim, a maturidade pode ser seguida tanto por declínio ou por crescimento, ou uma empresa pode surgir diretamente na fase de crescimento, não passando pela fase de introdução. E o tempo de permanência em cada fase do ciclo de vida pode variar muito de empresa para empresa.</w:t>
      </w:r>
    </w:p>
    <w:p w:rsidR="00122E61" w:rsidRPr="00122E61" w:rsidRDefault="00122E61" w:rsidP="00122E61">
      <w:pPr>
        <w:widowControl w:val="0"/>
        <w:ind w:firstLine="709"/>
        <w:jc w:val="both"/>
        <w:rPr>
          <w:sz w:val="24"/>
          <w:szCs w:val="24"/>
        </w:rPr>
      </w:pPr>
      <w:r w:rsidRPr="00122E61">
        <w:rPr>
          <w:sz w:val="24"/>
          <w:szCs w:val="24"/>
        </w:rPr>
        <w:t>Apesar das pesquisas apontarem para um padrão previsível das fases do ciclo de vida da empresa em acordo com suas oportunidades de investimento e fluxos de caixa, identificar qual a fase do ciclo de vida em que a empresa se encontra ainda é uma tarefa difícil (Dickinson, 2011). Com o objetivo de encontrar uma forma mais diretamente observável para identificar essas fases, Dickinson (2011) relacionou as implicações desses estudos anteriores sobre ciclo de vida com os fluxos de caixa operacional, de investimentos e de financiamentos das empresas, criando uma proxy para ciclo de vida organizacional que decorre do desempenho e da alocação de recursos da empresa.</w:t>
      </w:r>
    </w:p>
    <w:p w:rsidR="00122E61" w:rsidRPr="00122E61" w:rsidRDefault="00122E61" w:rsidP="00122E61">
      <w:pPr>
        <w:widowControl w:val="0"/>
        <w:ind w:firstLine="709"/>
        <w:jc w:val="both"/>
        <w:rPr>
          <w:sz w:val="24"/>
          <w:szCs w:val="24"/>
        </w:rPr>
      </w:pPr>
      <w:r w:rsidRPr="00122E61">
        <w:rPr>
          <w:sz w:val="24"/>
          <w:szCs w:val="24"/>
        </w:rPr>
        <w:t>Portanto, o fluxo de caixa operacional é negativo na fase de crescimento, momento que as empresas adentram o mercado com um déficit de conhecimento sobre potenciais receitas e custos. A maximização da margem de lucro e o aumento da eficiência resultam em fluxos de caixa operacionais positivos nas fases de crescimento e maturidade. Quando as taxas de crescimento começam a cair, os preços as acompanham, levando a uma redução do fluxo de caixa operacional, que pode ser negativo na fase de declínio (Dickinson, 2011).</w:t>
      </w:r>
    </w:p>
    <w:p w:rsidR="00122E61" w:rsidRPr="00122E61" w:rsidRDefault="00122E61" w:rsidP="00122E61">
      <w:pPr>
        <w:widowControl w:val="0"/>
        <w:ind w:firstLine="709"/>
        <w:jc w:val="both"/>
        <w:rPr>
          <w:sz w:val="24"/>
          <w:szCs w:val="24"/>
        </w:rPr>
      </w:pPr>
      <w:r w:rsidRPr="00122E61">
        <w:rPr>
          <w:sz w:val="24"/>
          <w:szCs w:val="24"/>
        </w:rPr>
        <w:t>O fluxo de caixa dos investimentos é direcionado pelo otimismo gerencial na busca por consolidação e expansão no mercado e, por conseguinte, o fluxo de caixa dos investimentos é negativo nas fases inicial e de crescimento das empresas. Na medida em que a empresa amadurece, o investimento diminui, mas não cessa a fim de manter o capital. Quando em declínio, as empresas liquidam os ativos, a fim de servir à dívida existente e apoiar as operações, resultando em fluxo de caixa dos investimentos positivo (Dickinson, 2011).</w:t>
      </w:r>
    </w:p>
    <w:p w:rsidR="00122E61" w:rsidRPr="00122E61" w:rsidRDefault="00122E61" w:rsidP="00122E61">
      <w:pPr>
        <w:widowControl w:val="0"/>
        <w:ind w:firstLine="709"/>
        <w:jc w:val="both"/>
        <w:rPr>
          <w:sz w:val="24"/>
          <w:szCs w:val="24"/>
        </w:rPr>
      </w:pPr>
      <w:r w:rsidRPr="00122E61">
        <w:rPr>
          <w:sz w:val="24"/>
          <w:szCs w:val="24"/>
        </w:rPr>
        <w:t>O fluxo de caixa dos empréstimos nas fases de início e crescimento é positivo, uma vez que se faz necessário ter crédito para consolidação e expansão no mercado. As empresas maduras já não possuem projetos tão valiosos, com valor presente líquido positivo, e por isso não precisam de empréstimos adicionais para financiar tais projetos. Além disso, distribuem dividendos como forma de sinalização aos investidores, mostrando que não estão investindo em projetos subótimos, ou utilizam o fluxo de caixa livre para pagar suas dívidas. Portanto, o fluxo de caixa dos financiamentos tende a ser negativo na fase de maturidade (Dickinson, 2011). Quanto ao fluxo de caixa no período de declínio, Dickinson (2011) afirma não haver evidências sobre o que ocorre nesta fase.</w:t>
      </w:r>
    </w:p>
    <w:p w:rsidR="00122E61" w:rsidRPr="00122E61" w:rsidRDefault="00122E61" w:rsidP="00122E61">
      <w:pPr>
        <w:widowControl w:val="0"/>
        <w:ind w:firstLine="709"/>
        <w:jc w:val="both"/>
        <w:rPr>
          <w:sz w:val="24"/>
          <w:szCs w:val="24"/>
        </w:rPr>
      </w:pPr>
      <w:r w:rsidRPr="00122E61">
        <w:rPr>
          <w:sz w:val="24"/>
          <w:szCs w:val="24"/>
        </w:rPr>
        <w:t>Empresas em fase de introdução e crescimento são mais alavancadas que as em maturidade, mas os maiores níveis de endividamento estão nas empresas em fase de reestruturação (Costa, Macedo, Yokoyama, &amp; Almeida, 2017). Podendo, numa fase de declínio, um aumento da dívida reduzir a probabilidade de recuperação da empresa (</w:t>
      </w:r>
      <w:proofErr w:type="spellStart"/>
      <w:r w:rsidRPr="00122E61">
        <w:rPr>
          <w:sz w:val="24"/>
          <w:szCs w:val="24"/>
        </w:rPr>
        <w:t>Koh</w:t>
      </w:r>
      <w:proofErr w:type="spellEnd"/>
      <w:r w:rsidRPr="00122E61">
        <w:rPr>
          <w:sz w:val="24"/>
          <w:szCs w:val="24"/>
        </w:rPr>
        <w:t>, Durand, Dai, &amp; Chang, 2015).</w:t>
      </w:r>
    </w:p>
    <w:p w:rsidR="00122E61" w:rsidRPr="00122E61" w:rsidRDefault="00122E61" w:rsidP="00122E61">
      <w:pPr>
        <w:widowControl w:val="0"/>
        <w:ind w:firstLine="709"/>
        <w:jc w:val="both"/>
        <w:rPr>
          <w:sz w:val="24"/>
          <w:szCs w:val="24"/>
        </w:rPr>
      </w:pPr>
      <w:r w:rsidRPr="00122E61">
        <w:rPr>
          <w:sz w:val="24"/>
          <w:szCs w:val="24"/>
        </w:rPr>
        <w:t xml:space="preserve">Motivados pelas observações acerca do ciclo de vida organizacional, pesquisadores passaram a investigar os efeitos das fases desse ciclo sobre a estrutura de capital das empresas. </w:t>
      </w:r>
      <w:r w:rsidRPr="00122E61">
        <w:rPr>
          <w:sz w:val="24"/>
          <w:szCs w:val="24"/>
          <w:lang w:val="es-ES_tradnl"/>
        </w:rPr>
        <w:t xml:space="preserve">Diversas </w:t>
      </w:r>
      <w:r w:rsidR="00C76519">
        <w:rPr>
          <w:sz w:val="24"/>
          <w:szCs w:val="24"/>
          <w:lang w:val="es-ES_tradnl"/>
        </w:rPr>
        <w:t xml:space="preserve">pesquisas, como La Rocca et al., </w:t>
      </w:r>
      <w:r w:rsidRPr="00122E61">
        <w:rPr>
          <w:sz w:val="24"/>
          <w:szCs w:val="24"/>
          <w:lang w:val="es-ES_tradnl"/>
        </w:rPr>
        <w:t>(2011), Castro, Tascón e Amor-Tapia (2015), Tian, Han e Zhang (2015), Castro et al</w:t>
      </w:r>
      <w:r w:rsidR="00C76519">
        <w:rPr>
          <w:sz w:val="24"/>
          <w:szCs w:val="24"/>
          <w:lang w:val="es-ES_tradnl"/>
        </w:rPr>
        <w:t>.,</w:t>
      </w:r>
      <w:r w:rsidRPr="00122E61">
        <w:rPr>
          <w:sz w:val="24"/>
          <w:szCs w:val="24"/>
          <w:lang w:val="es-ES_tradnl"/>
        </w:rPr>
        <w:t xml:space="preserve"> (2016), Ahsan, Wang e Qureshi (2016), Ur Rehman, Wang e Yu (2016), Yazdanfar e Öhman (2016), Kayo et al. </w:t>
      </w:r>
      <w:r w:rsidRPr="00122E61">
        <w:rPr>
          <w:sz w:val="24"/>
          <w:szCs w:val="24"/>
        </w:rPr>
        <w:t xml:space="preserve">(2004), Reis e Gill Neto (2014) e Reis, Campos e Pasquini (2017), concluíram que o ciclo de vida é um determinante significante da estrutura de capital destas empresas, que se mantém dentro de um padrão </w:t>
      </w:r>
      <w:r w:rsidRPr="00122E61">
        <w:rPr>
          <w:sz w:val="24"/>
          <w:szCs w:val="24"/>
        </w:rPr>
        <w:lastRenderedPageBreak/>
        <w:t>independentemente do setor e contexto institucional. Rentabilidade e tangibilidade dos ativos são fatores mais estáveis ao longo do ciclo de vida, contrariamente às oportunidades de crescimento e ao tamanho que variam significativamente nesse ciclo (Castro et al., 2016).</w:t>
      </w:r>
    </w:p>
    <w:p w:rsidR="00826CD0" w:rsidRDefault="00122E61" w:rsidP="00826CD0">
      <w:pPr>
        <w:widowControl w:val="0"/>
        <w:jc w:val="both"/>
        <w:rPr>
          <w:sz w:val="24"/>
          <w:szCs w:val="24"/>
        </w:rPr>
      </w:pPr>
      <w:r w:rsidRPr="00122E61">
        <w:rPr>
          <w:sz w:val="24"/>
          <w:szCs w:val="24"/>
        </w:rPr>
        <w:t>A rentabilidade é uma das principais variáveis explicativas da estrutura de capital, presente em grande parte das pesquisas que tentam identificar os principais determinantes da alavancagem nas empresas (Kumar et al.,</w:t>
      </w:r>
      <w:r w:rsidR="00C76519">
        <w:rPr>
          <w:sz w:val="24"/>
          <w:szCs w:val="24"/>
        </w:rPr>
        <w:t xml:space="preserve"> </w:t>
      </w:r>
      <w:r w:rsidRPr="00122E61">
        <w:rPr>
          <w:sz w:val="24"/>
          <w:szCs w:val="24"/>
        </w:rPr>
        <w:t>2017; Ur Rehman, Wang &amp; Yu, 2016). De modo geral, a rentabilidade está negativamente relacionada à alavancagem, pois as empresas utilizam preferencialmente recursos internos (Harris &amp; Raviv, 1991; Kumar et al.,</w:t>
      </w:r>
      <w:r w:rsidR="00C76519">
        <w:rPr>
          <w:sz w:val="24"/>
          <w:szCs w:val="24"/>
        </w:rPr>
        <w:t xml:space="preserve"> </w:t>
      </w:r>
      <w:r w:rsidRPr="00122E61">
        <w:rPr>
          <w:sz w:val="24"/>
          <w:szCs w:val="24"/>
        </w:rPr>
        <w:t>2017). A explicação por esta preferência pode variar conforme o contexto econômico que a empresa está inserida. Em mercados emergentes, as fontes de recursos externos são limitadas e a um custo mais elevado, os mercados de capitais são subdesenvolvidos e existe uma forte presença de assimetria informacional (Kumar et al.,</w:t>
      </w:r>
      <w:r w:rsidR="00C76519">
        <w:rPr>
          <w:sz w:val="24"/>
          <w:szCs w:val="24"/>
        </w:rPr>
        <w:t xml:space="preserve"> </w:t>
      </w:r>
      <w:r w:rsidRPr="00122E61">
        <w:rPr>
          <w:sz w:val="24"/>
          <w:szCs w:val="24"/>
        </w:rPr>
        <w:t xml:space="preserve">2017). Nos mercados desenvolvidos, existe a possibilidade da rentabilidade ser maior e os efeitos de sinalização da captação de recursos mais sensíveis à assimetria informacional serem mais perceptíveis (Kumar </w:t>
      </w:r>
      <w:proofErr w:type="gramStart"/>
      <w:r w:rsidRPr="00122E61">
        <w:rPr>
          <w:sz w:val="24"/>
          <w:szCs w:val="24"/>
        </w:rPr>
        <w:t>et</w:t>
      </w:r>
      <w:proofErr w:type="gramEnd"/>
      <w:r w:rsidRPr="00122E61">
        <w:rPr>
          <w:sz w:val="24"/>
          <w:szCs w:val="24"/>
        </w:rPr>
        <w:t xml:space="preserve"> al.,</w:t>
      </w:r>
      <w:r w:rsidR="00C76519">
        <w:rPr>
          <w:sz w:val="24"/>
          <w:szCs w:val="24"/>
        </w:rPr>
        <w:t xml:space="preserve"> </w:t>
      </w:r>
      <w:r w:rsidRPr="00122E61">
        <w:rPr>
          <w:sz w:val="24"/>
          <w:szCs w:val="24"/>
        </w:rPr>
        <w:t>2017; Mye</w:t>
      </w:r>
      <w:r w:rsidR="00C76519">
        <w:rPr>
          <w:sz w:val="24"/>
          <w:szCs w:val="24"/>
        </w:rPr>
        <w:t>r</w:t>
      </w:r>
      <w:r w:rsidRPr="00122E61">
        <w:rPr>
          <w:sz w:val="24"/>
          <w:szCs w:val="24"/>
        </w:rPr>
        <w:t xml:space="preserve">s e Majluf, 1984). A maior relevância da rentabilidade na fase de crescimento indica seu papel como fonte de recursos em consonância com a teoria de </w:t>
      </w:r>
      <w:r w:rsidRPr="00FF5B59">
        <w:rPr>
          <w:i/>
          <w:sz w:val="24"/>
          <w:szCs w:val="24"/>
        </w:rPr>
        <w:t>pecking order</w:t>
      </w:r>
      <w:r w:rsidRPr="00122E61">
        <w:rPr>
          <w:sz w:val="24"/>
          <w:szCs w:val="24"/>
        </w:rPr>
        <w:t xml:space="preserve"> (Castro </w:t>
      </w:r>
      <w:proofErr w:type="gramStart"/>
      <w:r w:rsidRPr="00122E61">
        <w:rPr>
          <w:sz w:val="24"/>
          <w:szCs w:val="24"/>
        </w:rPr>
        <w:t>et</w:t>
      </w:r>
      <w:proofErr w:type="gramEnd"/>
      <w:r w:rsidRPr="00122E61">
        <w:rPr>
          <w:sz w:val="24"/>
          <w:szCs w:val="24"/>
        </w:rPr>
        <w:t xml:space="preserve"> al., 2016), visto que essa é uma das fases que a empresa enfrenta maiores problemas de assimetria informacional e teria uma preferência por recursos internos. Essa assimetria informacional evidente nas empresas de tecnologia, caracteristicamente com maior presença de ativos intangíveis e oportunidades de crescimento diferenciadas, implicam em menor uso de dívida para cobrir seu déficit financeiro comparativamente às demais empresas em todas as fases do ciclo de vida (Castro </w:t>
      </w:r>
      <w:proofErr w:type="gramStart"/>
      <w:r w:rsidRPr="00122E61">
        <w:rPr>
          <w:sz w:val="24"/>
          <w:szCs w:val="24"/>
        </w:rPr>
        <w:t>et</w:t>
      </w:r>
      <w:proofErr w:type="gramEnd"/>
      <w:r w:rsidRPr="00122E61">
        <w:rPr>
          <w:sz w:val="24"/>
          <w:szCs w:val="24"/>
        </w:rPr>
        <w:t xml:space="preserve"> al., 2015).</w:t>
      </w:r>
      <w:r w:rsidR="00826CD0">
        <w:rPr>
          <w:sz w:val="24"/>
          <w:szCs w:val="24"/>
        </w:rPr>
        <w:t xml:space="preserve"> Portanto, a primeira hipótese é:</w:t>
      </w:r>
    </w:p>
    <w:p w:rsidR="00826CD0" w:rsidRPr="00DC3E1C" w:rsidRDefault="00826CD0" w:rsidP="00826CD0">
      <w:pPr>
        <w:widowControl w:val="0"/>
        <w:jc w:val="both"/>
        <w:rPr>
          <w:i/>
          <w:sz w:val="24"/>
          <w:szCs w:val="24"/>
        </w:rPr>
      </w:pPr>
      <w:r w:rsidRPr="00DC3E1C">
        <w:rPr>
          <w:i/>
          <w:sz w:val="24"/>
          <w:szCs w:val="24"/>
        </w:rPr>
        <w:t>H</w:t>
      </w:r>
      <w:r w:rsidRPr="00DC3E1C">
        <w:rPr>
          <w:i/>
          <w:sz w:val="24"/>
          <w:szCs w:val="24"/>
          <w:vertAlign w:val="subscript"/>
        </w:rPr>
        <w:t>1</w:t>
      </w:r>
      <w:r w:rsidR="008D7E66" w:rsidRPr="00DC3E1C">
        <w:rPr>
          <w:i/>
          <w:sz w:val="24"/>
          <w:szCs w:val="24"/>
        </w:rPr>
        <w:t>.</w:t>
      </w:r>
      <w:r w:rsidRPr="00DC3E1C">
        <w:rPr>
          <w:i/>
          <w:sz w:val="24"/>
          <w:szCs w:val="24"/>
        </w:rPr>
        <w:t xml:space="preserve"> Há uma relação negativa entre rentabilidade e endividamento, especialmente na fase de crescimento.</w:t>
      </w:r>
    </w:p>
    <w:p w:rsidR="00122E61" w:rsidRDefault="00122E61" w:rsidP="00122E61">
      <w:pPr>
        <w:widowControl w:val="0"/>
        <w:ind w:firstLine="709"/>
        <w:jc w:val="both"/>
        <w:rPr>
          <w:sz w:val="24"/>
          <w:szCs w:val="24"/>
        </w:rPr>
      </w:pPr>
      <w:r w:rsidRPr="00122E61">
        <w:rPr>
          <w:sz w:val="24"/>
          <w:szCs w:val="24"/>
        </w:rPr>
        <w:t xml:space="preserve">Ao possuir ativos que podem ser ofertados em garantia ao crédito, a empresa passa a ter maior facilidade de acesso a fontes externas de recurso. Deste modo, a tangibilidade dos ativos está positivamente relacionada com a estrutura de capital da empresa (Harris e Raviv, 1991). No entanto, Kumar et al. (2017) relatam que nos países do Oriente Médio essa relação é negativa, possivelmente por conta dos contratos islâmicos que não exigem garantias para empréstimos de longo prazo. Essa pesquisa ainda identificou uma relação negativa entre tangibilidade e alavancagem nas pequenas e médias empresas dos países africanos, pois estas empresas, em sua maioria, utilizam dívidas de curto prazo para se financiar, que caracteristicamente não exigem ativos em garantia. Castro </w:t>
      </w:r>
      <w:proofErr w:type="gramStart"/>
      <w:r w:rsidRPr="00122E61">
        <w:rPr>
          <w:sz w:val="24"/>
          <w:szCs w:val="24"/>
        </w:rPr>
        <w:t>et</w:t>
      </w:r>
      <w:proofErr w:type="gramEnd"/>
      <w:r w:rsidRPr="00122E61">
        <w:rPr>
          <w:sz w:val="24"/>
          <w:szCs w:val="24"/>
        </w:rPr>
        <w:t xml:space="preserve"> al (2016) também relatam a relação positiva entre tangibilidade e alavancagem, mas essa relação tende a perder relevância à medida que as empresas crescem e amadurecem, possivelmente porque empresas maduras têm acesso facilitado ao crédito e maior rentabilidade (que implica no uso de recursos internos para se financiar).</w:t>
      </w:r>
      <w:r w:rsidR="008D7E66">
        <w:rPr>
          <w:sz w:val="24"/>
          <w:szCs w:val="24"/>
        </w:rPr>
        <w:t xml:space="preserve"> De onde decorre a segunda hipótese:</w:t>
      </w:r>
    </w:p>
    <w:p w:rsidR="00814A9B" w:rsidRPr="00DC3E1C" w:rsidRDefault="00814A9B" w:rsidP="00814A9B">
      <w:pPr>
        <w:widowControl w:val="0"/>
        <w:jc w:val="both"/>
        <w:rPr>
          <w:i/>
          <w:sz w:val="24"/>
          <w:szCs w:val="24"/>
        </w:rPr>
      </w:pPr>
      <w:r w:rsidRPr="00DC3E1C">
        <w:rPr>
          <w:i/>
          <w:sz w:val="24"/>
          <w:szCs w:val="24"/>
        </w:rPr>
        <w:t>H</w:t>
      </w:r>
      <w:r w:rsidR="008D7E66" w:rsidRPr="00DC3E1C">
        <w:rPr>
          <w:i/>
          <w:sz w:val="24"/>
          <w:szCs w:val="24"/>
          <w:vertAlign w:val="subscript"/>
        </w:rPr>
        <w:t>2</w:t>
      </w:r>
      <w:r w:rsidR="008D7E66" w:rsidRPr="00DC3E1C">
        <w:rPr>
          <w:i/>
          <w:sz w:val="24"/>
          <w:szCs w:val="24"/>
        </w:rPr>
        <w:t>.</w:t>
      </w:r>
      <w:r w:rsidRPr="00DC3E1C">
        <w:rPr>
          <w:i/>
          <w:sz w:val="24"/>
          <w:szCs w:val="24"/>
        </w:rPr>
        <w:t xml:space="preserve"> Há uma relação positiva entre tangibilidade dos ativos e endividamento, especialmente na fase de crescimento, tendendo a perder significância na fase de maturidade.</w:t>
      </w:r>
    </w:p>
    <w:p w:rsidR="00122E61" w:rsidRDefault="00122E61" w:rsidP="00122E61">
      <w:pPr>
        <w:widowControl w:val="0"/>
        <w:ind w:firstLine="709"/>
        <w:jc w:val="both"/>
        <w:rPr>
          <w:sz w:val="24"/>
          <w:szCs w:val="24"/>
        </w:rPr>
      </w:pPr>
      <w:r w:rsidRPr="00122E61">
        <w:rPr>
          <w:sz w:val="24"/>
          <w:szCs w:val="24"/>
        </w:rPr>
        <w:t xml:space="preserve">O tamanho da empresa favorece o acesso ao crédito, desta forma, quanto maior a empresa mais dívida elas têm (Harris e Raviv, 1991; Kumar </w:t>
      </w:r>
      <w:proofErr w:type="gramStart"/>
      <w:r w:rsidRPr="00122E61">
        <w:rPr>
          <w:sz w:val="24"/>
          <w:szCs w:val="24"/>
        </w:rPr>
        <w:t>et</w:t>
      </w:r>
      <w:proofErr w:type="gramEnd"/>
      <w:r w:rsidRPr="00122E61">
        <w:rPr>
          <w:sz w:val="24"/>
          <w:szCs w:val="24"/>
        </w:rPr>
        <w:t xml:space="preserve"> al.,2017). Porém, em mercados emergentes, onde o mercado de capitais não é bem desenvolvido, as empresas maiores enfrentam dificuldades para emitir ações e um custo de capital próprio mais elevado, favorecendo a capitação de recursos de terceiros, como observado no</w:t>
      </w:r>
      <w:r w:rsidR="00C76519">
        <w:rPr>
          <w:sz w:val="24"/>
          <w:szCs w:val="24"/>
        </w:rPr>
        <w:t>s países do pacífico asiático (</w:t>
      </w:r>
      <w:r w:rsidRPr="00122E61">
        <w:rPr>
          <w:sz w:val="24"/>
          <w:szCs w:val="24"/>
        </w:rPr>
        <w:t xml:space="preserve">Kumar et al.,2017). Essa relação positiva também foi observada por Castro et al </w:t>
      </w:r>
      <w:r w:rsidRPr="00122E61">
        <w:rPr>
          <w:sz w:val="24"/>
          <w:szCs w:val="24"/>
        </w:rPr>
        <w:lastRenderedPageBreak/>
        <w:t xml:space="preserve">(2016), mas não ao longo de todo o ciclo de vida. Em empresas na fase de introdução a relação entre tamanho e alavancagem é negativa e isso se deve aos maiores problemas de seleção adversa presentes nesta fase e que tendem a cair substancialmente à medida que a empresa alcança sua maturidade (Castro </w:t>
      </w:r>
      <w:proofErr w:type="gramStart"/>
      <w:r w:rsidRPr="00122E61">
        <w:rPr>
          <w:sz w:val="24"/>
          <w:szCs w:val="24"/>
        </w:rPr>
        <w:t>et</w:t>
      </w:r>
      <w:proofErr w:type="gramEnd"/>
      <w:r w:rsidRPr="00122E61">
        <w:rPr>
          <w:sz w:val="24"/>
          <w:szCs w:val="24"/>
        </w:rPr>
        <w:t xml:space="preserve"> al., 2016).</w:t>
      </w:r>
      <w:r w:rsidR="008D7E66">
        <w:rPr>
          <w:sz w:val="24"/>
          <w:szCs w:val="24"/>
        </w:rPr>
        <w:t xml:space="preserve"> Logo, a terceira hipótese é:</w:t>
      </w:r>
    </w:p>
    <w:p w:rsidR="00814A9B" w:rsidRPr="00DC3E1C" w:rsidRDefault="00814A9B" w:rsidP="00814A9B">
      <w:pPr>
        <w:widowControl w:val="0"/>
        <w:jc w:val="both"/>
        <w:rPr>
          <w:i/>
          <w:sz w:val="24"/>
          <w:szCs w:val="24"/>
        </w:rPr>
      </w:pPr>
      <w:r w:rsidRPr="00DC3E1C">
        <w:rPr>
          <w:i/>
          <w:sz w:val="24"/>
          <w:szCs w:val="24"/>
        </w:rPr>
        <w:t>H</w:t>
      </w:r>
      <w:r w:rsidR="008D7E66" w:rsidRPr="00DC3E1C">
        <w:rPr>
          <w:i/>
          <w:sz w:val="24"/>
          <w:szCs w:val="24"/>
          <w:vertAlign w:val="subscript"/>
        </w:rPr>
        <w:t>3</w:t>
      </w:r>
      <w:r w:rsidR="008D7E66" w:rsidRPr="00DC3E1C">
        <w:rPr>
          <w:i/>
          <w:sz w:val="24"/>
          <w:szCs w:val="24"/>
        </w:rPr>
        <w:t>.</w:t>
      </w:r>
      <w:r w:rsidRPr="00DC3E1C">
        <w:rPr>
          <w:i/>
          <w:sz w:val="24"/>
          <w:szCs w:val="24"/>
        </w:rPr>
        <w:t xml:space="preserve"> Há uma relação positiva entre tamanho da empresa e endividamento, especialmente nas fases de crescimento e maturidade.</w:t>
      </w:r>
    </w:p>
    <w:p w:rsidR="00122E61" w:rsidRDefault="00122E61" w:rsidP="00122E61">
      <w:pPr>
        <w:widowControl w:val="0"/>
        <w:ind w:firstLine="709"/>
        <w:jc w:val="both"/>
        <w:rPr>
          <w:sz w:val="24"/>
          <w:szCs w:val="24"/>
        </w:rPr>
      </w:pPr>
      <w:r w:rsidRPr="00122E61">
        <w:rPr>
          <w:sz w:val="24"/>
          <w:szCs w:val="24"/>
        </w:rPr>
        <w:t>A idade da empresa está negativamente relacionada à alavancagem nos países desenvolvidos, onde há disponibilidade de fontes alternativas de financiamento e mercados de capitais altamente desenvolvidos, e positivamente relacionada nos países em desenvolvimento, onde as fontes de recursos são limitadas e as empresas dependem mais de fontes for</w:t>
      </w:r>
      <w:r>
        <w:rPr>
          <w:sz w:val="24"/>
          <w:szCs w:val="24"/>
        </w:rPr>
        <w:t>mais de recursos, como bancos (</w:t>
      </w:r>
      <w:r w:rsidRPr="00122E61">
        <w:rPr>
          <w:sz w:val="24"/>
          <w:szCs w:val="24"/>
        </w:rPr>
        <w:t xml:space="preserve">Kumar </w:t>
      </w:r>
      <w:proofErr w:type="gramStart"/>
      <w:r w:rsidRPr="00122E61">
        <w:rPr>
          <w:sz w:val="24"/>
          <w:szCs w:val="24"/>
        </w:rPr>
        <w:t>et</w:t>
      </w:r>
      <w:proofErr w:type="gramEnd"/>
      <w:r w:rsidRPr="00122E61">
        <w:rPr>
          <w:sz w:val="24"/>
          <w:szCs w:val="24"/>
        </w:rPr>
        <w:t xml:space="preserve"> al.,2017). Em geral, as empresas mais velhas dependem menos de dívida que as mais jovens, principalmente pelos custos de agência decorrentes da assimetria informacional enfrentados pelas empresas jovens (Yazdanfar e Öhman, 2016).</w:t>
      </w:r>
      <w:r w:rsidR="00C75EBF">
        <w:rPr>
          <w:sz w:val="24"/>
          <w:szCs w:val="24"/>
        </w:rPr>
        <w:t xml:space="preserve"> Assim, tem-se a quarta hipótese:</w:t>
      </w:r>
    </w:p>
    <w:p w:rsidR="00814A9B" w:rsidRPr="00DC3E1C" w:rsidRDefault="00814A9B" w:rsidP="00814A9B">
      <w:pPr>
        <w:widowControl w:val="0"/>
        <w:jc w:val="both"/>
        <w:rPr>
          <w:i/>
          <w:sz w:val="24"/>
          <w:szCs w:val="24"/>
        </w:rPr>
      </w:pPr>
      <w:r w:rsidRPr="00DC3E1C">
        <w:rPr>
          <w:i/>
          <w:sz w:val="24"/>
          <w:szCs w:val="24"/>
        </w:rPr>
        <w:t>H</w:t>
      </w:r>
      <w:r w:rsidR="008D7E66" w:rsidRPr="00DC3E1C">
        <w:rPr>
          <w:i/>
          <w:sz w:val="24"/>
          <w:szCs w:val="24"/>
          <w:vertAlign w:val="subscript"/>
        </w:rPr>
        <w:t>4</w:t>
      </w:r>
      <w:r w:rsidR="008D7E66" w:rsidRPr="00DC3E1C">
        <w:rPr>
          <w:i/>
          <w:sz w:val="24"/>
          <w:szCs w:val="24"/>
        </w:rPr>
        <w:t>.</w:t>
      </w:r>
      <w:r w:rsidRPr="00DC3E1C">
        <w:rPr>
          <w:i/>
          <w:sz w:val="24"/>
          <w:szCs w:val="24"/>
        </w:rPr>
        <w:t xml:space="preserve"> Há uma relação negativa entre idade e endividamento, especialmente nas fases de crescimento e maturidade.</w:t>
      </w:r>
    </w:p>
    <w:p w:rsidR="00122E61" w:rsidRDefault="00122E61" w:rsidP="00122E61">
      <w:pPr>
        <w:widowControl w:val="0"/>
        <w:ind w:firstLine="709"/>
        <w:jc w:val="both"/>
        <w:rPr>
          <w:sz w:val="24"/>
          <w:szCs w:val="24"/>
        </w:rPr>
      </w:pPr>
      <w:r w:rsidRPr="00122E61">
        <w:rPr>
          <w:sz w:val="24"/>
          <w:szCs w:val="24"/>
        </w:rPr>
        <w:t xml:space="preserve">De modo geral, as oportunidades de crescimento são positivamente relacionadas com a alavancagem, ou seja, o crescimento leva a necessidade de investimento </w:t>
      </w:r>
      <w:proofErr w:type="gramStart"/>
      <w:r w:rsidRPr="00122E61">
        <w:rPr>
          <w:sz w:val="24"/>
          <w:szCs w:val="24"/>
        </w:rPr>
        <w:t>e</w:t>
      </w:r>
      <w:proofErr w:type="gramEnd"/>
      <w:r w:rsidRPr="00122E61">
        <w:rPr>
          <w:sz w:val="24"/>
          <w:szCs w:val="24"/>
        </w:rPr>
        <w:t xml:space="preserve"> </w:t>
      </w:r>
      <w:proofErr w:type="gramStart"/>
      <w:r w:rsidRPr="00122E61">
        <w:rPr>
          <w:sz w:val="24"/>
          <w:szCs w:val="24"/>
        </w:rPr>
        <w:t>consequentemente</w:t>
      </w:r>
      <w:proofErr w:type="gramEnd"/>
      <w:r w:rsidRPr="00122E61">
        <w:rPr>
          <w:sz w:val="24"/>
          <w:szCs w:val="24"/>
        </w:rPr>
        <w:t xml:space="preserve"> demanda por recursos (Kumar et al.,2017). Castro et al (2016) demonstraram que as oportunidades de crescimento desempenham um papel específico conforme a fase do ciclo de vida da empresa. Na fase introdutória a relação é negativa, pois a empresa possui vários projetos que não podem ser bem avaliados, ou até mesmo são desconhecidos dos investidores externos, indicando maior assimetria informacional. Adicionalmente, o acesso ao crédito é mais restrito e os fluxos de caixa livres são mais baixos, havendo pouco incentivo de compensação do benefício fiscal da dívida ou de restrição do caixa disponível para eventual expropriação por parte do gestor. Logo, na fase de introdução é provável que a empresa se financie por meio de capital próprio, visto que sua rentabilidade é negativa. Na fase de crescimento, apesar da maior demanda por investimento, a relação se mantém negativa, sugerindo que as empresas se utilizam de capital próprio ou de recursos gerados internamente, visto que já é possível observar alguma rentabilidade no negócio. A inversão da relação se dá na maturidade, período que a empresa alcança a sua maior capacidade de endividamento e menor nível de informação assimétrica (Castro </w:t>
      </w:r>
      <w:proofErr w:type="gramStart"/>
      <w:r w:rsidRPr="00122E61">
        <w:rPr>
          <w:sz w:val="24"/>
          <w:szCs w:val="24"/>
        </w:rPr>
        <w:t>et</w:t>
      </w:r>
      <w:proofErr w:type="gramEnd"/>
      <w:r w:rsidRPr="00122E61">
        <w:rPr>
          <w:sz w:val="24"/>
          <w:szCs w:val="24"/>
        </w:rPr>
        <w:t xml:space="preserve"> al., 2016).</w:t>
      </w:r>
      <w:r w:rsidR="00C75EBF">
        <w:rPr>
          <w:sz w:val="24"/>
          <w:szCs w:val="24"/>
        </w:rPr>
        <w:t xml:space="preserve"> Portanto, a quinta hipótese é:</w:t>
      </w:r>
    </w:p>
    <w:p w:rsidR="00814A9B" w:rsidRPr="00DC3E1C" w:rsidRDefault="00814A9B" w:rsidP="00814A9B">
      <w:pPr>
        <w:widowControl w:val="0"/>
        <w:jc w:val="both"/>
        <w:rPr>
          <w:i/>
          <w:sz w:val="24"/>
          <w:szCs w:val="24"/>
        </w:rPr>
      </w:pPr>
      <w:r w:rsidRPr="00DC3E1C">
        <w:rPr>
          <w:i/>
          <w:sz w:val="24"/>
          <w:szCs w:val="24"/>
        </w:rPr>
        <w:t>H</w:t>
      </w:r>
      <w:r w:rsidR="00C75EBF" w:rsidRPr="00DC3E1C">
        <w:rPr>
          <w:i/>
          <w:sz w:val="24"/>
          <w:szCs w:val="24"/>
          <w:vertAlign w:val="subscript"/>
        </w:rPr>
        <w:t>5</w:t>
      </w:r>
      <w:r w:rsidR="00C75EBF" w:rsidRPr="00DC3E1C">
        <w:rPr>
          <w:i/>
          <w:sz w:val="24"/>
          <w:szCs w:val="24"/>
        </w:rPr>
        <w:t>.</w:t>
      </w:r>
      <w:r w:rsidRPr="00DC3E1C">
        <w:rPr>
          <w:i/>
          <w:sz w:val="24"/>
          <w:szCs w:val="24"/>
        </w:rPr>
        <w:t xml:space="preserve"> Há uma relação positiva entre as oportunidades de crescimento e o endividamento, especialmente na fase de maturidade.</w:t>
      </w:r>
    </w:p>
    <w:p w:rsidR="00122E61" w:rsidRDefault="00122E61" w:rsidP="00122E61">
      <w:pPr>
        <w:widowControl w:val="0"/>
        <w:ind w:firstLine="709"/>
        <w:jc w:val="both"/>
        <w:rPr>
          <w:sz w:val="24"/>
          <w:szCs w:val="24"/>
        </w:rPr>
      </w:pPr>
      <w:r w:rsidRPr="00122E61">
        <w:rPr>
          <w:sz w:val="24"/>
          <w:szCs w:val="24"/>
        </w:rPr>
        <w:t xml:space="preserve">Uma maior liquidez assegura capital de giro positivo, o que favorece o uso de recursos interno para investimentos, portanto espera-se uma relação negativa com a alavancagem (Kumar </w:t>
      </w:r>
      <w:proofErr w:type="gramStart"/>
      <w:r w:rsidRPr="00122E61">
        <w:rPr>
          <w:sz w:val="24"/>
          <w:szCs w:val="24"/>
        </w:rPr>
        <w:t>et</w:t>
      </w:r>
      <w:proofErr w:type="gramEnd"/>
      <w:r w:rsidRPr="00122E61">
        <w:rPr>
          <w:sz w:val="24"/>
          <w:szCs w:val="24"/>
        </w:rPr>
        <w:t xml:space="preserve"> al.,2017). A economia fiscal não advinda de dívida reduz a motivação dos gestores em utilizar dívida para se beneficiar de sua dedutibilidade sobre os impostos, portanto, espera-se uma relação negativa com a alavancagem (Kumar et al.,2017). O risco do negócio aumenta o risco financeiro da empresa suportando uma relação negativa entre risco e alavancagem (Kumar </w:t>
      </w:r>
      <w:proofErr w:type="gramStart"/>
      <w:r w:rsidRPr="00122E61">
        <w:rPr>
          <w:sz w:val="24"/>
          <w:szCs w:val="24"/>
        </w:rPr>
        <w:t>et</w:t>
      </w:r>
      <w:proofErr w:type="gramEnd"/>
      <w:r w:rsidRPr="00122E61">
        <w:rPr>
          <w:sz w:val="24"/>
          <w:szCs w:val="24"/>
        </w:rPr>
        <w:t xml:space="preserve"> al.,2017).</w:t>
      </w:r>
      <w:r w:rsidR="00C75EBF">
        <w:rPr>
          <w:sz w:val="24"/>
          <w:szCs w:val="24"/>
        </w:rPr>
        <w:t xml:space="preserve"> De onde </w:t>
      </w:r>
      <w:proofErr w:type="gramStart"/>
      <w:r w:rsidR="00C75EBF">
        <w:rPr>
          <w:sz w:val="24"/>
          <w:szCs w:val="24"/>
        </w:rPr>
        <w:t>decorrem-se</w:t>
      </w:r>
      <w:proofErr w:type="gramEnd"/>
      <w:r w:rsidR="00C75EBF">
        <w:rPr>
          <w:sz w:val="24"/>
          <w:szCs w:val="24"/>
        </w:rPr>
        <w:t xml:space="preserve"> outras três hipóteses:</w:t>
      </w:r>
    </w:p>
    <w:p w:rsidR="00814A9B" w:rsidRPr="00DC3E1C" w:rsidRDefault="00814A9B" w:rsidP="00814A9B">
      <w:pPr>
        <w:widowControl w:val="0"/>
        <w:jc w:val="both"/>
        <w:rPr>
          <w:i/>
          <w:sz w:val="24"/>
          <w:szCs w:val="24"/>
        </w:rPr>
      </w:pPr>
      <w:r w:rsidRPr="00DC3E1C">
        <w:rPr>
          <w:i/>
          <w:sz w:val="24"/>
          <w:szCs w:val="24"/>
        </w:rPr>
        <w:t>H</w:t>
      </w:r>
      <w:r w:rsidR="00C75EBF" w:rsidRPr="00DC3E1C">
        <w:rPr>
          <w:i/>
          <w:sz w:val="24"/>
          <w:szCs w:val="24"/>
          <w:vertAlign w:val="subscript"/>
        </w:rPr>
        <w:t>6</w:t>
      </w:r>
      <w:r w:rsidR="00C75EBF" w:rsidRPr="00DC3E1C">
        <w:rPr>
          <w:i/>
          <w:sz w:val="24"/>
          <w:szCs w:val="24"/>
        </w:rPr>
        <w:t>.</w:t>
      </w:r>
      <w:r w:rsidRPr="00DC3E1C">
        <w:rPr>
          <w:i/>
          <w:sz w:val="24"/>
          <w:szCs w:val="24"/>
        </w:rPr>
        <w:t xml:space="preserve"> Há uma relação negativa entre liquidez e endividamento, especialmente nas fases de crescimento e maturidade.</w:t>
      </w:r>
    </w:p>
    <w:p w:rsidR="00814A9B" w:rsidRDefault="00814A9B" w:rsidP="00814A9B">
      <w:pPr>
        <w:widowControl w:val="0"/>
        <w:jc w:val="both"/>
        <w:rPr>
          <w:i/>
          <w:sz w:val="24"/>
          <w:szCs w:val="24"/>
        </w:rPr>
      </w:pPr>
      <w:r w:rsidRPr="00122E61">
        <w:rPr>
          <w:sz w:val="24"/>
          <w:szCs w:val="24"/>
        </w:rPr>
        <w:t>H</w:t>
      </w:r>
      <w:r w:rsidR="00C75EBF">
        <w:rPr>
          <w:sz w:val="24"/>
          <w:szCs w:val="24"/>
          <w:vertAlign w:val="subscript"/>
        </w:rPr>
        <w:t>7</w:t>
      </w:r>
      <w:r w:rsidR="00C75EBF">
        <w:rPr>
          <w:sz w:val="24"/>
          <w:szCs w:val="24"/>
        </w:rPr>
        <w:t>.</w:t>
      </w:r>
      <w:r w:rsidRPr="00122E61">
        <w:rPr>
          <w:sz w:val="24"/>
          <w:szCs w:val="24"/>
        </w:rPr>
        <w:t xml:space="preserve"> </w:t>
      </w:r>
      <w:r w:rsidRPr="00122E61">
        <w:rPr>
          <w:i/>
          <w:sz w:val="24"/>
          <w:szCs w:val="24"/>
        </w:rPr>
        <w:t xml:space="preserve">Há uma relação negativa entre economia fiscal não advinda de dívida e endividamento, </w:t>
      </w:r>
      <w:r w:rsidRPr="00122E61">
        <w:rPr>
          <w:i/>
          <w:sz w:val="24"/>
          <w:szCs w:val="24"/>
        </w:rPr>
        <w:lastRenderedPageBreak/>
        <w:t>especialmente nas fases de crescimento e maturidade.</w:t>
      </w:r>
    </w:p>
    <w:p w:rsidR="00814A9B" w:rsidRPr="00122E61" w:rsidRDefault="00814A9B" w:rsidP="00814A9B">
      <w:pPr>
        <w:widowControl w:val="0"/>
        <w:jc w:val="both"/>
        <w:rPr>
          <w:i/>
          <w:sz w:val="24"/>
          <w:szCs w:val="24"/>
        </w:rPr>
      </w:pPr>
      <w:r w:rsidRPr="00122E61">
        <w:rPr>
          <w:sz w:val="24"/>
          <w:szCs w:val="24"/>
        </w:rPr>
        <w:t>H</w:t>
      </w:r>
      <w:r w:rsidR="00C75EBF">
        <w:rPr>
          <w:sz w:val="24"/>
          <w:szCs w:val="24"/>
          <w:vertAlign w:val="subscript"/>
        </w:rPr>
        <w:t>8</w:t>
      </w:r>
      <w:r w:rsidR="00C75EBF">
        <w:rPr>
          <w:sz w:val="24"/>
          <w:szCs w:val="24"/>
        </w:rPr>
        <w:t>.</w:t>
      </w:r>
      <w:r w:rsidRPr="00122E61">
        <w:rPr>
          <w:sz w:val="24"/>
          <w:szCs w:val="24"/>
        </w:rPr>
        <w:t xml:space="preserve"> </w:t>
      </w:r>
      <w:r w:rsidRPr="00122E61">
        <w:rPr>
          <w:i/>
          <w:sz w:val="24"/>
          <w:szCs w:val="24"/>
        </w:rPr>
        <w:t>Há uma relação negativa entre risco e endividamento, especialmente nas fases de crescimento e maturidade.</w:t>
      </w:r>
    </w:p>
    <w:p w:rsidR="00122E61" w:rsidRPr="00122E61" w:rsidRDefault="00122E61" w:rsidP="00122E61">
      <w:pPr>
        <w:widowControl w:val="0"/>
        <w:ind w:firstLine="709"/>
        <w:jc w:val="both"/>
        <w:rPr>
          <w:sz w:val="24"/>
          <w:szCs w:val="24"/>
        </w:rPr>
      </w:pPr>
      <w:r w:rsidRPr="00122E61">
        <w:rPr>
          <w:sz w:val="24"/>
          <w:szCs w:val="24"/>
        </w:rPr>
        <w:t>Martins e Terra (2014) incluíram em sua pesquisa o efeito do ciclo de vida ao nível setorial sobre a estrutura de capital, esperando que setores mais novos captassem menores proporções de dívida devido ao risco de falência das empresas nele inseridos, mas não encontraram significância estatística para esse efeito.</w:t>
      </w:r>
    </w:p>
    <w:p w:rsidR="00122E61" w:rsidRDefault="00122E61" w:rsidP="00122E61">
      <w:pPr>
        <w:widowControl w:val="0"/>
        <w:ind w:firstLine="709"/>
        <w:jc w:val="both"/>
        <w:rPr>
          <w:sz w:val="24"/>
          <w:szCs w:val="24"/>
        </w:rPr>
      </w:pPr>
    </w:p>
    <w:p w:rsidR="00122E61" w:rsidRDefault="00122E61" w:rsidP="00122E61">
      <w:pPr>
        <w:widowControl w:val="0"/>
        <w:jc w:val="both"/>
        <w:rPr>
          <w:b/>
          <w:sz w:val="24"/>
          <w:szCs w:val="24"/>
        </w:rPr>
      </w:pPr>
      <w:proofErr w:type="gramStart"/>
      <w:r>
        <w:rPr>
          <w:b/>
          <w:sz w:val="24"/>
          <w:szCs w:val="24"/>
        </w:rPr>
        <w:t>3</w:t>
      </w:r>
      <w:proofErr w:type="gramEnd"/>
      <w:r>
        <w:rPr>
          <w:b/>
          <w:sz w:val="24"/>
          <w:szCs w:val="24"/>
        </w:rPr>
        <w:t xml:space="preserve"> Metodologia</w:t>
      </w:r>
    </w:p>
    <w:p w:rsidR="00122E61" w:rsidRDefault="00122E61" w:rsidP="00122E61">
      <w:pPr>
        <w:widowControl w:val="0"/>
        <w:ind w:firstLine="709"/>
        <w:jc w:val="both"/>
        <w:rPr>
          <w:sz w:val="24"/>
          <w:szCs w:val="24"/>
        </w:rPr>
      </w:pPr>
      <w:r w:rsidRPr="00122E61">
        <w:rPr>
          <w:sz w:val="24"/>
          <w:szCs w:val="24"/>
        </w:rPr>
        <w:t>Nesta pesquisa a amostra é composta pelas companhias abertas brasileiras com ações negociadas na bolsa de valores brasileira, B3 (Brasil Bolsa Balcão). Os dados coletados nas bases de dados Thomson Reuters e Economática foram analisados através dos softwares Stata e Excel, resultando em 1.675 observações no período de 2008 a 2016</w:t>
      </w:r>
      <w:r w:rsidR="00361C60">
        <w:rPr>
          <w:sz w:val="24"/>
          <w:szCs w:val="24"/>
        </w:rPr>
        <w:t>, visto que a Demonstração dos Fluxos de Caixa (DFC) passou a ser obrigatória no Brasil a partir de 2008</w:t>
      </w:r>
      <w:r w:rsidRPr="00122E61">
        <w:rPr>
          <w:sz w:val="24"/>
          <w:szCs w:val="24"/>
        </w:rPr>
        <w:t>. Nesta amostra não estão incluídas as empresas do setor financeiro e observações com patrimônio líquido negativo.</w:t>
      </w:r>
    </w:p>
    <w:p w:rsidR="00122E61" w:rsidRDefault="00122E61" w:rsidP="00122E61">
      <w:pPr>
        <w:widowControl w:val="0"/>
        <w:ind w:firstLine="709"/>
        <w:jc w:val="both"/>
        <w:rPr>
          <w:sz w:val="24"/>
          <w:szCs w:val="24"/>
        </w:rPr>
      </w:pPr>
      <w:r w:rsidRPr="00122E61">
        <w:rPr>
          <w:sz w:val="24"/>
          <w:szCs w:val="24"/>
        </w:rPr>
        <w:t>A fim de identificar como os determinantes da estrutura de capital a influenciam ao longo do ciclo de vida, o grupo amostral foi segregado em cinco subgrupos conforme as fases do ciclo de vida das empresas, propostas por Dickinson (2011). Observando-se o padrão de combinação dos sinais encontrados (positivo ou negativo) no fluxo de caixa operacional, de investimento e de financiamento, faz-se um mapeamento do ciclo de vida da empresa ano a ano. Assim, oito combinações padrão são possíveis, sendo estas alocadas em cinco fases: introdução, crescimento, maturidade, reestruturação e declínio, conforme demonstrado na Tabela 1.</w:t>
      </w:r>
    </w:p>
    <w:p w:rsidR="00FF5B59" w:rsidRDefault="00FF5B59" w:rsidP="00122E61">
      <w:pPr>
        <w:widowControl w:val="0"/>
        <w:ind w:firstLine="709"/>
        <w:jc w:val="both"/>
        <w:rPr>
          <w:sz w:val="24"/>
          <w:szCs w:val="24"/>
        </w:rPr>
      </w:pPr>
    </w:p>
    <w:p w:rsidR="00122E61" w:rsidRPr="00122E61" w:rsidRDefault="00122E61" w:rsidP="00122E61">
      <w:pPr>
        <w:pStyle w:val="Legenda"/>
        <w:keepNext/>
        <w:spacing w:after="0"/>
        <w:rPr>
          <w:color w:val="auto"/>
          <w:sz w:val="20"/>
          <w:szCs w:val="20"/>
        </w:rPr>
      </w:pPr>
      <w:r w:rsidRPr="00122E61">
        <w:rPr>
          <w:color w:val="auto"/>
          <w:sz w:val="20"/>
          <w:szCs w:val="20"/>
        </w:rPr>
        <w:t xml:space="preserve">Tabela </w:t>
      </w:r>
      <w:r w:rsidR="00302248" w:rsidRPr="00122E61">
        <w:rPr>
          <w:color w:val="auto"/>
          <w:sz w:val="20"/>
          <w:szCs w:val="20"/>
        </w:rPr>
        <w:fldChar w:fldCharType="begin"/>
      </w:r>
      <w:r w:rsidRPr="00122E61">
        <w:rPr>
          <w:color w:val="auto"/>
          <w:sz w:val="20"/>
          <w:szCs w:val="20"/>
        </w:rPr>
        <w:instrText xml:space="preserve"> SEQ Tabela \* ARABIC </w:instrText>
      </w:r>
      <w:r w:rsidR="00302248" w:rsidRPr="00122E61">
        <w:rPr>
          <w:color w:val="auto"/>
          <w:sz w:val="20"/>
          <w:szCs w:val="20"/>
        </w:rPr>
        <w:fldChar w:fldCharType="separate"/>
      </w:r>
      <w:r w:rsidR="00F63374">
        <w:rPr>
          <w:noProof/>
          <w:color w:val="auto"/>
          <w:sz w:val="20"/>
          <w:szCs w:val="20"/>
        </w:rPr>
        <w:t>1</w:t>
      </w:r>
      <w:r w:rsidR="00302248" w:rsidRPr="00122E61">
        <w:rPr>
          <w:color w:val="auto"/>
          <w:sz w:val="20"/>
          <w:szCs w:val="20"/>
        </w:rPr>
        <w:fldChar w:fldCharType="end"/>
      </w:r>
      <w:r w:rsidRPr="00122E61">
        <w:rPr>
          <w:color w:val="auto"/>
          <w:sz w:val="20"/>
          <w:szCs w:val="20"/>
        </w:rPr>
        <w:t xml:space="preserve"> </w:t>
      </w:r>
      <w:r w:rsidRPr="00122E61">
        <w:rPr>
          <w:b w:val="0"/>
          <w:i/>
          <w:color w:val="auto"/>
          <w:sz w:val="20"/>
          <w:szCs w:val="20"/>
        </w:rPr>
        <w:t xml:space="preserve">Combinação de sinais dos fluxos de caixa operacional, de investimento e de financiamento por fase do ciclo de </w:t>
      </w:r>
      <w:proofErr w:type="gramStart"/>
      <w:r w:rsidRPr="00122E61">
        <w:rPr>
          <w:b w:val="0"/>
          <w:i/>
          <w:color w:val="auto"/>
          <w:sz w:val="20"/>
          <w:szCs w:val="20"/>
        </w:rPr>
        <w:t>vida</w:t>
      </w:r>
      <w:proofErr w:type="gramEnd"/>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6"/>
        <w:gridCol w:w="1325"/>
        <w:gridCol w:w="1325"/>
        <w:gridCol w:w="1325"/>
        <w:gridCol w:w="472"/>
        <w:gridCol w:w="471"/>
        <w:gridCol w:w="473"/>
        <w:gridCol w:w="659"/>
        <w:gridCol w:w="655"/>
      </w:tblGrid>
      <w:tr w:rsidR="00122E61" w:rsidRPr="00BE3E32" w:rsidTr="00122E61">
        <w:tc>
          <w:tcPr>
            <w:tcW w:w="1387" w:type="pct"/>
            <w:tcBorders>
              <w:top w:val="single" w:sz="4" w:space="0" w:color="auto"/>
              <w:bottom w:val="single" w:sz="4" w:space="0" w:color="auto"/>
            </w:tcBorders>
            <w:vAlign w:val="center"/>
          </w:tcPr>
          <w:p w:rsidR="00122E61" w:rsidRPr="00122E61" w:rsidRDefault="00122E61" w:rsidP="00361C60">
            <w:pPr>
              <w:pStyle w:val="ArtigoNormal"/>
              <w:ind w:firstLine="0"/>
              <w:jc w:val="left"/>
              <w:rPr>
                <w:sz w:val="20"/>
                <w:szCs w:val="20"/>
                <w:lang w:val="pt-BR"/>
              </w:rPr>
            </w:pPr>
          </w:p>
        </w:tc>
        <w:tc>
          <w:tcPr>
            <w:tcW w:w="714" w:type="pct"/>
            <w:tcBorders>
              <w:top w:val="single" w:sz="4" w:space="0" w:color="auto"/>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Introdução</w:t>
            </w:r>
          </w:p>
        </w:tc>
        <w:tc>
          <w:tcPr>
            <w:tcW w:w="714" w:type="pct"/>
            <w:tcBorders>
              <w:top w:val="single" w:sz="4" w:space="0" w:color="auto"/>
              <w:bottom w:val="single" w:sz="4" w:space="0" w:color="auto"/>
            </w:tcBorders>
            <w:vAlign w:val="center"/>
          </w:tcPr>
          <w:p w:rsidR="00122E61" w:rsidRPr="00BE3E32" w:rsidRDefault="00122E61" w:rsidP="00361C60">
            <w:pPr>
              <w:pStyle w:val="ArtigoNormal"/>
              <w:ind w:firstLine="0"/>
              <w:jc w:val="center"/>
              <w:rPr>
                <w:sz w:val="20"/>
                <w:szCs w:val="20"/>
              </w:rPr>
            </w:pPr>
            <w:r w:rsidRPr="00BE3E32">
              <w:rPr>
                <w:sz w:val="20"/>
                <w:szCs w:val="20"/>
              </w:rPr>
              <w:t>Crescimento</w:t>
            </w:r>
          </w:p>
        </w:tc>
        <w:tc>
          <w:tcPr>
            <w:tcW w:w="714" w:type="pct"/>
            <w:tcBorders>
              <w:top w:val="single" w:sz="4" w:space="0" w:color="auto"/>
              <w:bottom w:val="single" w:sz="4" w:space="0" w:color="auto"/>
            </w:tcBorders>
            <w:vAlign w:val="center"/>
          </w:tcPr>
          <w:p w:rsidR="00122E61" w:rsidRPr="00BE3E32" w:rsidRDefault="00122E61" w:rsidP="00361C60">
            <w:pPr>
              <w:pStyle w:val="ArtigoNormal"/>
              <w:ind w:firstLine="0"/>
              <w:jc w:val="center"/>
              <w:rPr>
                <w:sz w:val="20"/>
                <w:szCs w:val="20"/>
              </w:rPr>
            </w:pPr>
            <w:r w:rsidRPr="00BE3E32">
              <w:rPr>
                <w:sz w:val="20"/>
                <w:szCs w:val="20"/>
              </w:rPr>
              <w:t>Maturidade</w:t>
            </w:r>
          </w:p>
        </w:tc>
        <w:tc>
          <w:tcPr>
            <w:tcW w:w="763" w:type="pct"/>
            <w:gridSpan w:val="3"/>
            <w:tcBorders>
              <w:top w:val="single" w:sz="4" w:space="0" w:color="auto"/>
              <w:bottom w:val="single" w:sz="4" w:space="0" w:color="auto"/>
            </w:tcBorders>
            <w:vAlign w:val="center"/>
          </w:tcPr>
          <w:p w:rsidR="00122E61" w:rsidRPr="00BE3E32" w:rsidRDefault="00122E61" w:rsidP="00361C60">
            <w:pPr>
              <w:pStyle w:val="ArtigoNormal"/>
              <w:ind w:firstLine="0"/>
              <w:jc w:val="center"/>
              <w:rPr>
                <w:sz w:val="20"/>
                <w:szCs w:val="20"/>
              </w:rPr>
            </w:pPr>
            <w:r w:rsidRPr="00BE3E32">
              <w:rPr>
                <w:sz w:val="20"/>
                <w:szCs w:val="20"/>
              </w:rPr>
              <w:t>Re</w:t>
            </w:r>
            <w:r>
              <w:rPr>
                <w:sz w:val="20"/>
                <w:szCs w:val="20"/>
              </w:rPr>
              <w:t>estruturação</w:t>
            </w:r>
          </w:p>
        </w:tc>
        <w:tc>
          <w:tcPr>
            <w:tcW w:w="709" w:type="pct"/>
            <w:gridSpan w:val="2"/>
            <w:tcBorders>
              <w:top w:val="single" w:sz="4" w:space="0" w:color="auto"/>
              <w:bottom w:val="single" w:sz="4" w:space="0" w:color="auto"/>
            </w:tcBorders>
            <w:vAlign w:val="center"/>
          </w:tcPr>
          <w:p w:rsidR="00122E61" w:rsidRPr="00BE3E32" w:rsidRDefault="00122E61" w:rsidP="00361C60">
            <w:pPr>
              <w:pStyle w:val="ArtigoNormal"/>
              <w:ind w:firstLine="0"/>
              <w:jc w:val="center"/>
              <w:rPr>
                <w:sz w:val="20"/>
                <w:szCs w:val="20"/>
              </w:rPr>
            </w:pPr>
            <w:r w:rsidRPr="00BE3E32">
              <w:rPr>
                <w:sz w:val="20"/>
                <w:szCs w:val="20"/>
              </w:rPr>
              <w:t>Declínio</w:t>
            </w:r>
          </w:p>
        </w:tc>
      </w:tr>
      <w:tr w:rsidR="00122E61" w:rsidRPr="00BE3E32" w:rsidTr="00122E61">
        <w:tc>
          <w:tcPr>
            <w:tcW w:w="1387" w:type="pct"/>
            <w:tcBorders>
              <w:top w:val="single" w:sz="4" w:space="0" w:color="auto"/>
            </w:tcBorders>
            <w:vAlign w:val="center"/>
          </w:tcPr>
          <w:p w:rsidR="00122E61" w:rsidRPr="00122E61" w:rsidRDefault="00122E61" w:rsidP="00361C60">
            <w:pPr>
              <w:pStyle w:val="ArtigoNormal"/>
              <w:ind w:firstLine="0"/>
              <w:jc w:val="left"/>
              <w:rPr>
                <w:sz w:val="20"/>
                <w:szCs w:val="20"/>
                <w:lang w:val="pt-BR"/>
              </w:rPr>
            </w:pPr>
            <w:r w:rsidRPr="00122E61">
              <w:rPr>
                <w:sz w:val="20"/>
                <w:szCs w:val="20"/>
                <w:lang w:val="pt-BR"/>
              </w:rPr>
              <w:t>Fluxo de Caixa das Atividades Operacionais</w:t>
            </w:r>
          </w:p>
        </w:tc>
        <w:tc>
          <w:tcPr>
            <w:tcW w:w="71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5"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355"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354" w:type="pct"/>
            <w:tcBorders>
              <w:top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r>
      <w:tr w:rsidR="00122E61" w:rsidRPr="00BE3E32" w:rsidTr="00122E61">
        <w:tc>
          <w:tcPr>
            <w:tcW w:w="1387" w:type="pct"/>
            <w:vAlign w:val="center"/>
          </w:tcPr>
          <w:p w:rsidR="00122E61" w:rsidRPr="00122E61" w:rsidRDefault="00122E61" w:rsidP="00361C60">
            <w:pPr>
              <w:pStyle w:val="ArtigoNormal"/>
              <w:ind w:firstLine="0"/>
              <w:jc w:val="left"/>
              <w:rPr>
                <w:sz w:val="20"/>
                <w:szCs w:val="20"/>
                <w:lang w:val="pt-BR"/>
              </w:rPr>
            </w:pPr>
            <w:r w:rsidRPr="00122E61">
              <w:rPr>
                <w:sz w:val="20"/>
                <w:szCs w:val="20"/>
                <w:lang w:val="pt-BR"/>
              </w:rPr>
              <w:t>Fluxo de Caixa das Atividades de Investimento</w:t>
            </w:r>
          </w:p>
        </w:tc>
        <w:tc>
          <w:tcPr>
            <w:tcW w:w="714" w:type="pct"/>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vAlign w:val="center"/>
          </w:tcPr>
          <w:p w:rsidR="00122E61" w:rsidRPr="00BE3E32" w:rsidRDefault="00122E61" w:rsidP="00361C60">
            <w:pPr>
              <w:pStyle w:val="ArtigoNormal"/>
              <w:ind w:firstLine="0"/>
              <w:jc w:val="center"/>
              <w:rPr>
                <w:sz w:val="20"/>
                <w:szCs w:val="20"/>
              </w:rPr>
            </w:pPr>
            <w:r>
              <w:rPr>
                <w:sz w:val="20"/>
                <w:szCs w:val="20"/>
              </w:rPr>
              <w:t>+</w:t>
            </w:r>
          </w:p>
        </w:tc>
        <w:tc>
          <w:tcPr>
            <w:tcW w:w="255" w:type="pct"/>
            <w:vAlign w:val="center"/>
          </w:tcPr>
          <w:p w:rsidR="00122E61" w:rsidRPr="00BE3E32" w:rsidRDefault="00122E61" w:rsidP="00361C60">
            <w:pPr>
              <w:pStyle w:val="ArtigoNormal"/>
              <w:ind w:firstLine="0"/>
              <w:jc w:val="center"/>
              <w:rPr>
                <w:sz w:val="20"/>
                <w:szCs w:val="20"/>
              </w:rPr>
            </w:pPr>
            <w:r>
              <w:rPr>
                <w:sz w:val="20"/>
                <w:szCs w:val="20"/>
              </w:rPr>
              <w:t>+</w:t>
            </w:r>
          </w:p>
        </w:tc>
        <w:tc>
          <w:tcPr>
            <w:tcW w:w="355" w:type="pct"/>
            <w:vAlign w:val="center"/>
          </w:tcPr>
          <w:p w:rsidR="00122E61" w:rsidRPr="00BE3E32" w:rsidRDefault="00122E61" w:rsidP="00361C60">
            <w:pPr>
              <w:pStyle w:val="ArtigoNormal"/>
              <w:ind w:firstLine="0"/>
              <w:jc w:val="center"/>
              <w:rPr>
                <w:sz w:val="20"/>
                <w:szCs w:val="20"/>
              </w:rPr>
            </w:pPr>
            <w:r>
              <w:rPr>
                <w:sz w:val="20"/>
                <w:szCs w:val="20"/>
              </w:rPr>
              <w:t>+</w:t>
            </w:r>
          </w:p>
        </w:tc>
        <w:tc>
          <w:tcPr>
            <w:tcW w:w="354" w:type="pct"/>
            <w:vAlign w:val="center"/>
          </w:tcPr>
          <w:p w:rsidR="00122E61" w:rsidRPr="00BE3E32" w:rsidRDefault="00122E61" w:rsidP="00361C60">
            <w:pPr>
              <w:pStyle w:val="ArtigoNormal"/>
              <w:ind w:firstLine="0"/>
              <w:jc w:val="center"/>
              <w:rPr>
                <w:sz w:val="20"/>
                <w:szCs w:val="20"/>
              </w:rPr>
            </w:pPr>
            <w:r>
              <w:rPr>
                <w:sz w:val="20"/>
                <w:szCs w:val="20"/>
              </w:rPr>
              <w:t>+</w:t>
            </w:r>
          </w:p>
        </w:tc>
      </w:tr>
      <w:tr w:rsidR="00122E61" w:rsidRPr="00BE3E32" w:rsidTr="00122E61">
        <w:tc>
          <w:tcPr>
            <w:tcW w:w="1387" w:type="pct"/>
            <w:tcBorders>
              <w:bottom w:val="single" w:sz="4" w:space="0" w:color="auto"/>
            </w:tcBorders>
            <w:vAlign w:val="center"/>
          </w:tcPr>
          <w:p w:rsidR="00122E61" w:rsidRPr="00122E61" w:rsidRDefault="00122E61" w:rsidP="00361C60">
            <w:pPr>
              <w:pStyle w:val="ArtigoNormal"/>
              <w:ind w:firstLine="0"/>
              <w:jc w:val="left"/>
              <w:rPr>
                <w:sz w:val="20"/>
                <w:szCs w:val="20"/>
                <w:lang w:val="pt-BR"/>
              </w:rPr>
            </w:pPr>
            <w:r w:rsidRPr="00122E61">
              <w:rPr>
                <w:sz w:val="20"/>
                <w:szCs w:val="20"/>
                <w:lang w:val="pt-BR"/>
              </w:rPr>
              <w:t>Fluxo de Caixa das Atividades de Financiamento</w:t>
            </w:r>
          </w:p>
        </w:tc>
        <w:tc>
          <w:tcPr>
            <w:tcW w:w="71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71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255"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355"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c>
          <w:tcPr>
            <w:tcW w:w="354" w:type="pct"/>
            <w:tcBorders>
              <w:bottom w:val="single" w:sz="4" w:space="0" w:color="auto"/>
            </w:tcBorders>
            <w:vAlign w:val="center"/>
          </w:tcPr>
          <w:p w:rsidR="00122E61" w:rsidRPr="00BE3E32" w:rsidRDefault="00122E61" w:rsidP="00361C60">
            <w:pPr>
              <w:pStyle w:val="ArtigoNormal"/>
              <w:ind w:firstLine="0"/>
              <w:jc w:val="center"/>
              <w:rPr>
                <w:sz w:val="20"/>
                <w:szCs w:val="20"/>
              </w:rPr>
            </w:pPr>
            <w:r>
              <w:rPr>
                <w:sz w:val="20"/>
                <w:szCs w:val="20"/>
              </w:rPr>
              <w:t>-</w:t>
            </w:r>
          </w:p>
        </w:tc>
      </w:tr>
    </w:tbl>
    <w:p w:rsidR="00122E61" w:rsidRPr="00184CBE" w:rsidRDefault="00122E61" w:rsidP="00122E61">
      <w:pPr>
        <w:pStyle w:val="ArtigoNormal"/>
        <w:ind w:firstLine="0"/>
        <w:rPr>
          <w:sz w:val="16"/>
          <w:szCs w:val="16"/>
          <w:lang w:val="pt-BR"/>
        </w:rPr>
      </w:pPr>
      <w:r w:rsidRPr="00184CBE">
        <w:rPr>
          <w:b/>
          <w:sz w:val="16"/>
          <w:szCs w:val="16"/>
          <w:lang w:val="pt-BR"/>
        </w:rPr>
        <w:t>Fonte:</w:t>
      </w:r>
      <w:r w:rsidRPr="00184CBE">
        <w:rPr>
          <w:sz w:val="16"/>
          <w:szCs w:val="16"/>
          <w:lang w:val="pt-BR"/>
        </w:rPr>
        <w:t xml:space="preserve"> </w:t>
      </w:r>
      <w:r w:rsidR="00302248" w:rsidRPr="00184CBE">
        <w:rPr>
          <w:sz w:val="16"/>
          <w:szCs w:val="16"/>
          <w:lang w:val="pt-BR"/>
        </w:rPr>
        <w:fldChar w:fldCharType="begin" w:fldLock="1"/>
      </w:r>
      <w:r>
        <w:rPr>
          <w:sz w:val="16"/>
          <w:szCs w:val="16"/>
          <w:lang w:val="pt-BR"/>
        </w:rPr>
        <w:instrText>ADDIN CSL_CITATION { "citationItems" : [ { "id" : "ITEM-1", "itemData" : { "DOI" : "10.2308/accr-10130", "ISSN" : "0001-4826", "author" : [ { "dropping-particle" : "", "family" : "Dickinson", "given" : "Victoria", "non-dropping-particle" : "", "parse-names" : false, "suffix" : "" } ], "container-title" : "The Accounting Review", "id" : "ITEM-1", "issue" : "6", "issued" : { "date-parts" : [ [ "2011", "11" ] ] }, "page" : "1969-1994", "title" : "Cash flow patterns as a proxy for firm life cycle", "type" : "article-journal", "volume" : "86" }, "uris" : [ "http://www.mendeley.com/documents/?uuid=602be64a-bfe8-4e4c-b719-446d16aa81c5" ] } ], "mendeley" : { "formattedCitation" : "(Dickinson, 2011)", "manualFormatting" : "Dickinson (2011)", "plainTextFormattedCitation" : "(Dickinson, 2011)", "previouslyFormattedCitation" : "(Dickinson, 2011)" }, "properties" : {  }, "schema" : "https://github.com/citation-style-language/schema/raw/master/csl-citation.json" }</w:instrText>
      </w:r>
      <w:r w:rsidR="00302248" w:rsidRPr="00184CBE">
        <w:rPr>
          <w:sz w:val="16"/>
          <w:szCs w:val="16"/>
          <w:lang w:val="pt-BR"/>
        </w:rPr>
        <w:fldChar w:fldCharType="separate"/>
      </w:r>
      <w:r w:rsidRPr="00184CBE">
        <w:rPr>
          <w:noProof/>
          <w:sz w:val="16"/>
          <w:szCs w:val="16"/>
          <w:lang w:val="pt-BR"/>
        </w:rPr>
        <w:t>Dickinson (2011)</w:t>
      </w:r>
      <w:r w:rsidR="00302248" w:rsidRPr="00184CBE">
        <w:rPr>
          <w:sz w:val="16"/>
          <w:szCs w:val="16"/>
          <w:lang w:val="pt-BR"/>
        </w:rPr>
        <w:fldChar w:fldCharType="end"/>
      </w:r>
      <w:r w:rsidRPr="00184CBE">
        <w:rPr>
          <w:sz w:val="16"/>
          <w:szCs w:val="16"/>
          <w:lang w:val="pt-BR"/>
        </w:rPr>
        <w:t>.</w:t>
      </w:r>
    </w:p>
    <w:p w:rsidR="00DC3E1C" w:rsidRDefault="00DC3E1C" w:rsidP="00122E61">
      <w:pPr>
        <w:widowControl w:val="0"/>
        <w:ind w:firstLine="709"/>
        <w:jc w:val="both"/>
        <w:rPr>
          <w:sz w:val="24"/>
          <w:szCs w:val="24"/>
        </w:rPr>
      </w:pPr>
    </w:p>
    <w:p w:rsidR="00C76519" w:rsidRDefault="00C76519" w:rsidP="00122E61">
      <w:pPr>
        <w:widowControl w:val="0"/>
        <w:ind w:firstLine="709"/>
        <w:jc w:val="both"/>
        <w:rPr>
          <w:sz w:val="24"/>
          <w:szCs w:val="24"/>
        </w:rPr>
      </w:pPr>
      <w:r w:rsidRPr="00C76519">
        <w:rPr>
          <w:sz w:val="24"/>
          <w:szCs w:val="24"/>
        </w:rPr>
        <w:t>Deste modo, identificou-se para cada empresa i no ano t, o padrão de sinais do seu fluxo de caixa, constatando-se em qual fase do ciclo</w:t>
      </w:r>
      <w:r w:rsidR="00FF5B59">
        <w:rPr>
          <w:sz w:val="24"/>
          <w:szCs w:val="24"/>
        </w:rPr>
        <w:t xml:space="preserve"> de vida a empresa se encontra.</w:t>
      </w:r>
    </w:p>
    <w:p w:rsidR="00FF5B59" w:rsidRDefault="00FF5B59" w:rsidP="00122E61">
      <w:pPr>
        <w:widowControl w:val="0"/>
        <w:ind w:firstLine="709"/>
        <w:jc w:val="both"/>
        <w:rPr>
          <w:sz w:val="24"/>
          <w:szCs w:val="24"/>
        </w:rPr>
      </w:pPr>
    </w:p>
    <w:p w:rsidR="00C76519" w:rsidRPr="00C04F45" w:rsidRDefault="00C76519" w:rsidP="00C76519">
      <w:pPr>
        <w:widowControl w:val="0"/>
        <w:jc w:val="both"/>
        <w:rPr>
          <w:b/>
          <w:sz w:val="24"/>
          <w:szCs w:val="24"/>
        </w:rPr>
      </w:pPr>
      <w:proofErr w:type="gramStart"/>
      <w:r>
        <w:rPr>
          <w:b/>
          <w:sz w:val="24"/>
          <w:szCs w:val="24"/>
        </w:rPr>
        <w:t>3.</w:t>
      </w:r>
      <w:r w:rsidR="00F45659">
        <w:rPr>
          <w:b/>
          <w:sz w:val="24"/>
          <w:szCs w:val="24"/>
        </w:rPr>
        <w:t>1</w:t>
      </w:r>
      <w:r>
        <w:rPr>
          <w:b/>
          <w:sz w:val="24"/>
          <w:szCs w:val="24"/>
        </w:rPr>
        <w:t xml:space="preserve"> Especificação</w:t>
      </w:r>
      <w:proofErr w:type="gramEnd"/>
      <w:r>
        <w:rPr>
          <w:b/>
          <w:sz w:val="24"/>
          <w:szCs w:val="24"/>
        </w:rPr>
        <w:t xml:space="preserve"> </w:t>
      </w:r>
      <w:r w:rsidR="00B30931">
        <w:rPr>
          <w:b/>
          <w:sz w:val="24"/>
          <w:szCs w:val="24"/>
        </w:rPr>
        <w:t>das variáveis</w:t>
      </w:r>
      <w:r w:rsidR="00F45659">
        <w:rPr>
          <w:b/>
          <w:sz w:val="24"/>
          <w:szCs w:val="24"/>
        </w:rPr>
        <w:t xml:space="preserve"> da pesquisa</w:t>
      </w:r>
    </w:p>
    <w:p w:rsidR="00826CD0" w:rsidRDefault="00D66230">
      <w:pPr>
        <w:widowControl w:val="0"/>
        <w:ind w:firstLine="709"/>
        <w:jc w:val="both"/>
        <w:rPr>
          <w:sz w:val="24"/>
          <w:szCs w:val="24"/>
        </w:rPr>
      </w:pPr>
      <w:r w:rsidRPr="00D66230">
        <w:rPr>
          <w:sz w:val="24"/>
          <w:szCs w:val="24"/>
        </w:rPr>
        <w:t>A variável dependente neste estudo é o endividamento da empresa. A proxy que representa o endividamento é a razão entre passivo oneroso</w:t>
      </w:r>
      <w:r w:rsidR="00F45659">
        <w:rPr>
          <w:sz w:val="24"/>
          <w:szCs w:val="24"/>
        </w:rPr>
        <w:t xml:space="preserve"> </w:t>
      </w:r>
      <w:r w:rsidR="00F45659" w:rsidRPr="00D66230">
        <w:rPr>
          <w:sz w:val="24"/>
          <w:szCs w:val="24"/>
        </w:rPr>
        <w:t>obtido a partir da soma dos passivos onerosos de curto e longo prazo</w:t>
      </w:r>
      <w:r w:rsidRPr="00D66230">
        <w:rPr>
          <w:sz w:val="24"/>
          <w:szCs w:val="24"/>
        </w:rPr>
        <w:t xml:space="preserve"> e capital</w:t>
      </w:r>
      <w:r w:rsidR="00F45659">
        <w:rPr>
          <w:sz w:val="24"/>
          <w:szCs w:val="24"/>
        </w:rPr>
        <w:t>,</w:t>
      </w:r>
      <w:r w:rsidRPr="00D66230">
        <w:rPr>
          <w:sz w:val="24"/>
          <w:szCs w:val="24"/>
        </w:rPr>
        <w:t xml:space="preserve"> definido como o resultado da soma do passivo oneroso com o patrimônio líquido. Essa medida é mais adequada por não sofrer efeitos da presença de passivos não financeiros (R</w:t>
      </w:r>
      <w:r>
        <w:rPr>
          <w:sz w:val="24"/>
          <w:szCs w:val="24"/>
        </w:rPr>
        <w:t>ajan &amp;</w:t>
      </w:r>
      <w:r w:rsidRPr="00D66230">
        <w:rPr>
          <w:sz w:val="24"/>
          <w:szCs w:val="24"/>
        </w:rPr>
        <w:t xml:space="preserve"> Z</w:t>
      </w:r>
      <w:r>
        <w:rPr>
          <w:sz w:val="24"/>
          <w:szCs w:val="24"/>
        </w:rPr>
        <w:t>ingales,</w:t>
      </w:r>
      <w:r w:rsidRPr="00D66230">
        <w:rPr>
          <w:sz w:val="24"/>
          <w:szCs w:val="24"/>
        </w:rPr>
        <w:t xml:space="preserve"> 1995; W</w:t>
      </w:r>
      <w:r>
        <w:rPr>
          <w:sz w:val="24"/>
          <w:szCs w:val="24"/>
        </w:rPr>
        <w:t>elch</w:t>
      </w:r>
      <w:r w:rsidRPr="00D66230">
        <w:rPr>
          <w:sz w:val="24"/>
          <w:szCs w:val="24"/>
        </w:rPr>
        <w:t xml:space="preserve">, 2011). </w:t>
      </w:r>
    </w:p>
    <w:p w:rsidR="00D66230" w:rsidRPr="00D66230" w:rsidRDefault="00D66230" w:rsidP="00D66230">
      <w:pPr>
        <w:widowControl w:val="0"/>
        <w:ind w:firstLine="709"/>
        <w:jc w:val="both"/>
        <w:rPr>
          <w:sz w:val="24"/>
          <w:szCs w:val="24"/>
        </w:rPr>
      </w:pPr>
      <w:r w:rsidRPr="00D66230">
        <w:rPr>
          <w:sz w:val="24"/>
          <w:szCs w:val="24"/>
        </w:rPr>
        <w:t xml:space="preserve">As variáveis independentes foram observadas a partir da meta análise de Kumar </w:t>
      </w:r>
      <w:proofErr w:type="gramStart"/>
      <w:r w:rsidRPr="00D66230">
        <w:rPr>
          <w:sz w:val="24"/>
          <w:szCs w:val="24"/>
        </w:rPr>
        <w:t>et</w:t>
      </w:r>
      <w:proofErr w:type="gramEnd"/>
      <w:r w:rsidRPr="00D66230">
        <w:rPr>
          <w:sz w:val="24"/>
          <w:szCs w:val="24"/>
        </w:rPr>
        <w:t xml:space="preserve"> al. (2017): rentabilidade, tangibilidade dos ativos, tamanho da empresa, idade, oportunidades de </w:t>
      </w:r>
      <w:r w:rsidRPr="00D66230">
        <w:rPr>
          <w:sz w:val="24"/>
          <w:szCs w:val="24"/>
        </w:rPr>
        <w:lastRenderedPageBreak/>
        <w:t>crescimento, liquidez, economia fiscal não advinda de dívida e risco do negócio.</w:t>
      </w:r>
    </w:p>
    <w:p w:rsidR="00D66230" w:rsidRDefault="00D66230" w:rsidP="00D66230">
      <w:pPr>
        <w:widowControl w:val="0"/>
        <w:ind w:firstLine="709"/>
        <w:jc w:val="both"/>
        <w:rPr>
          <w:sz w:val="24"/>
          <w:szCs w:val="24"/>
        </w:rPr>
      </w:pPr>
      <w:r w:rsidRPr="00D66230">
        <w:rPr>
          <w:sz w:val="24"/>
          <w:szCs w:val="24"/>
        </w:rPr>
        <w:t xml:space="preserve">As proxies assumidas estão demonstradas na Tabela 2 e assumem como referência os trabalhos de Titman e Wessels (1988), Rajan e Zingales (1995), Booth </w:t>
      </w:r>
      <w:proofErr w:type="gramStart"/>
      <w:r w:rsidRPr="00D66230">
        <w:rPr>
          <w:sz w:val="24"/>
          <w:szCs w:val="24"/>
        </w:rPr>
        <w:t>et</w:t>
      </w:r>
      <w:proofErr w:type="gramEnd"/>
      <w:r w:rsidRPr="00D66230">
        <w:rPr>
          <w:sz w:val="24"/>
          <w:szCs w:val="24"/>
        </w:rPr>
        <w:t xml:space="preserve"> al. (2001), Perobelli e Famá (2002), Perobelli e Famá (2003), Brito, Corrar e Batistella (2007), Terra (2007), Antoniou, Guney e Paudyal (2008), Psillaki e Daskalakis (2009), Bastos e Nakamura (2009) e Santos, Fávero e Distadio (2016).</w:t>
      </w:r>
    </w:p>
    <w:p w:rsidR="00FF5B59" w:rsidRDefault="00FF5B59" w:rsidP="00D66230">
      <w:pPr>
        <w:widowControl w:val="0"/>
        <w:ind w:firstLine="709"/>
        <w:jc w:val="both"/>
        <w:rPr>
          <w:sz w:val="24"/>
          <w:szCs w:val="24"/>
        </w:rPr>
      </w:pPr>
    </w:p>
    <w:p w:rsidR="00747360" w:rsidRPr="00747360" w:rsidRDefault="00747360" w:rsidP="00747360">
      <w:pPr>
        <w:pStyle w:val="Legenda"/>
        <w:keepNext/>
        <w:spacing w:after="0"/>
        <w:rPr>
          <w:b w:val="0"/>
          <w:i/>
          <w:color w:val="auto"/>
          <w:sz w:val="20"/>
          <w:szCs w:val="20"/>
        </w:rPr>
      </w:pPr>
      <w:r w:rsidRPr="00747360">
        <w:rPr>
          <w:color w:val="auto"/>
          <w:sz w:val="20"/>
          <w:szCs w:val="20"/>
        </w:rPr>
        <w:t xml:space="preserve">Tabela </w:t>
      </w:r>
      <w:r w:rsidR="00302248" w:rsidRPr="00747360">
        <w:rPr>
          <w:color w:val="auto"/>
          <w:sz w:val="20"/>
          <w:szCs w:val="20"/>
        </w:rPr>
        <w:fldChar w:fldCharType="begin"/>
      </w:r>
      <w:r w:rsidRPr="00747360">
        <w:rPr>
          <w:color w:val="auto"/>
          <w:sz w:val="20"/>
          <w:szCs w:val="20"/>
        </w:rPr>
        <w:instrText xml:space="preserve"> SEQ Tabela \* ARABIC </w:instrText>
      </w:r>
      <w:r w:rsidR="00302248" w:rsidRPr="00747360">
        <w:rPr>
          <w:color w:val="auto"/>
          <w:sz w:val="20"/>
          <w:szCs w:val="20"/>
        </w:rPr>
        <w:fldChar w:fldCharType="separate"/>
      </w:r>
      <w:r w:rsidR="00F63374">
        <w:rPr>
          <w:noProof/>
          <w:color w:val="auto"/>
          <w:sz w:val="20"/>
          <w:szCs w:val="20"/>
        </w:rPr>
        <w:t>2</w:t>
      </w:r>
      <w:r w:rsidR="00302248" w:rsidRPr="00747360">
        <w:rPr>
          <w:color w:val="auto"/>
          <w:sz w:val="20"/>
          <w:szCs w:val="20"/>
        </w:rPr>
        <w:fldChar w:fldCharType="end"/>
      </w:r>
      <w:r w:rsidRPr="00747360">
        <w:rPr>
          <w:color w:val="auto"/>
          <w:sz w:val="20"/>
          <w:szCs w:val="20"/>
        </w:rPr>
        <w:t xml:space="preserve"> </w:t>
      </w:r>
      <w:r w:rsidRPr="00747360">
        <w:rPr>
          <w:b w:val="0"/>
          <w:i/>
          <w:color w:val="auto"/>
          <w:sz w:val="20"/>
          <w:szCs w:val="20"/>
        </w:rPr>
        <w:t>Variáveis independentes potenciais determinantes da estrutura de capital</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50"/>
        <w:gridCol w:w="882"/>
        <w:gridCol w:w="4949"/>
      </w:tblGrid>
      <w:tr w:rsidR="00747360" w:rsidRPr="002039F3" w:rsidTr="00747360">
        <w:trPr>
          <w:trHeight w:val="283"/>
          <w:jc w:val="center"/>
        </w:trPr>
        <w:tc>
          <w:tcPr>
            <w:tcW w:w="1859" w:type="pct"/>
            <w:tcBorders>
              <w:top w:val="single" w:sz="8" w:space="0" w:color="auto"/>
              <w:bottom w:val="single" w:sz="8" w:space="0" w:color="auto"/>
            </w:tcBorders>
            <w:vAlign w:val="center"/>
          </w:tcPr>
          <w:p w:rsidR="00747360" w:rsidRPr="002039F3" w:rsidRDefault="00747360" w:rsidP="00747360">
            <w:pPr>
              <w:pStyle w:val="ArtigoNormal"/>
              <w:ind w:firstLine="0"/>
              <w:jc w:val="center"/>
              <w:rPr>
                <w:b/>
                <w:sz w:val="20"/>
                <w:szCs w:val="20"/>
              </w:rPr>
            </w:pPr>
            <w:r w:rsidRPr="002039F3">
              <w:rPr>
                <w:b/>
                <w:sz w:val="20"/>
                <w:szCs w:val="20"/>
              </w:rPr>
              <w:t>Variável</w:t>
            </w:r>
          </w:p>
        </w:tc>
        <w:tc>
          <w:tcPr>
            <w:tcW w:w="475" w:type="pct"/>
            <w:tcBorders>
              <w:top w:val="single" w:sz="8" w:space="0" w:color="auto"/>
              <w:bottom w:val="single" w:sz="8" w:space="0" w:color="auto"/>
            </w:tcBorders>
            <w:vAlign w:val="center"/>
          </w:tcPr>
          <w:p w:rsidR="00747360" w:rsidRPr="002039F3" w:rsidRDefault="00747360" w:rsidP="00747360">
            <w:pPr>
              <w:pStyle w:val="ArtigoNormal"/>
              <w:ind w:firstLine="0"/>
              <w:jc w:val="center"/>
              <w:rPr>
                <w:b/>
                <w:sz w:val="20"/>
                <w:szCs w:val="20"/>
              </w:rPr>
            </w:pPr>
          </w:p>
        </w:tc>
        <w:tc>
          <w:tcPr>
            <w:tcW w:w="2666" w:type="pct"/>
            <w:tcBorders>
              <w:top w:val="single" w:sz="8" w:space="0" w:color="auto"/>
              <w:bottom w:val="single" w:sz="8" w:space="0" w:color="auto"/>
            </w:tcBorders>
            <w:vAlign w:val="center"/>
          </w:tcPr>
          <w:p w:rsidR="00747360" w:rsidRPr="002039F3" w:rsidRDefault="00747360" w:rsidP="00747360">
            <w:pPr>
              <w:pStyle w:val="ArtigoNormal"/>
              <w:ind w:firstLine="0"/>
              <w:jc w:val="center"/>
              <w:rPr>
                <w:b/>
                <w:sz w:val="20"/>
                <w:szCs w:val="20"/>
              </w:rPr>
            </w:pPr>
            <w:r w:rsidRPr="002039F3">
              <w:rPr>
                <w:b/>
                <w:sz w:val="20"/>
                <w:szCs w:val="20"/>
              </w:rPr>
              <w:t>Proxy</w:t>
            </w:r>
          </w:p>
        </w:tc>
      </w:tr>
      <w:tr w:rsidR="00747360" w:rsidRPr="002039F3" w:rsidTr="00747360">
        <w:trPr>
          <w:trHeight w:val="283"/>
          <w:jc w:val="center"/>
        </w:trPr>
        <w:tc>
          <w:tcPr>
            <w:tcW w:w="1859" w:type="pct"/>
            <w:tcBorders>
              <w:top w:val="single" w:sz="8"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Rentabilidade</w:t>
            </w:r>
          </w:p>
        </w:tc>
        <w:tc>
          <w:tcPr>
            <w:tcW w:w="475" w:type="pct"/>
            <w:tcBorders>
              <w:top w:val="single" w:sz="8"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r</w:t>
            </w:r>
            <w:r w:rsidRPr="002039F3">
              <w:rPr>
                <w:i/>
                <w:sz w:val="20"/>
                <w:szCs w:val="20"/>
              </w:rPr>
              <w:t>ent</w:t>
            </w:r>
          </w:p>
        </w:tc>
        <w:tc>
          <w:tcPr>
            <w:tcW w:w="2666" w:type="pct"/>
            <w:tcBorders>
              <w:top w:val="single" w:sz="8"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 EBIT / Ativo Total</w:t>
            </w:r>
          </w:p>
        </w:tc>
      </w:tr>
      <w:tr w:rsidR="00747360" w:rsidRPr="00474D63" w:rsidTr="00747360">
        <w:trPr>
          <w:trHeight w:val="283"/>
          <w:jc w:val="center"/>
        </w:trPr>
        <w:tc>
          <w:tcPr>
            <w:tcW w:w="1859"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Tangibilidade</w:t>
            </w:r>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t</w:t>
            </w:r>
            <w:r w:rsidRPr="002039F3">
              <w:rPr>
                <w:i/>
                <w:sz w:val="20"/>
                <w:szCs w:val="20"/>
              </w:rPr>
              <w:t>ang</w:t>
            </w:r>
          </w:p>
        </w:tc>
        <w:tc>
          <w:tcPr>
            <w:tcW w:w="2666" w:type="pct"/>
            <w:tcBorders>
              <w:top w:val="single" w:sz="2" w:space="0" w:color="auto"/>
              <w:bottom w:val="single" w:sz="2"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 Ativo Imobilizado Líquido / Ativo Total</w:t>
            </w:r>
          </w:p>
        </w:tc>
      </w:tr>
      <w:tr w:rsidR="00747360" w:rsidRPr="00474D63" w:rsidTr="00747360">
        <w:trPr>
          <w:trHeight w:val="283"/>
          <w:jc w:val="center"/>
        </w:trPr>
        <w:tc>
          <w:tcPr>
            <w:tcW w:w="1859"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proofErr w:type="spellStart"/>
            <w:r w:rsidRPr="002039F3">
              <w:rPr>
                <w:sz w:val="20"/>
                <w:szCs w:val="20"/>
              </w:rPr>
              <w:t>Ta</w:t>
            </w:r>
            <w:r>
              <w:rPr>
                <w:sz w:val="20"/>
                <w:szCs w:val="20"/>
              </w:rPr>
              <w:t>manho</w:t>
            </w:r>
            <w:proofErr w:type="spellEnd"/>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t</w:t>
            </w:r>
            <w:r w:rsidRPr="002039F3">
              <w:rPr>
                <w:i/>
                <w:sz w:val="20"/>
                <w:szCs w:val="20"/>
              </w:rPr>
              <w:t>a</w:t>
            </w:r>
            <w:r>
              <w:rPr>
                <w:i/>
                <w:sz w:val="20"/>
                <w:szCs w:val="20"/>
              </w:rPr>
              <w:t>m</w:t>
            </w:r>
          </w:p>
        </w:tc>
        <w:tc>
          <w:tcPr>
            <w:tcW w:w="2666" w:type="pct"/>
            <w:tcBorders>
              <w:top w:val="single" w:sz="2" w:space="0" w:color="auto"/>
              <w:bottom w:val="single" w:sz="2"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 Logaritmo natural do Ativo Total</w:t>
            </w:r>
          </w:p>
        </w:tc>
      </w:tr>
      <w:tr w:rsidR="00747360" w:rsidRPr="00474D63" w:rsidTr="00747360">
        <w:trPr>
          <w:trHeight w:val="283"/>
          <w:jc w:val="center"/>
        </w:trPr>
        <w:tc>
          <w:tcPr>
            <w:tcW w:w="1859"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Idade</w:t>
            </w:r>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i</w:t>
            </w:r>
            <w:r w:rsidRPr="002039F3">
              <w:rPr>
                <w:i/>
                <w:sz w:val="20"/>
                <w:szCs w:val="20"/>
              </w:rPr>
              <w:t>dade</w:t>
            </w:r>
          </w:p>
        </w:tc>
        <w:tc>
          <w:tcPr>
            <w:tcW w:w="2666" w:type="pct"/>
            <w:tcBorders>
              <w:top w:val="single" w:sz="2" w:space="0" w:color="auto"/>
              <w:bottom w:val="single" w:sz="2"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 Logaritmo natural do número de anos a partir da abertura de capital da empresa ou de negociação das suas ações</w:t>
            </w:r>
          </w:p>
        </w:tc>
      </w:tr>
      <w:tr w:rsidR="00747360" w:rsidRPr="002039F3" w:rsidTr="00747360">
        <w:trPr>
          <w:trHeight w:val="283"/>
          <w:jc w:val="center"/>
        </w:trPr>
        <w:tc>
          <w:tcPr>
            <w:tcW w:w="1859"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Oportunidade de crescimento</w:t>
            </w:r>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opc</w:t>
            </w:r>
            <w:r w:rsidRPr="002039F3">
              <w:rPr>
                <w:i/>
                <w:sz w:val="20"/>
                <w:szCs w:val="20"/>
              </w:rPr>
              <w:t>resc</w:t>
            </w:r>
          </w:p>
        </w:tc>
        <w:tc>
          <w:tcPr>
            <w:tcW w:w="2666" w:type="pct"/>
            <w:tcBorders>
              <w:top w:val="single" w:sz="2" w:space="0" w:color="auto"/>
              <w:bottom w:val="single" w:sz="2" w:space="0" w:color="auto"/>
            </w:tcBorders>
            <w:vAlign w:val="center"/>
          </w:tcPr>
          <w:p w:rsidR="00747360" w:rsidRPr="004E43F3" w:rsidRDefault="00747360" w:rsidP="00747360">
            <w:pPr>
              <w:pStyle w:val="ArtigoNormal"/>
              <w:ind w:firstLine="0"/>
              <w:jc w:val="left"/>
              <w:rPr>
                <w:sz w:val="20"/>
                <w:szCs w:val="20"/>
              </w:rPr>
            </w:pPr>
            <w:r w:rsidRPr="004E43F3">
              <w:rPr>
                <w:sz w:val="20"/>
                <w:szCs w:val="20"/>
              </w:rPr>
              <w:t xml:space="preserve">= </w:t>
            </w:r>
            <w:r w:rsidRPr="004E43F3">
              <w:rPr>
                <w:i/>
                <w:sz w:val="20"/>
                <w:szCs w:val="20"/>
              </w:rPr>
              <w:t>Market to Book</w:t>
            </w:r>
            <w:r>
              <w:rPr>
                <w:sz w:val="20"/>
                <w:szCs w:val="20"/>
              </w:rPr>
              <w:t>, sendo este, Valor de Mercado / Valor Contábil</w:t>
            </w:r>
          </w:p>
        </w:tc>
      </w:tr>
      <w:tr w:rsidR="00747360" w:rsidRPr="002039F3" w:rsidTr="00747360">
        <w:trPr>
          <w:trHeight w:val="283"/>
          <w:jc w:val="center"/>
        </w:trPr>
        <w:tc>
          <w:tcPr>
            <w:tcW w:w="1859"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Liquidez</w:t>
            </w:r>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l</w:t>
            </w:r>
            <w:r w:rsidRPr="002039F3">
              <w:rPr>
                <w:i/>
                <w:sz w:val="20"/>
                <w:szCs w:val="20"/>
              </w:rPr>
              <w:t>iq</w:t>
            </w:r>
          </w:p>
        </w:tc>
        <w:tc>
          <w:tcPr>
            <w:tcW w:w="2666" w:type="pct"/>
            <w:tcBorders>
              <w:top w:val="single" w:sz="2" w:space="0" w:color="auto"/>
              <w:bottom w:val="single" w:sz="2"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 Ativo Circulante / Passivo Circulante</w:t>
            </w:r>
          </w:p>
        </w:tc>
      </w:tr>
      <w:tr w:rsidR="00747360" w:rsidRPr="00474D63" w:rsidTr="00747360">
        <w:trPr>
          <w:trHeight w:val="283"/>
          <w:jc w:val="center"/>
        </w:trPr>
        <w:tc>
          <w:tcPr>
            <w:tcW w:w="1859" w:type="pct"/>
            <w:tcBorders>
              <w:top w:val="single" w:sz="2" w:space="0" w:color="auto"/>
              <w:bottom w:val="single" w:sz="2"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Economia fiscal não advinda de dívida</w:t>
            </w:r>
          </w:p>
        </w:tc>
        <w:tc>
          <w:tcPr>
            <w:tcW w:w="475" w:type="pct"/>
            <w:tcBorders>
              <w:top w:val="single" w:sz="2" w:space="0" w:color="auto"/>
              <w:bottom w:val="single" w:sz="2" w:space="0" w:color="auto"/>
            </w:tcBorders>
            <w:vAlign w:val="center"/>
          </w:tcPr>
          <w:p w:rsidR="00747360" w:rsidRPr="002039F3" w:rsidRDefault="00747360" w:rsidP="00747360">
            <w:pPr>
              <w:pStyle w:val="ArtigoNormal"/>
              <w:ind w:firstLine="0"/>
              <w:jc w:val="center"/>
              <w:rPr>
                <w:i/>
                <w:sz w:val="20"/>
                <w:szCs w:val="20"/>
              </w:rPr>
            </w:pPr>
            <w:r>
              <w:rPr>
                <w:i/>
                <w:sz w:val="20"/>
                <w:szCs w:val="20"/>
              </w:rPr>
              <w:t>ecnd</w:t>
            </w:r>
          </w:p>
        </w:tc>
        <w:tc>
          <w:tcPr>
            <w:tcW w:w="2666" w:type="pct"/>
            <w:tcBorders>
              <w:top w:val="single" w:sz="2" w:space="0" w:color="auto"/>
              <w:bottom w:val="single" w:sz="2"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 Despesa com Depreciação e Amortização / Ativo Total</w:t>
            </w:r>
          </w:p>
        </w:tc>
      </w:tr>
      <w:tr w:rsidR="00747360" w:rsidRPr="00474D63" w:rsidTr="00747360">
        <w:trPr>
          <w:trHeight w:val="283"/>
          <w:jc w:val="center"/>
        </w:trPr>
        <w:tc>
          <w:tcPr>
            <w:tcW w:w="1859" w:type="pct"/>
            <w:tcBorders>
              <w:top w:val="single" w:sz="2" w:space="0" w:color="auto"/>
              <w:bottom w:val="single" w:sz="8" w:space="0" w:color="auto"/>
            </w:tcBorders>
            <w:vAlign w:val="center"/>
          </w:tcPr>
          <w:p w:rsidR="00747360" w:rsidRPr="002039F3" w:rsidRDefault="00747360" w:rsidP="00747360">
            <w:pPr>
              <w:pStyle w:val="ArtigoNormal"/>
              <w:ind w:firstLine="0"/>
              <w:jc w:val="left"/>
              <w:rPr>
                <w:sz w:val="20"/>
                <w:szCs w:val="20"/>
              </w:rPr>
            </w:pPr>
            <w:r w:rsidRPr="002039F3">
              <w:rPr>
                <w:sz w:val="20"/>
                <w:szCs w:val="20"/>
              </w:rPr>
              <w:t>Risco do negócio</w:t>
            </w:r>
          </w:p>
        </w:tc>
        <w:tc>
          <w:tcPr>
            <w:tcW w:w="475" w:type="pct"/>
            <w:tcBorders>
              <w:top w:val="single" w:sz="2" w:space="0" w:color="auto"/>
              <w:bottom w:val="single" w:sz="8" w:space="0" w:color="auto"/>
            </w:tcBorders>
            <w:vAlign w:val="center"/>
          </w:tcPr>
          <w:p w:rsidR="00747360" w:rsidRPr="002039F3" w:rsidRDefault="00747360" w:rsidP="00747360">
            <w:pPr>
              <w:pStyle w:val="ArtigoNormal"/>
              <w:ind w:firstLine="0"/>
              <w:jc w:val="center"/>
              <w:rPr>
                <w:i/>
                <w:sz w:val="20"/>
                <w:szCs w:val="20"/>
              </w:rPr>
            </w:pPr>
            <w:r>
              <w:rPr>
                <w:i/>
                <w:sz w:val="20"/>
                <w:szCs w:val="20"/>
              </w:rPr>
              <w:t>r</w:t>
            </w:r>
            <w:r w:rsidRPr="002039F3">
              <w:rPr>
                <w:i/>
                <w:sz w:val="20"/>
                <w:szCs w:val="20"/>
              </w:rPr>
              <w:t>isc</w:t>
            </w:r>
            <w:r>
              <w:rPr>
                <w:i/>
                <w:sz w:val="20"/>
                <w:szCs w:val="20"/>
              </w:rPr>
              <w:t>o</w:t>
            </w:r>
          </w:p>
        </w:tc>
        <w:tc>
          <w:tcPr>
            <w:tcW w:w="2666" w:type="pct"/>
            <w:tcBorders>
              <w:top w:val="single" w:sz="2" w:space="0" w:color="auto"/>
              <w:bottom w:val="single" w:sz="8" w:space="0" w:color="auto"/>
            </w:tcBorders>
            <w:vAlign w:val="center"/>
          </w:tcPr>
          <w:p w:rsidR="00747360" w:rsidRPr="00747360" w:rsidRDefault="00747360" w:rsidP="00747360">
            <w:pPr>
              <w:pStyle w:val="ArtigoNormal"/>
              <w:ind w:firstLine="0"/>
              <w:jc w:val="left"/>
              <w:rPr>
                <w:sz w:val="20"/>
                <w:szCs w:val="20"/>
                <w:lang w:val="pt-BR"/>
              </w:rPr>
            </w:pPr>
            <w:r w:rsidRPr="00747360">
              <w:rPr>
                <w:sz w:val="20"/>
                <w:szCs w:val="20"/>
                <w:lang w:val="pt-BR"/>
              </w:rPr>
              <w:t>= Desvio padrão do EBIT / Patrimônio Líquido</w:t>
            </w:r>
          </w:p>
        </w:tc>
      </w:tr>
    </w:tbl>
    <w:p w:rsidR="00DC3E1C" w:rsidRDefault="00DC3E1C" w:rsidP="00D66230">
      <w:pPr>
        <w:widowControl w:val="0"/>
        <w:ind w:firstLine="709"/>
        <w:jc w:val="both"/>
        <w:rPr>
          <w:sz w:val="24"/>
          <w:szCs w:val="24"/>
        </w:rPr>
      </w:pPr>
    </w:p>
    <w:p w:rsidR="00747360" w:rsidRDefault="00747360" w:rsidP="00D66230">
      <w:pPr>
        <w:widowControl w:val="0"/>
        <w:ind w:firstLine="709"/>
        <w:jc w:val="both"/>
        <w:rPr>
          <w:sz w:val="24"/>
          <w:szCs w:val="24"/>
        </w:rPr>
      </w:pPr>
      <w:r w:rsidRPr="00747360">
        <w:rPr>
          <w:sz w:val="24"/>
          <w:szCs w:val="24"/>
        </w:rPr>
        <w:t xml:space="preserve">A única variável de controle assumida é o setor de atuação da empresa, como especificado na base Thomson Reuters. Sendo esta uma variável </w:t>
      </w:r>
      <w:r w:rsidRPr="009A797B">
        <w:rPr>
          <w:i/>
          <w:sz w:val="24"/>
          <w:szCs w:val="24"/>
        </w:rPr>
        <w:t>dummy</w:t>
      </w:r>
      <w:r w:rsidRPr="00747360">
        <w:rPr>
          <w:sz w:val="24"/>
          <w:szCs w:val="24"/>
        </w:rPr>
        <w:t>, que assume valor igual a 1 (um) caso a observação pertença a determinado setor e 0 (zero), caso contrário.</w:t>
      </w:r>
    </w:p>
    <w:p w:rsidR="00747360" w:rsidRDefault="00747360" w:rsidP="00D66230">
      <w:pPr>
        <w:widowControl w:val="0"/>
        <w:ind w:firstLine="709"/>
        <w:jc w:val="both"/>
        <w:rPr>
          <w:sz w:val="24"/>
          <w:szCs w:val="24"/>
        </w:rPr>
      </w:pPr>
    </w:p>
    <w:p w:rsidR="00747360" w:rsidRPr="00C04F45" w:rsidRDefault="00747360" w:rsidP="00747360">
      <w:pPr>
        <w:widowControl w:val="0"/>
        <w:jc w:val="both"/>
        <w:rPr>
          <w:b/>
          <w:sz w:val="24"/>
          <w:szCs w:val="24"/>
        </w:rPr>
      </w:pPr>
      <w:r>
        <w:rPr>
          <w:b/>
          <w:sz w:val="24"/>
          <w:szCs w:val="24"/>
        </w:rPr>
        <w:t>3.</w:t>
      </w:r>
      <w:r w:rsidR="00F45659">
        <w:rPr>
          <w:b/>
          <w:sz w:val="24"/>
          <w:szCs w:val="24"/>
        </w:rPr>
        <w:t>2</w:t>
      </w:r>
      <w:r>
        <w:rPr>
          <w:b/>
          <w:sz w:val="24"/>
          <w:szCs w:val="24"/>
        </w:rPr>
        <w:t xml:space="preserve"> Tratamento do</w:t>
      </w:r>
      <w:r w:rsidR="00FA4A15">
        <w:rPr>
          <w:b/>
          <w:sz w:val="24"/>
          <w:szCs w:val="24"/>
        </w:rPr>
        <w:t>s</w:t>
      </w:r>
      <w:r>
        <w:rPr>
          <w:b/>
          <w:sz w:val="24"/>
          <w:szCs w:val="24"/>
        </w:rPr>
        <w:t xml:space="preserve"> dados</w:t>
      </w:r>
    </w:p>
    <w:p w:rsidR="00747360" w:rsidRPr="00747360" w:rsidRDefault="00747360" w:rsidP="00747360">
      <w:pPr>
        <w:widowControl w:val="0"/>
        <w:ind w:firstLine="709"/>
        <w:jc w:val="both"/>
        <w:rPr>
          <w:sz w:val="24"/>
          <w:szCs w:val="24"/>
        </w:rPr>
      </w:pPr>
      <w:r w:rsidRPr="00747360">
        <w:rPr>
          <w:sz w:val="24"/>
          <w:szCs w:val="24"/>
        </w:rPr>
        <w:t>Na amostra analisada, o painel de dados é desbalanceado</w:t>
      </w:r>
      <w:r w:rsidR="00154F5E">
        <w:rPr>
          <w:sz w:val="24"/>
          <w:szCs w:val="24"/>
        </w:rPr>
        <w:t xml:space="preserve"> e curto. S</w:t>
      </w:r>
      <w:r w:rsidRPr="00747360">
        <w:rPr>
          <w:sz w:val="24"/>
          <w:szCs w:val="24"/>
        </w:rPr>
        <w:t xml:space="preserve">egundo Fávero e Belfiore (2017), várias estimações são pertinentes aos modelos longitudinais de regressão para dados em painel curto, sendo as principais por </w:t>
      </w:r>
      <w:r w:rsidRPr="00747360">
        <w:rPr>
          <w:i/>
          <w:sz w:val="24"/>
          <w:szCs w:val="24"/>
        </w:rPr>
        <w:t>Generalized Estimating Equations</w:t>
      </w:r>
      <w:r w:rsidRPr="00747360">
        <w:rPr>
          <w:sz w:val="24"/>
          <w:szCs w:val="24"/>
        </w:rPr>
        <w:t xml:space="preserve"> (GEE), efeitos fixos e efeitos aleatórios. Para identificar os estimadores mais adequados dentre os modelos GEE e efeitos aleatórios, primeiramente, utilizou-se o teste LM (</w:t>
      </w:r>
      <w:r w:rsidRPr="00747360">
        <w:rPr>
          <w:i/>
          <w:sz w:val="24"/>
          <w:szCs w:val="24"/>
        </w:rPr>
        <w:t>Lagrange multiplier</w:t>
      </w:r>
      <w:r w:rsidRPr="00747360">
        <w:rPr>
          <w:sz w:val="24"/>
          <w:szCs w:val="24"/>
        </w:rPr>
        <w:t xml:space="preserve">) de Breusch-Pagan. Os resultados do teste, tanto para o grupo amostral principal quanto para seus subgrupos, indicaram a rejeição da hipótese nula, constatando-se que existem diferenças estatisticamente significantes </w:t>
      </w:r>
      <w:r w:rsidR="004667BC" w:rsidRPr="00E328C0">
        <w:rPr>
          <w:sz w:val="24"/>
          <w:szCs w:val="24"/>
        </w:rPr>
        <w:t>(p-valor ≤ 0,01)</w:t>
      </w:r>
      <w:r w:rsidR="004667BC" w:rsidRPr="00747360">
        <w:rPr>
          <w:sz w:val="24"/>
          <w:szCs w:val="24"/>
        </w:rPr>
        <w:t xml:space="preserve"> </w:t>
      </w:r>
      <w:r w:rsidRPr="00747360">
        <w:rPr>
          <w:sz w:val="24"/>
          <w:szCs w:val="24"/>
        </w:rPr>
        <w:t>entre as empresas ao longo do tempo que justifiquem a adoção da modelagem em painel. Este resultado também foi confirmado pelo teste F de Chow.</w:t>
      </w:r>
    </w:p>
    <w:p w:rsidR="00747360" w:rsidRDefault="00747360" w:rsidP="00747360">
      <w:pPr>
        <w:widowControl w:val="0"/>
        <w:ind w:firstLine="709"/>
        <w:jc w:val="both"/>
        <w:rPr>
          <w:sz w:val="24"/>
          <w:szCs w:val="24"/>
        </w:rPr>
      </w:pPr>
      <w:r w:rsidRPr="00747360">
        <w:rPr>
          <w:sz w:val="24"/>
          <w:szCs w:val="24"/>
        </w:rPr>
        <w:t xml:space="preserve">Por fim, com o objetivo de optar pelo modelo estimado por efeitos fixos ou por efeitos aleatórios, realizou-se o teste de Hausman. Os resultados deste teste, para o grupo amostral principal e para os subgrupos amostrais das empresas em fase de introdução, crescimento, maturidade e reestruturação, indicaram a rejeição da hipótese nula, constatando-se que a estimação por efeitos fixos é mais adequada aos dados </w:t>
      </w:r>
      <w:r w:rsidR="004667BC" w:rsidRPr="00E328C0">
        <w:rPr>
          <w:sz w:val="24"/>
          <w:szCs w:val="24"/>
        </w:rPr>
        <w:t>(p-valor ≤ 0,0</w:t>
      </w:r>
      <w:r w:rsidR="004667BC">
        <w:rPr>
          <w:sz w:val="24"/>
          <w:szCs w:val="24"/>
        </w:rPr>
        <w:t>5</w:t>
      </w:r>
      <w:r w:rsidR="004667BC" w:rsidRPr="00E328C0">
        <w:rPr>
          <w:sz w:val="24"/>
          <w:szCs w:val="24"/>
        </w:rPr>
        <w:t>)</w:t>
      </w:r>
      <w:r w:rsidRPr="00747360">
        <w:rPr>
          <w:sz w:val="24"/>
          <w:szCs w:val="24"/>
        </w:rPr>
        <w:t>. Porém, para o subgrupo amostral das empresas em fase de declínio a hipótese nula não foi rejeitada, indicando a estimação por efeitos aleatórios como a mais adequada.</w:t>
      </w:r>
    </w:p>
    <w:p w:rsidR="00747360" w:rsidRDefault="00747360" w:rsidP="00747360">
      <w:pPr>
        <w:widowControl w:val="0"/>
        <w:ind w:firstLine="709"/>
        <w:jc w:val="both"/>
        <w:rPr>
          <w:sz w:val="24"/>
          <w:szCs w:val="24"/>
        </w:rPr>
      </w:pPr>
    </w:p>
    <w:p w:rsidR="00747360" w:rsidRPr="00C04F45" w:rsidRDefault="00747360" w:rsidP="00747360">
      <w:pPr>
        <w:widowControl w:val="0"/>
        <w:jc w:val="both"/>
        <w:rPr>
          <w:b/>
          <w:sz w:val="24"/>
          <w:szCs w:val="24"/>
        </w:rPr>
      </w:pPr>
      <w:r>
        <w:rPr>
          <w:b/>
          <w:sz w:val="24"/>
          <w:szCs w:val="24"/>
        </w:rPr>
        <w:t>4 Apresentação e análise dos resultados</w:t>
      </w:r>
    </w:p>
    <w:p w:rsidR="00747360" w:rsidRPr="00747360" w:rsidRDefault="00747360" w:rsidP="00747360">
      <w:pPr>
        <w:widowControl w:val="0"/>
        <w:ind w:firstLine="709"/>
        <w:jc w:val="both"/>
        <w:rPr>
          <w:sz w:val="24"/>
          <w:szCs w:val="24"/>
        </w:rPr>
      </w:pPr>
      <w:r w:rsidRPr="00747360">
        <w:rPr>
          <w:sz w:val="24"/>
          <w:szCs w:val="24"/>
        </w:rPr>
        <w:t xml:space="preserve">A estatística descritiva das variáveis dependente e independentes, para a amostra geral </w:t>
      </w:r>
      <w:r w:rsidRPr="00747360">
        <w:rPr>
          <w:sz w:val="24"/>
          <w:szCs w:val="24"/>
        </w:rPr>
        <w:lastRenderedPageBreak/>
        <w:t>e por fase do ciclo de vida está apresentada na Tabela 3. A amostra geral apresentou endividamento médio de 57,35%, sendo observados os maiores níveis de dívida nas fases de crescimento (59,60%) e introdução (62,89%). A rentabilidade média das empresas é de 6,34%, mas apresenta diferenças relevantes ao longo do ciclo de vida. Nas empresas em fase de maturidade está a maior rentabilidade, 9,25%, seguida pelas que estão na fase de crescimento (6,41%), na fase de introdução a rentabilidade é próxima a zero, mas ainda positiva, e na fase de declínio a rentabilidade média chega a -2,41%. A tangibilidade média dos ativos fica pouco acima de 50% para as empresas da amostra e gira em torno desse valor para todas as fases, apresentando menor valor na fase de reestruturação, quando chega a 44,82%. O tamanho médio das empresas é de 21,5402 (ativo total de aproximadamente R$ 2,28 bilhões), as maiores empresas estão nas fases de crescimento (ativo total de aproximadamente R$ 3,3 bilhões) e maturidade (ativo total de aproximadamente R$ 2,76 bilhões). A idade média das empresas é de aproximadamente 8 anos, sendo as mais antigas aquelas que estão na fase de maturidade. O índice médio das oportunidades de crescimento é de 2,6791, com valores maiores nas fases de introdução (2,9832), crescimento (2,6931) e maturidade (2,8704), e menores nas fases de reestruturação (1,7981) e declínio (1,5107).</w:t>
      </w:r>
    </w:p>
    <w:p w:rsidR="00C75EBF" w:rsidRDefault="00747360" w:rsidP="00747360">
      <w:pPr>
        <w:widowControl w:val="0"/>
        <w:ind w:firstLine="709"/>
        <w:jc w:val="both"/>
        <w:rPr>
          <w:sz w:val="24"/>
          <w:szCs w:val="24"/>
        </w:rPr>
      </w:pPr>
      <w:r w:rsidRPr="00747360">
        <w:rPr>
          <w:sz w:val="24"/>
          <w:szCs w:val="24"/>
        </w:rPr>
        <w:t>De maneira geral pode-se observar diferenças relevantes no endividamento das empresas ao longo das fases do ciclo de vida organizacional. A fim de identificar se essa diferença é estatisticamente significante entre os subgrupos amostrais e a amostra geral pro</w:t>
      </w:r>
      <w:r>
        <w:rPr>
          <w:sz w:val="24"/>
          <w:szCs w:val="24"/>
        </w:rPr>
        <w:t xml:space="preserve">cedeu-se um teste t de </w:t>
      </w:r>
      <w:r w:rsidRPr="009A797B">
        <w:rPr>
          <w:i/>
          <w:sz w:val="24"/>
          <w:szCs w:val="24"/>
        </w:rPr>
        <w:t>Student</w:t>
      </w:r>
      <w:r>
        <w:rPr>
          <w:sz w:val="24"/>
          <w:szCs w:val="24"/>
        </w:rPr>
        <w:t xml:space="preserve"> </w:t>
      </w:r>
      <w:r w:rsidRPr="00747360">
        <w:rPr>
          <w:sz w:val="24"/>
          <w:szCs w:val="24"/>
        </w:rPr>
        <w:t>para a variável representativa do endividamento. As probabilidades associadas ao teste apresentaram p-valor &lt; 0,05 para os subgrupos das empresas em fase de introdução, crescimento e reestruturação, indicando a rejeição da hipótese nula ao nível de confiança de 95%, permitindo concluir que as médias dos subgrupos amostrais das empresas destas fases do ciclo de vida organizacional são estatisticamente diferentes da média amostral da amostra geral. Situação contrária foi observada para os subgrupos das empresas em fase de maturidade e declínio, indicando que a média amostral destes subgrupos é estatisticamente igual à média amostral da amostra geral.</w:t>
      </w:r>
    </w:p>
    <w:p w:rsidR="00FF5B59" w:rsidRDefault="00FF5B59" w:rsidP="00747360">
      <w:pPr>
        <w:widowControl w:val="0"/>
        <w:ind w:firstLine="709"/>
        <w:jc w:val="both"/>
        <w:rPr>
          <w:sz w:val="24"/>
          <w:szCs w:val="24"/>
        </w:rPr>
      </w:pPr>
    </w:p>
    <w:p w:rsidR="00747360" w:rsidRPr="00747360" w:rsidRDefault="00747360" w:rsidP="00747360">
      <w:pPr>
        <w:pStyle w:val="Legenda"/>
        <w:keepNext/>
        <w:spacing w:after="0"/>
        <w:rPr>
          <w:color w:val="auto"/>
          <w:sz w:val="20"/>
          <w:szCs w:val="20"/>
        </w:rPr>
      </w:pPr>
      <w:bookmarkStart w:id="2" w:name="_Hlk512862289"/>
      <w:r w:rsidRPr="00747360">
        <w:rPr>
          <w:color w:val="auto"/>
          <w:sz w:val="20"/>
          <w:szCs w:val="20"/>
        </w:rPr>
        <w:t xml:space="preserve">Tabela </w:t>
      </w:r>
      <w:r w:rsidR="00302248" w:rsidRPr="00747360">
        <w:rPr>
          <w:color w:val="auto"/>
          <w:sz w:val="20"/>
          <w:szCs w:val="20"/>
        </w:rPr>
        <w:fldChar w:fldCharType="begin"/>
      </w:r>
      <w:r w:rsidRPr="00747360">
        <w:rPr>
          <w:color w:val="auto"/>
          <w:sz w:val="20"/>
          <w:szCs w:val="20"/>
        </w:rPr>
        <w:instrText xml:space="preserve"> SEQ Tabela \* ARABIC </w:instrText>
      </w:r>
      <w:r w:rsidR="00302248" w:rsidRPr="00747360">
        <w:rPr>
          <w:color w:val="auto"/>
          <w:sz w:val="20"/>
          <w:szCs w:val="20"/>
        </w:rPr>
        <w:fldChar w:fldCharType="separate"/>
      </w:r>
      <w:r w:rsidR="00F63374">
        <w:rPr>
          <w:noProof/>
          <w:color w:val="auto"/>
          <w:sz w:val="20"/>
          <w:szCs w:val="20"/>
        </w:rPr>
        <w:t>3</w:t>
      </w:r>
      <w:r w:rsidR="00302248" w:rsidRPr="00747360">
        <w:rPr>
          <w:color w:val="auto"/>
          <w:sz w:val="20"/>
          <w:szCs w:val="20"/>
        </w:rPr>
        <w:fldChar w:fldCharType="end"/>
      </w:r>
      <w:r w:rsidRPr="00747360">
        <w:rPr>
          <w:color w:val="auto"/>
          <w:sz w:val="20"/>
          <w:szCs w:val="20"/>
        </w:rPr>
        <w:t xml:space="preserve"> </w:t>
      </w:r>
      <w:r w:rsidRPr="00747360">
        <w:rPr>
          <w:b w:val="0"/>
          <w:i/>
          <w:color w:val="auto"/>
          <w:sz w:val="20"/>
          <w:szCs w:val="20"/>
        </w:rPr>
        <w:t>Estatísticas Descritivas</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8"/>
        <w:gridCol w:w="1063"/>
        <w:gridCol w:w="889"/>
        <w:gridCol w:w="1142"/>
        <w:gridCol w:w="1142"/>
        <w:gridCol w:w="1142"/>
        <w:gridCol w:w="1142"/>
        <w:gridCol w:w="1143"/>
      </w:tblGrid>
      <w:tr w:rsidR="00747360" w:rsidRPr="00CE5BD0" w:rsidTr="000E695D">
        <w:trPr>
          <w:cantSplit/>
          <w:trHeight w:val="227"/>
          <w:tblHeader/>
          <w:jc w:val="center"/>
        </w:trPr>
        <w:tc>
          <w:tcPr>
            <w:tcW w:w="872" w:type="pct"/>
            <w:tcBorders>
              <w:top w:val="single" w:sz="8" w:space="0" w:color="auto"/>
              <w:bottom w:val="single" w:sz="8" w:space="0" w:color="auto"/>
            </w:tcBorders>
            <w:vAlign w:val="center"/>
          </w:tcPr>
          <w:bookmarkEnd w:id="2"/>
          <w:p w:rsidR="00747360" w:rsidRPr="00747360" w:rsidRDefault="00747360" w:rsidP="00747360">
            <w:pPr>
              <w:pStyle w:val="ArtigoNormal"/>
              <w:ind w:firstLine="0"/>
              <w:jc w:val="center"/>
              <w:rPr>
                <w:rFonts w:cs="Times New Roman"/>
                <w:b/>
                <w:sz w:val="20"/>
                <w:szCs w:val="20"/>
                <w:lang w:val="pt-BR"/>
              </w:rPr>
            </w:pPr>
            <w:r w:rsidRPr="00747360">
              <w:rPr>
                <w:rFonts w:cs="Times New Roman"/>
                <w:b/>
                <w:sz w:val="20"/>
                <w:szCs w:val="20"/>
                <w:lang w:val="pt-BR"/>
              </w:rPr>
              <w:t>Fase do Ciclo de Vida</w:t>
            </w:r>
          </w:p>
        </w:tc>
        <w:tc>
          <w:tcPr>
            <w:tcW w:w="573"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Variável</w:t>
            </w:r>
          </w:p>
        </w:tc>
        <w:tc>
          <w:tcPr>
            <w:tcW w:w="479"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Nº de Obs.</w:t>
            </w:r>
          </w:p>
        </w:tc>
        <w:tc>
          <w:tcPr>
            <w:tcW w:w="615"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Mediana</w:t>
            </w:r>
          </w:p>
        </w:tc>
        <w:tc>
          <w:tcPr>
            <w:tcW w:w="615"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Média</w:t>
            </w:r>
          </w:p>
        </w:tc>
        <w:tc>
          <w:tcPr>
            <w:tcW w:w="615"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Desvio Padrão</w:t>
            </w:r>
          </w:p>
        </w:tc>
        <w:tc>
          <w:tcPr>
            <w:tcW w:w="615"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Mínimo</w:t>
            </w:r>
          </w:p>
        </w:tc>
        <w:tc>
          <w:tcPr>
            <w:tcW w:w="616" w:type="pct"/>
            <w:tcBorders>
              <w:top w:val="single" w:sz="8" w:space="0" w:color="auto"/>
              <w:bottom w:val="single" w:sz="8" w:space="0" w:color="auto"/>
            </w:tcBorders>
            <w:vAlign w:val="center"/>
          </w:tcPr>
          <w:p w:rsidR="00747360" w:rsidRPr="00CE5BD0" w:rsidRDefault="00747360" w:rsidP="00747360">
            <w:pPr>
              <w:pStyle w:val="ArtigoNormal"/>
              <w:ind w:firstLine="0"/>
              <w:jc w:val="center"/>
              <w:rPr>
                <w:rFonts w:cs="Times New Roman"/>
                <w:b/>
                <w:sz w:val="20"/>
                <w:szCs w:val="20"/>
              </w:rPr>
            </w:pPr>
            <w:r w:rsidRPr="00CE5BD0">
              <w:rPr>
                <w:rFonts w:cs="Times New Roman"/>
                <w:b/>
                <w:sz w:val="20"/>
                <w:szCs w:val="20"/>
              </w:rPr>
              <w:t>Máximo</w:t>
            </w:r>
          </w:p>
        </w:tc>
      </w:tr>
      <w:tr w:rsidR="00682FA6" w:rsidRPr="00CE5BD0" w:rsidTr="000E695D">
        <w:trPr>
          <w:cantSplit/>
          <w:trHeight w:val="227"/>
          <w:tblHeader/>
          <w:jc w:val="center"/>
        </w:trPr>
        <w:tc>
          <w:tcPr>
            <w:tcW w:w="872" w:type="pct"/>
            <w:vMerge w:val="restart"/>
            <w:tcBorders>
              <w:top w:val="single" w:sz="8" w:space="0" w:color="auto"/>
            </w:tcBorders>
            <w:vAlign w:val="center"/>
          </w:tcPr>
          <w:p w:rsidR="00682FA6" w:rsidRPr="00CE5BD0" w:rsidRDefault="00682FA6" w:rsidP="00747360">
            <w:pPr>
              <w:pStyle w:val="ArtigoNormal"/>
              <w:ind w:firstLine="0"/>
              <w:jc w:val="left"/>
              <w:rPr>
                <w:rFonts w:cs="Times New Roman"/>
                <w:i/>
                <w:sz w:val="20"/>
                <w:szCs w:val="20"/>
              </w:rPr>
            </w:pPr>
            <w:r>
              <w:rPr>
                <w:rFonts w:cs="Times New Roman"/>
                <w:i/>
                <w:sz w:val="20"/>
                <w:szCs w:val="20"/>
              </w:rPr>
              <w:t>Geral</w:t>
            </w:r>
          </w:p>
        </w:tc>
        <w:tc>
          <w:tcPr>
            <w:tcW w:w="573" w:type="pct"/>
            <w:tcBorders>
              <w:top w:val="single" w:sz="8"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8"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8"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0, 5833</w:t>
            </w:r>
          </w:p>
        </w:tc>
        <w:tc>
          <w:tcPr>
            <w:tcW w:w="615" w:type="pct"/>
            <w:tcBorders>
              <w:top w:val="single" w:sz="8"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0, 5735</w:t>
            </w:r>
          </w:p>
        </w:tc>
        <w:tc>
          <w:tcPr>
            <w:tcW w:w="615" w:type="pct"/>
            <w:tcBorders>
              <w:top w:val="single" w:sz="8"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0, 2072</w:t>
            </w:r>
          </w:p>
        </w:tc>
        <w:tc>
          <w:tcPr>
            <w:tcW w:w="615" w:type="pct"/>
            <w:tcBorders>
              <w:top w:val="single" w:sz="8"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0, 0131</w:t>
            </w:r>
          </w:p>
        </w:tc>
        <w:tc>
          <w:tcPr>
            <w:tcW w:w="616" w:type="pct"/>
            <w:tcBorders>
              <w:top w:val="single" w:sz="8"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0,9990</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0, 0594</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0, 0634</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0, 0927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-0,7408</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0, 7086</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0, 4971</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0, 5044</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0, 2355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0, 0029</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0, 9931</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8"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8"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8"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21,5954</w:t>
            </w:r>
          </w:p>
        </w:tc>
        <w:tc>
          <w:tcPr>
            <w:tcW w:w="615" w:type="pct"/>
            <w:tcBorders>
              <w:top w:val="single" w:sz="2" w:space="0" w:color="auto"/>
              <w:bottom w:val="single" w:sz="8"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21,5402</w:t>
            </w:r>
          </w:p>
        </w:tc>
        <w:tc>
          <w:tcPr>
            <w:tcW w:w="615" w:type="pct"/>
            <w:tcBorders>
              <w:top w:val="single" w:sz="2" w:space="0" w:color="auto"/>
              <w:bottom w:val="single" w:sz="8"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1,8160</w:t>
            </w:r>
          </w:p>
        </w:tc>
        <w:tc>
          <w:tcPr>
            <w:tcW w:w="615" w:type="pct"/>
            <w:tcBorders>
              <w:top w:val="single" w:sz="2" w:space="0" w:color="auto"/>
              <w:bottom w:val="single" w:sz="8"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14,9456</w:t>
            </w:r>
          </w:p>
        </w:tc>
        <w:tc>
          <w:tcPr>
            <w:tcW w:w="616" w:type="pct"/>
            <w:tcBorders>
              <w:top w:val="single" w:sz="2" w:space="0" w:color="auto"/>
              <w:bottom w:val="single" w:sz="8"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27,5258</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2,2105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2,1289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0,9877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-3,1919</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7,0440</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4"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4"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1,319</w:t>
            </w:r>
          </w:p>
        </w:tc>
        <w:tc>
          <w:tcPr>
            <w:tcW w:w="615" w:type="pct"/>
            <w:tcBorders>
              <w:top w:val="single" w:sz="2" w:space="0" w:color="auto"/>
              <w:bottom w:val="single" w:sz="4"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2,6791</w:t>
            </w:r>
          </w:p>
        </w:tc>
        <w:tc>
          <w:tcPr>
            <w:tcW w:w="615" w:type="pct"/>
            <w:tcBorders>
              <w:top w:val="single" w:sz="2" w:space="0" w:color="auto"/>
              <w:bottom w:val="single" w:sz="4"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6,9151</w:t>
            </w:r>
          </w:p>
        </w:tc>
        <w:tc>
          <w:tcPr>
            <w:tcW w:w="615" w:type="pct"/>
            <w:tcBorders>
              <w:top w:val="single" w:sz="2" w:space="0" w:color="auto"/>
              <w:bottom w:val="single" w:sz="4"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0,0075</w:t>
            </w:r>
          </w:p>
        </w:tc>
        <w:tc>
          <w:tcPr>
            <w:tcW w:w="616" w:type="pct"/>
            <w:tcBorders>
              <w:top w:val="single" w:sz="2" w:space="0" w:color="auto"/>
              <w:bottom w:val="single" w:sz="4"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129,2524</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4" w:space="0" w:color="auto"/>
              <w:bottom w:val="single" w:sz="2" w:space="0" w:color="auto"/>
            </w:tcBorders>
            <w:vAlign w:val="center"/>
          </w:tcPr>
          <w:p w:rsidR="00682FA6" w:rsidRPr="00CE5BD0" w:rsidRDefault="00682FA6" w:rsidP="00835696">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4" w:space="0" w:color="auto"/>
              <w:bottom w:val="single" w:sz="2" w:space="0" w:color="auto"/>
            </w:tcBorders>
            <w:vAlign w:val="center"/>
          </w:tcPr>
          <w:p w:rsidR="00682FA6" w:rsidRPr="00CE5BD0" w:rsidRDefault="00682FA6" w:rsidP="00835696">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4" w:space="0" w:color="auto"/>
              <w:bottom w:val="single" w:sz="2" w:space="0" w:color="auto"/>
            </w:tcBorders>
            <w:vAlign w:val="center"/>
          </w:tcPr>
          <w:p w:rsidR="00682FA6" w:rsidRPr="00CE5BD0" w:rsidRDefault="00682FA6" w:rsidP="00835696">
            <w:pPr>
              <w:pStyle w:val="ArtigoNormal"/>
              <w:ind w:firstLine="0"/>
              <w:jc w:val="right"/>
              <w:rPr>
                <w:rFonts w:cs="Times New Roman"/>
                <w:sz w:val="20"/>
                <w:szCs w:val="20"/>
              </w:rPr>
            </w:pPr>
            <w:r w:rsidRPr="00CE5BD0">
              <w:rPr>
                <w:rFonts w:cs="Times New Roman"/>
                <w:sz w:val="20"/>
                <w:szCs w:val="20"/>
              </w:rPr>
              <w:t>1,5631</w:t>
            </w:r>
          </w:p>
        </w:tc>
        <w:tc>
          <w:tcPr>
            <w:tcW w:w="615" w:type="pct"/>
            <w:tcBorders>
              <w:top w:val="single" w:sz="4" w:space="0" w:color="auto"/>
              <w:bottom w:val="single" w:sz="2" w:space="0" w:color="auto"/>
            </w:tcBorders>
            <w:vAlign w:val="center"/>
          </w:tcPr>
          <w:p w:rsidR="00682FA6" w:rsidRPr="00CE5BD0" w:rsidRDefault="00682FA6" w:rsidP="00835696">
            <w:pPr>
              <w:pStyle w:val="ArtigoNormal"/>
              <w:ind w:firstLine="0"/>
              <w:jc w:val="right"/>
              <w:rPr>
                <w:rFonts w:cs="Times New Roman"/>
                <w:sz w:val="20"/>
                <w:szCs w:val="20"/>
              </w:rPr>
            </w:pPr>
            <w:r w:rsidRPr="00CE5BD0">
              <w:rPr>
                <w:rFonts w:cs="Times New Roman"/>
                <w:sz w:val="20"/>
                <w:szCs w:val="20"/>
              </w:rPr>
              <w:t>2,1550</w:t>
            </w:r>
          </w:p>
        </w:tc>
        <w:tc>
          <w:tcPr>
            <w:tcW w:w="615" w:type="pct"/>
            <w:tcBorders>
              <w:top w:val="single" w:sz="4" w:space="0" w:color="auto"/>
              <w:bottom w:val="single" w:sz="2" w:space="0" w:color="auto"/>
            </w:tcBorders>
            <w:vAlign w:val="center"/>
          </w:tcPr>
          <w:p w:rsidR="00682FA6" w:rsidRPr="00CE5BD0" w:rsidRDefault="00682FA6" w:rsidP="00835696">
            <w:pPr>
              <w:pStyle w:val="ArtigoNormal"/>
              <w:ind w:firstLine="0"/>
              <w:jc w:val="right"/>
              <w:rPr>
                <w:rFonts w:cs="Times New Roman"/>
                <w:sz w:val="20"/>
                <w:szCs w:val="20"/>
              </w:rPr>
            </w:pPr>
            <w:r w:rsidRPr="00CE5BD0">
              <w:rPr>
                <w:rFonts w:cs="Times New Roman"/>
                <w:sz w:val="20"/>
                <w:szCs w:val="20"/>
              </w:rPr>
              <w:t>3,1259</w:t>
            </w:r>
          </w:p>
        </w:tc>
        <w:tc>
          <w:tcPr>
            <w:tcW w:w="615" w:type="pct"/>
            <w:tcBorders>
              <w:top w:val="single" w:sz="4" w:space="0" w:color="auto"/>
              <w:bottom w:val="single" w:sz="2" w:space="0" w:color="auto"/>
            </w:tcBorders>
            <w:vAlign w:val="center"/>
          </w:tcPr>
          <w:p w:rsidR="00682FA6" w:rsidRPr="00CE5BD0" w:rsidRDefault="00682FA6" w:rsidP="00835696">
            <w:pPr>
              <w:pStyle w:val="ArtigoNormal"/>
              <w:ind w:firstLine="0"/>
              <w:jc w:val="right"/>
              <w:rPr>
                <w:rFonts w:cs="Times New Roman"/>
                <w:sz w:val="20"/>
                <w:szCs w:val="20"/>
              </w:rPr>
            </w:pPr>
            <w:r w:rsidRPr="00CE5BD0">
              <w:rPr>
                <w:rFonts w:cs="Times New Roman"/>
                <w:sz w:val="20"/>
                <w:szCs w:val="20"/>
              </w:rPr>
              <w:t>0,0127</w:t>
            </w:r>
          </w:p>
        </w:tc>
        <w:tc>
          <w:tcPr>
            <w:tcW w:w="616" w:type="pct"/>
            <w:tcBorders>
              <w:top w:val="single" w:sz="4" w:space="0" w:color="auto"/>
              <w:bottom w:val="single" w:sz="2" w:space="0" w:color="auto"/>
            </w:tcBorders>
            <w:vAlign w:val="center"/>
          </w:tcPr>
          <w:p w:rsidR="00682FA6" w:rsidRPr="00CE5BD0" w:rsidRDefault="00682FA6" w:rsidP="00835696">
            <w:pPr>
              <w:pStyle w:val="ArtigoNormal"/>
              <w:ind w:firstLine="0"/>
              <w:jc w:val="right"/>
              <w:rPr>
                <w:rFonts w:cs="Times New Roman"/>
                <w:sz w:val="20"/>
                <w:szCs w:val="20"/>
              </w:rPr>
            </w:pPr>
            <w:r w:rsidRPr="00CE5BD0">
              <w:rPr>
                <w:rFonts w:cs="Times New Roman"/>
                <w:sz w:val="20"/>
                <w:szCs w:val="20"/>
              </w:rPr>
              <w:t>69,5026</w:t>
            </w:r>
          </w:p>
        </w:tc>
      </w:tr>
      <w:tr w:rsidR="00682FA6" w:rsidRPr="00CE5BD0" w:rsidTr="000E695D">
        <w:trPr>
          <w:cantSplit/>
          <w:trHeight w:val="227"/>
          <w:tblHeader/>
          <w:jc w:val="center"/>
        </w:trPr>
        <w:tc>
          <w:tcPr>
            <w:tcW w:w="872" w:type="pct"/>
            <w:vMerge/>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0,0000</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0,0052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0,0113</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0,0000</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0,0969</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1675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0,1536</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0,1942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1,9713</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-41,6132</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49,0141</w:t>
            </w:r>
          </w:p>
        </w:tc>
      </w:tr>
      <w:tr w:rsidR="00682FA6" w:rsidRPr="00CE5BD0" w:rsidTr="00682FA6">
        <w:trPr>
          <w:cantSplit/>
          <w:trHeight w:val="227"/>
          <w:tblHeader/>
          <w:jc w:val="center"/>
        </w:trPr>
        <w:tc>
          <w:tcPr>
            <w:tcW w:w="872" w:type="pct"/>
            <w:vMerge w:val="restart"/>
            <w:tcBorders>
              <w:top w:val="single" w:sz="4" w:space="0" w:color="auto"/>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Introdução</w:t>
            </w: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0,6607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0,6289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0,2059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0,0131</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0,9960</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0,0208</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0,0018</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0,1025</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-0,7408</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0,4096</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0,4249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0,4587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0,2397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0,0328</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0,9931</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21,0623</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20,8484</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1,7157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16,5465</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24,5347</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2,0481</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1,9300</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0,9740</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-1,6952</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4,3445</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1,3992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2,9832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9,4241</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0,0456</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117,7435</w:t>
            </w:r>
          </w:p>
        </w:tc>
      </w:tr>
      <w:tr w:rsidR="00682FA6" w:rsidRPr="00CE5BD0" w:rsidTr="00682FA6">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1,5288</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2,2580</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5,1719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0,0406</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69,5026</w:t>
            </w:r>
          </w:p>
        </w:tc>
      </w:tr>
      <w:tr w:rsidR="00682FA6" w:rsidRPr="00CE5BD0" w:rsidTr="00682FA6">
        <w:trPr>
          <w:cantSplit/>
          <w:trHeight w:val="227"/>
          <w:tblHeader/>
          <w:jc w:val="center"/>
        </w:trPr>
        <w:tc>
          <w:tcPr>
            <w:tcW w:w="5000" w:type="pct"/>
            <w:gridSpan w:val="8"/>
            <w:vAlign w:val="center"/>
          </w:tcPr>
          <w:p w:rsidR="00682FA6" w:rsidRPr="00682FA6" w:rsidRDefault="00682FA6" w:rsidP="00682FA6">
            <w:pPr>
              <w:pStyle w:val="ArtigoNormal"/>
              <w:ind w:firstLine="0"/>
              <w:jc w:val="left"/>
              <w:rPr>
                <w:rFonts w:cs="Times New Roman"/>
                <w:i/>
                <w:sz w:val="20"/>
                <w:szCs w:val="20"/>
              </w:rPr>
            </w:pPr>
            <w:r w:rsidRPr="00682FA6">
              <w:rPr>
                <w:rFonts w:cs="Times New Roman"/>
                <w:i/>
                <w:sz w:val="20"/>
                <w:szCs w:val="20"/>
              </w:rPr>
              <w:t>Continua</w:t>
            </w:r>
          </w:p>
        </w:tc>
      </w:tr>
      <w:tr w:rsidR="00682FA6" w:rsidRPr="00CE5BD0" w:rsidTr="00682FA6">
        <w:trPr>
          <w:cantSplit/>
          <w:trHeight w:val="227"/>
          <w:tblHeader/>
          <w:jc w:val="center"/>
        </w:trPr>
        <w:tc>
          <w:tcPr>
            <w:tcW w:w="872" w:type="pct"/>
            <w:tcBorders>
              <w:bottom w:val="single" w:sz="4" w:space="0" w:color="auto"/>
            </w:tcBorders>
            <w:vAlign w:val="center"/>
          </w:tcPr>
          <w:p w:rsidR="00682FA6" w:rsidRPr="00CE5BD0" w:rsidRDefault="00682FA6" w:rsidP="00682FA6">
            <w:pPr>
              <w:pStyle w:val="ArtigoNormal"/>
              <w:ind w:firstLine="0"/>
              <w:jc w:val="left"/>
              <w:rPr>
                <w:rFonts w:cs="Times New Roman"/>
                <w:i/>
                <w:sz w:val="20"/>
                <w:szCs w:val="20"/>
              </w:rPr>
            </w:pPr>
            <w:r>
              <w:rPr>
                <w:rFonts w:cs="Times New Roman"/>
                <w:i/>
                <w:sz w:val="20"/>
                <w:szCs w:val="20"/>
              </w:rPr>
              <w:lastRenderedPageBreak/>
              <w:t>Continuação</w:t>
            </w:r>
          </w:p>
        </w:tc>
        <w:tc>
          <w:tcPr>
            <w:tcW w:w="573" w:type="pct"/>
            <w:tcBorders>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479" w:type="pct"/>
            <w:tcBorders>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p>
        </w:tc>
        <w:tc>
          <w:tcPr>
            <w:tcW w:w="615" w:type="pct"/>
            <w:tcBorders>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p>
        </w:tc>
        <w:tc>
          <w:tcPr>
            <w:tcW w:w="615" w:type="pct"/>
            <w:tcBorders>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p>
        </w:tc>
        <w:tc>
          <w:tcPr>
            <w:tcW w:w="615" w:type="pct"/>
            <w:tcBorders>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p>
        </w:tc>
        <w:tc>
          <w:tcPr>
            <w:tcW w:w="615" w:type="pct"/>
            <w:tcBorders>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p>
        </w:tc>
        <w:tc>
          <w:tcPr>
            <w:tcW w:w="616" w:type="pct"/>
            <w:tcBorders>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p>
        </w:tc>
      </w:tr>
      <w:tr w:rsidR="00682FA6" w:rsidRPr="00CE5BD0" w:rsidTr="00682FA6">
        <w:trPr>
          <w:cantSplit/>
          <w:trHeight w:val="227"/>
          <w:tblHeader/>
          <w:jc w:val="center"/>
        </w:trPr>
        <w:tc>
          <w:tcPr>
            <w:tcW w:w="872" w:type="pct"/>
            <w:tcBorders>
              <w:top w:val="single" w:sz="4" w:space="0" w:color="auto"/>
              <w:bottom w:val="single" w:sz="4" w:space="0" w:color="auto"/>
            </w:tcBorders>
            <w:vAlign w:val="center"/>
          </w:tcPr>
          <w:p w:rsidR="00682FA6" w:rsidRPr="00747360" w:rsidRDefault="00682FA6" w:rsidP="004E3B0D">
            <w:pPr>
              <w:pStyle w:val="ArtigoNormal"/>
              <w:ind w:firstLine="0"/>
              <w:jc w:val="center"/>
              <w:rPr>
                <w:rFonts w:cs="Times New Roman"/>
                <w:b/>
                <w:sz w:val="20"/>
                <w:szCs w:val="20"/>
                <w:lang w:val="pt-BR"/>
              </w:rPr>
            </w:pPr>
            <w:r w:rsidRPr="00747360">
              <w:rPr>
                <w:rFonts w:cs="Times New Roman"/>
                <w:b/>
                <w:sz w:val="20"/>
                <w:szCs w:val="20"/>
                <w:lang w:val="pt-BR"/>
              </w:rPr>
              <w:t>Fase do Ciclo de Vida</w:t>
            </w:r>
          </w:p>
        </w:tc>
        <w:tc>
          <w:tcPr>
            <w:tcW w:w="573"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Variável</w:t>
            </w:r>
          </w:p>
        </w:tc>
        <w:tc>
          <w:tcPr>
            <w:tcW w:w="479"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Nº de Obs.</w:t>
            </w:r>
          </w:p>
        </w:tc>
        <w:tc>
          <w:tcPr>
            <w:tcW w:w="615"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Mediana</w:t>
            </w:r>
          </w:p>
        </w:tc>
        <w:tc>
          <w:tcPr>
            <w:tcW w:w="615"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Média</w:t>
            </w:r>
          </w:p>
        </w:tc>
        <w:tc>
          <w:tcPr>
            <w:tcW w:w="615"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Desvio Padrão</w:t>
            </w:r>
          </w:p>
        </w:tc>
        <w:tc>
          <w:tcPr>
            <w:tcW w:w="615"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Mínimo</w:t>
            </w:r>
          </w:p>
        </w:tc>
        <w:tc>
          <w:tcPr>
            <w:tcW w:w="616" w:type="pct"/>
            <w:tcBorders>
              <w:top w:val="single" w:sz="2" w:space="0" w:color="auto"/>
              <w:bottom w:val="single" w:sz="2" w:space="0" w:color="auto"/>
            </w:tcBorders>
            <w:vAlign w:val="center"/>
          </w:tcPr>
          <w:p w:rsidR="00682FA6" w:rsidRPr="00CE5BD0" w:rsidRDefault="00682FA6" w:rsidP="004E3B0D">
            <w:pPr>
              <w:pStyle w:val="ArtigoNormal"/>
              <w:ind w:firstLine="0"/>
              <w:jc w:val="center"/>
              <w:rPr>
                <w:rFonts w:cs="Times New Roman"/>
                <w:b/>
                <w:sz w:val="20"/>
                <w:szCs w:val="20"/>
              </w:rPr>
            </w:pPr>
            <w:r w:rsidRPr="00CE5BD0">
              <w:rPr>
                <w:rFonts w:cs="Times New Roman"/>
                <w:b/>
                <w:sz w:val="20"/>
                <w:szCs w:val="20"/>
              </w:rPr>
              <w:t>Máximo</w:t>
            </w:r>
          </w:p>
        </w:tc>
      </w:tr>
      <w:tr w:rsidR="00682FA6" w:rsidRPr="00CE5BD0" w:rsidTr="00682FA6">
        <w:trPr>
          <w:cantSplit/>
          <w:trHeight w:val="227"/>
          <w:tblHeader/>
          <w:jc w:val="center"/>
        </w:trPr>
        <w:tc>
          <w:tcPr>
            <w:tcW w:w="872" w:type="pct"/>
            <w:vMerge w:val="restart"/>
            <w:tcBorders>
              <w:top w:val="single" w:sz="4"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Introdução</w:t>
            </w:r>
            <w:r>
              <w:rPr>
                <w:rFonts w:cs="Times New Roman"/>
                <w:i/>
                <w:sz w:val="20"/>
                <w:szCs w:val="20"/>
              </w:rPr>
              <w:t xml:space="preserve"> (Continuação)</w:t>
            </w: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0,0000</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0,0041</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0,0092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0,0000</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0,0676</w:t>
            </w:r>
          </w:p>
        </w:tc>
      </w:tr>
      <w:tr w:rsidR="00682FA6" w:rsidRPr="00CE5BD0" w:rsidTr="000E695D">
        <w:trPr>
          <w:cantSplit/>
          <w:trHeight w:val="227"/>
          <w:tblHeader/>
          <w:jc w:val="center"/>
        </w:trPr>
        <w:tc>
          <w:tcPr>
            <w:tcW w:w="872" w:type="pct"/>
            <w:vMerge/>
            <w:tcBorders>
              <w:bottom w:val="single" w:sz="4" w:space="0" w:color="auto"/>
            </w:tcBorders>
            <w:vAlign w:val="center"/>
          </w:tcPr>
          <w:p w:rsidR="00682FA6" w:rsidRPr="00CE5BD0" w:rsidRDefault="00682FA6"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682FA6" w:rsidRPr="00CE5BD0" w:rsidRDefault="00682FA6"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2" w:space="0" w:color="auto"/>
            </w:tcBorders>
            <w:vAlign w:val="center"/>
          </w:tcPr>
          <w:p w:rsidR="00682FA6" w:rsidRPr="00CE5BD0" w:rsidRDefault="00682FA6" w:rsidP="00747360">
            <w:pPr>
              <w:pStyle w:val="ArtigoNormal"/>
              <w:ind w:firstLine="0"/>
              <w:jc w:val="center"/>
              <w:rPr>
                <w:rFonts w:cs="Times New Roman"/>
                <w:sz w:val="20"/>
                <w:szCs w:val="20"/>
              </w:rPr>
            </w:pPr>
            <w:r w:rsidRPr="00CE5BD0">
              <w:rPr>
                <w:rFonts w:cs="Times New Roman"/>
                <w:sz w:val="20"/>
                <w:szCs w:val="20"/>
              </w:rPr>
              <w:t>197</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0,0422</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-0,1594</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1,6629</w:t>
            </w:r>
          </w:p>
        </w:tc>
        <w:tc>
          <w:tcPr>
            <w:tcW w:w="615"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-19,7630</w:t>
            </w:r>
          </w:p>
        </w:tc>
        <w:tc>
          <w:tcPr>
            <w:tcW w:w="616" w:type="pct"/>
            <w:tcBorders>
              <w:top w:val="single" w:sz="2" w:space="0" w:color="auto"/>
              <w:bottom w:val="single" w:sz="2" w:space="0" w:color="auto"/>
            </w:tcBorders>
            <w:vAlign w:val="center"/>
          </w:tcPr>
          <w:p w:rsidR="00682FA6" w:rsidRPr="00CE5BD0" w:rsidRDefault="00682FA6" w:rsidP="00747360">
            <w:pPr>
              <w:pStyle w:val="ArtigoNormal"/>
              <w:ind w:firstLine="0"/>
              <w:jc w:val="right"/>
              <w:rPr>
                <w:rFonts w:cs="Times New Roman"/>
                <w:sz w:val="20"/>
                <w:szCs w:val="20"/>
              </w:rPr>
            </w:pPr>
            <w:r w:rsidRPr="00CE5BD0">
              <w:rPr>
                <w:rFonts w:cs="Times New Roman"/>
                <w:sz w:val="20"/>
                <w:szCs w:val="20"/>
              </w:rPr>
              <w:t>3,4205</w:t>
            </w:r>
          </w:p>
        </w:tc>
      </w:tr>
      <w:tr w:rsidR="00747360" w:rsidRPr="00CE5BD0" w:rsidTr="000E695D">
        <w:trPr>
          <w:cantSplit/>
          <w:trHeight w:val="227"/>
          <w:tblHeader/>
          <w:jc w:val="center"/>
        </w:trPr>
        <w:tc>
          <w:tcPr>
            <w:tcW w:w="872" w:type="pct"/>
            <w:vMerge w:val="restart"/>
            <w:tcBorders>
              <w:top w:val="single" w:sz="4"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Crescimento</w:t>
            </w: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0,6059</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0,5960</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0,1795</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0,0598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0,9990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0,6000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0,0641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0,0653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-0,3382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0,2841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0,5340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0,5260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0,2230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0,0078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0,9755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21,9481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21,9146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1,7887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16,5794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27,3996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2,2039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2,0984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1,0437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-3,1919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4,9519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1,2955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2,6931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7,5494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0,0261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129,2524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1,5917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1,9974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2,1178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0,2128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30,2183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0,0058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0,0120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0,0968 </w:t>
            </w:r>
          </w:p>
        </w:tc>
      </w:tr>
      <w:tr w:rsidR="00747360" w:rsidRPr="00CE5BD0" w:rsidTr="000E695D">
        <w:trPr>
          <w:cantSplit/>
          <w:trHeight w:val="227"/>
          <w:tblHeader/>
          <w:jc w:val="center"/>
        </w:trPr>
        <w:tc>
          <w:tcPr>
            <w:tcW w:w="872" w:type="pct"/>
            <w:vMerge/>
            <w:tcBorders>
              <w:bottom w:val="single" w:sz="4" w:space="0" w:color="auto"/>
            </w:tcBorders>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513</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0,1617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0,1473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1,9052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-41,6132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6,7317 </w:t>
            </w:r>
          </w:p>
        </w:tc>
      </w:tr>
      <w:tr w:rsidR="00747360" w:rsidRPr="00CE5BD0" w:rsidTr="000E695D">
        <w:trPr>
          <w:cantSplit/>
          <w:trHeight w:val="227"/>
          <w:tblHeader/>
          <w:jc w:val="center"/>
        </w:trPr>
        <w:tc>
          <w:tcPr>
            <w:tcW w:w="872" w:type="pct"/>
            <w:vMerge w:val="restart"/>
            <w:tcBorders>
              <w:top w:val="single" w:sz="4"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Maturidade</w:t>
            </w: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0,5660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0,5644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0,2063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0,0707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0,9976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0,0832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0,0925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0,0887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-0,2546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0,7086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0,4958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0,5051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0,2296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0,0105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0,9709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21,7671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21,7398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1,7406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16,5693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27,5258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2,2527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2,2096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0,9775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-1,9879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7,0440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1,4681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2,8704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6,4605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0,0075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99,2523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1,5234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1,9004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1,7205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0,0127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21,1783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0,0059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0,0123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0,0702 </w:t>
            </w:r>
          </w:p>
        </w:tc>
      </w:tr>
      <w:tr w:rsidR="00747360" w:rsidRPr="00CE5BD0" w:rsidTr="000E695D">
        <w:trPr>
          <w:cantSplit/>
          <w:trHeight w:val="227"/>
          <w:tblHeader/>
          <w:jc w:val="center"/>
        </w:trPr>
        <w:tc>
          <w:tcPr>
            <w:tcW w:w="872" w:type="pct"/>
            <w:vMerge/>
            <w:tcBorders>
              <w:bottom w:val="single" w:sz="4" w:space="0" w:color="auto"/>
            </w:tcBorders>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752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0,2145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0,4004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2,2066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-4,6880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49,0141 </w:t>
            </w:r>
          </w:p>
        </w:tc>
      </w:tr>
      <w:tr w:rsidR="00747360" w:rsidRPr="00CE5BD0" w:rsidTr="000E695D">
        <w:trPr>
          <w:cantSplit/>
          <w:trHeight w:val="227"/>
          <w:tblHeader/>
          <w:jc w:val="center"/>
        </w:trPr>
        <w:tc>
          <w:tcPr>
            <w:tcW w:w="872" w:type="pct"/>
            <w:vMerge w:val="restart"/>
            <w:tcBorders>
              <w:top w:val="single" w:sz="4"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Reestruturação</w:t>
            </w: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0,4595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0,4711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0,2295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0,0703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0,9380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0,0390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0,0404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0,0912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-0,2068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0,4729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0,4164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0,4482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0,2728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0,0039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0,9889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20,8306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20,7897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1,6958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15,9964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25,6509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2,1960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2,1312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0,9206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-2,8089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3,7503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0,9903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1,7981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3,3986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0,0660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28,1377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1,9669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3,6276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5,9798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0,0299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48,8731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0,0028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0,0060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0,0294 </w:t>
            </w:r>
          </w:p>
        </w:tc>
      </w:tr>
      <w:tr w:rsidR="00747360" w:rsidRPr="00CE5BD0" w:rsidTr="000E695D">
        <w:trPr>
          <w:cantSplit/>
          <w:trHeight w:val="227"/>
          <w:tblHeader/>
          <w:jc w:val="center"/>
        </w:trPr>
        <w:tc>
          <w:tcPr>
            <w:tcW w:w="872" w:type="pct"/>
            <w:vMerge/>
            <w:tcBorders>
              <w:bottom w:val="single" w:sz="4" w:space="0" w:color="auto"/>
            </w:tcBorders>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132</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0,0737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0,1083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0,3537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-1,4788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1,9478 </w:t>
            </w:r>
          </w:p>
        </w:tc>
      </w:tr>
      <w:tr w:rsidR="00747360" w:rsidRPr="00CE5BD0" w:rsidTr="000E695D">
        <w:trPr>
          <w:cantSplit/>
          <w:trHeight w:val="227"/>
          <w:tblHeader/>
          <w:jc w:val="center"/>
        </w:trPr>
        <w:tc>
          <w:tcPr>
            <w:tcW w:w="872" w:type="pct"/>
            <w:vMerge w:val="restart"/>
            <w:tcBorders>
              <w:top w:val="single" w:sz="4"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Declínio</w:t>
            </w: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0,5274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0,5484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0,2708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0,0266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0,9940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rent</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-0,0219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-0,0241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0,1155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-0,6511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0,2892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tang</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0,5884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0,5646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0,2602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0,0029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0,2892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tam</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20,4630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20,2210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1,7400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14,9456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25,3581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idade</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2,2156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2,0524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0,7672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0,1685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3,5776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opcresc</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0,7972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1,5107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2,0699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0,0483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11,3776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liq</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1,7393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2,8668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4,3585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0,0476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26,8462 </w:t>
            </w:r>
          </w:p>
        </w:tc>
      </w:tr>
      <w:tr w:rsidR="00747360" w:rsidRPr="00CE5BD0" w:rsidTr="000E695D">
        <w:trPr>
          <w:cantSplit/>
          <w:trHeight w:val="227"/>
          <w:tblHeader/>
          <w:jc w:val="center"/>
        </w:trPr>
        <w:tc>
          <w:tcPr>
            <w:tcW w:w="872" w:type="pct"/>
            <w:vMerge/>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2"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ecnd</w:t>
            </w:r>
          </w:p>
        </w:tc>
        <w:tc>
          <w:tcPr>
            <w:tcW w:w="479" w:type="pct"/>
            <w:tcBorders>
              <w:top w:val="single" w:sz="2" w:space="0" w:color="auto"/>
              <w:bottom w:val="single" w:sz="2"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0,0015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0,0036 </w:t>
            </w:r>
          </w:p>
        </w:tc>
        <w:tc>
          <w:tcPr>
            <w:tcW w:w="615" w:type="pct"/>
            <w:tcBorders>
              <w:top w:val="single" w:sz="2" w:space="0" w:color="auto"/>
              <w:bottom w:val="single" w:sz="2" w:space="0" w:color="auto"/>
            </w:tcBorders>
            <w:vAlign w:val="center"/>
          </w:tcPr>
          <w:p w:rsidR="00747360" w:rsidRPr="00CE5BD0" w:rsidRDefault="00747360" w:rsidP="00747360">
            <w:pPr>
              <w:jc w:val="right"/>
            </w:pPr>
            <w:r w:rsidRPr="00CE5BD0">
              <w:t xml:space="preserve">0,0000 </w:t>
            </w:r>
          </w:p>
        </w:tc>
        <w:tc>
          <w:tcPr>
            <w:tcW w:w="616" w:type="pct"/>
            <w:tcBorders>
              <w:top w:val="single" w:sz="2" w:space="0" w:color="auto"/>
              <w:bottom w:val="single" w:sz="2" w:space="0" w:color="auto"/>
            </w:tcBorders>
            <w:vAlign w:val="center"/>
          </w:tcPr>
          <w:p w:rsidR="00747360" w:rsidRPr="00CE5BD0" w:rsidRDefault="00747360" w:rsidP="00747360">
            <w:pPr>
              <w:jc w:val="right"/>
            </w:pPr>
            <w:r w:rsidRPr="00CE5BD0">
              <w:t xml:space="preserve">0,0216 </w:t>
            </w:r>
          </w:p>
        </w:tc>
      </w:tr>
      <w:tr w:rsidR="00747360" w:rsidRPr="00CE5BD0" w:rsidTr="000E695D">
        <w:trPr>
          <w:cantSplit/>
          <w:trHeight w:val="227"/>
          <w:tblHeader/>
          <w:jc w:val="center"/>
        </w:trPr>
        <w:tc>
          <w:tcPr>
            <w:tcW w:w="872" w:type="pct"/>
            <w:vMerge/>
            <w:tcBorders>
              <w:bottom w:val="single" w:sz="8" w:space="0" w:color="auto"/>
            </w:tcBorders>
            <w:vAlign w:val="center"/>
          </w:tcPr>
          <w:p w:rsidR="00747360" w:rsidRPr="00CE5BD0" w:rsidRDefault="00747360" w:rsidP="00747360">
            <w:pPr>
              <w:pStyle w:val="ArtigoNormal"/>
              <w:ind w:firstLine="0"/>
              <w:jc w:val="left"/>
              <w:rPr>
                <w:rFonts w:cs="Times New Roman"/>
                <w:i/>
                <w:sz w:val="20"/>
                <w:szCs w:val="20"/>
              </w:rPr>
            </w:pPr>
          </w:p>
        </w:tc>
        <w:tc>
          <w:tcPr>
            <w:tcW w:w="573" w:type="pct"/>
            <w:tcBorders>
              <w:top w:val="single" w:sz="2" w:space="0" w:color="auto"/>
              <w:bottom w:val="single" w:sz="8" w:space="0" w:color="auto"/>
            </w:tcBorders>
            <w:vAlign w:val="center"/>
          </w:tcPr>
          <w:p w:rsidR="00747360" w:rsidRPr="00CE5BD0" w:rsidRDefault="00747360" w:rsidP="00747360">
            <w:pPr>
              <w:pStyle w:val="ArtigoNormal"/>
              <w:ind w:firstLine="0"/>
              <w:jc w:val="left"/>
              <w:rPr>
                <w:rFonts w:cs="Times New Roman"/>
                <w:i/>
                <w:sz w:val="20"/>
                <w:szCs w:val="20"/>
              </w:rPr>
            </w:pPr>
            <w:r w:rsidRPr="00CE5BD0">
              <w:rPr>
                <w:rFonts w:cs="Times New Roman"/>
                <w:i/>
                <w:sz w:val="20"/>
                <w:szCs w:val="20"/>
              </w:rPr>
              <w:t>risco</w:t>
            </w:r>
          </w:p>
        </w:tc>
        <w:tc>
          <w:tcPr>
            <w:tcW w:w="479" w:type="pct"/>
            <w:tcBorders>
              <w:top w:val="single" w:sz="2" w:space="0" w:color="auto"/>
              <w:bottom w:val="single" w:sz="8" w:space="0" w:color="auto"/>
            </w:tcBorders>
            <w:vAlign w:val="center"/>
          </w:tcPr>
          <w:p w:rsidR="00747360" w:rsidRPr="00CE5BD0" w:rsidRDefault="00747360" w:rsidP="00747360">
            <w:pPr>
              <w:jc w:val="center"/>
            </w:pPr>
            <w:r w:rsidRPr="00CE5BD0">
              <w:t>81</w:t>
            </w:r>
          </w:p>
        </w:tc>
        <w:tc>
          <w:tcPr>
            <w:tcW w:w="615" w:type="pct"/>
            <w:tcBorders>
              <w:top w:val="single" w:sz="2" w:space="0" w:color="auto"/>
              <w:bottom w:val="single" w:sz="8" w:space="0" w:color="auto"/>
            </w:tcBorders>
            <w:vAlign w:val="center"/>
          </w:tcPr>
          <w:p w:rsidR="00747360" w:rsidRPr="00CE5BD0" w:rsidRDefault="00747360" w:rsidP="00747360">
            <w:pPr>
              <w:jc w:val="right"/>
            </w:pPr>
            <w:r w:rsidRPr="00CE5BD0">
              <w:t xml:space="preserve">-0,0392 </w:t>
            </w:r>
          </w:p>
        </w:tc>
        <w:tc>
          <w:tcPr>
            <w:tcW w:w="615" w:type="pct"/>
            <w:tcBorders>
              <w:top w:val="single" w:sz="2" w:space="0" w:color="auto"/>
              <w:bottom w:val="single" w:sz="8" w:space="0" w:color="auto"/>
            </w:tcBorders>
            <w:vAlign w:val="center"/>
          </w:tcPr>
          <w:p w:rsidR="00747360" w:rsidRPr="00CE5BD0" w:rsidRDefault="00747360" w:rsidP="00747360">
            <w:pPr>
              <w:jc w:val="right"/>
            </w:pPr>
            <w:r w:rsidRPr="00CE5BD0">
              <w:t xml:space="preserve">-0,4237 </w:t>
            </w:r>
          </w:p>
        </w:tc>
        <w:tc>
          <w:tcPr>
            <w:tcW w:w="615" w:type="pct"/>
            <w:tcBorders>
              <w:top w:val="single" w:sz="2" w:space="0" w:color="auto"/>
              <w:bottom w:val="single" w:sz="8" w:space="0" w:color="auto"/>
            </w:tcBorders>
            <w:vAlign w:val="center"/>
          </w:tcPr>
          <w:p w:rsidR="00747360" w:rsidRPr="00CE5BD0" w:rsidRDefault="00747360" w:rsidP="00747360">
            <w:pPr>
              <w:jc w:val="right"/>
            </w:pPr>
            <w:r w:rsidRPr="00CE5BD0">
              <w:t xml:space="preserve">2,0689 </w:t>
            </w:r>
          </w:p>
        </w:tc>
        <w:tc>
          <w:tcPr>
            <w:tcW w:w="615" w:type="pct"/>
            <w:tcBorders>
              <w:top w:val="single" w:sz="2" w:space="0" w:color="auto"/>
              <w:bottom w:val="single" w:sz="8" w:space="0" w:color="auto"/>
            </w:tcBorders>
            <w:vAlign w:val="center"/>
          </w:tcPr>
          <w:p w:rsidR="00747360" w:rsidRPr="00CE5BD0" w:rsidRDefault="00747360" w:rsidP="00747360">
            <w:pPr>
              <w:jc w:val="right"/>
            </w:pPr>
            <w:r w:rsidRPr="00CE5BD0">
              <w:t xml:space="preserve">-14,8708 </w:t>
            </w:r>
          </w:p>
        </w:tc>
        <w:tc>
          <w:tcPr>
            <w:tcW w:w="616" w:type="pct"/>
            <w:tcBorders>
              <w:top w:val="single" w:sz="2" w:space="0" w:color="auto"/>
              <w:bottom w:val="single" w:sz="8" w:space="0" w:color="auto"/>
            </w:tcBorders>
            <w:vAlign w:val="center"/>
          </w:tcPr>
          <w:p w:rsidR="00747360" w:rsidRPr="00CE5BD0" w:rsidRDefault="00747360" w:rsidP="00747360">
            <w:pPr>
              <w:jc w:val="right"/>
            </w:pPr>
            <w:r w:rsidRPr="00CE5BD0">
              <w:t xml:space="preserve">0,5085 </w:t>
            </w:r>
          </w:p>
        </w:tc>
      </w:tr>
    </w:tbl>
    <w:p w:rsidR="00747360" w:rsidRDefault="00747360" w:rsidP="00747360">
      <w:pPr>
        <w:pStyle w:val="NotadeTabela"/>
      </w:pPr>
      <w:r>
        <w:t>Notas: Endividamento (</w:t>
      </w:r>
      <w:r w:rsidRPr="001103BB">
        <w:rPr>
          <w:i/>
        </w:rPr>
        <w:t>end</w:t>
      </w:r>
      <w:r>
        <w:t>), Rentabilidade (</w:t>
      </w:r>
      <w:r w:rsidRPr="001103BB">
        <w:rPr>
          <w:i/>
        </w:rPr>
        <w:t>rent</w:t>
      </w:r>
      <w:r>
        <w:t>), Tangibilidade dos ativos (</w:t>
      </w:r>
      <w:r w:rsidRPr="001103BB">
        <w:rPr>
          <w:i/>
        </w:rPr>
        <w:t>tang</w:t>
      </w:r>
      <w:r>
        <w:t>), Tamanho da empresa (</w:t>
      </w:r>
      <w:proofErr w:type="gramStart"/>
      <w:r w:rsidRPr="001103BB">
        <w:rPr>
          <w:i/>
        </w:rPr>
        <w:t>tam</w:t>
      </w:r>
      <w:proofErr w:type="gramEnd"/>
      <w:r>
        <w:t>), Idade da empresa (</w:t>
      </w:r>
      <w:r w:rsidRPr="001103BB">
        <w:rPr>
          <w:i/>
        </w:rPr>
        <w:t>idade</w:t>
      </w:r>
      <w:r>
        <w:t>), Oportunidades de crescimento (</w:t>
      </w:r>
      <w:r w:rsidRPr="001103BB">
        <w:rPr>
          <w:i/>
        </w:rPr>
        <w:t>opcresc</w:t>
      </w:r>
      <w:r>
        <w:t>), Liquidez (</w:t>
      </w:r>
      <w:r w:rsidRPr="001103BB">
        <w:rPr>
          <w:i/>
        </w:rPr>
        <w:t>liq</w:t>
      </w:r>
      <w:r>
        <w:t>), Economia fiscal não advinda de dívida (</w:t>
      </w:r>
      <w:r w:rsidRPr="001103BB">
        <w:rPr>
          <w:i/>
        </w:rPr>
        <w:t>ecnd</w:t>
      </w:r>
      <w:r>
        <w:t>), Risco do negócio (</w:t>
      </w:r>
      <w:r w:rsidRPr="001103BB">
        <w:rPr>
          <w:i/>
        </w:rPr>
        <w:t>risco</w:t>
      </w:r>
      <w:r>
        <w:t>)</w:t>
      </w:r>
    </w:p>
    <w:p w:rsidR="00B30931" w:rsidRDefault="00B30931" w:rsidP="00B30931">
      <w:pPr>
        <w:widowControl w:val="0"/>
        <w:ind w:firstLine="709"/>
        <w:jc w:val="both"/>
        <w:rPr>
          <w:sz w:val="24"/>
          <w:szCs w:val="24"/>
        </w:rPr>
      </w:pPr>
    </w:p>
    <w:p w:rsidR="00B30931" w:rsidRPr="00747360" w:rsidRDefault="00B30931" w:rsidP="00B30931">
      <w:pPr>
        <w:widowControl w:val="0"/>
        <w:ind w:firstLine="709"/>
        <w:jc w:val="both"/>
        <w:rPr>
          <w:sz w:val="24"/>
          <w:szCs w:val="24"/>
        </w:rPr>
      </w:pPr>
      <w:r w:rsidRPr="00747360">
        <w:rPr>
          <w:sz w:val="24"/>
          <w:szCs w:val="24"/>
        </w:rPr>
        <w:t>Os determinantes da estrutura de capital em empresas brasileiras ao longo do seu ciclo de vida organizacional são analisados na Tabela 4. Para todos os modelos pesquisados, o teste F indicou que há pelo menos um determinante da estrutura de capital estatisticamente significante com 99% de confiança. O R² do modelo geral explicou 16,30% da variação no endividamento das empresas. Nas subamostras por fase do ciclo de vida a menor variação explicada foi de 19,59% para a fase de maturidade enquanto a maior foi de 57,57% para a fase de declínio.</w:t>
      </w:r>
    </w:p>
    <w:p w:rsidR="00B30931" w:rsidRPr="00747360" w:rsidRDefault="00B30931" w:rsidP="00B30931">
      <w:pPr>
        <w:widowControl w:val="0"/>
        <w:ind w:firstLine="709"/>
        <w:jc w:val="both"/>
        <w:rPr>
          <w:sz w:val="24"/>
          <w:szCs w:val="24"/>
        </w:rPr>
      </w:pPr>
      <w:r w:rsidRPr="00747360">
        <w:rPr>
          <w:sz w:val="24"/>
          <w:szCs w:val="24"/>
        </w:rPr>
        <w:t xml:space="preserve">Para a amostra geral, a rentabilidade, o tamanho da empresa, idade, oportunidades de </w:t>
      </w:r>
      <w:r w:rsidRPr="00747360">
        <w:rPr>
          <w:sz w:val="24"/>
          <w:szCs w:val="24"/>
        </w:rPr>
        <w:lastRenderedPageBreak/>
        <w:t>crescimento e liquidez foram os principais determinantes da estrutura de capital. Porém, coeficientes, sinais e significância mudam ao longo das cinco fases do ciclo de vida organizacional. O determinante mais estável foi a variável liquidez, que apresentou uma relação negativa com o endividamento e estatisticamente significante em todas as fases do ciclo de vida.</w:t>
      </w:r>
    </w:p>
    <w:p w:rsidR="00B30931" w:rsidRDefault="00B30931" w:rsidP="009A797B">
      <w:pPr>
        <w:pStyle w:val="Legenda"/>
        <w:keepNext/>
        <w:spacing w:after="0"/>
        <w:ind w:firstLine="708"/>
        <w:jc w:val="both"/>
        <w:rPr>
          <w:b w:val="0"/>
          <w:color w:val="auto"/>
          <w:sz w:val="24"/>
          <w:szCs w:val="24"/>
        </w:rPr>
      </w:pPr>
      <w:r w:rsidRPr="00C75EBF">
        <w:rPr>
          <w:b w:val="0"/>
          <w:color w:val="auto"/>
          <w:sz w:val="24"/>
          <w:szCs w:val="24"/>
        </w:rPr>
        <w:t xml:space="preserve">Em alinhamento à teoria de </w:t>
      </w:r>
      <w:r w:rsidRPr="00C75EBF">
        <w:rPr>
          <w:b w:val="0"/>
          <w:i/>
          <w:color w:val="auto"/>
          <w:sz w:val="24"/>
          <w:szCs w:val="24"/>
        </w:rPr>
        <w:t>pecking order</w:t>
      </w:r>
      <w:r w:rsidRPr="00C75EBF">
        <w:rPr>
          <w:b w:val="0"/>
          <w:color w:val="auto"/>
          <w:sz w:val="24"/>
          <w:szCs w:val="24"/>
        </w:rPr>
        <w:t xml:space="preserve">, observou-se uma relação negativa entre a rentabilidade e o endividamento, porém, estatisticamente significante apenas na amostra geral e na fase de crescimento. De modo geral, isso indica que as empresas utilizam seus recursos internos para se financiar, como lucros retidos e patrimônio líquido, especialmente numa fase de alta demanda por investimentos como é característico das empresas em fase de crescimento. Em mercados emergentes, como o brasileiro, as fontes de recursos alternativas são limitadas e a um custo de dívida elevado, com um mercado de capitais pouco desenvolvido e forte presença de assimetria informacional (Kumar </w:t>
      </w:r>
      <w:proofErr w:type="gramStart"/>
      <w:r w:rsidRPr="00C75EBF">
        <w:rPr>
          <w:b w:val="0"/>
          <w:color w:val="auto"/>
          <w:sz w:val="24"/>
          <w:szCs w:val="24"/>
        </w:rPr>
        <w:t>et</w:t>
      </w:r>
      <w:proofErr w:type="gramEnd"/>
      <w:r w:rsidRPr="00C75EBF">
        <w:rPr>
          <w:b w:val="0"/>
          <w:color w:val="auto"/>
          <w:sz w:val="24"/>
          <w:szCs w:val="24"/>
        </w:rPr>
        <w:t xml:space="preserve"> al., 2017), especialmente na fase de crescimento, em que a presença de maiores oportunidades de crescimento acentua esse problema (Castro et al., 2016). Compatível com os achados de Castro </w:t>
      </w:r>
      <w:proofErr w:type="gramStart"/>
      <w:r w:rsidRPr="00C75EBF">
        <w:rPr>
          <w:b w:val="0"/>
          <w:color w:val="auto"/>
          <w:sz w:val="24"/>
          <w:szCs w:val="24"/>
        </w:rPr>
        <w:t>et</w:t>
      </w:r>
      <w:proofErr w:type="gramEnd"/>
      <w:r w:rsidRPr="00C75EBF">
        <w:rPr>
          <w:b w:val="0"/>
          <w:color w:val="auto"/>
          <w:sz w:val="24"/>
          <w:szCs w:val="24"/>
        </w:rPr>
        <w:t xml:space="preserve"> al. (2016), Reis, Campos e Pasquini (2017). Portanto, não </w:t>
      </w:r>
      <w:proofErr w:type="gramStart"/>
      <w:r w:rsidRPr="00C75EBF">
        <w:rPr>
          <w:b w:val="0"/>
          <w:color w:val="auto"/>
          <w:sz w:val="24"/>
          <w:szCs w:val="24"/>
        </w:rPr>
        <w:t>rejeita-se</w:t>
      </w:r>
      <w:proofErr w:type="gramEnd"/>
      <w:r w:rsidRPr="00C75EBF">
        <w:rPr>
          <w:b w:val="0"/>
          <w:color w:val="auto"/>
          <w:sz w:val="24"/>
          <w:szCs w:val="24"/>
        </w:rPr>
        <w:t xml:space="preserve"> a primeira hipótese de relação negativa entre rentabilidade e endividamento, especialmente na fase de crescimento.</w:t>
      </w:r>
    </w:p>
    <w:p w:rsidR="00FF5B59" w:rsidRPr="00FF5B59" w:rsidRDefault="00FF5B59" w:rsidP="00FF5B59"/>
    <w:p w:rsidR="00F63374" w:rsidRPr="00F63374" w:rsidRDefault="00F63374" w:rsidP="00F63374">
      <w:pPr>
        <w:pStyle w:val="Legenda"/>
        <w:keepNext/>
        <w:spacing w:after="0"/>
        <w:rPr>
          <w:b w:val="0"/>
          <w:i/>
          <w:color w:val="auto"/>
          <w:sz w:val="20"/>
          <w:szCs w:val="20"/>
        </w:rPr>
      </w:pPr>
      <w:r w:rsidRPr="00F63374">
        <w:rPr>
          <w:color w:val="auto"/>
          <w:sz w:val="20"/>
          <w:szCs w:val="20"/>
        </w:rPr>
        <w:t xml:space="preserve">Tabela </w:t>
      </w:r>
      <w:r w:rsidR="00302248" w:rsidRPr="00F63374">
        <w:rPr>
          <w:color w:val="auto"/>
          <w:sz w:val="20"/>
          <w:szCs w:val="20"/>
        </w:rPr>
        <w:fldChar w:fldCharType="begin"/>
      </w:r>
      <w:r w:rsidRPr="00F63374">
        <w:rPr>
          <w:color w:val="auto"/>
          <w:sz w:val="20"/>
          <w:szCs w:val="20"/>
        </w:rPr>
        <w:instrText xml:space="preserve"> SEQ Tabela \* ARABIC </w:instrText>
      </w:r>
      <w:r w:rsidR="00302248" w:rsidRPr="00F63374">
        <w:rPr>
          <w:color w:val="auto"/>
          <w:sz w:val="20"/>
          <w:szCs w:val="20"/>
        </w:rPr>
        <w:fldChar w:fldCharType="separate"/>
      </w:r>
      <w:r w:rsidRPr="00F63374">
        <w:rPr>
          <w:noProof/>
          <w:color w:val="auto"/>
          <w:sz w:val="20"/>
          <w:szCs w:val="20"/>
        </w:rPr>
        <w:t>4</w:t>
      </w:r>
      <w:r w:rsidR="00302248" w:rsidRPr="00F63374">
        <w:rPr>
          <w:color w:val="auto"/>
          <w:sz w:val="20"/>
          <w:szCs w:val="20"/>
        </w:rPr>
        <w:fldChar w:fldCharType="end"/>
      </w:r>
      <w:r w:rsidRPr="00F63374">
        <w:rPr>
          <w:color w:val="auto"/>
          <w:sz w:val="20"/>
          <w:szCs w:val="20"/>
        </w:rPr>
        <w:t xml:space="preserve"> </w:t>
      </w:r>
      <w:r w:rsidRPr="00F63374">
        <w:rPr>
          <w:b w:val="0"/>
          <w:i/>
          <w:color w:val="auto"/>
          <w:sz w:val="20"/>
          <w:szCs w:val="20"/>
        </w:rPr>
        <w:t>Determinantes da estrutura de capital através do ciclo de vida organizacional de empresas brasileiras</w:t>
      </w:r>
    </w:p>
    <w:tbl>
      <w:tblPr>
        <w:tblW w:w="9211" w:type="dxa"/>
        <w:tblLayout w:type="fixed"/>
        <w:tblCellMar>
          <w:left w:w="70" w:type="dxa"/>
          <w:right w:w="70" w:type="dxa"/>
        </w:tblCellMar>
        <w:tblLook w:val="04A0"/>
      </w:tblPr>
      <w:tblGrid>
        <w:gridCol w:w="1729"/>
        <w:gridCol w:w="907"/>
        <w:gridCol w:w="340"/>
        <w:gridCol w:w="907"/>
        <w:gridCol w:w="340"/>
        <w:gridCol w:w="907"/>
        <w:gridCol w:w="340"/>
        <w:gridCol w:w="907"/>
        <w:gridCol w:w="340"/>
        <w:gridCol w:w="907"/>
        <w:gridCol w:w="340"/>
        <w:gridCol w:w="907"/>
        <w:gridCol w:w="340"/>
      </w:tblGrid>
      <w:tr w:rsidR="00747360" w:rsidRPr="00302F0B" w:rsidTr="00747360">
        <w:trPr>
          <w:trHeight w:val="20"/>
        </w:trPr>
        <w:tc>
          <w:tcPr>
            <w:tcW w:w="1729" w:type="dxa"/>
            <w:tcBorders>
              <w:top w:val="single" w:sz="8" w:space="0" w:color="auto"/>
              <w:bottom w:val="single" w:sz="8" w:space="0" w:color="auto"/>
            </w:tcBorders>
            <w:shd w:val="clear" w:color="auto" w:fill="auto"/>
            <w:noWrap/>
            <w:vAlign w:val="center"/>
            <w:hideMark/>
          </w:tcPr>
          <w:p w:rsidR="00747360" w:rsidRPr="00CE5BD0" w:rsidRDefault="00747360" w:rsidP="00747360">
            <w:pPr>
              <w:jc w:val="center"/>
              <w:rPr>
                <w:b/>
                <w:bCs/>
                <w:color w:val="000000"/>
              </w:rPr>
            </w:pPr>
            <w:r w:rsidRPr="00CE5BD0">
              <w:rPr>
                <w:b/>
                <w:bCs/>
                <w:color w:val="000000"/>
              </w:rPr>
              <w:t>Variáveis</w:t>
            </w:r>
          </w:p>
        </w:tc>
        <w:tc>
          <w:tcPr>
            <w:tcW w:w="1247" w:type="dxa"/>
            <w:gridSpan w:val="2"/>
            <w:tcBorders>
              <w:top w:val="single" w:sz="8" w:space="0" w:color="auto"/>
              <w:bottom w:val="single" w:sz="8" w:space="0" w:color="auto"/>
            </w:tcBorders>
            <w:shd w:val="clear" w:color="auto" w:fill="auto"/>
            <w:noWrap/>
            <w:vAlign w:val="center"/>
            <w:hideMark/>
          </w:tcPr>
          <w:p w:rsidR="00747360" w:rsidRPr="00CE5BD0" w:rsidRDefault="00747360" w:rsidP="00747360">
            <w:pPr>
              <w:jc w:val="center"/>
              <w:rPr>
                <w:b/>
                <w:bCs/>
                <w:color w:val="000000"/>
              </w:rPr>
            </w:pPr>
            <w:r w:rsidRPr="00CE5BD0">
              <w:rPr>
                <w:b/>
                <w:bCs/>
                <w:color w:val="000000"/>
              </w:rPr>
              <w:t>Geral</w:t>
            </w:r>
          </w:p>
        </w:tc>
        <w:tc>
          <w:tcPr>
            <w:tcW w:w="1247" w:type="dxa"/>
            <w:gridSpan w:val="2"/>
            <w:tcBorders>
              <w:top w:val="single" w:sz="8" w:space="0" w:color="auto"/>
              <w:bottom w:val="single" w:sz="8" w:space="0" w:color="auto"/>
            </w:tcBorders>
            <w:vAlign w:val="center"/>
          </w:tcPr>
          <w:p w:rsidR="00747360" w:rsidRPr="00CE5BD0" w:rsidRDefault="00747360" w:rsidP="00747360">
            <w:pPr>
              <w:jc w:val="center"/>
              <w:rPr>
                <w:b/>
                <w:bCs/>
                <w:color w:val="000000"/>
              </w:rPr>
            </w:pPr>
            <w:r w:rsidRPr="00CE5BD0">
              <w:rPr>
                <w:b/>
                <w:bCs/>
                <w:color w:val="000000"/>
              </w:rPr>
              <w:t>Introdução</w:t>
            </w:r>
          </w:p>
        </w:tc>
        <w:tc>
          <w:tcPr>
            <w:tcW w:w="1247" w:type="dxa"/>
            <w:gridSpan w:val="2"/>
            <w:tcBorders>
              <w:top w:val="single" w:sz="8" w:space="0" w:color="auto"/>
              <w:bottom w:val="single" w:sz="8" w:space="0" w:color="auto"/>
            </w:tcBorders>
            <w:vAlign w:val="center"/>
          </w:tcPr>
          <w:p w:rsidR="00747360" w:rsidRPr="00CE5BD0" w:rsidRDefault="00747360" w:rsidP="00747360">
            <w:pPr>
              <w:jc w:val="center"/>
              <w:rPr>
                <w:b/>
                <w:bCs/>
                <w:color w:val="000000"/>
              </w:rPr>
            </w:pPr>
            <w:r w:rsidRPr="00CE5BD0">
              <w:rPr>
                <w:b/>
                <w:bCs/>
                <w:color w:val="000000"/>
              </w:rPr>
              <w:t>Crescimento</w:t>
            </w:r>
          </w:p>
        </w:tc>
        <w:tc>
          <w:tcPr>
            <w:tcW w:w="1247" w:type="dxa"/>
            <w:gridSpan w:val="2"/>
            <w:tcBorders>
              <w:top w:val="single" w:sz="8" w:space="0" w:color="auto"/>
              <w:bottom w:val="single" w:sz="8" w:space="0" w:color="auto"/>
            </w:tcBorders>
            <w:vAlign w:val="center"/>
          </w:tcPr>
          <w:p w:rsidR="00747360" w:rsidRPr="00CE5BD0" w:rsidRDefault="00747360" w:rsidP="00747360">
            <w:pPr>
              <w:jc w:val="center"/>
              <w:rPr>
                <w:b/>
                <w:bCs/>
                <w:color w:val="000000"/>
              </w:rPr>
            </w:pPr>
            <w:r w:rsidRPr="00CE5BD0">
              <w:rPr>
                <w:b/>
                <w:bCs/>
                <w:color w:val="000000"/>
              </w:rPr>
              <w:t>Maturidade</w:t>
            </w:r>
          </w:p>
        </w:tc>
        <w:tc>
          <w:tcPr>
            <w:tcW w:w="1247" w:type="dxa"/>
            <w:gridSpan w:val="2"/>
            <w:tcBorders>
              <w:top w:val="single" w:sz="8" w:space="0" w:color="auto"/>
              <w:bottom w:val="single" w:sz="8" w:space="0" w:color="auto"/>
            </w:tcBorders>
            <w:vAlign w:val="center"/>
          </w:tcPr>
          <w:p w:rsidR="00747360" w:rsidRPr="00CE5BD0" w:rsidRDefault="00747360" w:rsidP="00747360">
            <w:pPr>
              <w:jc w:val="center"/>
              <w:rPr>
                <w:b/>
                <w:bCs/>
                <w:color w:val="000000"/>
              </w:rPr>
            </w:pPr>
            <w:r w:rsidRPr="00CE5BD0">
              <w:rPr>
                <w:b/>
                <w:bCs/>
                <w:color w:val="000000"/>
              </w:rPr>
              <w:t>Reestrutu-ração</w:t>
            </w:r>
          </w:p>
        </w:tc>
        <w:tc>
          <w:tcPr>
            <w:tcW w:w="1247" w:type="dxa"/>
            <w:gridSpan w:val="2"/>
            <w:tcBorders>
              <w:top w:val="single" w:sz="8" w:space="0" w:color="auto"/>
              <w:bottom w:val="single" w:sz="8" w:space="0" w:color="auto"/>
            </w:tcBorders>
            <w:vAlign w:val="center"/>
          </w:tcPr>
          <w:p w:rsidR="00747360" w:rsidRPr="00CE5BD0" w:rsidRDefault="00747360" w:rsidP="00747360">
            <w:pPr>
              <w:jc w:val="center"/>
              <w:rPr>
                <w:b/>
                <w:bCs/>
                <w:color w:val="000000"/>
              </w:rPr>
            </w:pPr>
            <w:r w:rsidRPr="00CE5BD0">
              <w:rPr>
                <w:b/>
                <w:bCs/>
                <w:color w:val="000000"/>
              </w:rPr>
              <w:t>Declínio</w:t>
            </w:r>
          </w:p>
        </w:tc>
      </w:tr>
      <w:tr w:rsidR="00747360" w:rsidRPr="00E82EA6" w:rsidTr="00747360">
        <w:trPr>
          <w:trHeight w:val="20"/>
        </w:trPr>
        <w:tc>
          <w:tcPr>
            <w:tcW w:w="1729" w:type="dxa"/>
            <w:vMerge w:val="restart"/>
            <w:tcBorders>
              <w:top w:val="single" w:sz="8" w:space="0" w:color="auto"/>
            </w:tcBorders>
            <w:shd w:val="clear" w:color="auto" w:fill="auto"/>
            <w:noWrap/>
            <w:vAlign w:val="center"/>
            <w:hideMark/>
          </w:tcPr>
          <w:p w:rsidR="00747360" w:rsidRPr="00CE5BD0" w:rsidRDefault="00747360" w:rsidP="00747360">
            <w:pPr>
              <w:rPr>
                <w:i/>
                <w:color w:val="000000"/>
              </w:rPr>
            </w:pPr>
            <w:r w:rsidRPr="00CE5BD0">
              <w:rPr>
                <w:i/>
                <w:color w:val="000000"/>
              </w:rPr>
              <w:t>Rentabilidade</w:t>
            </w:r>
          </w:p>
        </w:tc>
        <w:tc>
          <w:tcPr>
            <w:tcW w:w="907" w:type="dxa"/>
            <w:tcBorders>
              <w:top w:val="single" w:sz="8" w:space="0" w:color="auto"/>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-0,1484</w:t>
            </w:r>
          </w:p>
        </w:tc>
        <w:tc>
          <w:tcPr>
            <w:tcW w:w="340" w:type="dxa"/>
            <w:tcBorders>
              <w:top w:val="single" w:sz="8" w:space="0" w:color="auto"/>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single" w:sz="8" w:space="0" w:color="auto"/>
              <w:bottom w:val="nil"/>
            </w:tcBorders>
            <w:vAlign w:val="center"/>
          </w:tcPr>
          <w:p w:rsidR="00747360" w:rsidRPr="00CE5BD0" w:rsidRDefault="00747360" w:rsidP="00747360">
            <w:pPr>
              <w:jc w:val="right"/>
              <w:rPr>
                <w:color w:val="000000"/>
              </w:rPr>
            </w:pPr>
            <w:r w:rsidRPr="00CE5BD0">
              <w:rPr>
                <w:color w:val="000000"/>
              </w:rPr>
              <w:t>-0,2293</w:t>
            </w:r>
          </w:p>
        </w:tc>
        <w:tc>
          <w:tcPr>
            <w:tcW w:w="340" w:type="dxa"/>
            <w:tcBorders>
              <w:top w:val="single" w:sz="8" w:space="0" w:color="auto"/>
              <w:left w:val="nil"/>
              <w:bottom w:val="nil"/>
            </w:tcBorders>
            <w:vAlign w:val="center"/>
          </w:tcPr>
          <w:p w:rsidR="00747360" w:rsidRPr="00CE5BD0" w:rsidRDefault="00747360" w:rsidP="00747360">
            <w:pPr>
              <w:jc w:val="right"/>
              <w:rPr>
                <w:color w:val="000000"/>
              </w:rPr>
            </w:pPr>
          </w:p>
        </w:tc>
        <w:tc>
          <w:tcPr>
            <w:tcW w:w="907" w:type="dxa"/>
            <w:tcBorders>
              <w:top w:val="single" w:sz="8" w:space="0" w:color="auto"/>
              <w:left w:val="nil"/>
              <w:bottom w:val="nil"/>
            </w:tcBorders>
            <w:vAlign w:val="center"/>
          </w:tcPr>
          <w:p w:rsidR="00747360" w:rsidRPr="00CE5BD0" w:rsidRDefault="00747360" w:rsidP="00747360">
            <w:pPr>
              <w:jc w:val="right"/>
              <w:rPr>
                <w:color w:val="000000"/>
              </w:rPr>
            </w:pPr>
            <w:r w:rsidRPr="00CE5BD0">
              <w:rPr>
                <w:color w:val="000000"/>
              </w:rPr>
              <w:t>-0,3101</w:t>
            </w:r>
          </w:p>
        </w:tc>
        <w:tc>
          <w:tcPr>
            <w:tcW w:w="340" w:type="dxa"/>
            <w:tcBorders>
              <w:top w:val="single" w:sz="8" w:space="0" w:color="auto"/>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single" w:sz="8" w:space="0" w:color="auto"/>
              <w:left w:val="nil"/>
              <w:bottom w:val="nil"/>
            </w:tcBorders>
            <w:vAlign w:val="center"/>
          </w:tcPr>
          <w:p w:rsidR="00747360" w:rsidRPr="00CE5BD0" w:rsidRDefault="00747360" w:rsidP="00747360">
            <w:pPr>
              <w:jc w:val="right"/>
              <w:rPr>
                <w:color w:val="000000"/>
              </w:rPr>
            </w:pPr>
            <w:r w:rsidRPr="00CE5BD0">
              <w:rPr>
                <w:color w:val="000000"/>
              </w:rPr>
              <w:t>-0,0815</w:t>
            </w:r>
          </w:p>
        </w:tc>
        <w:tc>
          <w:tcPr>
            <w:tcW w:w="340" w:type="dxa"/>
            <w:tcBorders>
              <w:top w:val="single" w:sz="8" w:space="0" w:color="auto"/>
              <w:left w:val="nil"/>
              <w:bottom w:val="nil"/>
            </w:tcBorders>
            <w:vAlign w:val="center"/>
          </w:tcPr>
          <w:p w:rsidR="00747360" w:rsidRPr="00CE5BD0" w:rsidRDefault="00747360" w:rsidP="00747360">
            <w:pPr>
              <w:jc w:val="right"/>
              <w:rPr>
                <w:color w:val="000000"/>
              </w:rPr>
            </w:pPr>
          </w:p>
        </w:tc>
        <w:tc>
          <w:tcPr>
            <w:tcW w:w="907" w:type="dxa"/>
            <w:tcBorders>
              <w:top w:val="single" w:sz="8" w:space="0" w:color="auto"/>
              <w:left w:val="nil"/>
              <w:bottom w:val="nil"/>
            </w:tcBorders>
            <w:vAlign w:val="center"/>
          </w:tcPr>
          <w:p w:rsidR="00747360" w:rsidRPr="00CE5BD0" w:rsidRDefault="00747360" w:rsidP="00747360">
            <w:pPr>
              <w:jc w:val="right"/>
              <w:rPr>
                <w:color w:val="000000"/>
              </w:rPr>
            </w:pPr>
            <w:r w:rsidRPr="00CE5BD0">
              <w:rPr>
                <w:color w:val="000000"/>
              </w:rPr>
              <w:t>-0,2803</w:t>
            </w:r>
          </w:p>
        </w:tc>
        <w:tc>
          <w:tcPr>
            <w:tcW w:w="340" w:type="dxa"/>
            <w:tcBorders>
              <w:top w:val="single" w:sz="8" w:space="0" w:color="auto"/>
              <w:left w:val="nil"/>
              <w:bottom w:val="nil"/>
            </w:tcBorders>
            <w:vAlign w:val="center"/>
          </w:tcPr>
          <w:p w:rsidR="00747360" w:rsidRPr="00CE5BD0" w:rsidRDefault="00747360" w:rsidP="00747360">
            <w:pPr>
              <w:jc w:val="right"/>
              <w:rPr>
                <w:color w:val="000000"/>
              </w:rPr>
            </w:pPr>
          </w:p>
        </w:tc>
        <w:tc>
          <w:tcPr>
            <w:tcW w:w="907" w:type="dxa"/>
            <w:tcBorders>
              <w:top w:val="single" w:sz="8" w:space="0" w:color="auto"/>
              <w:left w:val="nil"/>
              <w:bottom w:val="nil"/>
            </w:tcBorders>
            <w:vAlign w:val="center"/>
          </w:tcPr>
          <w:p w:rsidR="00747360" w:rsidRPr="00CE5BD0" w:rsidRDefault="00747360" w:rsidP="00747360">
            <w:pPr>
              <w:jc w:val="right"/>
              <w:rPr>
                <w:color w:val="000000"/>
              </w:rPr>
            </w:pPr>
            <w:r w:rsidRPr="00CE5BD0">
              <w:rPr>
                <w:color w:val="000000"/>
              </w:rPr>
              <w:t>-0,0310</w:t>
            </w:r>
          </w:p>
        </w:tc>
        <w:tc>
          <w:tcPr>
            <w:tcW w:w="340" w:type="dxa"/>
            <w:tcBorders>
              <w:top w:val="single" w:sz="8" w:space="0" w:color="auto"/>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[0,049]</w:t>
            </w:r>
          </w:p>
        </w:tc>
        <w:tc>
          <w:tcPr>
            <w:tcW w:w="340" w:type="dxa"/>
            <w:tcBorders>
              <w:top w:val="nil"/>
              <w:bottom w:val="nil"/>
            </w:tcBorders>
            <w:vAlign w:val="center"/>
          </w:tcPr>
          <w:p w:rsidR="00747360" w:rsidRPr="00CE5BD0" w:rsidRDefault="00747360" w:rsidP="00747360">
            <w:pPr>
              <w:jc w:val="right"/>
              <w:rPr>
                <w:color w:val="000000"/>
                <w:vertAlign w:val="superscript"/>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[0,123]</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[0,244]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[0,286]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[0,811]</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Tangibilidade</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0,0089</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0,1004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-0,0558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-0,0398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-0,1397</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0,0219</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[0,837]</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[0,533]</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[0.380]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[0,608]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[0,777]</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Tamanho</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0,0372</w:t>
            </w:r>
          </w:p>
        </w:tc>
        <w:tc>
          <w:tcPr>
            <w:tcW w:w="340" w:type="dxa"/>
            <w:tcBorders>
              <w:top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0,0508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0,0415</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0,0600</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0,0870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0,0696</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[0,042]</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[0,287]</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[0.048]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[0,001]</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[0,106]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[0,001]</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Idade</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0,0323</w:t>
            </w:r>
          </w:p>
        </w:tc>
        <w:tc>
          <w:tcPr>
            <w:tcW w:w="340" w:type="dxa"/>
            <w:tcBorders>
              <w:top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0,0351</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0,0304</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0,0165</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0,0025</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0,0872</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[0,003]</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[0,400]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[0,036]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[0,106]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[0,943]</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[0,015]</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Oportunidades de Crescimento</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0,0023</w:t>
            </w:r>
          </w:p>
        </w:tc>
        <w:tc>
          <w:tcPr>
            <w:tcW w:w="340" w:type="dxa"/>
            <w:tcBorders>
              <w:top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0,0022</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0,0024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0,0028</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0,0211</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0,0636</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[0,000]</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[0,000]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[0,277]</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[0,294]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[0,000]</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Liquidez</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-0,0076</w:t>
            </w:r>
          </w:p>
        </w:tc>
        <w:tc>
          <w:tcPr>
            <w:tcW w:w="340" w:type="dxa"/>
            <w:tcBorders>
              <w:top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-0,0189</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-0,0252</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-0,0249</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-0,0044</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-0,0171</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[0,011]</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[0,018]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[0,022]</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[0,006]</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[0,003]</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Economia fiscal</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0,5574</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1,0858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1,2004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0,4725</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2,6577</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1,4622</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rPr>
                <w:i/>
                <w:color w:val="000000"/>
              </w:rPr>
            </w:pP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[0,308]</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[0,744]</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[0,108]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[0,581]</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[0,555]</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[0,791]</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Risco</w:t>
            </w:r>
          </w:p>
        </w:tc>
        <w:tc>
          <w:tcPr>
            <w:tcW w:w="907" w:type="dxa"/>
            <w:tcBorders>
              <w:top w:val="nil"/>
              <w:bottom w:val="nil"/>
            </w:tcBorders>
            <w:shd w:val="clear" w:color="auto" w:fill="auto"/>
            <w:noWrap/>
            <w:vAlign w:val="center"/>
            <w:hideMark/>
          </w:tcPr>
          <w:p w:rsidR="00747360" w:rsidRPr="00CE5BD0" w:rsidRDefault="00747360" w:rsidP="00747360">
            <w:pPr>
              <w:jc w:val="right"/>
              <w:rPr>
                <w:color w:val="000000"/>
              </w:rPr>
            </w:pPr>
            <w:r w:rsidRPr="00CE5BD0">
              <w:rPr>
                <w:color w:val="000000"/>
              </w:rPr>
              <w:t>0,0015</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tcBorders>
              <w:top w:val="nil"/>
              <w:bottom w:val="nil"/>
            </w:tcBorders>
            <w:vAlign w:val="center"/>
          </w:tcPr>
          <w:p w:rsidR="00747360" w:rsidRPr="00CE5BD0" w:rsidRDefault="00747360" w:rsidP="00747360">
            <w:pPr>
              <w:jc w:val="right"/>
              <w:rPr>
                <w:color w:val="000000"/>
              </w:rPr>
            </w:pPr>
            <w:r w:rsidRPr="00CE5BD0">
              <w:rPr>
                <w:color w:val="000000"/>
              </w:rPr>
              <w:t>0,0020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0,0050</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-0,0003</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0,0318</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-0,0002</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682FA6">
        <w:trPr>
          <w:trHeight w:val="20"/>
        </w:trPr>
        <w:tc>
          <w:tcPr>
            <w:tcW w:w="1729" w:type="dxa"/>
            <w:vMerge/>
            <w:shd w:val="clear" w:color="auto" w:fill="auto"/>
            <w:noWrap/>
            <w:vAlign w:val="center"/>
            <w:hideMark/>
          </w:tcPr>
          <w:p w:rsidR="00747360" w:rsidRPr="00CE5BD0" w:rsidRDefault="00747360" w:rsidP="00747360">
            <w:pPr>
              <w:rPr>
                <w:i/>
                <w:color w:val="000000"/>
              </w:rPr>
            </w:pPr>
          </w:p>
        </w:tc>
        <w:tc>
          <w:tcPr>
            <w:tcW w:w="907" w:type="dxa"/>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[0,169]</w:t>
            </w:r>
          </w:p>
        </w:tc>
        <w:tc>
          <w:tcPr>
            <w:tcW w:w="340" w:type="dxa"/>
            <w:tcBorders>
              <w:top w:val="nil"/>
            </w:tcBorders>
            <w:vAlign w:val="center"/>
          </w:tcPr>
          <w:p w:rsidR="00747360" w:rsidRPr="00CE5BD0" w:rsidRDefault="00747360" w:rsidP="00747360">
            <w:pPr>
              <w:jc w:val="right"/>
              <w:rPr>
                <w:color w:val="000000"/>
              </w:rPr>
            </w:pPr>
          </w:p>
        </w:tc>
        <w:tc>
          <w:tcPr>
            <w:tcW w:w="907" w:type="dxa"/>
            <w:tcBorders>
              <w:top w:val="nil"/>
            </w:tcBorders>
            <w:vAlign w:val="center"/>
          </w:tcPr>
          <w:p w:rsidR="00747360" w:rsidRPr="00CE5BD0" w:rsidRDefault="00747360" w:rsidP="00747360">
            <w:pPr>
              <w:jc w:val="right"/>
              <w:rPr>
                <w:color w:val="000000"/>
              </w:rPr>
            </w:pPr>
            <w:r w:rsidRPr="00CE5BD0">
              <w:rPr>
                <w:color w:val="000000"/>
              </w:rPr>
              <w:t>[0,339]</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[0,475]</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[0,823]</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[0,758]</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[0,977]</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682FA6">
        <w:trPr>
          <w:trHeight w:val="20"/>
        </w:trPr>
        <w:tc>
          <w:tcPr>
            <w:tcW w:w="1729" w:type="dxa"/>
            <w:vMerge w:val="restart"/>
            <w:tcBorders>
              <w:top w:val="nil"/>
            </w:tcBorders>
            <w:shd w:val="clear" w:color="auto" w:fill="auto"/>
            <w:noWrap/>
            <w:vAlign w:val="center"/>
            <w:hideMark/>
          </w:tcPr>
          <w:p w:rsidR="00747360" w:rsidRPr="00CE5BD0" w:rsidRDefault="00747360" w:rsidP="00747360">
            <w:pPr>
              <w:rPr>
                <w:i/>
                <w:color w:val="000000"/>
              </w:rPr>
            </w:pPr>
            <w:r w:rsidRPr="00CE5BD0">
              <w:rPr>
                <w:i/>
                <w:color w:val="000000"/>
              </w:rPr>
              <w:t>Constante</w:t>
            </w:r>
          </w:p>
          <w:p w:rsidR="00747360" w:rsidRPr="00CE5BD0" w:rsidRDefault="00747360" w:rsidP="00747360">
            <w:pPr>
              <w:rPr>
                <w:i/>
                <w:color w:val="000000"/>
              </w:rPr>
            </w:pPr>
            <w:r w:rsidRPr="00CE5BD0">
              <w:rPr>
                <w:i/>
                <w:color w:val="000000"/>
              </w:rPr>
              <w:t> </w:t>
            </w:r>
          </w:p>
        </w:tc>
        <w:tc>
          <w:tcPr>
            <w:tcW w:w="907" w:type="dxa"/>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-0,2839</w:t>
            </w:r>
          </w:p>
        </w:tc>
        <w:tc>
          <w:tcPr>
            <w:tcW w:w="340" w:type="dxa"/>
            <w:tcBorders>
              <w:top w:val="nil"/>
            </w:tcBorders>
            <w:vAlign w:val="center"/>
          </w:tcPr>
          <w:p w:rsidR="00747360" w:rsidRPr="00CE5BD0" w:rsidRDefault="00747360" w:rsidP="00747360">
            <w:pPr>
              <w:jc w:val="right"/>
              <w:rPr>
                <w:color w:val="000000"/>
              </w:rPr>
            </w:pPr>
          </w:p>
        </w:tc>
        <w:tc>
          <w:tcPr>
            <w:tcW w:w="907" w:type="dxa"/>
            <w:tcBorders>
              <w:top w:val="nil"/>
            </w:tcBorders>
            <w:vAlign w:val="center"/>
          </w:tcPr>
          <w:p w:rsidR="00747360" w:rsidRPr="00CE5BD0" w:rsidRDefault="00747360" w:rsidP="00747360">
            <w:pPr>
              <w:jc w:val="right"/>
              <w:rPr>
                <w:color w:val="000000"/>
              </w:rPr>
            </w:pPr>
            <w:r w:rsidRPr="00CE5BD0">
              <w:rPr>
                <w:color w:val="000000"/>
              </w:rPr>
              <w:t>-0,5124</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-0,2908</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-0,7124</w:t>
            </w:r>
          </w:p>
        </w:tc>
        <w:tc>
          <w:tcPr>
            <w:tcW w:w="340" w:type="dxa"/>
            <w:tcBorders>
              <w:top w:val="nil"/>
              <w:left w:val="nil"/>
            </w:tcBorders>
            <w:vAlign w:val="center"/>
          </w:tcPr>
          <w:p w:rsidR="00747360" w:rsidRPr="00CE5BD0" w:rsidRDefault="00747360" w:rsidP="00747360">
            <w:pPr>
              <w:jc w:val="right"/>
              <w:rPr>
                <w:color w:val="000000"/>
              </w:rPr>
            </w:pPr>
            <w:r w:rsidRPr="00CE5BD0">
              <w:rPr>
                <w:color w:val="000000"/>
                <w:vertAlign w:val="superscript"/>
              </w:rPr>
              <w:t>*</w:t>
            </w: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-1,3028</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-0,9551</w:t>
            </w:r>
          </w:p>
        </w:tc>
        <w:tc>
          <w:tcPr>
            <w:tcW w:w="340" w:type="dxa"/>
            <w:tcBorders>
              <w:top w:val="nil"/>
              <w:left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682FA6">
        <w:trPr>
          <w:trHeight w:val="20"/>
        </w:trPr>
        <w:tc>
          <w:tcPr>
            <w:tcW w:w="1729" w:type="dxa"/>
            <w:vMerge/>
            <w:shd w:val="clear" w:color="auto" w:fill="auto"/>
            <w:noWrap/>
            <w:vAlign w:val="center"/>
            <w:hideMark/>
          </w:tcPr>
          <w:p w:rsidR="00747360" w:rsidRPr="00CE5BD0" w:rsidRDefault="00747360" w:rsidP="00747360">
            <w:pPr>
              <w:rPr>
                <w:i/>
                <w:color w:val="000000"/>
              </w:rPr>
            </w:pPr>
          </w:p>
        </w:tc>
        <w:tc>
          <w:tcPr>
            <w:tcW w:w="907" w:type="dxa"/>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[0,441]</w:t>
            </w:r>
          </w:p>
        </w:tc>
        <w:tc>
          <w:tcPr>
            <w:tcW w:w="340" w:type="dxa"/>
            <w:tcBorders>
              <w:top w:val="nil"/>
            </w:tcBorders>
            <w:vAlign w:val="center"/>
          </w:tcPr>
          <w:p w:rsidR="00747360" w:rsidRPr="00CE5BD0" w:rsidRDefault="00747360" w:rsidP="00747360">
            <w:pPr>
              <w:jc w:val="right"/>
              <w:rPr>
                <w:color w:val="000000"/>
              </w:rPr>
            </w:pPr>
          </w:p>
        </w:tc>
        <w:tc>
          <w:tcPr>
            <w:tcW w:w="907" w:type="dxa"/>
            <w:tcBorders>
              <w:top w:val="nil"/>
            </w:tcBorders>
            <w:vAlign w:val="center"/>
          </w:tcPr>
          <w:p w:rsidR="00747360" w:rsidRPr="00CE5BD0" w:rsidRDefault="00747360" w:rsidP="00747360">
            <w:pPr>
              <w:jc w:val="right"/>
              <w:rPr>
                <w:color w:val="000000"/>
              </w:rPr>
            </w:pPr>
            <w:r w:rsidRPr="00CE5BD0">
              <w:rPr>
                <w:color w:val="000000"/>
              </w:rPr>
              <w:t>[0,585]</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[0,508]</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[0,072]</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[0,229]</w:t>
            </w:r>
          </w:p>
        </w:tc>
        <w:tc>
          <w:tcPr>
            <w:tcW w:w="340" w:type="dxa"/>
            <w:tcBorders>
              <w:top w:val="nil"/>
              <w:left w:val="nil"/>
            </w:tcBorders>
            <w:vAlign w:val="center"/>
          </w:tcPr>
          <w:p w:rsidR="00747360" w:rsidRPr="00CE5BD0" w:rsidRDefault="00747360" w:rsidP="00747360">
            <w:pPr>
              <w:jc w:val="right"/>
              <w:rPr>
                <w:color w:val="000000"/>
              </w:rPr>
            </w:pPr>
          </w:p>
        </w:tc>
        <w:tc>
          <w:tcPr>
            <w:tcW w:w="907" w:type="dxa"/>
            <w:tcBorders>
              <w:top w:val="nil"/>
              <w:left w:val="nil"/>
            </w:tcBorders>
            <w:vAlign w:val="center"/>
          </w:tcPr>
          <w:p w:rsidR="00747360" w:rsidRPr="00CE5BD0" w:rsidRDefault="00747360" w:rsidP="00747360">
            <w:pPr>
              <w:jc w:val="right"/>
              <w:rPr>
                <w:color w:val="000000"/>
              </w:rPr>
            </w:pPr>
            <w:r w:rsidRPr="00CE5BD0">
              <w:rPr>
                <w:color w:val="000000"/>
              </w:rPr>
              <w:t>[0,028]</w:t>
            </w:r>
          </w:p>
        </w:tc>
        <w:tc>
          <w:tcPr>
            <w:tcW w:w="340" w:type="dxa"/>
            <w:tcBorders>
              <w:top w:val="nil"/>
              <w:left w:val="nil"/>
            </w:tcBorders>
            <w:vAlign w:val="center"/>
          </w:tcPr>
          <w:p w:rsidR="00747360" w:rsidRPr="00CE5BD0" w:rsidRDefault="00747360" w:rsidP="00747360">
            <w:pPr>
              <w:jc w:val="right"/>
              <w:rPr>
                <w:color w:val="000000"/>
              </w:rPr>
            </w:pPr>
          </w:p>
        </w:tc>
      </w:tr>
      <w:tr w:rsidR="00747360" w:rsidRPr="00E82EA6" w:rsidTr="00682FA6">
        <w:trPr>
          <w:trHeight w:val="20"/>
        </w:trPr>
        <w:tc>
          <w:tcPr>
            <w:tcW w:w="1729" w:type="dxa"/>
            <w:tcBorders>
              <w:bottom w:val="nil"/>
            </w:tcBorders>
            <w:shd w:val="clear" w:color="auto" w:fill="auto"/>
            <w:noWrap/>
            <w:vAlign w:val="center"/>
            <w:hideMark/>
          </w:tcPr>
          <w:p w:rsidR="00747360" w:rsidRPr="00CE5BD0" w:rsidRDefault="00747360" w:rsidP="00747360">
            <w:pPr>
              <w:rPr>
                <w:i/>
                <w:color w:val="000000"/>
              </w:rPr>
            </w:pPr>
            <w:r w:rsidRPr="00CE5BD0">
              <w:rPr>
                <w:i/>
                <w:color w:val="000000"/>
              </w:rPr>
              <w:t>Setor</w:t>
            </w:r>
          </w:p>
        </w:tc>
        <w:tc>
          <w:tcPr>
            <w:tcW w:w="907" w:type="dxa"/>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bottom w:val="nil"/>
            </w:tcBorders>
            <w:vAlign w:val="center"/>
          </w:tcPr>
          <w:p w:rsidR="00747360" w:rsidRPr="00CE5BD0" w:rsidRDefault="00747360" w:rsidP="00747360">
            <w:pPr>
              <w:jc w:val="right"/>
              <w:rPr>
                <w:color w:val="000000"/>
              </w:rPr>
            </w:pPr>
          </w:p>
        </w:tc>
        <w:tc>
          <w:tcPr>
            <w:tcW w:w="907" w:type="dxa"/>
            <w:tcBorders>
              <w:bottom w:val="nil"/>
            </w:tcBorders>
            <w:vAlign w:val="center"/>
          </w:tcPr>
          <w:p w:rsidR="00747360" w:rsidRPr="00CE5BD0" w:rsidRDefault="00747360" w:rsidP="00747360">
            <w:pPr>
              <w:jc w:val="right"/>
              <w:rPr>
                <w:color w:val="000000"/>
              </w:rPr>
            </w:pPr>
          </w:p>
        </w:tc>
        <w:tc>
          <w:tcPr>
            <w:tcW w:w="340" w:type="dxa"/>
            <w:tcBorders>
              <w:left w:val="nil"/>
              <w:bottom w:val="nil"/>
            </w:tcBorders>
            <w:vAlign w:val="center"/>
          </w:tcPr>
          <w:p w:rsidR="00747360" w:rsidRPr="00CE5BD0" w:rsidRDefault="00747360" w:rsidP="00747360">
            <w:pPr>
              <w:jc w:val="right"/>
              <w:rPr>
                <w:color w:val="000000"/>
              </w:rPr>
            </w:pPr>
          </w:p>
        </w:tc>
        <w:tc>
          <w:tcPr>
            <w:tcW w:w="907" w:type="dxa"/>
            <w:tcBorders>
              <w:left w:val="nil"/>
              <w:bottom w:val="nil"/>
            </w:tcBorders>
            <w:vAlign w:val="center"/>
          </w:tcPr>
          <w:p w:rsidR="00747360" w:rsidRPr="00CE5BD0" w:rsidRDefault="00747360" w:rsidP="00747360">
            <w:pPr>
              <w:jc w:val="right"/>
              <w:rPr>
                <w:color w:val="000000"/>
              </w:rPr>
            </w:pPr>
          </w:p>
        </w:tc>
        <w:tc>
          <w:tcPr>
            <w:tcW w:w="340" w:type="dxa"/>
            <w:tcBorders>
              <w:left w:val="nil"/>
              <w:bottom w:val="nil"/>
            </w:tcBorders>
            <w:vAlign w:val="center"/>
          </w:tcPr>
          <w:p w:rsidR="00747360" w:rsidRPr="00CE5BD0" w:rsidRDefault="00747360" w:rsidP="00747360">
            <w:pPr>
              <w:jc w:val="right"/>
              <w:rPr>
                <w:color w:val="000000"/>
              </w:rPr>
            </w:pPr>
          </w:p>
        </w:tc>
        <w:tc>
          <w:tcPr>
            <w:tcW w:w="907" w:type="dxa"/>
            <w:tcBorders>
              <w:left w:val="nil"/>
              <w:bottom w:val="nil"/>
            </w:tcBorders>
            <w:vAlign w:val="center"/>
          </w:tcPr>
          <w:p w:rsidR="00747360" w:rsidRPr="00CE5BD0" w:rsidRDefault="00747360" w:rsidP="00747360">
            <w:pPr>
              <w:jc w:val="right"/>
              <w:rPr>
                <w:color w:val="000000"/>
              </w:rPr>
            </w:pPr>
          </w:p>
        </w:tc>
        <w:tc>
          <w:tcPr>
            <w:tcW w:w="340" w:type="dxa"/>
            <w:tcBorders>
              <w:left w:val="nil"/>
              <w:bottom w:val="nil"/>
            </w:tcBorders>
            <w:vAlign w:val="center"/>
          </w:tcPr>
          <w:p w:rsidR="00747360" w:rsidRPr="00CE5BD0" w:rsidRDefault="00747360" w:rsidP="00747360">
            <w:pPr>
              <w:jc w:val="right"/>
              <w:rPr>
                <w:color w:val="000000"/>
              </w:rPr>
            </w:pPr>
          </w:p>
        </w:tc>
        <w:tc>
          <w:tcPr>
            <w:tcW w:w="907" w:type="dxa"/>
            <w:tcBorders>
              <w:left w:val="nil"/>
              <w:bottom w:val="nil"/>
            </w:tcBorders>
            <w:vAlign w:val="center"/>
          </w:tcPr>
          <w:p w:rsidR="00747360" w:rsidRPr="00CE5BD0" w:rsidRDefault="00747360" w:rsidP="00747360">
            <w:pPr>
              <w:jc w:val="right"/>
              <w:rPr>
                <w:color w:val="000000"/>
              </w:rPr>
            </w:pPr>
          </w:p>
        </w:tc>
        <w:tc>
          <w:tcPr>
            <w:tcW w:w="340" w:type="dxa"/>
            <w:tcBorders>
              <w:left w:val="nil"/>
              <w:bottom w:val="nil"/>
            </w:tcBorders>
            <w:vAlign w:val="center"/>
          </w:tcPr>
          <w:p w:rsidR="00747360" w:rsidRPr="00CE5BD0" w:rsidRDefault="00747360" w:rsidP="00747360">
            <w:pPr>
              <w:jc w:val="right"/>
              <w:rPr>
                <w:color w:val="000000"/>
              </w:rPr>
            </w:pPr>
          </w:p>
        </w:tc>
        <w:tc>
          <w:tcPr>
            <w:tcW w:w="907" w:type="dxa"/>
            <w:tcBorders>
              <w:left w:val="nil"/>
              <w:bottom w:val="nil"/>
            </w:tcBorders>
            <w:vAlign w:val="center"/>
          </w:tcPr>
          <w:p w:rsidR="00747360" w:rsidRPr="00CE5BD0" w:rsidRDefault="00747360" w:rsidP="00747360">
            <w:pPr>
              <w:jc w:val="right"/>
              <w:rPr>
                <w:color w:val="000000"/>
              </w:rPr>
            </w:pPr>
          </w:p>
        </w:tc>
        <w:tc>
          <w:tcPr>
            <w:tcW w:w="340" w:type="dxa"/>
            <w:tcBorders>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Consumo Cíclico</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-0,0565</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[0,575]</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Consumo Não Cíclico</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-0,3257</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[0.000]</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Energia</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-0,1541</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[0,360]</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Saúde</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-0,4928</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682FA6">
        <w:trPr>
          <w:trHeight w:val="20"/>
        </w:trPr>
        <w:tc>
          <w:tcPr>
            <w:tcW w:w="1729" w:type="dxa"/>
            <w:vMerge/>
            <w:tcBorders>
              <w:bottom w:val="single" w:sz="4" w:space="0" w:color="auto"/>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single" w:sz="4" w:space="0" w:color="auto"/>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single" w:sz="4" w:space="0" w:color="auto"/>
            </w:tcBorders>
            <w:vAlign w:val="center"/>
          </w:tcPr>
          <w:p w:rsidR="00747360" w:rsidRPr="00CE5BD0" w:rsidRDefault="00747360" w:rsidP="00747360">
            <w:pPr>
              <w:jc w:val="right"/>
              <w:rPr>
                <w:color w:val="000000"/>
              </w:rPr>
            </w:pPr>
          </w:p>
        </w:tc>
        <w:tc>
          <w:tcPr>
            <w:tcW w:w="907" w:type="dxa"/>
            <w:vMerge/>
            <w:tcBorders>
              <w:bottom w:val="single" w:sz="4" w:space="0" w:color="auto"/>
            </w:tcBorders>
            <w:vAlign w:val="center"/>
          </w:tcPr>
          <w:p w:rsidR="00747360" w:rsidRPr="00CE5BD0" w:rsidRDefault="00747360" w:rsidP="00747360">
            <w:pPr>
              <w:jc w:val="right"/>
              <w:rPr>
                <w:color w:val="000000"/>
              </w:rPr>
            </w:pPr>
          </w:p>
        </w:tc>
        <w:tc>
          <w:tcPr>
            <w:tcW w:w="340" w:type="dxa"/>
            <w:tcBorders>
              <w:top w:val="nil"/>
              <w:left w:val="nil"/>
              <w:bottom w:val="single" w:sz="4" w:space="0" w:color="auto"/>
            </w:tcBorders>
            <w:vAlign w:val="center"/>
          </w:tcPr>
          <w:p w:rsidR="00747360" w:rsidRPr="00CE5BD0" w:rsidRDefault="00747360" w:rsidP="00747360">
            <w:pPr>
              <w:jc w:val="right"/>
              <w:rPr>
                <w:color w:val="000000"/>
              </w:rPr>
            </w:pPr>
          </w:p>
        </w:tc>
        <w:tc>
          <w:tcPr>
            <w:tcW w:w="907" w:type="dxa"/>
            <w:vMerge/>
            <w:tcBorders>
              <w:left w:val="nil"/>
              <w:bottom w:val="single" w:sz="4" w:space="0" w:color="auto"/>
            </w:tcBorders>
            <w:vAlign w:val="center"/>
          </w:tcPr>
          <w:p w:rsidR="00747360" w:rsidRPr="00CE5BD0" w:rsidRDefault="00747360" w:rsidP="00747360">
            <w:pPr>
              <w:jc w:val="right"/>
              <w:rPr>
                <w:color w:val="000000"/>
              </w:rPr>
            </w:pPr>
          </w:p>
        </w:tc>
        <w:tc>
          <w:tcPr>
            <w:tcW w:w="340" w:type="dxa"/>
            <w:tcBorders>
              <w:top w:val="nil"/>
              <w:left w:val="nil"/>
              <w:bottom w:val="single" w:sz="4" w:space="0" w:color="auto"/>
            </w:tcBorders>
            <w:vAlign w:val="center"/>
          </w:tcPr>
          <w:p w:rsidR="00747360" w:rsidRPr="00CE5BD0" w:rsidRDefault="00747360" w:rsidP="00747360">
            <w:pPr>
              <w:jc w:val="right"/>
              <w:rPr>
                <w:color w:val="000000"/>
              </w:rPr>
            </w:pPr>
          </w:p>
        </w:tc>
        <w:tc>
          <w:tcPr>
            <w:tcW w:w="907" w:type="dxa"/>
            <w:vMerge/>
            <w:tcBorders>
              <w:left w:val="nil"/>
              <w:bottom w:val="single" w:sz="4" w:space="0" w:color="auto"/>
            </w:tcBorders>
            <w:vAlign w:val="center"/>
          </w:tcPr>
          <w:p w:rsidR="00747360" w:rsidRPr="00CE5BD0" w:rsidRDefault="00747360" w:rsidP="00747360">
            <w:pPr>
              <w:jc w:val="right"/>
              <w:rPr>
                <w:color w:val="000000"/>
              </w:rPr>
            </w:pPr>
          </w:p>
        </w:tc>
        <w:tc>
          <w:tcPr>
            <w:tcW w:w="340" w:type="dxa"/>
            <w:tcBorders>
              <w:top w:val="nil"/>
              <w:left w:val="nil"/>
              <w:bottom w:val="single" w:sz="4" w:space="0" w:color="auto"/>
            </w:tcBorders>
            <w:vAlign w:val="center"/>
          </w:tcPr>
          <w:p w:rsidR="00747360" w:rsidRPr="00CE5BD0" w:rsidRDefault="00747360" w:rsidP="00747360">
            <w:pPr>
              <w:jc w:val="right"/>
              <w:rPr>
                <w:color w:val="000000"/>
              </w:rPr>
            </w:pPr>
          </w:p>
        </w:tc>
        <w:tc>
          <w:tcPr>
            <w:tcW w:w="907" w:type="dxa"/>
            <w:vMerge/>
            <w:tcBorders>
              <w:left w:val="nil"/>
              <w:bottom w:val="single" w:sz="4" w:space="0" w:color="auto"/>
            </w:tcBorders>
            <w:vAlign w:val="center"/>
          </w:tcPr>
          <w:p w:rsidR="00747360" w:rsidRPr="00CE5BD0" w:rsidRDefault="00747360" w:rsidP="00747360">
            <w:pPr>
              <w:jc w:val="right"/>
              <w:rPr>
                <w:color w:val="000000"/>
              </w:rPr>
            </w:pPr>
          </w:p>
        </w:tc>
        <w:tc>
          <w:tcPr>
            <w:tcW w:w="340" w:type="dxa"/>
            <w:tcBorders>
              <w:top w:val="nil"/>
              <w:left w:val="nil"/>
              <w:bottom w:val="single" w:sz="4" w:space="0" w:color="auto"/>
            </w:tcBorders>
            <w:vAlign w:val="center"/>
          </w:tcPr>
          <w:p w:rsidR="00747360" w:rsidRPr="00CE5BD0" w:rsidRDefault="00747360" w:rsidP="00747360">
            <w:pPr>
              <w:jc w:val="right"/>
              <w:rPr>
                <w:color w:val="000000"/>
              </w:rPr>
            </w:pPr>
          </w:p>
        </w:tc>
        <w:tc>
          <w:tcPr>
            <w:tcW w:w="907" w:type="dxa"/>
            <w:tcBorders>
              <w:top w:val="nil"/>
              <w:left w:val="nil"/>
              <w:bottom w:val="single" w:sz="4" w:space="0" w:color="auto"/>
            </w:tcBorders>
            <w:vAlign w:val="center"/>
          </w:tcPr>
          <w:p w:rsidR="00747360" w:rsidRPr="00CE5BD0" w:rsidRDefault="00747360" w:rsidP="00747360">
            <w:pPr>
              <w:jc w:val="right"/>
              <w:rPr>
                <w:color w:val="000000"/>
              </w:rPr>
            </w:pPr>
            <w:r w:rsidRPr="00CE5BD0">
              <w:rPr>
                <w:color w:val="000000"/>
              </w:rPr>
              <w:t>[0,000]</w:t>
            </w:r>
          </w:p>
        </w:tc>
        <w:tc>
          <w:tcPr>
            <w:tcW w:w="340" w:type="dxa"/>
            <w:tcBorders>
              <w:top w:val="nil"/>
              <w:left w:val="nil"/>
              <w:bottom w:val="single" w:sz="4" w:space="0" w:color="auto"/>
            </w:tcBorders>
            <w:vAlign w:val="center"/>
          </w:tcPr>
          <w:p w:rsidR="00747360" w:rsidRPr="00CE5BD0" w:rsidRDefault="00747360" w:rsidP="00747360">
            <w:pPr>
              <w:jc w:val="right"/>
              <w:rPr>
                <w:color w:val="000000"/>
              </w:rPr>
            </w:pPr>
          </w:p>
        </w:tc>
      </w:tr>
      <w:tr w:rsidR="00682FA6" w:rsidRPr="00E82EA6" w:rsidTr="00682FA6">
        <w:trPr>
          <w:trHeight w:val="20"/>
        </w:trPr>
        <w:tc>
          <w:tcPr>
            <w:tcW w:w="1729" w:type="dxa"/>
            <w:tcBorders>
              <w:top w:val="single" w:sz="4" w:space="0" w:color="auto"/>
            </w:tcBorders>
            <w:shd w:val="clear" w:color="auto" w:fill="auto"/>
            <w:noWrap/>
            <w:vAlign w:val="center"/>
            <w:hideMark/>
          </w:tcPr>
          <w:p w:rsidR="00682FA6" w:rsidRPr="00CE5BD0" w:rsidRDefault="00682FA6" w:rsidP="00747360">
            <w:pPr>
              <w:ind w:left="180"/>
              <w:rPr>
                <w:i/>
                <w:color w:val="000000"/>
              </w:rPr>
            </w:pPr>
            <w:r>
              <w:rPr>
                <w:i/>
                <w:color w:val="000000"/>
              </w:rPr>
              <w:t>Continua</w:t>
            </w:r>
          </w:p>
        </w:tc>
        <w:tc>
          <w:tcPr>
            <w:tcW w:w="907" w:type="dxa"/>
            <w:tcBorders>
              <w:top w:val="single" w:sz="4" w:space="0" w:color="auto"/>
            </w:tcBorders>
            <w:shd w:val="clear" w:color="auto" w:fill="auto"/>
            <w:noWrap/>
            <w:vAlign w:val="center"/>
            <w:hideMark/>
          </w:tcPr>
          <w:p w:rsidR="00682FA6" w:rsidRPr="00CE5BD0" w:rsidRDefault="00682FA6" w:rsidP="00747360">
            <w:pPr>
              <w:jc w:val="right"/>
              <w:rPr>
                <w:color w:val="000000"/>
              </w:rPr>
            </w:pPr>
          </w:p>
        </w:tc>
        <w:tc>
          <w:tcPr>
            <w:tcW w:w="340" w:type="dxa"/>
            <w:tcBorders>
              <w:top w:val="single" w:sz="4" w:space="0" w:color="auto"/>
              <w:bottom w:val="nil"/>
            </w:tcBorders>
            <w:vAlign w:val="center"/>
          </w:tcPr>
          <w:p w:rsidR="00682FA6" w:rsidRPr="00CE5BD0" w:rsidRDefault="00682FA6" w:rsidP="00747360">
            <w:pPr>
              <w:jc w:val="right"/>
              <w:rPr>
                <w:color w:val="000000"/>
              </w:rPr>
            </w:pPr>
          </w:p>
        </w:tc>
        <w:tc>
          <w:tcPr>
            <w:tcW w:w="907" w:type="dxa"/>
            <w:tcBorders>
              <w:top w:val="single" w:sz="4" w:space="0" w:color="auto"/>
            </w:tcBorders>
            <w:vAlign w:val="center"/>
          </w:tcPr>
          <w:p w:rsidR="00682FA6" w:rsidRPr="00CE5BD0" w:rsidRDefault="00682FA6" w:rsidP="00747360">
            <w:pPr>
              <w:jc w:val="right"/>
              <w:rPr>
                <w:color w:val="000000"/>
              </w:rPr>
            </w:pPr>
          </w:p>
        </w:tc>
        <w:tc>
          <w:tcPr>
            <w:tcW w:w="340" w:type="dxa"/>
            <w:tcBorders>
              <w:top w:val="single" w:sz="4" w:space="0" w:color="auto"/>
              <w:left w:val="nil"/>
              <w:bottom w:val="nil"/>
            </w:tcBorders>
            <w:vAlign w:val="center"/>
          </w:tcPr>
          <w:p w:rsidR="00682FA6" w:rsidRPr="00CE5BD0" w:rsidRDefault="00682FA6" w:rsidP="00747360">
            <w:pPr>
              <w:jc w:val="right"/>
              <w:rPr>
                <w:color w:val="000000"/>
              </w:rPr>
            </w:pPr>
          </w:p>
        </w:tc>
        <w:tc>
          <w:tcPr>
            <w:tcW w:w="907" w:type="dxa"/>
            <w:tcBorders>
              <w:top w:val="single" w:sz="4" w:space="0" w:color="auto"/>
              <w:left w:val="nil"/>
            </w:tcBorders>
            <w:vAlign w:val="center"/>
          </w:tcPr>
          <w:p w:rsidR="00682FA6" w:rsidRPr="00CE5BD0" w:rsidRDefault="00682FA6" w:rsidP="00747360">
            <w:pPr>
              <w:jc w:val="right"/>
              <w:rPr>
                <w:color w:val="000000"/>
              </w:rPr>
            </w:pPr>
          </w:p>
        </w:tc>
        <w:tc>
          <w:tcPr>
            <w:tcW w:w="340" w:type="dxa"/>
            <w:tcBorders>
              <w:top w:val="single" w:sz="4" w:space="0" w:color="auto"/>
              <w:left w:val="nil"/>
              <w:bottom w:val="nil"/>
            </w:tcBorders>
            <w:vAlign w:val="center"/>
          </w:tcPr>
          <w:p w:rsidR="00682FA6" w:rsidRPr="00CE5BD0" w:rsidRDefault="00682FA6" w:rsidP="00747360">
            <w:pPr>
              <w:jc w:val="right"/>
              <w:rPr>
                <w:color w:val="000000"/>
              </w:rPr>
            </w:pPr>
          </w:p>
        </w:tc>
        <w:tc>
          <w:tcPr>
            <w:tcW w:w="907" w:type="dxa"/>
            <w:tcBorders>
              <w:top w:val="single" w:sz="4" w:space="0" w:color="auto"/>
              <w:left w:val="nil"/>
            </w:tcBorders>
            <w:vAlign w:val="center"/>
          </w:tcPr>
          <w:p w:rsidR="00682FA6" w:rsidRPr="00CE5BD0" w:rsidRDefault="00682FA6" w:rsidP="00747360">
            <w:pPr>
              <w:jc w:val="right"/>
              <w:rPr>
                <w:color w:val="000000"/>
              </w:rPr>
            </w:pPr>
          </w:p>
        </w:tc>
        <w:tc>
          <w:tcPr>
            <w:tcW w:w="340" w:type="dxa"/>
            <w:tcBorders>
              <w:top w:val="single" w:sz="4" w:space="0" w:color="auto"/>
              <w:left w:val="nil"/>
              <w:bottom w:val="nil"/>
            </w:tcBorders>
            <w:vAlign w:val="center"/>
          </w:tcPr>
          <w:p w:rsidR="00682FA6" w:rsidRPr="00CE5BD0" w:rsidRDefault="00682FA6" w:rsidP="00747360">
            <w:pPr>
              <w:jc w:val="right"/>
              <w:rPr>
                <w:color w:val="000000"/>
              </w:rPr>
            </w:pPr>
          </w:p>
        </w:tc>
        <w:tc>
          <w:tcPr>
            <w:tcW w:w="907" w:type="dxa"/>
            <w:tcBorders>
              <w:top w:val="single" w:sz="4" w:space="0" w:color="auto"/>
              <w:left w:val="nil"/>
            </w:tcBorders>
            <w:vAlign w:val="center"/>
          </w:tcPr>
          <w:p w:rsidR="00682FA6" w:rsidRPr="00CE5BD0" w:rsidRDefault="00682FA6" w:rsidP="00747360">
            <w:pPr>
              <w:jc w:val="right"/>
              <w:rPr>
                <w:color w:val="000000"/>
              </w:rPr>
            </w:pPr>
          </w:p>
        </w:tc>
        <w:tc>
          <w:tcPr>
            <w:tcW w:w="340" w:type="dxa"/>
            <w:tcBorders>
              <w:top w:val="single" w:sz="4" w:space="0" w:color="auto"/>
              <w:left w:val="nil"/>
              <w:bottom w:val="nil"/>
            </w:tcBorders>
            <w:vAlign w:val="center"/>
          </w:tcPr>
          <w:p w:rsidR="00682FA6" w:rsidRPr="00CE5BD0" w:rsidRDefault="00682FA6" w:rsidP="00747360">
            <w:pPr>
              <w:jc w:val="right"/>
              <w:rPr>
                <w:color w:val="000000"/>
              </w:rPr>
            </w:pPr>
          </w:p>
        </w:tc>
        <w:tc>
          <w:tcPr>
            <w:tcW w:w="907" w:type="dxa"/>
            <w:tcBorders>
              <w:top w:val="single" w:sz="4" w:space="0" w:color="auto"/>
              <w:left w:val="nil"/>
              <w:bottom w:val="nil"/>
            </w:tcBorders>
            <w:vAlign w:val="center"/>
          </w:tcPr>
          <w:p w:rsidR="00682FA6" w:rsidRPr="00CE5BD0" w:rsidRDefault="00682FA6" w:rsidP="00747360">
            <w:pPr>
              <w:jc w:val="right"/>
              <w:rPr>
                <w:color w:val="000000"/>
              </w:rPr>
            </w:pPr>
          </w:p>
        </w:tc>
        <w:tc>
          <w:tcPr>
            <w:tcW w:w="340" w:type="dxa"/>
            <w:tcBorders>
              <w:top w:val="single" w:sz="4" w:space="0" w:color="auto"/>
              <w:left w:val="nil"/>
              <w:bottom w:val="nil"/>
            </w:tcBorders>
            <w:vAlign w:val="center"/>
          </w:tcPr>
          <w:p w:rsidR="00682FA6" w:rsidRPr="00CE5BD0" w:rsidRDefault="00682FA6" w:rsidP="00747360">
            <w:pPr>
              <w:jc w:val="right"/>
              <w:rPr>
                <w:color w:val="000000"/>
              </w:rPr>
            </w:pPr>
          </w:p>
        </w:tc>
      </w:tr>
      <w:tr w:rsidR="00682FA6" w:rsidRPr="00E82EA6" w:rsidTr="00747360">
        <w:trPr>
          <w:trHeight w:val="20"/>
        </w:trPr>
        <w:tc>
          <w:tcPr>
            <w:tcW w:w="1729" w:type="dxa"/>
            <w:tcBorders>
              <w:top w:val="nil"/>
            </w:tcBorders>
            <w:shd w:val="clear" w:color="auto" w:fill="auto"/>
            <w:noWrap/>
            <w:vAlign w:val="center"/>
            <w:hideMark/>
          </w:tcPr>
          <w:p w:rsidR="00682FA6" w:rsidRPr="00CE5BD0" w:rsidRDefault="00682FA6" w:rsidP="00747360">
            <w:pPr>
              <w:ind w:left="180"/>
              <w:rPr>
                <w:i/>
                <w:color w:val="000000"/>
              </w:rPr>
            </w:pPr>
          </w:p>
        </w:tc>
        <w:tc>
          <w:tcPr>
            <w:tcW w:w="907" w:type="dxa"/>
            <w:tcBorders>
              <w:top w:val="nil"/>
            </w:tcBorders>
            <w:shd w:val="clear" w:color="auto" w:fill="auto"/>
            <w:noWrap/>
            <w:vAlign w:val="center"/>
            <w:hideMark/>
          </w:tcPr>
          <w:p w:rsidR="00682FA6" w:rsidRPr="00CE5BD0" w:rsidRDefault="00682FA6" w:rsidP="00747360">
            <w:pPr>
              <w:jc w:val="right"/>
              <w:rPr>
                <w:color w:val="000000"/>
              </w:rPr>
            </w:pPr>
          </w:p>
        </w:tc>
        <w:tc>
          <w:tcPr>
            <w:tcW w:w="340" w:type="dxa"/>
            <w:tcBorders>
              <w:top w:val="nil"/>
              <w:bottom w:val="nil"/>
            </w:tcBorders>
            <w:vAlign w:val="center"/>
          </w:tcPr>
          <w:p w:rsidR="00682FA6" w:rsidRPr="00CE5BD0" w:rsidRDefault="00682FA6" w:rsidP="00747360">
            <w:pPr>
              <w:jc w:val="right"/>
              <w:rPr>
                <w:color w:val="000000"/>
              </w:rPr>
            </w:pPr>
          </w:p>
        </w:tc>
        <w:tc>
          <w:tcPr>
            <w:tcW w:w="907" w:type="dxa"/>
            <w:tcBorders>
              <w:top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bottom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r>
      <w:tr w:rsidR="00682FA6" w:rsidRPr="00E82EA6" w:rsidTr="00747360">
        <w:trPr>
          <w:trHeight w:val="20"/>
        </w:trPr>
        <w:tc>
          <w:tcPr>
            <w:tcW w:w="1729" w:type="dxa"/>
            <w:tcBorders>
              <w:top w:val="nil"/>
            </w:tcBorders>
            <w:shd w:val="clear" w:color="auto" w:fill="auto"/>
            <w:noWrap/>
            <w:vAlign w:val="center"/>
            <w:hideMark/>
          </w:tcPr>
          <w:p w:rsidR="00682FA6" w:rsidRPr="00CE5BD0" w:rsidRDefault="00682FA6" w:rsidP="00747360">
            <w:pPr>
              <w:ind w:left="180"/>
              <w:rPr>
                <w:i/>
                <w:color w:val="000000"/>
              </w:rPr>
            </w:pPr>
            <w:r>
              <w:rPr>
                <w:i/>
                <w:color w:val="000000"/>
              </w:rPr>
              <w:lastRenderedPageBreak/>
              <w:t>Continuação</w:t>
            </w:r>
          </w:p>
        </w:tc>
        <w:tc>
          <w:tcPr>
            <w:tcW w:w="907" w:type="dxa"/>
            <w:tcBorders>
              <w:top w:val="nil"/>
            </w:tcBorders>
            <w:shd w:val="clear" w:color="auto" w:fill="auto"/>
            <w:noWrap/>
            <w:vAlign w:val="center"/>
            <w:hideMark/>
          </w:tcPr>
          <w:p w:rsidR="00682FA6" w:rsidRPr="00CE5BD0" w:rsidRDefault="00682FA6" w:rsidP="00747360">
            <w:pPr>
              <w:jc w:val="right"/>
              <w:rPr>
                <w:color w:val="000000"/>
              </w:rPr>
            </w:pPr>
          </w:p>
        </w:tc>
        <w:tc>
          <w:tcPr>
            <w:tcW w:w="340" w:type="dxa"/>
            <w:tcBorders>
              <w:top w:val="nil"/>
              <w:bottom w:val="nil"/>
            </w:tcBorders>
            <w:vAlign w:val="center"/>
          </w:tcPr>
          <w:p w:rsidR="00682FA6" w:rsidRPr="00CE5BD0" w:rsidRDefault="00682FA6" w:rsidP="00747360">
            <w:pPr>
              <w:jc w:val="right"/>
              <w:rPr>
                <w:color w:val="000000"/>
              </w:rPr>
            </w:pPr>
          </w:p>
        </w:tc>
        <w:tc>
          <w:tcPr>
            <w:tcW w:w="907" w:type="dxa"/>
            <w:tcBorders>
              <w:top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c>
          <w:tcPr>
            <w:tcW w:w="907" w:type="dxa"/>
            <w:tcBorders>
              <w:top w:val="nil"/>
              <w:left w:val="nil"/>
              <w:bottom w:val="nil"/>
            </w:tcBorders>
            <w:vAlign w:val="center"/>
          </w:tcPr>
          <w:p w:rsidR="00682FA6" w:rsidRPr="00CE5BD0" w:rsidRDefault="00682FA6" w:rsidP="00747360">
            <w:pPr>
              <w:jc w:val="right"/>
              <w:rPr>
                <w:color w:val="000000"/>
              </w:rPr>
            </w:pPr>
          </w:p>
        </w:tc>
        <w:tc>
          <w:tcPr>
            <w:tcW w:w="340" w:type="dxa"/>
            <w:tcBorders>
              <w:top w:val="nil"/>
              <w:left w:val="nil"/>
              <w:bottom w:val="nil"/>
            </w:tcBorders>
            <w:vAlign w:val="center"/>
          </w:tcPr>
          <w:p w:rsidR="00682FA6" w:rsidRPr="00CE5BD0" w:rsidRDefault="00682FA6" w:rsidP="00747360">
            <w:pPr>
              <w:jc w:val="right"/>
              <w:rPr>
                <w:color w:val="000000"/>
              </w:rPr>
            </w:pPr>
          </w:p>
        </w:tc>
      </w:tr>
      <w:tr w:rsidR="00682FA6" w:rsidRPr="00302F0B" w:rsidTr="004E3B0D">
        <w:trPr>
          <w:trHeight w:val="20"/>
        </w:trPr>
        <w:tc>
          <w:tcPr>
            <w:tcW w:w="1729" w:type="dxa"/>
            <w:tcBorders>
              <w:top w:val="single" w:sz="8" w:space="0" w:color="auto"/>
              <w:bottom w:val="single" w:sz="8" w:space="0" w:color="auto"/>
            </w:tcBorders>
            <w:shd w:val="clear" w:color="auto" w:fill="auto"/>
            <w:noWrap/>
            <w:vAlign w:val="center"/>
            <w:hideMark/>
          </w:tcPr>
          <w:p w:rsidR="00682FA6" w:rsidRPr="00CE5BD0" w:rsidRDefault="00682FA6" w:rsidP="004E3B0D">
            <w:pPr>
              <w:jc w:val="center"/>
              <w:rPr>
                <w:b/>
                <w:bCs/>
                <w:color w:val="000000"/>
              </w:rPr>
            </w:pPr>
            <w:r w:rsidRPr="00CE5BD0">
              <w:rPr>
                <w:b/>
                <w:bCs/>
                <w:color w:val="000000"/>
              </w:rPr>
              <w:t>Variáveis</w:t>
            </w:r>
          </w:p>
        </w:tc>
        <w:tc>
          <w:tcPr>
            <w:tcW w:w="1247" w:type="dxa"/>
            <w:gridSpan w:val="2"/>
            <w:tcBorders>
              <w:top w:val="single" w:sz="8" w:space="0" w:color="auto"/>
              <w:bottom w:val="single" w:sz="8" w:space="0" w:color="auto"/>
            </w:tcBorders>
            <w:shd w:val="clear" w:color="auto" w:fill="auto"/>
            <w:noWrap/>
            <w:vAlign w:val="center"/>
            <w:hideMark/>
          </w:tcPr>
          <w:p w:rsidR="00682FA6" w:rsidRPr="00CE5BD0" w:rsidRDefault="00682FA6" w:rsidP="004E3B0D">
            <w:pPr>
              <w:jc w:val="center"/>
              <w:rPr>
                <w:b/>
                <w:bCs/>
                <w:color w:val="000000"/>
              </w:rPr>
            </w:pPr>
            <w:r w:rsidRPr="00CE5BD0">
              <w:rPr>
                <w:b/>
                <w:bCs/>
                <w:color w:val="000000"/>
              </w:rPr>
              <w:t>Geral</w:t>
            </w:r>
          </w:p>
        </w:tc>
        <w:tc>
          <w:tcPr>
            <w:tcW w:w="1247" w:type="dxa"/>
            <w:gridSpan w:val="2"/>
            <w:tcBorders>
              <w:top w:val="single" w:sz="8" w:space="0" w:color="auto"/>
              <w:bottom w:val="single" w:sz="8" w:space="0" w:color="auto"/>
            </w:tcBorders>
            <w:vAlign w:val="center"/>
          </w:tcPr>
          <w:p w:rsidR="00682FA6" w:rsidRPr="00CE5BD0" w:rsidRDefault="00682FA6" w:rsidP="004E3B0D">
            <w:pPr>
              <w:jc w:val="center"/>
              <w:rPr>
                <w:b/>
                <w:bCs/>
                <w:color w:val="000000"/>
              </w:rPr>
            </w:pPr>
            <w:r w:rsidRPr="00CE5BD0">
              <w:rPr>
                <w:b/>
                <w:bCs/>
                <w:color w:val="000000"/>
              </w:rPr>
              <w:t>Introdução</w:t>
            </w:r>
          </w:p>
        </w:tc>
        <w:tc>
          <w:tcPr>
            <w:tcW w:w="1247" w:type="dxa"/>
            <w:gridSpan w:val="2"/>
            <w:tcBorders>
              <w:top w:val="single" w:sz="8" w:space="0" w:color="auto"/>
              <w:bottom w:val="single" w:sz="8" w:space="0" w:color="auto"/>
            </w:tcBorders>
            <w:vAlign w:val="center"/>
          </w:tcPr>
          <w:p w:rsidR="00682FA6" w:rsidRPr="00CE5BD0" w:rsidRDefault="00682FA6" w:rsidP="004E3B0D">
            <w:pPr>
              <w:jc w:val="center"/>
              <w:rPr>
                <w:b/>
                <w:bCs/>
                <w:color w:val="000000"/>
              </w:rPr>
            </w:pPr>
            <w:r w:rsidRPr="00CE5BD0">
              <w:rPr>
                <w:b/>
                <w:bCs/>
                <w:color w:val="000000"/>
              </w:rPr>
              <w:t>Crescimento</w:t>
            </w:r>
          </w:p>
        </w:tc>
        <w:tc>
          <w:tcPr>
            <w:tcW w:w="1247" w:type="dxa"/>
            <w:gridSpan w:val="2"/>
            <w:tcBorders>
              <w:top w:val="single" w:sz="8" w:space="0" w:color="auto"/>
              <w:bottom w:val="single" w:sz="8" w:space="0" w:color="auto"/>
            </w:tcBorders>
            <w:vAlign w:val="center"/>
          </w:tcPr>
          <w:p w:rsidR="00682FA6" w:rsidRPr="00CE5BD0" w:rsidRDefault="00682FA6" w:rsidP="004E3B0D">
            <w:pPr>
              <w:jc w:val="center"/>
              <w:rPr>
                <w:b/>
                <w:bCs/>
                <w:color w:val="000000"/>
              </w:rPr>
            </w:pPr>
            <w:r w:rsidRPr="00CE5BD0">
              <w:rPr>
                <w:b/>
                <w:bCs/>
                <w:color w:val="000000"/>
              </w:rPr>
              <w:t>Maturidade</w:t>
            </w:r>
          </w:p>
        </w:tc>
        <w:tc>
          <w:tcPr>
            <w:tcW w:w="1247" w:type="dxa"/>
            <w:gridSpan w:val="2"/>
            <w:tcBorders>
              <w:top w:val="single" w:sz="8" w:space="0" w:color="auto"/>
              <w:bottom w:val="single" w:sz="8" w:space="0" w:color="auto"/>
            </w:tcBorders>
            <w:vAlign w:val="center"/>
          </w:tcPr>
          <w:p w:rsidR="00682FA6" w:rsidRPr="00CE5BD0" w:rsidRDefault="00682FA6" w:rsidP="004E3B0D">
            <w:pPr>
              <w:jc w:val="center"/>
              <w:rPr>
                <w:b/>
                <w:bCs/>
                <w:color w:val="000000"/>
              </w:rPr>
            </w:pPr>
            <w:r w:rsidRPr="00CE5BD0">
              <w:rPr>
                <w:b/>
                <w:bCs/>
                <w:color w:val="000000"/>
              </w:rPr>
              <w:t>Reestrutu-ração</w:t>
            </w:r>
          </w:p>
        </w:tc>
        <w:tc>
          <w:tcPr>
            <w:tcW w:w="1247" w:type="dxa"/>
            <w:gridSpan w:val="2"/>
            <w:tcBorders>
              <w:top w:val="single" w:sz="8" w:space="0" w:color="auto"/>
              <w:bottom w:val="single" w:sz="8" w:space="0" w:color="auto"/>
            </w:tcBorders>
            <w:vAlign w:val="center"/>
          </w:tcPr>
          <w:p w:rsidR="00682FA6" w:rsidRPr="00CE5BD0" w:rsidRDefault="00682FA6" w:rsidP="004E3B0D">
            <w:pPr>
              <w:jc w:val="center"/>
              <w:rPr>
                <w:b/>
                <w:bCs/>
                <w:color w:val="000000"/>
              </w:rPr>
            </w:pPr>
            <w:r w:rsidRPr="00CE5BD0">
              <w:rPr>
                <w:b/>
                <w:bCs/>
                <w:color w:val="000000"/>
              </w:rPr>
              <w:t>Declínio</w:t>
            </w: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Indústria</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-0,1208</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[0,221]</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Tecnologia</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-0,1749</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[0,102]</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Telecomunic.</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-0,3023</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i/>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tcBorders>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[0,019]</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vMerge w:val="restart"/>
            <w:tcBorders>
              <w:top w:val="nil"/>
            </w:tcBorders>
            <w:shd w:val="clear" w:color="auto" w:fill="auto"/>
            <w:noWrap/>
            <w:vAlign w:val="center"/>
            <w:hideMark/>
          </w:tcPr>
          <w:p w:rsidR="00747360" w:rsidRPr="00CE5BD0" w:rsidRDefault="00747360" w:rsidP="00747360">
            <w:pPr>
              <w:ind w:left="180"/>
              <w:rPr>
                <w:i/>
                <w:color w:val="000000"/>
              </w:rPr>
            </w:pPr>
            <w:r w:rsidRPr="00CE5BD0">
              <w:rPr>
                <w:i/>
                <w:color w:val="000000"/>
              </w:rPr>
              <w:t>Utilidades</w:t>
            </w:r>
          </w:p>
        </w:tc>
        <w:tc>
          <w:tcPr>
            <w:tcW w:w="907" w:type="dxa"/>
            <w:vMerge w:val="restart"/>
            <w:tcBorders>
              <w:top w:val="nil"/>
            </w:tcBorders>
            <w:shd w:val="clear" w:color="auto" w:fill="auto"/>
            <w:noWrap/>
            <w:vAlign w:val="center"/>
            <w:hideMark/>
          </w:tcPr>
          <w:p w:rsidR="00747360" w:rsidRPr="00CE5BD0" w:rsidRDefault="00747360" w:rsidP="00747360">
            <w:pPr>
              <w:jc w:val="right"/>
              <w:rPr>
                <w:color w:val="000000"/>
              </w:rPr>
            </w:pPr>
            <w:r w:rsidRPr="00CE5BD0">
              <w:rPr>
                <w:color w:val="000000"/>
              </w:rPr>
              <w:t>-</w:t>
            </w: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restart"/>
            <w:tcBorders>
              <w:top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val="restart"/>
            <w:tcBorders>
              <w:top w:val="nil"/>
              <w:left w:val="nil"/>
            </w:tcBorders>
            <w:vAlign w:val="center"/>
          </w:tcPr>
          <w:p w:rsidR="00747360" w:rsidRPr="00CE5BD0" w:rsidRDefault="00747360" w:rsidP="00747360">
            <w:pPr>
              <w:jc w:val="right"/>
              <w:rPr>
                <w:color w:val="000000"/>
              </w:rPr>
            </w:pPr>
            <w:r w:rsidRPr="00CE5BD0">
              <w:rPr>
                <w:color w:val="000000"/>
              </w:rPr>
              <w:t>-</w:t>
            </w: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-0,2083</w:t>
            </w:r>
          </w:p>
        </w:tc>
        <w:tc>
          <w:tcPr>
            <w:tcW w:w="340" w:type="dxa"/>
            <w:tcBorders>
              <w:top w:val="nil"/>
              <w:left w:val="nil"/>
              <w:bottom w:val="nil"/>
            </w:tcBorders>
            <w:vAlign w:val="center"/>
          </w:tcPr>
          <w:p w:rsidR="00747360" w:rsidRPr="00CE5BD0" w:rsidRDefault="00747360" w:rsidP="00747360">
            <w:pPr>
              <w:jc w:val="right"/>
              <w:rPr>
                <w:color w:val="000000"/>
              </w:rPr>
            </w:pPr>
            <w:r w:rsidRPr="00CE5BD0">
              <w:rPr>
                <w:color w:val="000000"/>
                <w:vertAlign w:val="superscript"/>
              </w:rPr>
              <w:t>**</w:t>
            </w:r>
          </w:p>
        </w:tc>
      </w:tr>
      <w:tr w:rsidR="00747360" w:rsidRPr="00E82EA6" w:rsidTr="00747360">
        <w:trPr>
          <w:trHeight w:val="20"/>
        </w:trPr>
        <w:tc>
          <w:tcPr>
            <w:tcW w:w="1729" w:type="dxa"/>
            <w:vMerge/>
            <w:tcBorders>
              <w:bottom w:val="nil"/>
            </w:tcBorders>
            <w:shd w:val="clear" w:color="auto" w:fill="auto"/>
            <w:noWrap/>
            <w:vAlign w:val="center"/>
            <w:hideMark/>
          </w:tcPr>
          <w:p w:rsidR="00747360" w:rsidRPr="00CE5BD0" w:rsidRDefault="00747360" w:rsidP="00747360">
            <w:pPr>
              <w:ind w:left="180"/>
              <w:rPr>
                <w:color w:val="000000"/>
              </w:rPr>
            </w:pPr>
          </w:p>
        </w:tc>
        <w:tc>
          <w:tcPr>
            <w:tcW w:w="907" w:type="dxa"/>
            <w:vMerge/>
            <w:tcBorders>
              <w:bottom w:val="nil"/>
            </w:tcBorders>
            <w:shd w:val="clear" w:color="auto" w:fill="auto"/>
            <w:noWrap/>
            <w:vAlign w:val="center"/>
            <w:hideMark/>
          </w:tcPr>
          <w:p w:rsidR="00747360" w:rsidRPr="00CE5BD0" w:rsidRDefault="00747360" w:rsidP="00747360">
            <w:pPr>
              <w:jc w:val="right"/>
              <w:rPr>
                <w:color w:val="000000"/>
              </w:rPr>
            </w:pPr>
          </w:p>
        </w:tc>
        <w:tc>
          <w:tcPr>
            <w:tcW w:w="340" w:type="dxa"/>
            <w:tcBorders>
              <w:top w:val="nil"/>
              <w:bottom w:val="nil"/>
            </w:tcBorders>
            <w:vAlign w:val="center"/>
          </w:tcPr>
          <w:p w:rsidR="00747360" w:rsidRPr="00CE5BD0" w:rsidRDefault="00747360" w:rsidP="00747360">
            <w:pPr>
              <w:jc w:val="right"/>
              <w:rPr>
                <w:color w:val="000000"/>
              </w:rPr>
            </w:pPr>
          </w:p>
        </w:tc>
        <w:tc>
          <w:tcPr>
            <w:tcW w:w="907" w:type="dxa"/>
            <w:vMerge/>
            <w:vAlign w:val="center"/>
          </w:tcPr>
          <w:p w:rsidR="00747360" w:rsidRPr="00CE5BD0" w:rsidRDefault="00747360" w:rsidP="00747360">
            <w:pPr>
              <w:jc w:val="right"/>
              <w:rPr>
                <w:color w:val="000000"/>
              </w:rPr>
            </w:pPr>
          </w:p>
        </w:tc>
        <w:tc>
          <w:tcPr>
            <w:tcW w:w="340" w:type="dxa"/>
            <w:tcBorders>
              <w:top w:val="nil"/>
              <w:left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vMerge/>
            <w:tcBorders>
              <w:left w:val="nil"/>
              <w:bottom w:val="nil"/>
            </w:tcBorders>
            <w:vAlign w:val="center"/>
          </w:tcPr>
          <w:p w:rsidR="00747360" w:rsidRPr="00CE5BD0" w:rsidRDefault="00747360" w:rsidP="00747360">
            <w:pPr>
              <w:jc w:val="right"/>
              <w:rPr>
                <w:color w:val="000000"/>
              </w:rPr>
            </w:pPr>
          </w:p>
        </w:tc>
        <w:tc>
          <w:tcPr>
            <w:tcW w:w="340" w:type="dxa"/>
            <w:tcBorders>
              <w:top w:val="nil"/>
              <w:left w:val="nil"/>
              <w:bottom w:val="nil"/>
            </w:tcBorders>
            <w:vAlign w:val="center"/>
          </w:tcPr>
          <w:p w:rsidR="00747360" w:rsidRPr="00CE5BD0" w:rsidRDefault="00747360" w:rsidP="00747360">
            <w:pPr>
              <w:jc w:val="right"/>
              <w:rPr>
                <w:color w:val="000000"/>
              </w:rPr>
            </w:pPr>
          </w:p>
        </w:tc>
        <w:tc>
          <w:tcPr>
            <w:tcW w:w="907" w:type="dxa"/>
            <w:tcBorders>
              <w:top w:val="nil"/>
              <w:left w:val="nil"/>
              <w:bottom w:val="nil"/>
            </w:tcBorders>
            <w:vAlign w:val="center"/>
          </w:tcPr>
          <w:p w:rsidR="00747360" w:rsidRPr="00CE5BD0" w:rsidRDefault="00747360" w:rsidP="00747360">
            <w:pPr>
              <w:jc w:val="right"/>
              <w:rPr>
                <w:color w:val="000000"/>
              </w:rPr>
            </w:pPr>
            <w:r w:rsidRPr="00CE5BD0">
              <w:rPr>
                <w:color w:val="000000"/>
              </w:rPr>
              <w:t>[0,020]</w:t>
            </w:r>
          </w:p>
        </w:tc>
        <w:tc>
          <w:tcPr>
            <w:tcW w:w="340" w:type="dxa"/>
            <w:tcBorders>
              <w:top w:val="nil"/>
              <w:left w:val="nil"/>
              <w:bottom w:val="nil"/>
            </w:tcBorders>
            <w:vAlign w:val="center"/>
          </w:tcPr>
          <w:p w:rsidR="00747360" w:rsidRPr="00CE5BD0" w:rsidRDefault="00747360" w:rsidP="00747360">
            <w:pPr>
              <w:jc w:val="right"/>
              <w:rPr>
                <w:color w:val="000000"/>
              </w:rPr>
            </w:pPr>
          </w:p>
        </w:tc>
      </w:tr>
      <w:tr w:rsidR="00747360" w:rsidRPr="00E82EA6" w:rsidTr="00747360">
        <w:trPr>
          <w:trHeight w:val="20"/>
        </w:trPr>
        <w:tc>
          <w:tcPr>
            <w:tcW w:w="1729" w:type="dxa"/>
            <w:tcBorders>
              <w:top w:val="nil"/>
              <w:bottom w:val="nil"/>
            </w:tcBorders>
            <w:shd w:val="clear" w:color="auto" w:fill="auto"/>
            <w:noWrap/>
            <w:vAlign w:val="center"/>
            <w:hideMark/>
          </w:tcPr>
          <w:p w:rsidR="00747360" w:rsidRPr="00CE5BD0" w:rsidRDefault="00747360" w:rsidP="00747360">
            <w:pPr>
              <w:rPr>
                <w:color w:val="000000"/>
              </w:rPr>
            </w:pPr>
            <w:r w:rsidRPr="00CE5BD0">
              <w:rPr>
                <w:color w:val="000000"/>
              </w:rPr>
              <w:t>Nº de Observações</w:t>
            </w:r>
          </w:p>
        </w:tc>
        <w:tc>
          <w:tcPr>
            <w:tcW w:w="1247" w:type="dxa"/>
            <w:gridSpan w:val="2"/>
            <w:tcBorders>
              <w:top w:val="nil"/>
              <w:bottom w:val="nil"/>
            </w:tcBorders>
            <w:shd w:val="clear" w:color="auto" w:fill="auto"/>
            <w:noWrap/>
            <w:vAlign w:val="center"/>
            <w:hideMark/>
          </w:tcPr>
          <w:p w:rsidR="00747360" w:rsidRPr="00CE5BD0" w:rsidRDefault="00747360" w:rsidP="00747360">
            <w:pPr>
              <w:jc w:val="center"/>
              <w:rPr>
                <w:color w:val="000000"/>
              </w:rPr>
            </w:pPr>
            <w:r w:rsidRPr="00CE5BD0">
              <w:rPr>
                <w:color w:val="000000"/>
              </w:rPr>
              <w:t>1.675</w:t>
            </w:r>
          </w:p>
        </w:tc>
        <w:tc>
          <w:tcPr>
            <w:tcW w:w="1247" w:type="dxa"/>
            <w:gridSpan w:val="2"/>
            <w:tcBorders>
              <w:top w:val="nil"/>
              <w:bottom w:val="nil"/>
            </w:tcBorders>
            <w:vAlign w:val="center"/>
          </w:tcPr>
          <w:p w:rsidR="00747360" w:rsidRPr="00CE5BD0" w:rsidRDefault="00747360" w:rsidP="00747360">
            <w:pPr>
              <w:jc w:val="center"/>
              <w:rPr>
                <w:color w:val="000000"/>
              </w:rPr>
            </w:pPr>
            <w:r w:rsidRPr="00CE5BD0">
              <w:rPr>
                <w:color w:val="000000"/>
              </w:rPr>
              <w:t>197</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513</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752</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132</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81</w:t>
            </w:r>
          </w:p>
        </w:tc>
      </w:tr>
      <w:tr w:rsidR="00747360" w:rsidRPr="00E82EA6" w:rsidTr="00747360">
        <w:trPr>
          <w:trHeight w:val="20"/>
        </w:trPr>
        <w:tc>
          <w:tcPr>
            <w:tcW w:w="1729" w:type="dxa"/>
            <w:tcBorders>
              <w:top w:val="nil"/>
              <w:bottom w:val="nil"/>
            </w:tcBorders>
            <w:shd w:val="clear" w:color="auto" w:fill="auto"/>
            <w:noWrap/>
            <w:vAlign w:val="center"/>
            <w:hideMark/>
          </w:tcPr>
          <w:p w:rsidR="00747360" w:rsidRPr="00CE5BD0" w:rsidRDefault="00747360" w:rsidP="00747360">
            <w:pPr>
              <w:rPr>
                <w:color w:val="000000"/>
              </w:rPr>
            </w:pPr>
            <w:r w:rsidRPr="00CE5BD0">
              <w:rPr>
                <w:color w:val="000000"/>
              </w:rPr>
              <w:t>R²</w:t>
            </w:r>
          </w:p>
        </w:tc>
        <w:tc>
          <w:tcPr>
            <w:tcW w:w="1247" w:type="dxa"/>
            <w:gridSpan w:val="2"/>
            <w:tcBorders>
              <w:top w:val="nil"/>
              <w:bottom w:val="nil"/>
            </w:tcBorders>
            <w:shd w:val="clear" w:color="auto" w:fill="auto"/>
            <w:noWrap/>
            <w:vAlign w:val="center"/>
            <w:hideMark/>
          </w:tcPr>
          <w:p w:rsidR="00747360" w:rsidRPr="00CE5BD0" w:rsidRDefault="00747360" w:rsidP="00747360">
            <w:pPr>
              <w:jc w:val="center"/>
              <w:rPr>
                <w:color w:val="000000"/>
              </w:rPr>
            </w:pPr>
            <w:r w:rsidRPr="00CE5BD0">
              <w:rPr>
                <w:color w:val="000000"/>
              </w:rPr>
              <w:t>0,1630</w:t>
            </w:r>
          </w:p>
        </w:tc>
        <w:tc>
          <w:tcPr>
            <w:tcW w:w="1247" w:type="dxa"/>
            <w:gridSpan w:val="2"/>
            <w:tcBorders>
              <w:top w:val="nil"/>
              <w:bottom w:val="nil"/>
            </w:tcBorders>
            <w:vAlign w:val="center"/>
          </w:tcPr>
          <w:p w:rsidR="00747360" w:rsidRPr="00CE5BD0" w:rsidRDefault="00747360" w:rsidP="00747360">
            <w:pPr>
              <w:jc w:val="center"/>
              <w:rPr>
                <w:color w:val="000000"/>
              </w:rPr>
            </w:pPr>
            <w:r w:rsidRPr="00CE5BD0">
              <w:rPr>
                <w:color w:val="000000"/>
              </w:rPr>
              <w:t>0,3470</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0,2428</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0,1959</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0,2408</w:t>
            </w:r>
          </w:p>
        </w:tc>
        <w:tc>
          <w:tcPr>
            <w:tcW w:w="1247" w:type="dxa"/>
            <w:gridSpan w:val="2"/>
            <w:tcBorders>
              <w:top w:val="nil"/>
              <w:left w:val="nil"/>
              <w:bottom w:val="nil"/>
            </w:tcBorders>
            <w:vAlign w:val="center"/>
          </w:tcPr>
          <w:p w:rsidR="00747360" w:rsidRPr="00CE5BD0" w:rsidRDefault="00747360" w:rsidP="00747360">
            <w:pPr>
              <w:jc w:val="center"/>
              <w:rPr>
                <w:color w:val="000000"/>
              </w:rPr>
            </w:pPr>
            <w:r w:rsidRPr="00CE5BD0">
              <w:rPr>
                <w:color w:val="000000"/>
              </w:rPr>
              <w:t>0,5757</w:t>
            </w:r>
          </w:p>
        </w:tc>
      </w:tr>
      <w:tr w:rsidR="00747360" w:rsidRPr="00E82EA6" w:rsidTr="00747360">
        <w:trPr>
          <w:trHeight w:val="20"/>
        </w:trPr>
        <w:tc>
          <w:tcPr>
            <w:tcW w:w="1729" w:type="dxa"/>
            <w:tcBorders>
              <w:top w:val="nil"/>
            </w:tcBorders>
            <w:shd w:val="clear" w:color="auto" w:fill="auto"/>
            <w:noWrap/>
            <w:vAlign w:val="center"/>
            <w:hideMark/>
          </w:tcPr>
          <w:p w:rsidR="00747360" w:rsidRPr="00CE5BD0" w:rsidRDefault="00747360" w:rsidP="00747360">
            <w:pPr>
              <w:rPr>
                <w:color w:val="000000"/>
              </w:rPr>
            </w:pPr>
            <w:r w:rsidRPr="00CE5BD0">
              <w:rPr>
                <w:color w:val="000000"/>
              </w:rPr>
              <w:t>Teste F</w:t>
            </w:r>
          </w:p>
        </w:tc>
        <w:tc>
          <w:tcPr>
            <w:tcW w:w="1247" w:type="dxa"/>
            <w:gridSpan w:val="2"/>
            <w:tcBorders>
              <w:top w:val="nil"/>
            </w:tcBorders>
            <w:shd w:val="clear" w:color="auto" w:fill="auto"/>
            <w:noWrap/>
            <w:vAlign w:val="center"/>
            <w:hideMark/>
          </w:tcPr>
          <w:p w:rsidR="00747360" w:rsidRPr="00CE5BD0" w:rsidRDefault="00747360" w:rsidP="00747360">
            <w:pPr>
              <w:jc w:val="center"/>
              <w:rPr>
                <w:color w:val="000000"/>
              </w:rPr>
            </w:pPr>
            <w:r w:rsidRPr="00CE5BD0">
              <w:rPr>
                <w:color w:val="000000"/>
              </w:rPr>
              <w:t>35,3000</w:t>
            </w:r>
          </w:p>
        </w:tc>
        <w:tc>
          <w:tcPr>
            <w:tcW w:w="1247" w:type="dxa"/>
            <w:gridSpan w:val="2"/>
            <w:tcBorders>
              <w:top w:val="nil"/>
            </w:tcBorders>
            <w:vAlign w:val="center"/>
          </w:tcPr>
          <w:p w:rsidR="00747360" w:rsidRPr="00CE5BD0" w:rsidRDefault="00747360" w:rsidP="00747360">
            <w:pPr>
              <w:jc w:val="center"/>
              <w:rPr>
                <w:color w:val="000000"/>
              </w:rPr>
            </w:pPr>
            <w:r w:rsidRPr="00CE5BD0">
              <w:rPr>
                <w:color w:val="000000"/>
              </w:rPr>
              <w:t>19,1500</w:t>
            </w:r>
          </w:p>
        </w:tc>
        <w:tc>
          <w:tcPr>
            <w:tcW w:w="1247" w:type="dxa"/>
            <w:gridSpan w:val="2"/>
            <w:tcBorders>
              <w:top w:val="nil"/>
              <w:left w:val="nil"/>
            </w:tcBorders>
            <w:vAlign w:val="center"/>
          </w:tcPr>
          <w:p w:rsidR="00747360" w:rsidRPr="00CE5BD0" w:rsidRDefault="00747360" w:rsidP="00747360">
            <w:pPr>
              <w:jc w:val="center"/>
              <w:rPr>
                <w:color w:val="000000"/>
              </w:rPr>
            </w:pPr>
            <w:r w:rsidRPr="00CE5BD0">
              <w:rPr>
                <w:color w:val="000000"/>
              </w:rPr>
              <w:t>6,0800</w:t>
            </w:r>
          </w:p>
        </w:tc>
        <w:tc>
          <w:tcPr>
            <w:tcW w:w="1247" w:type="dxa"/>
            <w:gridSpan w:val="2"/>
            <w:tcBorders>
              <w:top w:val="nil"/>
              <w:left w:val="nil"/>
            </w:tcBorders>
            <w:vAlign w:val="center"/>
          </w:tcPr>
          <w:p w:rsidR="00747360" w:rsidRPr="00CE5BD0" w:rsidRDefault="00747360" w:rsidP="00747360">
            <w:pPr>
              <w:jc w:val="center"/>
              <w:rPr>
                <w:color w:val="000000"/>
              </w:rPr>
            </w:pPr>
            <w:r w:rsidRPr="00CE5BD0">
              <w:rPr>
                <w:color w:val="000000"/>
              </w:rPr>
              <w:t>6,9500</w:t>
            </w:r>
          </w:p>
        </w:tc>
        <w:tc>
          <w:tcPr>
            <w:tcW w:w="1247" w:type="dxa"/>
            <w:gridSpan w:val="2"/>
            <w:tcBorders>
              <w:top w:val="nil"/>
              <w:left w:val="nil"/>
            </w:tcBorders>
            <w:vAlign w:val="center"/>
          </w:tcPr>
          <w:p w:rsidR="00747360" w:rsidRPr="00CE5BD0" w:rsidRDefault="00747360" w:rsidP="00747360">
            <w:pPr>
              <w:jc w:val="center"/>
              <w:rPr>
                <w:color w:val="000000"/>
              </w:rPr>
            </w:pPr>
            <w:r w:rsidRPr="00CE5BD0">
              <w:rPr>
                <w:color w:val="000000"/>
              </w:rPr>
              <w:t>4,1700</w:t>
            </w:r>
          </w:p>
        </w:tc>
        <w:tc>
          <w:tcPr>
            <w:tcW w:w="1247" w:type="dxa"/>
            <w:gridSpan w:val="2"/>
            <w:tcBorders>
              <w:top w:val="nil"/>
              <w:left w:val="nil"/>
            </w:tcBorders>
            <w:vAlign w:val="center"/>
          </w:tcPr>
          <w:p w:rsidR="00747360" w:rsidRPr="00CE5BD0" w:rsidRDefault="00747360" w:rsidP="00747360">
            <w:pPr>
              <w:jc w:val="center"/>
              <w:rPr>
                <w:color w:val="000000"/>
              </w:rPr>
            </w:pPr>
            <w:r w:rsidRPr="00CE5BD0">
              <w:rPr>
                <w:color w:val="000000"/>
              </w:rPr>
              <w:t>-</w:t>
            </w:r>
          </w:p>
        </w:tc>
      </w:tr>
      <w:tr w:rsidR="00747360" w:rsidRPr="00E82EA6" w:rsidTr="00747360">
        <w:trPr>
          <w:trHeight w:val="20"/>
        </w:trPr>
        <w:tc>
          <w:tcPr>
            <w:tcW w:w="1729" w:type="dxa"/>
            <w:tcBorders>
              <w:top w:val="nil"/>
              <w:bottom w:val="single" w:sz="8" w:space="0" w:color="auto"/>
            </w:tcBorders>
            <w:shd w:val="clear" w:color="auto" w:fill="auto"/>
            <w:noWrap/>
            <w:vAlign w:val="center"/>
            <w:hideMark/>
          </w:tcPr>
          <w:p w:rsidR="00747360" w:rsidRPr="00CE5BD0" w:rsidRDefault="00747360" w:rsidP="00747360">
            <w:pPr>
              <w:rPr>
                <w:color w:val="000000"/>
              </w:rPr>
            </w:pPr>
            <w:r w:rsidRPr="00CE5BD0">
              <w:rPr>
                <w:color w:val="000000"/>
              </w:rPr>
              <w:t>Prob &gt; F</w:t>
            </w:r>
          </w:p>
        </w:tc>
        <w:tc>
          <w:tcPr>
            <w:tcW w:w="1247" w:type="dxa"/>
            <w:gridSpan w:val="2"/>
            <w:tcBorders>
              <w:top w:val="nil"/>
              <w:bottom w:val="single" w:sz="8" w:space="0" w:color="auto"/>
            </w:tcBorders>
            <w:shd w:val="clear" w:color="auto" w:fill="auto"/>
            <w:noWrap/>
            <w:vAlign w:val="center"/>
            <w:hideMark/>
          </w:tcPr>
          <w:p w:rsidR="00747360" w:rsidRPr="00CE5BD0" w:rsidRDefault="00747360" w:rsidP="00747360">
            <w:pPr>
              <w:jc w:val="center"/>
              <w:rPr>
                <w:color w:val="000000"/>
              </w:rPr>
            </w:pPr>
            <w:r w:rsidRPr="00CE5BD0">
              <w:rPr>
                <w:color w:val="000000"/>
              </w:rPr>
              <w:t>0,0000</w:t>
            </w:r>
          </w:p>
        </w:tc>
        <w:tc>
          <w:tcPr>
            <w:tcW w:w="1247" w:type="dxa"/>
            <w:gridSpan w:val="2"/>
            <w:tcBorders>
              <w:top w:val="nil"/>
              <w:bottom w:val="single" w:sz="8" w:space="0" w:color="auto"/>
            </w:tcBorders>
            <w:vAlign w:val="center"/>
          </w:tcPr>
          <w:p w:rsidR="00747360" w:rsidRPr="00CE5BD0" w:rsidRDefault="00747360" w:rsidP="00747360">
            <w:pPr>
              <w:jc w:val="center"/>
              <w:rPr>
                <w:color w:val="000000"/>
              </w:rPr>
            </w:pPr>
            <w:r w:rsidRPr="00CE5BD0">
              <w:rPr>
                <w:color w:val="000000"/>
              </w:rPr>
              <w:t>0,0000</w:t>
            </w:r>
          </w:p>
        </w:tc>
        <w:tc>
          <w:tcPr>
            <w:tcW w:w="1247" w:type="dxa"/>
            <w:gridSpan w:val="2"/>
            <w:tcBorders>
              <w:top w:val="nil"/>
              <w:left w:val="nil"/>
              <w:bottom w:val="single" w:sz="8" w:space="0" w:color="auto"/>
            </w:tcBorders>
            <w:vAlign w:val="center"/>
          </w:tcPr>
          <w:p w:rsidR="00747360" w:rsidRPr="00CE5BD0" w:rsidRDefault="00747360" w:rsidP="00747360">
            <w:pPr>
              <w:jc w:val="center"/>
              <w:rPr>
                <w:color w:val="000000"/>
              </w:rPr>
            </w:pPr>
            <w:r w:rsidRPr="00CE5BD0">
              <w:rPr>
                <w:color w:val="000000"/>
              </w:rPr>
              <w:t>0,0000</w:t>
            </w:r>
          </w:p>
        </w:tc>
        <w:tc>
          <w:tcPr>
            <w:tcW w:w="1247" w:type="dxa"/>
            <w:gridSpan w:val="2"/>
            <w:tcBorders>
              <w:top w:val="nil"/>
              <w:left w:val="nil"/>
              <w:bottom w:val="single" w:sz="8" w:space="0" w:color="auto"/>
            </w:tcBorders>
            <w:vAlign w:val="center"/>
          </w:tcPr>
          <w:p w:rsidR="00747360" w:rsidRPr="00CE5BD0" w:rsidRDefault="00747360" w:rsidP="00747360">
            <w:pPr>
              <w:jc w:val="center"/>
              <w:rPr>
                <w:color w:val="000000"/>
              </w:rPr>
            </w:pPr>
            <w:r w:rsidRPr="00CE5BD0">
              <w:rPr>
                <w:color w:val="000000"/>
              </w:rPr>
              <w:t>0,0000</w:t>
            </w:r>
          </w:p>
        </w:tc>
        <w:tc>
          <w:tcPr>
            <w:tcW w:w="1247" w:type="dxa"/>
            <w:gridSpan w:val="2"/>
            <w:tcBorders>
              <w:top w:val="nil"/>
              <w:left w:val="nil"/>
              <w:bottom w:val="single" w:sz="8" w:space="0" w:color="auto"/>
            </w:tcBorders>
            <w:vAlign w:val="center"/>
          </w:tcPr>
          <w:p w:rsidR="00747360" w:rsidRPr="00CE5BD0" w:rsidRDefault="00747360" w:rsidP="00747360">
            <w:pPr>
              <w:jc w:val="center"/>
              <w:rPr>
                <w:color w:val="000000"/>
              </w:rPr>
            </w:pPr>
            <w:r w:rsidRPr="00CE5BD0">
              <w:rPr>
                <w:color w:val="000000"/>
              </w:rPr>
              <w:t>0,0004</w:t>
            </w:r>
          </w:p>
        </w:tc>
        <w:tc>
          <w:tcPr>
            <w:tcW w:w="1247" w:type="dxa"/>
            <w:gridSpan w:val="2"/>
            <w:tcBorders>
              <w:top w:val="nil"/>
              <w:left w:val="nil"/>
              <w:bottom w:val="single" w:sz="8" w:space="0" w:color="auto"/>
            </w:tcBorders>
            <w:vAlign w:val="center"/>
          </w:tcPr>
          <w:p w:rsidR="00747360" w:rsidRPr="00CE5BD0" w:rsidRDefault="00747360" w:rsidP="00747360">
            <w:pPr>
              <w:jc w:val="center"/>
              <w:rPr>
                <w:color w:val="000000"/>
              </w:rPr>
            </w:pPr>
            <w:r w:rsidRPr="00CE5BD0">
              <w:rPr>
                <w:color w:val="000000"/>
              </w:rPr>
              <w:t>-</w:t>
            </w:r>
          </w:p>
        </w:tc>
      </w:tr>
    </w:tbl>
    <w:p w:rsidR="00F63374" w:rsidRDefault="00F63374" w:rsidP="00F63374">
      <w:pPr>
        <w:pStyle w:val="NotadeTabela"/>
      </w:pPr>
      <w:r>
        <w:t xml:space="preserve">Notas: Nível de significância: </w:t>
      </w:r>
      <w:r w:rsidRPr="00EF4ED6">
        <w:rPr>
          <w:vertAlign w:val="superscript"/>
        </w:rPr>
        <w:t>*</w:t>
      </w:r>
      <w:r>
        <w:t xml:space="preserve">10%, </w:t>
      </w:r>
      <w:r w:rsidRPr="00EF4ED6">
        <w:rPr>
          <w:vertAlign w:val="superscript"/>
        </w:rPr>
        <w:t>**</w:t>
      </w:r>
      <w:r>
        <w:t xml:space="preserve">5% e </w:t>
      </w:r>
      <w:r w:rsidRPr="00EF4ED6">
        <w:rPr>
          <w:vertAlign w:val="superscript"/>
        </w:rPr>
        <w:t>***</w:t>
      </w:r>
      <w:r>
        <w:t xml:space="preserve">1%. Os valores entre colchetes </w:t>
      </w:r>
      <w:proofErr w:type="gramStart"/>
      <w:r>
        <w:t xml:space="preserve">[ </w:t>
      </w:r>
      <w:proofErr w:type="gramEnd"/>
      <w:r>
        <w:t xml:space="preserve">] representam o p-valor do coeficiente estimado. Os p-valores dos coeficientes de regressão foram estimados por efeitos fixos robustos para a amostra geral e as subamostras das empresas em fase de introdução, crescimento, maturidade e reestruturação, e para a subamostra das empresas em fase de declínio por efeitos aleatórios robustos. O setor de materiais básicos é a variável </w:t>
      </w:r>
      <w:r w:rsidRPr="00880B65">
        <w:rPr>
          <w:i/>
        </w:rPr>
        <w:t>dummy</w:t>
      </w:r>
      <w:r>
        <w:t xml:space="preserve"> de referência, por isso foi omitido. Como a variável </w:t>
      </w:r>
      <w:r w:rsidRPr="00934DED">
        <w:rPr>
          <w:i/>
        </w:rPr>
        <w:t>setor</w:t>
      </w:r>
      <w:r>
        <w:t xml:space="preserve"> não possui variação ao longo do tempo para cada empresa (não possui variação </w:t>
      </w:r>
      <w:r w:rsidRPr="00934DED">
        <w:rPr>
          <w:i/>
        </w:rPr>
        <w:t>within</w:t>
      </w:r>
      <w:r>
        <w:t>), os parâmetros do modelo pertinente a essa variável são omitidos na estimação por efeitos fixos robustos.</w:t>
      </w:r>
    </w:p>
    <w:p w:rsidR="00682FA6" w:rsidRDefault="00682FA6" w:rsidP="00F63374">
      <w:pPr>
        <w:widowControl w:val="0"/>
        <w:ind w:firstLine="709"/>
        <w:jc w:val="both"/>
        <w:rPr>
          <w:sz w:val="24"/>
          <w:szCs w:val="24"/>
        </w:rPr>
      </w:pPr>
    </w:p>
    <w:p w:rsidR="00F63374" w:rsidRPr="00F63374" w:rsidRDefault="00F63374" w:rsidP="00F63374">
      <w:pPr>
        <w:widowControl w:val="0"/>
        <w:ind w:firstLine="709"/>
        <w:jc w:val="both"/>
        <w:rPr>
          <w:sz w:val="24"/>
          <w:szCs w:val="24"/>
        </w:rPr>
      </w:pPr>
      <w:r w:rsidRPr="00F63374">
        <w:rPr>
          <w:sz w:val="24"/>
          <w:szCs w:val="24"/>
        </w:rPr>
        <w:t xml:space="preserve">Compatível com o observado por Kumar </w:t>
      </w:r>
      <w:proofErr w:type="gramStart"/>
      <w:r w:rsidRPr="00F63374">
        <w:rPr>
          <w:sz w:val="24"/>
          <w:szCs w:val="24"/>
        </w:rPr>
        <w:t>et</w:t>
      </w:r>
      <w:proofErr w:type="gramEnd"/>
      <w:r w:rsidRPr="00F63374">
        <w:rPr>
          <w:sz w:val="24"/>
          <w:szCs w:val="24"/>
        </w:rPr>
        <w:t xml:space="preserve"> al.</w:t>
      </w:r>
      <w:r w:rsidR="00CF28E3">
        <w:rPr>
          <w:sz w:val="24"/>
          <w:szCs w:val="24"/>
        </w:rPr>
        <w:t xml:space="preserve"> </w:t>
      </w:r>
      <w:r w:rsidRPr="00F63374">
        <w:rPr>
          <w:sz w:val="24"/>
          <w:szCs w:val="24"/>
        </w:rPr>
        <w:t xml:space="preserve">(2017) para as economias emergentes, observou-se uma relação positiva entre idade da empresa e endividamento, mas estatisticamente significante apenas na amostra geral e nas fases de crescimento e declínio. O resultado indica que as empresas experientes, com maior histórico de atuação, reputação e solvência de mercado, podem se beneficiar dessa perspectiva para obter crédito em momentos de maior demanda por investimentos, visto que essa característica pode mitigar os problemas de assimetria informacional presentes num mercado em desenvolvimento. No mercado chinês Tian, Han e Zhang (2015) não encontraram efeito estatisticamente significante entre idade e endividamento. Uma relação negativa entre idade e endividamento foi reportada por Castro, Tascón e Amor-Tapia (2015), para empresas europeias, provavelmente, devido à disponibilidade de fontes alternativas de financiamento e alto desenvolvimento do mercado de capitais da região (Kumar et al.,2017). Portanto, rejeita-se a </w:t>
      </w:r>
      <w:r w:rsidR="00FF5B59">
        <w:rPr>
          <w:sz w:val="24"/>
          <w:szCs w:val="24"/>
        </w:rPr>
        <w:t>quarta</w:t>
      </w:r>
      <w:r w:rsidRPr="00F63374">
        <w:rPr>
          <w:sz w:val="24"/>
          <w:szCs w:val="24"/>
        </w:rPr>
        <w:t xml:space="preserve"> hipótese de relação negativa entre idade e endividamento, especialmente na fase de crescimento e declínio, onde as relações são estatisticamente significantes e contrárias ao esperado.</w:t>
      </w:r>
    </w:p>
    <w:p w:rsidR="00F63374" w:rsidRPr="00F63374" w:rsidRDefault="00F63374" w:rsidP="00F63374">
      <w:pPr>
        <w:widowControl w:val="0"/>
        <w:ind w:firstLine="709"/>
        <w:jc w:val="both"/>
        <w:rPr>
          <w:sz w:val="24"/>
          <w:szCs w:val="24"/>
        </w:rPr>
      </w:pPr>
      <w:r w:rsidRPr="00F63374">
        <w:rPr>
          <w:sz w:val="24"/>
          <w:szCs w:val="24"/>
        </w:rPr>
        <w:t>Uma relação estatisticamente significante em todos os grupos amostrais foi observada entre a liquidez e o endividamento, com os maiores coeficientes observados para as empresas em fase de crescim</w:t>
      </w:r>
      <w:r>
        <w:rPr>
          <w:sz w:val="24"/>
          <w:szCs w:val="24"/>
        </w:rPr>
        <w:t xml:space="preserve">ento ou de maturidade. Segundo </w:t>
      </w:r>
      <w:r w:rsidRPr="00F63374">
        <w:rPr>
          <w:sz w:val="24"/>
          <w:szCs w:val="24"/>
        </w:rPr>
        <w:t xml:space="preserve">Kumar </w:t>
      </w:r>
      <w:proofErr w:type="gramStart"/>
      <w:r w:rsidRPr="00F63374">
        <w:rPr>
          <w:sz w:val="24"/>
          <w:szCs w:val="24"/>
        </w:rPr>
        <w:t>et</w:t>
      </w:r>
      <w:proofErr w:type="gramEnd"/>
      <w:r w:rsidRPr="00F63374">
        <w:rPr>
          <w:sz w:val="24"/>
          <w:szCs w:val="24"/>
        </w:rPr>
        <w:t xml:space="preserve"> al.(2017), essa é uma relação esperada tanto para economias desenvolvidas quanto nas em desenvolvimento. Portanto, não </w:t>
      </w:r>
      <w:proofErr w:type="gramStart"/>
      <w:r w:rsidRPr="00F63374">
        <w:rPr>
          <w:sz w:val="24"/>
          <w:szCs w:val="24"/>
        </w:rPr>
        <w:t>rejeita-se</w:t>
      </w:r>
      <w:proofErr w:type="gramEnd"/>
      <w:r w:rsidRPr="00F63374">
        <w:rPr>
          <w:sz w:val="24"/>
          <w:szCs w:val="24"/>
        </w:rPr>
        <w:t xml:space="preserve"> a </w:t>
      </w:r>
      <w:r w:rsidR="00FF5B59">
        <w:rPr>
          <w:sz w:val="24"/>
          <w:szCs w:val="24"/>
        </w:rPr>
        <w:t>sexta</w:t>
      </w:r>
      <w:r w:rsidRPr="00F63374">
        <w:rPr>
          <w:sz w:val="24"/>
          <w:szCs w:val="24"/>
        </w:rPr>
        <w:t xml:space="preserve"> hipótese de relação negativa entre liquidez e endividamento.</w:t>
      </w:r>
    </w:p>
    <w:p w:rsidR="00F63374" w:rsidRPr="00F63374" w:rsidRDefault="00F63374" w:rsidP="00F63374">
      <w:pPr>
        <w:widowControl w:val="0"/>
        <w:ind w:firstLine="709"/>
        <w:jc w:val="both"/>
        <w:rPr>
          <w:sz w:val="24"/>
          <w:szCs w:val="24"/>
        </w:rPr>
      </w:pPr>
      <w:r w:rsidRPr="00F63374">
        <w:rPr>
          <w:sz w:val="24"/>
          <w:szCs w:val="24"/>
        </w:rPr>
        <w:t xml:space="preserve">A economia fiscal não advinda de dívida e o risco do negócio não foram determinantes da estrutura de capital estaticamente significante em qualquer um dos grupos amostrais. É esperado que a economia fiscal não advinda de dívida reduza a motivação dos gestores em aumentar a dívida para se beneficiar da dedutibilidade sobre os impostos decorrente do pagamento de juros, no entanto, quando o código fiscal permite a dedutibilidade dos juros com esse tipo de despesa (depreciação, por exemplo) a relação pode ser positiva (Kumar et al., 2017), como observado na Tabela 4. </w:t>
      </w:r>
    </w:p>
    <w:p w:rsidR="00F63374" w:rsidRPr="00F63374" w:rsidRDefault="00F63374" w:rsidP="00F63374">
      <w:pPr>
        <w:widowControl w:val="0"/>
        <w:ind w:firstLine="709"/>
        <w:jc w:val="both"/>
        <w:rPr>
          <w:sz w:val="24"/>
          <w:szCs w:val="24"/>
        </w:rPr>
      </w:pPr>
      <w:r w:rsidRPr="00F63374">
        <w:rPr>
          <w:sz w:val="24"/>
          <w:szCs w:val="24"/>
        </w:rPr>
        <w:t xml:space="preserve">Quanto ao risco do negócio, o sinal da relação com o endividamento foi positivo na </w:t>
      </w:r>
      <w:r w:rsidRPr="00F63374">
        <w:rPr>
          <w:sz w:val="24"/>
          <w:szCs w:val="24"/>
        </w:rPr>
        <w:lastRenderedPageBreak/>
        <w:t xml:space="preserve">amostra geral e para as fases de introdução, crescimento e reestruturação, mas negativo para as fases de maturidade e declínio. O risco de um negócio aumenta o risco financeiro da empresa, portanto a teoria de </w:t>
      </w:r>
      <w:r w:rsidRPr="009A797B">
        <w:rPr>
          <w:i/>
          <w:sz w:val="24"/>
          <w:szCs w:val="24"/>
        </w:rPr>
        <w:t>pecking order</w:t>
      </w:r>
      <w:r w:rsidRPr="00F63374">
        <w:rPr>
          <w:sz w:val="24"/>
          <w:szCs w:val="24"/>
        </w:rPr>
        <w:t xml:space="preserve"> e </w:t>
      </w:r>
      <w:r w:rsidRPr="009A797B">
        <w:rPr>
          <w:i/>
          <w:sz w:val="24"/>
          <w:szCs w:val="24"/>
        </w:rPr>
        <w:t>trade-off</w:t>
      </w:r>
      <w:r w:rsidRPr="00F63374">
        <w:rPr>
          <w:sz w:val="24"/>
          <w:szCs w:val="24"/>
        </w:rPr>
        <w:t xml:space="preserve"> preveem uma relação negativa. No entanto, Kumar et al.</w:t>
      </w:r>
      <w:r>
        <w:rPr>
          <w:sz w:val="24"/>
          <w:szCs w:val="24"/>
        </w:rPr>
        <w:t xml:space="preserve"> </w:t>
      </w:r>
      <w:r w:rsidRPr="00F63374">
        <w:rPr>
          <w:sz w:val="24"/>
          <w:szCs w:val="24"/>
        </w:rPr>
        <w:t>(2017) observaram que em regiões com algo custo de falência, essa relação é positiva, o que pode explicar o sinal positivo observado nas fases de introdução, crescimento e reestruturação. Como tais determinantes não foram estatisticamente significativos em nenhum dos grupos amostrais</w:t>
      </w:r>
      <w:proofErr w:type="gramStart"/>
      <w:r w:rsidRPr="00F63374">
        <w:rPr>
          <w:sz w:val="24"/>
          <w:szCs w:val="24"/>
        </w:rPr>
        <w:t>, rejeita-se</w:t>
      </w:r>
      <w:proofErr w:type="gramEnd"/>
      <w:r w:rsidRPr="00F63374">
        <w:rPr>
          <w:sz w:val="24"/>
          <w:szCs w:val="24"/>
        </w:rPr>
        <w:t xml:space="preserve"> a </w:t>
      </w:r>
      <w:r w:rsidR="00FF5B59">
        <w:rPr>
          <w:sz w:val="24"/>
          <w:szCs w:val="24"/>
        </w:rPr>
        <w:t>sétima</w:t>
      </w:r>
      <w:r w:rsidRPr="00F63374">
        <w:rPr>
          <w:sz w:val="24"/>
          <w:szCs w:val="24"/>
        </w:rPr>
        <w:t xml:space="preserve"> e </w:t>
      </w:r>
      <w:r w:rsidR="00FF5B59">
        <w:rPr>
          <w:sz w:val="24"/>
          <w:szCs w:val="24"/>
        </w:rPr>
        <w:t>oitava</w:t>
      </w:r>
      <w:r w:rsidRPr="00F63374">
        <w:rPr>
          <w:sz w:val="24"/>
          <w:szCs w:val="24"/>
        </w:rPr>
        <w:t xml:space="preserve"> hipóteses de relação negativa entre econômica fiscal não advinda de dívida e risco com o endividamento.</w:t>
      </w:r>
    </w:p>
    <w:p w:rsidR="00F63374" w:rsidRPr="00F63374" w:rsidRDefault="00F63374" w:rsidP="00F63374">
      <w:pPr>
        <w:widowControl w:val="0"/>
        <w:ind w:firstLine="709"/>
        <w:jc w:val="both"/>
        <w:rPr>
          <w:sz w:val="24"/>
          <w:szCs w:val="24"/>
        </w:rPr>
      </w:pPr>
      <w:r w:rsidRPr="00F63374">
        <w:rPr>
          <w:sz w:val="24"/>
          <w:szCs w:val="24"/>
        </w:rPr>
        <w:t xml:space="preserve">A tangibilidade dos ativos impacta positivamente o endividamento, mas apenas na amostra geral e nas fases de introdução e declínio, apresentando relação inversa nas fases de crescimento, maturidade e reestruturação. No entanto, apenas na fase de reestruturação ela é estatisticamente significante. A possibilidade de oferecer ativos tangíveis em garantia ao crédito favorece a captação de recursos externos, deste modo, a relação positiva era esperada (Harris e Raviv, 1991). A relação negativa observada pode ser resultado da concessão de crédito sem exigência de garantias, especialmente no caso de dívidas de curto prazo (Kumar et al., 2017). No mercado brasileiro as linhas de crédito de curto prazo estão disponíveis em maior número e opções que as linhas de longo prazo, que tender a ser bem restritas e direcionadas a financiamentos de investimentos específicos (Brito et al., 2007), podendo assim, justificar a relação negativa observada. Portanto, rejeita-se a </w:t>
      </w:r>
      <w:r w:rsidR="00FF5B59">
        <w:rPr>
          <w:sz w:val="24"/>
          <w:szCs w:val="24"/>
        </w:rPr>
        <w:t>segunda</w:t>
      </w:r>
      <w:r w:rsidRPr="00F63374">
        <w:rPr>
          <w:sz w:val="24"/>
          <w:szCs w:val="24"/>
        </w:rPr>
        <w:t xml:space="preserve"> hipótese de relação positiva entre tangibilidade dos ativos e endividamento.</w:t>
      </w:r>
    </w:p>
    <w:p w:rsidR="00F63374" w:rsidRPr="00F63374" w:rsidRDefault="00F63374" w:rsidP="00F63374">
      <w:pPr>
        <w:widowControl w:val="0"/>
        <w:ind w:firstLine="709"/>
        <w:jc w:val="both"/>
        <w:rPr>
          <w:sz w:val="24"/>
          <w:szCs w:val="24"/>
        </w:rPr>
      </w:pPr>
      <w:r w:rsidRPr="00F63374">
        <w:rPr>
          <w:sz w:val="24"/>
          <w:szCs w:val="24"/>
        </w:rPr>
        <w:t xml:space="preserve">Uma relação positiva foi observada entre o tamanho da empresa e o endividamento, mas estatisticamente significante apenas na amostra geral e nas fases de crescimento, maturidade e declínio. Quanto maior a empresa, mais fácil é seu acesso ao crédito (Harris e Raviv, 1991; Kumar et.al., 2017). Portanto, não </w:t>
      </w:r>
      <w:proofErr w:type="gramStart"/>
      <w:r w:rsidRPr="00F63374">
        <w:rPr>
          <w:sz w:val="24"/>
          <w:szCs w:val="24"/>
        </w:rPr>
        <w:t>rejeita-se</w:t>
      </w:r>
      <w:proofErr w:type="gramEnd"/>
      <w:r w:rsidRPr="00F63374">
        <w:rPr>
          <w:sz w:val="24"/>
          <w:szCs w:val="24"/>
        </w:rPr>
        <w:t xml:space="preserve"> a </w:t>
      </w:r>
      <w:r w:rsidR="00FF5B59">
        <w:rPr>
          <w:sz w:val="24"/>
          <w:szCs w:val="24"/>
        </w:rPr>
        <w:t xml:space="preserve">terceira </w:t>
      </w:r>
      <w:r w:rsidRPr="00F63374">
        <w:rPr>
          <w:sz w:val="24"/>
          <w:szCs w:val="24"/>
        </w:rPr>
        <w:t>hipótese de relação positiva entre tamanho da empresa e endividamento.</w:t>
      </w:r>
    </w:p>
    <w:p w:rsidR="00747360" w:rsidRDefault="00F63374" w:rsidP="00F63374">
      <w:pPr>
        <w:widowControl w:val="0"/>
        <w:ind w:firstLine="709"/>
        <w:jc w:val="both"/>
        <w:rPr>
          <w:sz w:val="24"/>
          <w:szCs w:val="24"/>
        </w:rPr>
      </w:pPr>
      <w:r w:rsidRPr="00F63374">
        <w:rPr>
          <w:sz w:val="24"/>
          <w:szCs w:val="24"/>
        </w:rPr>
        <w:t xml:space="preserve">As oportunidades de crescimento demandam mais investimentos, consequentemente aumentam o endividamento, mas não apresentaram resultados estatisticamente significantes nas fases de crescimento e reestruturação, provavelmente pelo maior nível de informação assimétrica presente nessas fases do ciclo de vida organizacional. Portanto, não </w:t>
      </w:r>
      <w:proofErr w:type="gramStart"/>
      <w:r w:rsidRPr="00F63374">
        <w:rPr>
          <w:sz w:val="24"/>
          <w:szCs w:val="24"/>
        </w:rPr>
        <w:t>rejeita-se</w:t>
      </w:r>
      <w:proofErr w:type="gramEnd"/>
      <w:r w:rsidRPr="00F63374">
        <w:rPr>
          <w:sz w:val="24"/>
          <w:szCs w:val="24"/>
        </w:rPr>
        <w:t xml:space="preserve"> a </w:t>
      </w:r>
      <w:r w:rsidR="00FF5B59">
        <w:rPr>
          <w:sz w:val="24"/>
          <w:szCs w:val="24"/>
        </w:rPr>
        <w:t>quinta</w:t>
      </w:r>
      <w:r w:rsidRPr="00F63374">
        <w:rPr>
          <w:sz w:val="24"/>
          <w:szCs w:val="24"/>
        </w:rPr>
        <w:t xml:space="preserve"> hipótese de relação positiva entre oportunidades de crescimento e endividamento.</w:t>
      </w:r>
    </w:p>
    <w:p w:rsidR="00747360" w:rsidRDefault="00747360" w:rsidP="00747360">
      <w:pPr>
        <w:widowControl w:val="0"/>
        <w:ind w:firstLine="709"/>
        <w:jc w:val="both"/>
        <w:rPr>
          <w:sz w:val="24"/>
          <w:szCs w:val="24"/>
        </w:rPr>
      </w:pPr>
    </w:p>
    <w:p w:rsidR="00FE7071" w:rsidRPr="00C04F45" w:rsidRDefault="00FE7071" w:rsidP="00FE7071">
      <w:pPr>
        <w:widowControl w:val="0"/>
        <w:jc w:val="both"/>
        <w:rPr>
          <w:b/>
          <w:sz w:val="24"/>
          <w:szCs w:val="24"/>
        </w:rPr>
      </w:pPr>
      <w:r>
        <w:rPr>
          <w:b/>
          <w:sz w:val="24"/>
          <w:szCs w:val="24"/>
        </w:rPr>
        <w:t>5 Conclusão</w:t>
      </w:r>
    </w:p>
    <w:p w:rsidR="00FE7071" w:rsidRPr="00FE7071" w:rsidRDefault="008B0AB3" w:rsidP="008B0AB3">
      <w:pPr>
        <w:jc w:val="both"/>
        <w:rPr>
          <w:sz w:val="24"/>
          <w:szCs w:val="24"/>
        </w:rPr>
      </w:pPr>
      <w:r>
        <w:rPr>
          <w:sz w:val="24"/>
          <w:szCs w:val="24"/>
        </w:rPr>
        <w:tab/>
      </w:r>
      <w:r w:rsidR="00FE7071" w:rsidRPr="00FE7071">
        <w:rPr>
          <w:sz w:val="24"/>
          <w:szCs w:val="24"/>
        </w:rPr>
        <w:t xml:space="preserve">Tendo como fundo teórico as teorias de </w:t>
      </w:r>
      <w:r w:rsidR="00FE7071" w:rsidRPr="009A797B">
        <w:rPr>
          <w:i/>
          <w:sz w:val="24"/>
          <w:szCs w:val="24"/>
        </w:rPr>
        <w:t>pecking order</w:t>
      </w:r>
      <w:r w:rsidR="00FE7071" w:rsidRPr="00FE7071">
        <w:rPr>
          <w:sz w:val="24"/>
          <w:szCs w:val="24"/>
        </w:rPr>
        <w:t xml:space="preserve">, </w:t>
      </w:r>
      <w:r w:rsidR="00FE7071" w:rsidRPr="009A797B">
        <w:rPr>
          <w:i/>
          <w:sz w:val="24"/>
          <w:szCs w:val="24"/>
        </w:rPr>
        <w:t>trade-</w:t>
      </w:r>
      <w:proofErr w:type="gramStart"/>
      <w:r w:rsidR="00FE7071" w:rsidRPr="009A797B">
        <w:rPr>
          <w:i/>
          <w:sz w:val="24"/>
          <w:szCs w:val="24"/>
        </w:rPr>
        <w:t>off</w:t>
      </w:r>
      <w:proofErr w:type="gramEnd"/>
      <w:r w:rsidR="00FE7071" w:rsidRPr="00FE7071">
        <w:rPr>
          <w:sz w:val="24"/>
          <w:szCs w:val="24"/>
        </w:rPr>
        <w:t xml:space="preserve"> e ciclo de vida organizacional, destacam-se os resultados encontrados que confirmam as diferenças no endividamento das empresas brasileiras a depender da fase do ciclo de vida em que se encontram. Sendo as empresas em fase de crescimento e introdução aquelas com maiores níveis de dívida. Também foi constatado que as empresas brasileiras não perpassam pelas fases do ciclo de vida de forma linear, mas podem permanecer na mesma fase que inicialmente foram classificadas ou simplesmente voltar a uma fase anterior ou passar a alguma fase posterior.</w:t>
      </w:r>
    </w:p>
    <w:p w:rsidR="00FE7071" w:rsidRPr="00FE7071" w:rsidRDefault="00FE7071" w:rsidP="00FE7071">
      <w:pPr>
        <w:widowControl w:val="0"/>
        <w:ind w:firstLine="709"/>
        <w:jc w:val="both"/>
        <w:rPr>
          <w:sz w:val="24"/>
          <w:szCs w:val="24"/>
        </w:rPr>
      </w:pPr>
      <w:r w:rsidRPr="00FE7071">
        <w:rPr>
          <w:sz w:val="24"/>
          <w:szCs w:val="24"/>
        </w:rPr>
        <w:t xml:space="preserve">De modo geral, a rentabilidade, o tamanho da empresa, idade, oportunidades de crescimento e liquidez foram os principais determinantes da estrutura de capital. Porém, coeficientes, sinais e significância mudam ao longo das cinco fases do ciclo de vida organizacional. O determinante mais estável foi à liquidez, que apresentou uma relação negativa com o endividamento e estatisticamente significante em todas as fases do ciclo de </w:t>
      </w:r>
      <w:r w:rsidRPr="00FE7071">
        <w:rPr>
          <w:sz w:val="24"/>
          <w:szCs w:val="24"/>
        </w:rPr>
        <w:lastRenderedPageBreak/>
        <w:t>vida. Na fase de introdução, as oportunidades de crescimento e a liquidez foram estatisticamente significantes. Na fase de crescimento, a rentabilidade, tamanho da empresa, idade e liquidez foram estatisticamente significantes, mostrando indícios de que as empresas brasileiras buscam recursos próprios para realizar investimentos nesta fase. Durante a maturidade o tamanho, as oportunidades de crescimento e a liquidez são os principais determinantes da estrutura de capital, mostrando que empresas maiores captam mais recursos. Na fase de reestruturação a tangibilidade passa a exercer papel de garantia ao crédito, junto à liquidez influenciam positivamente (negativamente) a estrutura de capital. Quando na fase de declínio, são estatisticamente significantes o tamanho, a idade, as oportunidades de crescimento e a liquidez.</w:t>
      </w:r>
    </w:p>
    <w:p w:rsidR="00747360" w:rsidRDefault="00FE7071" w:rsidP="00FE7071">
      <w:pPr>
        <w:widowControl w:val="0"/>
        <w:ind w:firstLine="709"/>
        <w:jc w:val="both"/>
        <w:rPr>
          <w:sz w:val="24"/>
          <w:szCs w:val="24"/>
        </w:rPr>
      </w:pPr>
      <w:r w:rsidRPr="00FE7071">
        <w:rPr>
          <w:sz w:val="24"/>
          <w:szCs w:val="24"/>
        </w:rPr>
        <w:t xml:space="preserve">Diante dos resultados é possível pensar que a não </w:t>
      </w:r>
      <w:r w:rsidR="00FA4A15" w:rsidRPr="00FE7071">
        <w:rPr>
          <w:sz w:val="24"/>
          <w:szCs w:val="24"/>
        </w:rPr>
        <w:t>linearidade</w:t>
      </w:r>
      <w:r w:rsidRPr="00FE7071">
        <w:rPr>
          <w:sz w:val="24"/>
          <w:szCs w:val="24"/>
        </w:rPr>
        <w:t xml:space="preserve"> dos efeitos dos determinantes da estrutura de capital sobre o endividamento deve-se às especificidades de investimento e necessidade de crédito de cada fase do ciclo de vida organizacional.</w:t>
      </w:r>
    </w:p>
    <w:p w:rsidR="00747360" w:rsidRDefault="00747360" w:rsidP="00D66230">
      <w:pPr>
        <w:widowControl w:val="0"/>
        <w:ind w:firstLine="709"/>
        <w:jc w:val="both"/>
        <w:rPr>
          <w:sz w:val="24"/>
          <w:szCs w:val="24"/>
        </w:rPr>
      </w:pPr>
    </w:p>
    <w:p w:rsidR="00FE7071" w:rsidRPr="00FE7071" w:rsidRDefault="00FE7071" w:rsidP="00FE7071">
      <w:pPr>
        <w:widowControl w:val="0"/>
        <w:jc w:val="both"/>
        <w:rPr>
          <w:b/>
          <w:sz w:val="24"/>
          <w:szCs w:val="24"/>
          <w:lang w:val="en-US"/>
        </w:rPr>
      </w:pPr>
      <w:r w:rsidRPr="00FE7071">
        <w:rPr>
          <w:b/>
          <w:sz w:val="24"/>
          <w:szCs w:val="24"/>
          <w:lang w:val="en-US"/>
        </w:rPr>
        <w:t>6 Referencial bibliográfico</w:t>
      </w:r>
    </w:p>
    <w:p w:rsidR="00E6136F" w:rsidRPr="00FE7071" w:rsidRDefault="00E6136F">
      <w:pPr>
        <w:rPr>
          <w:lang w:val="en-US"/>
        </w:rPr>
      </w:pPr>
    </w:p>
    <w:p w:rsidR="00FE7071" w:rsidRPr="00FE7071" w:rsidRDefault="00302248" w:rsidP="00FE7071">
      <w:pPr>
        <w:widowControl w:val="0"/>
        <w:autoSpaceDE w:val="0"/>
        <w:autoSpaceDN w:val="0"/>
        <w:adjustRightInd w:val="0"/>
        <w:ind w:left="480" w:hanging="480"/>
        <w:rPr>
          <w:noProof/>
          <w:sz w:val="22"/>
          <w:lang w:val="en-US"/>
        </w:rPr>
      </w:pPr>
      <w:r w:rsidRPr="000C2F6E">
        <w:rPr>
          <w:rStyle w:val="RefernciaSutil"/>
          <w:sz w:val="22"/>
        </w:rPr>
        <w:fldChar w:fldCharType="begin" w:fldLock="1"/>
      </w:r>
      <w:r w:rsidR="00FE7071" w:rsidRPr="00FE7071">
        <w:rPr>
          <w:rStyle w:val="RefernciaSutil"/>
          <w:sz w:val="22"/>
          <w:lang w:val="en-US"/>
        </w:rPr>
        <w:instrText xml:space="preserve">ADDIN Mendeley Bibliography CSL_BIBLIOGRAPHY </w:instrText>
      </w:r>
      <w:r w:rsidRPr="000C2F6E">
        <w:rPr>
          <w:rStyle w:val="RefernciaSutil"/>
          <w:sz w:val="22"/>
        </w:rPr>
        <w:fldChar w:fldCharType="separate"/>
      </w:r>
      <w:r w:rsidR="00FE7071" w:rsidRPr="00FE7071">
        <w:rPr>
          <w:noProof/>
          <w:sz w:val="22"/>
          <w:lang w:val="en-US"/>
        </w:rPr>
        <w:t xml:space="preserve">Ahsan, T., Wang, M., &amp; Qureshi, M. A. (2016). How do they adjust their capital structure along their life cycle? An empirical study about capital structure over life cycle of Pakistani firms. </w:t>
      </w:r>
      <w:r w:rsidR="00FE7071" w:rsidRPr="00FE7071">
        <w:rPr>
          <w:i/>
          <w:iCs/>
          <w:noProof/>
          <w:sz w:val="22"/>
          <w:lang w:val="en-US"/>
        </w:rPr>
        <w:t>Journal of Asia Business Studies</w:t>
      </w:r>
      <w:r w:rsidR="00FE7071" w:rsidRPr="00FE7071">
        <w:rPr>
          <w:noProof/>
          <w:sz w:val="22"/>
          <w:lang w:val="en-US"/>
        </w:rPr>
        <w:t xml:space="preserve">, </w:t>
      </w:r>
      <w:r w:rsidR="00FE7071" w:rsidRPr="00FE7071">
        <w:rPr>
          <w:i/>
          <w:iCs/>
          <w:noProof/>
          <w:sz w:val="22"/>
          <w:lang w:val="en-US"/>
        </w:rPr>
        <w:t>10</w:t>
      </w:r>
      <w:r w:rsidR="00FE7071" w:rsidRPr="00FE7071">
        <w:rPr>
          <w:noProof/>
          <w:sz w:val="22"/>
          <w:lang w:val="en-US"/>
        </w:rPr>
        <w:t>(3), 276–302. http://doi.org/10.1108/JABS-06-2015-0080</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Antoniou, A., Guney, Y., &amp; Paudyal, K. (2008). The determinants of capital structure: capital market-oriented versus bank-oriented institutions. </w:t>
      </w:r>
      <w:r w:rsidRPr="00FE7071">
        <w:rPr>
          <w:i/>
          <w:iCs/>
          <w:noProof/>
          <w:sz w:val="22"/>
          <w:lang w:val="en-US"/>
        </w:rPr>
        <w:t>The Journal of Financial and Quantitative Analysis</w:t>
      </w:r>
      <w:r w:rsidRPr="00FE7071">
        <w:rPr>
          <w:noProof/>
          <w:sz w:val="22"/>
          <w:lang w:val="en-US"/>
        </w:rPr>
        <w:t xml:space="preserve">, </w:t>
      </w:r>
      <w:r w:rsidRPr="00FE7071">
        <w:rPr>
          <w:i/>
          <w:iCs/>
          <w:noProof/>
          <w:sz w:val="22"/>
          <w:lang w:val="en-US"/>
        </w:rPr>
        <w:t>43</w:t>
      </w:r>
      <w:r w:rsidRPr="00FE7071">
        <w:rPr>
          <w:noProof/>
          <w:sz w:val="22"/>
          <w:lang w:val="en-US"/>
        </w:rPr>
        <w:t>(1), 59–92. Retrieved from http://www.jstor.org/stable/27647340</w:t>
      </w:r>
    </w:p>
    <w:p w:rsidR="00FE7071" w:rsidRPr="000C2F6E" w:rsidRDefault="00FE7071" w:rsidP="00B30931">
      <w:pPr>
        <w:widowControl w:val="0"/>
        <w:autoSpaceDE w:val="0"/>
        <w:autoSpaceDN w:val="0"/>
        <w:adjustRightInd w:val="0"/>
        <w:ind w:left="480" w:hanging="480"/>
        <w:jc w:val="both"/>
        <w:rPr>
          <w:noProof/>
          <w:sz w:val="22"/>
        </w:rPr>
      </w:pPr>
      <w:r w:rsidRPr="000C2F6E">
        <w:rPr>
          <w:noProof/>
          <w:sz w:val="22"/>
        </w:rPr>
        <w:t xml:space="preserve">Bastos, D. D., &amp; Nakamura, W. T. (2009). Determinantes da estrutura de capital das companhias abertas no Brasil, México e Chile no período 2001-2006. </w:t>
      </w:r>
      <w:r w:rsidRPr="000C2F6E">
        <w:rPr>
          <w:i/>
          <w:iCs/>
          <w:noProof/>
          <w:sz w:val="22"/>
        </w:rPr>
        <w:t>Revista Contabilidade &amp; Finanças</w:t>
      </w:r>
      <w:r w:rsidRPr="000C2F6E">
        <w:rPr>
          <w:noProof/>
          <w:sz w:val="22"/>
        </w:rPr>
        <w:t xml:space="preserve">, </w:t>
      </w:r>
      <w:r w:rsidRPr="000C2F6E">
        <w:rPr>
          <w:i/>
          <w:iCs/>
          <w:noProof/>
          <w:sz w:val="22"/>
        </w:rPr>
        <w:t>20</w:t>
      </w:r>
      <w:r w:rsidRPr="000C2F6E">
        <w:rPr>
          <w:noProof/>
          <w:sz w:val="22"/>
        </w:rPr>
        <w:t>(50), 75–94. Retrieved from http://www.scielo.br/pdf/rcf/v20n50/v20n50a06.pdf</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Booth, L., Aivazian, V., Demirguc-Kunt, A., &amp; Maksimovic, V. (2001). Capital structures in developing countries. </w:t>
      </w:r>
      <w:r w:rsidRPr="00FE7071">
        <w:rPr>
          <w:i/>
          <w:iCs/>
          <w:noProof/>
          <w:sz w:val="22"/>
          <w:lang w:val="en-US"/>
        </w:rPr>
        <w:t>The Journal of Finance</w:t>
      </w:r>
      <w:r w:rsidRPr="00FE7071">
        <w:rPr>
          <w:noProof/>
          <w:sz w:val="22"/>
          <w:lang w:val="en-US"/>
        </w:rPr>
        <w:t xml:space="preserve">, </w:t>
      </w:r>
      <w:r w:rsidRPr="00FE7071">
        <w:rPr>
          <w:i/>
          <w:iCs/>
          <w:noProof/>
          <w:sz w:val="22"/>
          <w:lang w:val="en-US"/>
        </w:rPr>
        <w:t>LVI</w:t>
      </w:r>
      <w:r w:rsidRPr="00FE7071">
        <w:rPr>
          <w:noProof/>
          <w:sz w:val="22"/>
          <w:lang w:val="en-US"/>
        </w:rPr>
        <w:t>(1), 87–130. Retrieved from http://onlinelibrary.wiley.com/doi/10.1111/0022-1082.00320/abstract</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Brito, G. A. S., Corrar, L. J., &amp; Batistella, F. D. (2007). </w:t>
      </w:r>
      <w:r w:rsidRPr="000C2F6E">
        <w:rPr>
          <w:noProof/>
          <w:sz w:val="22"/>
        </w:rPr>
        <w:t xml:space="preserve">Fatores determinantes da estrutura de capital das maiores empresas que atuam no Brasil. </w:t>
      </w:r>
      <w:r w:rsidRPr="000C2F6E">
        <w:rPr>
          <w:i/>
          <w:iCs/>
          <w:noProof/>
          <w:sz w:val="22"/>
        </w:rPr>
        <w:t>Revista Contabilidade E Finanças</w:t>
      </w:r>
      <w:r w:rsidRPr="000C2F6E">
        <w:rPr>
          <w:noProof/>
          <w:sz w:val="22"/>
        </w:rPr>
        <w:t xml:space="preserve">, </w:t>
      </w:r>
      <w:r w:rsidRPr="000C2F6E">
        <w:rPr>
          <w:i/>
          <w:iCs/>
          <w:noProof/>
          <w:sz w:val="22"/>
        </w:rPr>
        <w:t>43</w:t>
      </w:r>
      <w:r w:rsidRPr="000C2F6E">
        <w:rPr>
          <w:noProof/>
          <w:sz w:val="22"/>
        </w:rPr>
        <w:t>, 9–19. Retrieved from http://www.scielo.br/pdf/rcf/v18n43/a02v1843.pdf</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Bulan, L., &amp; Yan, Z. (2009). The pecking order theory and the firm’s life cycle. </w:t>
      </w:r>
      <w:r w:rsidRPr="00FE7071">
        <w:rPr>
          <w:i/>
          <w:iCs/>
          <w:noProof/>
          <w:sz w:val="22"/>
          <w:lang w:val="en-US"/>
        </w:rPr>
        <w:t>Banking and Finance Letters</w:t>
      </w:r>
      <w:r w:rsidRPr="00FE7071">
        <w:rPr>
          <w:noProof/>
          <w:sz w:val="22"/>
          <w:lang w:val="en-US"/>
        </w:rPr>
        <w:t xml:space="preserve">, </w:t>
      </w:r>
      <w:r w:rsidRPr="00FE7071">
        <w:rPr>
          <w:i/>
          <w:iCs/>
          <w:noProof/>
          <w:sz w:val="22"/>
          <w:lang w:val="en-US"/>
        </w:rPr>
        <w:t>1</w:t>
      </w:r>
      <w:r w:rsidRPr="00FE7071">
        <w:rPr>
          <w:noProof/>
          <w:sz w:val="22"/>
          <w:lang w:val="en-US"/>
        </w:rPr>
        <w:t>(3), 129–140. Retrieved from http://papers.ssrn.com/sol3/papers.cfm?abstract_id=1559150</w:t>
      </w:r>
    </w:p>
    <w:p w:rsidR="00FE7071" w:rsidRPr="000C2F6E" w:rsidRDefault="00FE7071" w:rsidP="00FE7071">
      <w:pPr>
        <w:widowControl w:val="0"/>
        <w:autoSpaceDE w:val="0"/>
        <w:autoSpaceDN w:val="0"/>
        <w:adjustRightInd w:val="0"/>
        <w:ind w:left="480" w:hanging="480"/>
        <w:rPr>
          <w:noProof/>
          <w:sz w:val="22"/>
          <w:lang w:val="es-ES_tradnl"/>
        </w:rPr>
      </w:pPr>
      <w:r w:rsidRPr="000C2F6E">
        <w:rPr>
          <w:noProof/>
          <w:sz w:val="22"/>
          <w:lang w:val="es-ES_tradnl"/>
        </w:rPr>
        <w:t xml:space="preserve">Castro, P., Tascón, M. T., &amp; Amor-Tapia, B. (2015). </w:t>
      </w:r>
      <w:r w:rsidRPr="00FE7071">
        <w:rPr>
          <w:noProof/>
          <w:sz w:val="22"/>
          <w:lang w:val="en-US"/>
        </w:rPr>
        <w:t xml:space="preserve">Dynamic analysis of the capital structure in technological firms based on their life cycle stages. </w:t>
      </w:r>
      <w:r w:rsidRPr="000C2F6E">
        <w:rPr>
          <w:i/>
          <w:iCs/>
          <w:noProof/>
          <w:sz w:val="22"/>
          <w:lang w:val="es-ES_tradnl"/>
        </w:rPr>
        <w:t>Spanish Journal of Finance and Accounting / Revista Española de Financiación Y Contabilidad</w:t>
      </w:r>
      <w:r w:rsidRPr="000C2F6E">
        <w:rPr>
          <w:noProof/>
          <w:sz w:val="22"/>
          <w:lang w:val="es-ES_tradnl"/>
        </w:rPr>
        <w:t xml:space="preserve">, </w:t>
      </w:r>
      <w:r w:rsidRPr="000C2F6E">
        <w:rPr>
          <w:i/>
          <w:iCs/>
          <w:noProof/>
          <w:sz w:val="22"/>
          <w:lang w:val="es-ES_tradnl"/>
        </w:rPr>
        <w:t>44</w:t>
      </w:r>
      <w:r w:rsidRPr="000C2F6E">
        <w:rPr>
          <w:noProof/>
          <w:sz w:val="22"/>
          <w:lang w:val="es-ES_tradnl"/>
        </w:rPr>
        <w:t>(4), 458–486. http://doi.org/10.1080/02102412.2015.1088202</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lang w:val="es-ES_tradnl"/>
        </w:rPr>
        <w:t xml:space="preserve">Castro, P., Tascón Fernández, M. T., Amor-Tapia, B., &amp; de Miguel, A. (2016). </w:t>
      </w:r>
      <w:r w:rsidRPr="00FE7071">
        <w:rPr>
          <w:noProof/>
          <w:sz w:val="22"/>
          <w:lang w:val="en-US"/>
        </w:rPr>
        <w:t xml:space="preserve">Target leverage and speed of adjustment along the life cycle of European listed firms. </w:t>
      </w:r>
      <w:r w:rsidRPr="00FE7071">
        <w:rPr>
          <w:i/>
          <w:iCs/>
          <w:noProof/>
          <w:sz w:val="22"/>
          <w:lang w:val="en-US"/>
        </w:rPr>
        <w:t>BRQ Business Research Quarterly</w:t>
      </w:r>
      <w:r w:rsidRPr="00FE7071">
        <w:rPr>
          <w:noProof/>
          <w:sz w:val="22"/>
          <w:lang w:val="en-US"/>
        </w:rPr>
        <w:t xml:space="preserve">, </w:t>
      </w:r>
      <w:r w:rsidRPr="00FE7071">
        <w:rPr>
          <w:i/>
          <w:iCs/>
          <w:noProof/>
          <w:sz w:val="22"/>
          <w:lang w:val="en-US"/>
        </w:rPr>
        <w:t>19</w:t>
      </w:r>
      <w:r w:rsidRPr="00FE7071">
        <w:rPr>
          <w:noProof/>
          <w:sz w:val="22"/>
          <w:lang w:val="en-US"/>
        </w:rPr>
        <w:t>(3), 188–205. http://doi.org/10.1016/j.brq.2016.01.003</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Costa, W., Macedo, M., Yokoyama, K., &amp; Almeida, J. (2017). The determinants of the life cycle stages of brazilian public companies: a study based on financial accounting variables. </w:t>
      </w:r>
      <w:r w:rsidRPr="00FE7071">
        <w:rPr>
          <w:i/>
          <w:iCs/>
          <w:noProof/>
          <w:sz w:val="22"/>
          <w:lang w:val="en-US"/>
        </w:rPr>
        <w:t>Brazilian Business Review</w:t>
      </w:r>
      <w:r w:rsidRPr="00FE7071">
        <w:rPr>
          <w:noProof/>
          <w:sz w:val="22"/>
          <w:lang w:val="en-US"/>
        </w:rPr>
        <w:t xml:space="preserve">, </w:t>
      </w:r>
      <w:r w:rsidRPr="00FE7071">
        <w:rPr>
          <w:i/>
          <w:iCs/>
          <w:noProof/>
          <w:sz w:val="22"/>
          <w:lang w:val="en-US"/>
        </w:rPr>
        <w:t>14</w:t>
      </w:r>
      <w:r w:rsidRPr="00FE7071">
        <w:rPr>
          <w:noProof/>
          <w:sz w:val="22"/>
          <w:lang w:val="en-US"/>
        </w:rPr>
        <w:t>(3), 304–320. http://doi.org/10.15728/bbr.2017.14.3.3</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Dickinson, V. (2011). Cash flow patterns as a proxy for firm life cycle. </w:t>
      </w:r>
      <w:r w:rsidRPr="00FE7071">
        <w:rPr>
          <w:i/>
          <w:iCs/>
          <w:noProof/>
          <w:sz w:val="22"/>
          <w:lang w:val="en-US"/>
        </w:rPr>
        <w:t>The Accounting Review</w:t>
      </w:r>
      <w:r w:rsidRPr="00FE7071">
        <w:rPr>
          <w:noProof/>
          <w:sz w:val="22"/>
          <w:lang w:val="en-US"/>
        </w:rPr>
        <w:t xml:space="preserve">, </w:t>
      </w:r>
      <w:r w:rsidRPr="00FE7071">
        <w:rPr>
          <w:i/>
          <w:iCs/>
          <w:noProof/>
          <w:sz w:val="22"/>
          <w:lang w:val="en-US"/>
        </w:rPr>
        <w:t>86</w:t>
      </w:r>
      <w:r w:rsidRPr="00FE7071">
        <w:rPr>
          <w:noProof/>
          <w:sz w:val="22"/>
          <w:lang w:val="en-US"/>
        </w:rPr>
        <w:t>(6), 1969–1994. http://doi.org/10.2308/accr-10130</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Fávero, L. P. L., &amp; Belfiore, P. (2017). </w:t>
      </w:r>
      <w:r w:rsidRPr="000C2F6E">
        <w:rPr>
          <w:i/>
          <w:iCs/>
          <w:noProof/>
          <w:sz w:val="22"/>
        </w:rPr>
        <w:t>Manual de análise de dados</w:t>
      </w:r>
      <w:r w:rsidRPr="000C2F6E">
        <w:rPr>
          <w:noProof/>
          <w:sz w:val="22"/>
        </w:rPr>
        <w:t xml:space="preserve"> (Vol. 1). Rio de Janeiro: Elsevier.</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rPr>
        <w:t xml:space="preserve">Fraser, S., Bhaumik, S. K., &amp; Wright, M. (2015). </w:t>
      </w:r>
      <w:r w:rsidRPr="00FE7071">
        <w:rPr>
          <w:noProof/>
          <w:sz w:val="22"/>
          <w:lang w:val="en-US"/>
        </w:rPr>
        <w:t xml:space="preserve">What do we know about entrepreneurial finance and </w:t>
      </w:r>
      <w:r w:rsidRPr="00FE7071">
        <w:rPr>
          <w:noProof/>
          <w:sz w:val="22"/>
          <w:lang w:val="en-US"/>
        </w:rPr>
        <w:lastRenderedPageBreak/>
        <w:t xml:space="preserve">its relationship with growth? </w:t>
      </w:r>
      <w:r w:rsidRPr="00FE7071">
        <w:rPr>
          <w:i/>
          <w:iCs/>
          <w:noProof/>
          <w:sz w:val="22"/>
          <w:lang w:val="en-US"/>
        </w:rPr>
        <w:t>International Small Business Journal</w:t>
      </w:r>
      <w:r w:rsidRPr="00FE7071">
        <w:rPr>
          <w:noProof/>
          <w:sz w:val="22"/>
          <w:lang w:val="en-US"/>
        </w:rPr>
        <w:t xml:space="preserve">, </w:t>
      </w:r>
      <w:r w:rsidRPr="00FE7071">
        <w:rPr>
          <w:i/>
          <w:iCs/>
          <w:noProof/>
          <w:sz w:val="22"/>
          <w:lang w:val="en-US"/>
        </w:rPr>
        <w:t>33</w:t>
      </w:r>
      <w:r w:rsidRPr="00FE7071">
        <w:rPr>
          <w:noProof/>
          <w:sz w:val="22"/>
          <w:lang w:val="en-US"/>
        </w:rPr>
        <w:t>(1), 70–88. http://doi.org/10.1177/0266242614547827</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Habib, A., &amp; Hasan, M. M. (2017). Firm life cycle, corporate risk-taking and investor sentiment. </w:t>
      </w:r>
      <w:r w:rsidRPr="00FE7071">
        <w:rPr>
          <w:i/>
          <w:iCs/>
          <w:noProof/>
          <w:sz w:val="22"/>
          <w:lang w:val="en-US"/>
        </w:rPr>
        <w:t>Accounting &amp; Finance</w:t>
      </w:r>
      <w:r w:rsidRPr="00FE7071">
        <w:rPr>
          <w:noProof/>
          <w:sz w:val="22"/>
          <w:lang w:val="en-US"/>
        </w:rPr>
        <w:t xml:space="preserve">, </w:t>
      </w:r>
      <w:r w:rsidRPr="00FE7071">
        <w:rPr>
          <w:i/>
          <w:iCs/>
          <w:noProof/>
          <w:sz w:val="22"/>
          <w:lang w:val="en-US"/>
        </w:rPr>
        <w:t>57</w:t>
      </w:r>
      <w:r w:rsidRPr="00FE7071">
        <w:rPr>
          <w:noProof/>
          <w:sz w:val="22"/>
          <w:lang w:val="en-US"/>
        </w:rPr>
        <w:t>(2), 465–497. http://doi.org/10.1111/acfi.12141</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Harris, M., &amp; Raviv, A. (1991). The theory of capital structure. </w:t>
      </w:r>
      <w:r w:rsidRPr="00FE7071">
        <w:rPr>
          <w:i/>
          <w:iCs/>
          <w:noProof/>
          <w:sz w:val="22"/>
          <w:lang w:val="en-US"/>
        </w:rPr>
        <w:t>The Journal of Finance</w:t>
      </w:r>
      <w:r w:rsidRPr="00FE7071">
        <w:rPr>
          <w:noProof/>
          <w:sz w:val="22"/>
          <w:lang w:val="en-US"/>
        </w:rPr>
        <w:t xml:space="preserve">, </w:t>
      </w:r>
      <w:r w:rsidRPr="00FE7071">
        <w:rPr>
          <w:i/>
          <w:iCs/>
          <w:noProof/>
          <w:sz w:val="22"/>
          <w:lang w:val="en-US"/>
        </w:rPr>
        <w:t>46</w:t>
      </w:r>
      <w:r w:rsidRPr="00FE7071">
        <w:rPr>
          <w:noProof/>
          <w:sz w:val="22"/>
          <w:lang w:val="en-US"/>
        </w:rPr>
        <w:t>(1), 297. http://doi.org/10.2307/2328697</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Hovakimian, A., &amp; Li, G. (2011). In search of conclusive evidence: How to test for adjustment to target capital structure. </w:t>
      </w:r>
      <w:r w:rsidRPr="00FE7071">
        <w:rPr>
          <w:i/>
          <w:iCs/>
          <w:noProof/>
          <w:sz w:val="22"/>
          <w:lang w:val="en-US"/>
        </w:rPr>
        <w:t>Journal of Corporate Finance</w:t>
      </w:r>
      <w:r w:rsidRPr="00FE7071">
        <w:rPr>
          <w:noProof/>
          <w:sz w:val="22"/>
          <w:lang w:val="en-US"/>
        </w:rPr>
        <w:t xml:space="preserve">, </w:t>
      </w:r>
      <w:r w:rsidRPr="00FE7071">
        <w:rPr>
          <w:i/>
          <w:iCs/>
          <w:noProof/>
          <w:sz w:val="22"/>
          <w:lang w:val="en-US"/>
        </w:rPr>
        <w:t>17</w:t>
      </w:r>
      <w:r w:rsidRPr="00FE7071">
        <w:rPr>
          <w:noProof/>
          <w:sz w:val="22"/>
          <w:lang w:val="en-US"/>
        </w:rPr>
        <w:t>(1), 33–44. http://doi.org/10.1016/j.jcorpfin.2010.07.004</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Kayo, E. K., Famá, R., Nakamura, W. T., &amp; Martin, D. M. (2004). </w:t>
      </w:r>
      <w:r w:rsidRPr="000C2F6E">
        <w:rPr>
          <w:noProof/>
          <w:sz w:val="22"/>
        </w:rPr>
        <w:t xml:space="preserve">Estrutura de capital e criação de valor: os determinantes da estrutura de capital em diferentes fases de crescimento das empresas. </w:t>
      </w:r>
      <w:r w:rsidRPr="000C2F6E">
        <w:rPr>
          <w:i/>
          <w:iCs/>
          <w:noProof/>
          <w:sz w:val="22"/>
        </w:rPr>
        <w:t>Revista de Administração</w:t>
      </w:r>
      <w:r w:rsidRPr="000C2F6E">
        <w:rPr>
          <w:noProof/>
          <w:sz w:val="22"/>
        </w:rPr>
        <w:t xml:space="preserve">, </w:t>
      </w:r>
      <w:r w:rsidRPr="000C2F6E">
        <w:rPr>
          <w:i/>
          <w:iCs/>
          <w:noProof/>
          <w:sz w:val="22"/>
        </w:rPr>
        <w:t>10</w:t>
      </w:r>
      <w:r w:rsidRPr="000C2F6E">
        <w:rPr>
          <w:noProof/>
          <w:sz w:val="22"/>
        </w:rPr>
        <w:t>(3), 1–14.</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rPr>
        <w:t xml:space="preserve">Koh, S., Durand, R. B., Dai, L., &amp; Chang, M. (2015). </w:t>
      </w:r>
      <w:r w:rsidRPr="00FE7071">
        <w:rPr>
          <w:noProof/>
          <w:sz w:val="22"/>
          <w:lang w:val="en-US"/>
        </w:rPr>
        <w:t xml:space="preserve">Financial distress: Lifecycle and corporate restructuring. </w:t>
      </w:r>
      <w:r w:rsidRPr="00FE7071">
        <w:rPr>
          <w:i/>
          <w:iCs/>
          <w:noProof/>
          <w:sz w:val="22"/>
          <w:lang w:val="en-US"/>
        </w:rPr>
        <w:t>Journal of Corporate Finance</w:t>
      </w:r>
      <w:r w:rsidRPr="00FE7071">
        <w:rPr>
          <w:noProof/>
          <w:sz w:val="22"/>
          <w:lang w:val="en-US"/>
        </w:rPr>
        <w:t xml:space="preserve">, </w:t>
      </w:r>
      <w:r w:rsidRPr="00FE7071">
        <w:rPr>
          <w:i/>
          <w:iCs/>
          <w:noProof/>
          <w:sz w:val="22"/>
          <w:lang w:val="en-US"/>
        </w:rPr>
        <w:t>33</w:t>
      </w:r>
      <w:r w:rsidRPr="00FE7071">
        <w:rPr>
          <w:noProof/>
          <w:sz w:val="22"/>
          <w:lang w:val="en-US"/>
        </w:rPr>
        <w:t>, 19–33. http://doi.org/10.1016/j.jcorpfin.2015.04.004</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Kumar, S., Colombage, S., &amp; Rao, P. (2017). Research on capital structure determinants: a review and future directions. </w:t>
      </w:r>
      <w:r w:rsidRPr="00FE7071">
        <w:rPr>
          <w:i/>
          <w:iCs/>
          <w:noProof/>
          <w:sz w:val="22"/>
          <w:lang w:val="en-US"/>
        </w:rPr>
        <w:t>International Journal of Managerial Finance</w:t>
      </w:r>
      <w:r w:rsidRPr="00FE7071">
        <w:rPr>
          <w:noProof/>
          <w:sz w:val="22"/>
          <w:lang w:val="en-US"/>
        </w:rPr>
        <w:t xml:space="preserve">, </w:t>
      </w:r>
      <w:r w:rsidRPr="00FE7071">
        <w:rPr>
          <w:i/>
          <w:iCs/>
          <w:noProof/>
          <w:sz w:val="22"/>
          <w:lang w:val="en-US"/>
        </w:rPr>
        <w:t>13</w:t>
      </w:r>
      <w:r w:rsidRPr="00FE7071">
        <w:rPr>
          <w:noProof/>
          <w:sz w:val="22"/>
          <w:lang w:val="en-US"/>
        </w:rPr>
        <w:t>(2), 106–132. http://doi.org/10.1108/IJMF-09-2014-0135</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La Rocca, M. L., La Rocca, T. L., &amp; Cariola, A. (2011). Capital structure decisions during a firm’s life cycle. </w:t>
      </w:r>
      <w:r w:rsidRPr="00FE7071">
        <w:rPr>
          <w:i/>
          <w:iCs/>
          <w:noProof/>
          <w:sz w:val="22"/>
          <w:lang w:val="en-US"/>
        </w:rPr>
        <w:t>Small Business Economics</w:t>
      </w:r>
      <w:r w:rsidRPr="00FE7071">
        <w:rPr>
          <w:noProof/>
          <w:sz w:val="22"/>
          <w:lang w:val="en-US"/>
        </w:rPr>
        <w:t xml:space="preserve">, </w:t>
      </w:r>
      <w:r w:rsidRPr="00FE7071">
        <w:rPr>
          <w:i/>
          <w:iCs/>
          <w:noProof/>
          <w:sz w:val="22"/>
          <w:lang w:val="en-US"/>
        </w:rPr>
        <w:t>37</w:t>
      </w:r>
      <w:r w:rsidRPr="00FE7071">
        <w:rPr>
          <w:noProof/>
          <w:sz w:val="22"/>
          <w:lang w:val="en-US"/>
        </w:rPr>
        <w:t>(1), 107–130. http://doi.org/10.1007/s11187-009-9229-z</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Lester, D. L., Parnell, J. a., &amp; Carraher, S. (2003). ORGANIZATIONAL LIFE CYCLE: A FIVE‐STAGE EMPIRICAL SCALE. </w:t>
      </w:r>
      <w:r w:rsidRPr="00FE7071">
        <w:rPr>
          <w:i/>
          <w:iCs/>
          <w:noProof/>
          <w:sz w:val="22"/>
          <w:lang w:val="en-US"/>
        </w:rPr>
        <w:t>The International Journal of Organizational Analysis</w:t>
      </w:r>
      <w:r w:rsidRPr="00FE7071">
        <w:rPr>
          <w:noProof/>
          <w:sz w:val="22"/>
          <w:lang w:val="en-US"/>
        </w:rPr>
        <w:t xml:space="preserve">, </w:t>
      </w:r>
      <w:r w:rsidRPr="00FE7071">
        <w:rPr>
          <w:i/>
          <w:iCs/>
          <w:noProof/>
          <w:sz w:val="22"/>
          <w:lang w:val="en-US"/>
        </w:rPr>
        <w:t>11</w:t>
      </w:r>
      <w:r w:rsidRPr="00FE7071">
        <w:rPr>
          <w:noProof/>
          <w:sz w:val="22"/>
          <w:lang w:val="en-US"/>
        </w:rPr>
        <w:t>(4), 339–354. http://doi.org/10.1108/eb028979</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Martins, H. C., &amp; Terra, P. R. S. (2014). </w:t>
      </w:r>
      <w:r w:rsidRPr="000C2F6E">
        <w:rPr>
          <w:noProof/>
          <w:sz w:val="22"/>
        </w:rPr>
        <w:t xml:space="preserve">Determinantes Nacionais e Setoriais da Estrutura de Capital na América Latina. </w:t>
      </w:r>
      <w:r w:rsidRPr="000C2F6E">
        <w:rPr>
          <w:i/>
          <w:iCs/>
          <w:noProof/>
          <w:sz w:val="22"/>
        </w:rPr>
        <w:t>Revista de Administração Contemporânea</w:t>
      </w:r>
      <w:r w:rsidRPr="000C2F6E">
        <w:rPr>
          <w:noProof/>
          <w:sz w:val="22"/>
        </w:rPr>
        <w:t xml:space="preserve">, </w:t>
      </w:r>
      <w:r w:rsidRPr="000C2F6E">
        <w:rPr>
          <w:i/>
          <w:iCs/>
          <w:noProof/>
          <w:sz w:val="22"/>
        </w:rPr>
        <w:t>18</w:t>
      </w:r>
      <w:r w:rsidRPr="000C2F6E">
        <w:rPr>
          <w:noProof/>
          <w:sz w:val="22"/>
        </w:rPr>
        <w:t>(5), 577–597. http://doi.org/10.1590/1982-7849rac20141154</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rPr>
        <w:t xml:space="preserve">Miller, D., &amp; Friesen, P. H. (1983). </w:t>
      </w:r>
      <w:r w:rsidRPr="00FE7071">
        <w:rPr>
          <w:noProof/>
          <w:sz w:val="22"/>
          <w:lang w:val="en-US"/>
        </w:rPr>
        <w:t xml:space="preserve">Successful and Unsuccessful Phases of the Corporate Life Cycle. </w:t>
      </w:r>
      <w:r w:rsidRPr="00FE7071">
        <w:rPr>
          <w:i/>
          <w:iCs/>
          <w:noProof/>
          <w:sz w:val="22"/>
          <w:lang w:val="en-US"/>
        </w:rPr>
        <w:t>Organization Studies</w:t>
      </w:r>
      <w:r w:rsidRPr="00FE7071">
        <w:rPr>
          <w:noProof/>
          <w:sz w:val="22"/>
          <w:lang w:val="en-US"/>
        </w:rPr>
        <w:t xml:space="preserve">, </w:t>
      </w:r>
      <w:r w:rsidRPr="00FE7071">
        <w:rPr>
          <w:i/>
          <w:iCs/>
          <w:noProof/>
          <w:sz w:val="22"/>
          <w:lang w:val="en-US"/>
        </w:rPr>
        <w:t>4</w:t>
      </w:r>
      <w:r w:rsidRPr="00FE7071">
        <w:rPr>
          <w:noProof/>
          <w:sz w:val="22"/>
          <w:lang w:val="en-US"/>
        </w:rPr>
        <w:t>(4), 339–356. http://doi.org/10.1177/017084068300400403</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Miller, D., &amp; Friesen, P. H. (1984). A Longitudinal Study of the Study of the Corporate Life Cycle. </w:t>
      </w:r>
      <w:r w:rsidRPr="00FE7071">
        <w:rPr>
          <w:i/>
          <w:iCs/>
          <w:noProof/>
          <w:sz w:val="22"/>
          <w:lang w:val="en-US"/>
        </w:rPr>
        <w:t>Management Science</w:t>
      </w:r>
      <w:r w:rsidRPr="00FE7071">
        <w:rPr>
          <w:noProof/>
          <w:sz w:val="22"/>
          <w:lang w:val="en-US"/>
        </w:rPr>
        <w:t xml:space="preserve">, </w:t>
      </w:r>
      <w:r w:rsidRPr="00FE7071">
        <w:rPr>
          <w:i/>
          <w:iCs/>
          <w:noProof/>
          <w:sz w:val="22"/>
          <w:lang w:val="en-US"/>
        </w:rPr>
        <w:t>30</w:t>
      </w:r>
      <w:r w:rsidRPr="00FE7071">
        <w:rPr>
          <w:noProof/>
          <w:sz w:val="22"/>
          <w:lang w:val="en-US"/>
        </w:rPr>
        <w:t>(10), 1161–1183. Retrieved from http://dx.doi.org/10.1287/mnsc.30.10.1161</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Modigliani, F., &amp; Miller, M. H. (1958). The cost of capital, corporation finance and the theory of investment. </w:t>
      </w:r>
      <w:r w:rsidRPr="00FE7071">
        <w:rPr>
          <w:i/>
          <w:iCs/>
          <w:noProof/>
          <w:sz w:val="22"/>
          <w:lang w:val="en-US"/>
        </w:rPr>
        <w:t>The American Economic Review</w:t>
      </w:r>
      <w:r w:rsidRPr="00FE7071">
        <w:rPr>
          <w:noProof/>
          <w:sz w:val="22"/>
          <w:lang w:val="en-US"/>
        </w:rPr>
        <w:t xml:space="preserve">, </w:t>
      </w:r>
      <w:r w:rsidRPr="00FE7071">
        <w:rPr>
          <w:i/>
          <w:iCs/>
          <w:noProof/>
          <w:sz w:val="22"/>
          <w:lang w:val="en-US"/>
        </w:rPr>
        <w:t>48</w:t>
      </w:r>
      <w:r w:rsidRPr="00FE7071">
        <w:rPr>
          <w:noProof/>
          <w:sz w:val="22"/>
          <w:lang w:val="en-US"/>
        </w:rPr>
        <w:t>(3), 261–297. Retrieved from https://www.aeaweb.org/aer/top20/48.3.261-297.pdf</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Modigliani, F., &amp; Miller, M. H. (1963). Corporate income taxes and the cost of capital: a correction. </w:t>
      </w:r>
      <w:r w:rsidRPr="00FE7071">
        <w:rPr>
          <w:i/>
          <w:iCs/>
          <w:noProof/>
          <w:sz w:val="22"/>
          <w:lang w:val="en-US"/>
        </w:rPr>
        <w:t>The American Economic Review</w:t>
      </w:r>
      <w:r w:rsidRPr="00FE7071">
        <w:rPr>
          <w:noProof/>
          <w:sz w:val="22"/>
          <w:lang w:val="en-US"/>
        </w:rPr>
        <w:t xml:space="preserve">, </w:t>
      </w:r>
      <w:r w:rsidRPr="00FE7071">
        <w:rPr>
          <w:i/>
          <w:iCs/>
          <w:noProof/>
          <w:sz w:val="22"/>
          <w:lang w:val="en-US"/>
        </w:rPr>
        <w:t>53</w:t>
      </w:r>
      <w:r w:rsidRPr="00FE7071">
        <w:rPr>
          <w:noProof/>
          <w:sz w:val="22"/>
          <w:lang w:val="en-US"/>
        </w:rPr>
        <w:t>(3), 433–443. Retrieved from http://www.jstor.org/stable/10.2307/1809167</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Mueller, D. C. (1972). A Life Cycle Theory of the Firm. </w:t>
      </w:r>
      <w:r w:rsidRPr="00FE7071">
        <w:rPr>
          <w:i/>
          <w:iCs/>
          <w:noProof/>
          <w:sz w:val="22"/>
          <w:lang w:val="en-US"/>
        </w:rPr>
        <w:t>The Journal of Industrial Economics</w:t>
      </w:r>
      <w:r w:rsidRPr="00FE7071">
        <w:rPr>
          <w:noProof/>
          <w:sz w:val="22"/>
          <w:lang w:val="en-US"/>
        </w:rPr>
        <w:t xml:space="preserve">, </w:t>
      </w:r>
      <w:r w:rsidRPr="00FE7071">
        <w:rPr>
          <w:i/>
          <w:iCs/>
          <w:noProof/>
          <w:sz w:val="22"/>
          <w:lang w:val="en-US"/>
        </w:rPr>
        <w:t>20</w:t>
      </w:r>
      <w:r w:rsidRPr="00FE7071">
        <w:rPr>
          <w:noProof/>
          <w:sz w:val="22"/>
          <w:lang w:val="en-US"/>
        </w:rPr>
        <w:t>(3), 199–219. http://doi.org/10.2307/2098055</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Myers, S. C. (1984). The capital structure puzzle. </w:t>
      </w:r>
      <w:r w:rsidRPr="00FE7071">
        <w:rPr>
          <w:i/>
          <w:iCs/>
          <w:noProof/>
          <w:sz w:val="22"/>
          <w:lang w:val="en-US"/>
        </w:rPr>
        <w:t>The Journal of Finance</w:t>
      </w:r>
      <w:r w:rsidRPr="00FE7071">
        <w:rPr>
          <w:noProof/>
          <w:sz w:val="22"/>
          <w:lang w:val="en-US"/>
        </w:rPr>
        <w:t xml:space="preserve">, </w:t>
      </w:r>
      <w:r w:rsidRPr="00FE7071">
        <w:rPr>
          <w:i/>
          <w:iCs/>
          <w:noProof/>
          <w:sz w:val="22"/>
          <w:lang w:val="en-US"/>
        </w:rPr>
        <w:t>39</w:t>
      </w:r>
      <w:r w:rsidRPr="00FE7071">
        <w:rPr>
          <w:noProof/>
          <w:sz w:val="22"/>
          <w:lang w:val="en-US"/>
        </w:rPr>
        <w:t>(3), 575. http://doi.org/10.2307/2327916</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Myers, S. C. (2001). Capital structure. </w:t>
      </w:r>
      <w:r w:rsidRPr="00FE7071">
        <w:rPr>
          <w:i/>
          <w:iCs/>
          <w:noProof/>
          <w:sz w:val="22"/>
          <w:lang w:val="en-US"/>
        </w:rPr>
        <w:t>The Journal of Economic Perspectives</w:t>
      </w:r>
      <w:r w:rsidRPr="00FE7071">
        <w:rPr>
          <w:noProof/>
          <w:sz w:val="22"/>
          <w:lang w:val="en-US"/>
        </w:rPr>
        <w:t xml:space="preserve">, </w:t>
      </w:r>
      <w:r w:rsidRPr="00FE7071">
        <w:rPr>
          <w:i/>
          <w:iCs/>
          <w:noProof/>
          <w:sz w:val="22"/>
          <w:lang w:val="en-US"/>
        </w:rPr>
        <w:t>15</w:t>
      </w:r>
      <w:r w:rsidRPr="00FE7071">
        <w:rPr>
          <w:noProof/>
          <w:sz w:val="22"/>
          <w:lang w:val="en-US"/>
        </w:rPr>
        <w:t>(2), 81–102. Retrieved from http://links.jstor.org/sici?sici=0895-3309(200121)15:2%3C81:CS%3E2.0.CO;2-D</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Myers, S. C., &amp; Majluf, N. S. (1984). Corporate financing and investment decisions when firms have information that investors do not have. </w:t>
      </w:r>
      <w:r w:rsidRPr="00FE7071">
        <w:rPr>
          <w:i/>
          <w:iCs/>
          <w:noProof/>
          <w:sz w:val="22"/>
          <w:lang w:val="en-US"/>
        </w:rPr>
        <w:t>Journal of Financial Economics</w:t>
      </w:r>
      <w:r w:rsidRPr="00FE7071">
        <w:rPr>
          <w:noProof/>
          <w:sz w:val="22"/>
          <w:lang w:val="en-US"/>
        </w:rPr>
        <w:t xml:space="preserve">, </w:t>
      </w:r>
      <w:r w:rsidRPr="00FE7071">
        <w:rPr>
          <w:i/>
          <w:iCs/>
          <w:noProof/>
          <w:sz w:val="22"/>
          <w:lang w:val="en-US"/>
        </w:rPr>
        <w:t>13</w:t>
      </w:r>
      <w:r w:rsidRPr="00FE7071">
        <w:rPr>
          <w:noProof/>
          <w:sz w:val="22"/>
          <w:lang w:val="en-US"/>
        </w:rPr>
        <w:t>(2), 187–221. http://doi.org/10.1016/0304-405X(84)90023-0</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Perobelli, F. F. C., &amp; Famá, R. (2002). </w:t>
      </w:r>
      <w:r w:rsidRPr="000C2F6E">
        <w:rPr>
          <w:noProof/>
          <w:sz w:val="22"/>
        </w:rPr>
        <w:t xml:space="preserve">Determinantes da estrutura de capital: aplicação a empresas de capital aberto brasileiras. </w:t>
      </w:r>
      <w:r w:rsidRPr="000C2F6E">
        <w:rPr>
          <w:i/>
          <w:iCs/>
          <w:noProof/>
          <w:sz w:val="22"/>
        </w:rPr>
        <w:t>Revista de Administração</w:t>
      </w:r>
      <w:r w:rsidRPr="000C2F6E">
        <w:rPr>
          <w:noProof/>
          <w:sz w:val="22"/>
        </w:rPr>
        <w:t xml:space="preserve">, </w:t>
      </w:r>
      <w:r w:rsidRPr="000C2F6E">
        <w:rPr>
          <w:i/>
          <w:iCs/>
          <w:noProof/>
          <w:sz w:val="22"/>
        </w:rPr>
        <w:t>37</w:t>
      </w:r>
      <w:r w:rsidRPr="000C2F6E">
        <w:rPr>
          <w:noProof/>
          <w:sz w:val="22"/>
        </w:rPr>
        <w:t xml:space="preserve">(3), 33–46. Retrieved from </w:t>
      </w:r>
      <w:r w:rsidRPr="000C2F6E">
        <w:rPr>
          <w:noProof/>
          <w:sz w:val="22"/>
        </w:rPr>
        <w:lastRenderedPageBreak/>
        <w:t>http://www.rausp.usp.br/busca/artigo.asp?num_artigo=1355</w:t>
      </w:r>
    </w:p>
    <w:p w:rsidR="00FE7071" w:rsidRPr="000C2F6E" w:rsidRDefault="00FE7071" w:rsidP="00FE7071">
      <w:pPr>
        <w:widowControl w:val="0"/>
        <w:autoSpaceDE w:val="0"/>
        <w:autoSpaceDN w:val="0"/>
        <w:adjustRightInd w:val="0"/>
        <w:ind w:left="480" w:hanging="480"/>
        <w:rPr>
          <w:noProof/>
          <w:sz w:val="22"/>
        </w:rPr>
      </w:pPr>
      <w:r w:rsidRPr="000C2F6E">
        <w:rPr>
          <w:noProof/>
          <w:sz w:val="22"/>
          <w:lang w:val="es-ES_tradnl"/>
        </w:rPr>
        <w:t xml:space="preserve">Perobelli, F. F. C., &amp; Famá, R. (2003). </w:t>
      </w:r>
      <w:r w:rsidRPr="000C2F6E">
        <w:rPr>
          <w:noProof/>
          <w:sz w:val="22"/>
        </w:rPr>
        <w:t xml:space="preserve">Fatores determinantes da estrutura de capital para empresas latino-americanas. </w:t>
      </w:r>
      <w:r w:rsidRPr="000C2F6E">
        <w:rPr>
          <w:i/>
          <w:iCs/>
          <w:noProof/>
          <w:sz w:val="22"/>
        </w:rPr>
        <w:t>Revista de Administração Contemporânea</w:t>
      </w:r>
      <w:r w:rsidRPr="000C2F6E">
        <w:rPr>
          <w:noProof/>
          <w:sz w:val="22"/>
        </w:rPr>
        <w:t xml:space="preserve">, </w:t>
      </w:r>
      <w:r w:rsidRPr="000C2F6E">
        <w:rPr>
          <w:i/>
          <w:iCs/>
          <w:noProof/>
          <w:sz w:val="22"/>
        </w:rPr>
        <w:t>7</w:t>
      </w:r>
      <w:r w:rsidRPr="000C2F6E">
        <w:rPr>
          <w:noProof/>
          <w:sz w:val="22"/>
        </w:rPr>
        <w:t>(1), 9–35. http://doi.org/10.1590/S1415-65552003000100002</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rPr>
        <w:t xml:space="preserve">Psillaki, M., &amp; Daskalakis, N. (2009). </w:t>
      </w:r>
      <w:r w:rsidRPr="00FE7071">
        <w:rPr>
          <w:noProof/>
          <w:sz w:val="22"/>
          <w:lang w:val="en-US"/>
        </w:rPr>
        <w:t xml:space="preserve">Are the determinants of capital structure country or firm specific? </w:t>
      </w:r>
      <w:r w:rsidRPr="00FE7071">
        <w:rPr>
          <w:i/>
          <w:iCs/>
          <w:noProof/>
          <w:sz w:val="22"/>
          <w:lang w:val="en-US"/>
        </w:rPr>
        <w:t>Small Business Economics</w:t>
      </w:r>
      <w:r w:rsidRPr="00FE7071">
        <w:rPr>
          <w:noProof/>
          <w:sz w:val="22"/>
          <w:lang w:val="en-US"/>
        </w:rPr>
        <w:t xml:space="preserve">, </w:t>
      </w:r>
      <w:r w:rsidRPr="00FE7071">
        <w:rPr>
          <w:i/>
          <w:iCs/>
          <w:noProof/>
          <w:sz w:val="22"/>
          <w:lang w:val="en-US"/>
        </w:rPr>
        <w:t>33</w:t>
      </w:r>
      <w:r w:rsidRPr="00FE7071">
        <w:rPr>
          <w:noProof/>
          <w:sz w:val="22"/>
          <w:lang w:val="en-US"/>
        </w:rPr>
        <w:t>(3), 319–333. http://doi.org/10.1007/s11187-008-9103-4</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Quinn, R. E., &amp; Cameron, K. (1983). Organizational Life Cycles and Shifting Criteria of Effectiveness: Some Preliminary Evidence. </w:t>
      </w:r>
      <w:r w:rsidRPr="00FE7071">
        <w:rPr>
          <w:i/>
          <w:iCs/>
          <w:noProof/>
          <w:sz w:val="22"/>
          <w:lang w:val="en-US"/>
        </w:rPr>
        <w:t>Management Science</w:t>
      </w:r>
      <w:r w:rsidRPr="00FE7071">
        <w:rPr>
          <w:noProof/>
          <w:sz w:val="22"/>
          <w:lang w:val="en-US"/>
        </w:rPr>
        <w:t xml:space="preserve">, </w:t>
      </w:r>
      <w:r w:rsidRPr="00FE7071">
        <w:rPr>
          <w:i/>
          <w:iCs/>
          <w:noProof/>
          <w:sz w:val="22"/>
          <w:lang w:val="en-US"/>
        </w:rPr>
        <w:t>29</w:t>
      </w:r>
      <w:r w:rsidRPr="00FE7071">
        <w:rPr>
          <w:noProof/>
          <w:sz w:val="22"/>
          <w:lang w:val="en-US"/>
        </w:rPr>
        <w:t>(1), 33–51. http://doi.org/10.1287/mnsc.29.1.33</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Rajan, R., &amp; Zingales, L. (1995). What do we know about capital structure? Some evidence from international data. </w:t>
      </w:r>
      <w:r w:rsidRPr="00FE7071">
        <w:rPr>
          <w:i/>
          <w:iCs/>
          <w:noProof/>
          <w:sz w:val="22"/>
          <w:lang w:val="en-US"/>
        </w:rPr>
        <w:t>Journal of Finance</w:t>
      </w:r>
      <w:r w:rsidRPr="00FE7071">
        <w:rPr>
          <w:noProof/>
          <w:sz w:val="22"/>
          <w:lang w:val="en-US"/>
        </w:rPr>
        <w:t xml:space="preserve">, </w:t>
      </w:r>
      <w:r w:rsidRPr="00FE7071">
        <w:rPr>
          <w:i/>
          <w:iCs/>
          <w:noProof/>
          <w:sz w:val="22"/>
          <w:lang w:val="en-US"/>
        </w:rPr>
        <w:t>L</w:t>
      </w:r>
      <w:r w:rsidRPr="00FE7071">
        <w:rPr>
          <w:noProof/>
          <w:sz w:val="22"/>
          <w:lang w:val="en-US"/>
        </w:rPr>
        <w:t>(5), 1421–1460. Retrieved from http://www.nber.org/papers/w4875</w:t>
      </w:r>
    </w:p>
    <w:p w:rsidR="00FE7071" w:rsidRPr="000C2F6E" w:rsidRDefault="00FE7071" w:rsidP="00FE7071">
      <w:pPr>
        <w:widowControl w:val="0"/>
        <w:autoSpaceDE w:val="0"/>
        <w:autoSpaceDN w:val="0"/>
        <w:adjustRightInd w:val="0"/>
        <w:ind w:left="480" w:hanging="480"/>
        <w:rPr>
          <w:noProof/>
          <w:sz w:val="22"/>
        </w:rPr>
      </w:pPr>
      <w:r w:rsidRPr="000C2F6E">
        <w:rPr>
          <w:noProof/>
          <w:sz w:val="22"/>
        </w:rPr>
        <w:t xml:space="preserve">Reis, R. T., Campos, A. L. S., &amp; Pasquini, E. S. (2017). A influência dos determinantes da estrutura de capital conforme o estágio do ciclo de vida das empresas brasileiras. </w:t>
      </w:r>
      <w:r w:rsidRPr="000C2F6E">
        <w:rPr>
          <w:i/>
          <w:iCs/>
          <w:noProof/>
          <w:sz w:val="22"/>
        </w:rPr>
        <w:t>Revista de Gestão, Finanças E Contabilidade</w:t>
      </w:r>
      <w:r w:rsidRPr="000C2F6E">
        <w:rPr>
          <w:noProof/>
          <w:sz w:val="22"/>
        </w:rPr>
        <w:t xml:space="preserve">, </w:t>
      </w:r>
      <w:r w:rsidRPr="000C2F6E">
        <w:rPr>
          <w:i/>
          <w:iCs/>
          <w:noProof/>
          <w:sz w:val="22"/>
        </w:rPr>
        <w:t>7</w:t>
      </w:r>
      <w:r w:rsidRPr="000C2F6E">
        <w:rPr>
          <w:noProof/>
          <w:sz w:val="22"/>
        </w:rPr>
        <w:t>(3), 127–142.</w:t>
      </w:r>
    </w:p>
    <w:p w:rsidR="00FE7071" w:rsidRPr="000C2F6E" w:rsidRDefault="00FE7071" w:rsidP="00FE7071">
      <w:pPr>
        <w:widowControl w:val="0"/>
        <w:autoSpaceDE w:val="0"/>
        <w:autoSpaceDN w:val="0"/>
        <w:adjustRightInd w:val="0"/>
        <w:ind w:left="480" w:hanging="480"/>
        <w:rPr>
          <w:noProof/>
          <w:sz w:val="22"/>
        </w:rPr>
      </w:pPr>
      <w:r w:rsidRPr="000C2F6E">
        <w:rPr>
          <w:noProof/>
          <w:sz w:val="22"/>
        </w:rPr>
        <w:t xml:space="preserve">Reis, R. T., &amp; Gill Neto, V. (2014). Análise das mudanças dos fatores determinantes da estrutura de capital em função do ciclo de vida de empresas brasileiras no período de 2008 a 2013. </w:t>
      </w:r>
      <w:r w:rsidRPr="000C2F6E">
        <w:rPr>
          <w:i/>
          <w:iCs/>
          <w:noProof/>
          <w:sz w:val="22"/>
        </w:rPr>
        <w:t>Revista de Tecnologia Aplicada (RTA)</w:t>
      </w:r>
      <w:r w:rsidRPr="000C2F6E">
        <w:rPr>
          <w:noProof/>
          <w:sz w:val="22"/>
        </w:rPr>
        <w:t xml:space="preserve">, </w:t>
      </w:r>
      <w:r w:rsidRPr="000C2F6E">
        <w:rPr>
          <w:i/>
          <w:iCs/>
          <w:noProof/>
          <w:sz w:val="22"/>
        </w:rPr>
        <w:t>3</w:t>
      </w:r>
      <w:r w:rsidRPr="000C2F6E">
        <w:rPr>
          <w:noProof/>
          <w:sz w:val="22"/>
        </w:rPr>
        <w:t>(1), 42–53.</w:t>
      </w:r>
    </w:p>
    <w:p w:rsidR="00FE7071" w:rsidRPr="00FE7071" w:rsidRDefault="00FE7071" w:rsidP="00FE7071">
      <w:pPr>
        <w:widowControl w:val="0"/>
        <w:autoSpaceDE w:val="0"/>
        <w:autoSpaceDN w:val="0"/>
        <w:adjustRightInd w:val="0"/>
        <w:ind w:left="480" w:hanging="480"/>
        <w:rPr>
          <w:noProof/>
          <w:sz w:val="22"/>
          <w:lang w:val="en-US"/>
        </w:rPr>
      </w:pPr>
      <w:r w:rsidRPr="000C2F6E">
        <w:rPr>
          <w:noProof/>
          <w:sz w:val="22"/>
        </w:rPr>
        <w:t xml:space="preserve">Santos, M. A. dos, Fávero, L. P. L., &amp; Distadio, L. F. (2016). </w:t>
      </w:r>
      <w:r w:rsidRPr="00FE7071">
        <w:rPr>
          <w:noProof/>
          <w:sz w:val="22"/>
          <w:lang w:val="en-US"/>
        </w:rPr>
        <w:t xml:space="preserve">Adoption of the International Financial Reporting Standards (IFRS) on companies’ financing structure in emerging economies. </w:t>
      </w:r>
      <w:r w:rsidRPr="00FE7071">
        <w:rPr>
          <w:i/>
          <w:iCs/>
          <w:noProof/>
          <w:sz w:val="22"/>
          <w:lang w:val="en-US"/>
        </w:rPr>
        <w:t>Finance Research Letters</w:t>
      </w:r>
      <w:r w:rsidRPr="00FE7071">
        <w:rPr>
          <w:noProof/>
          <w:sz w:val="22"/>
          <w:lang w:val="en-US"/>
        </w:rPr>
        <w:t xml:space="preserve">, </w:t>
      </w:r>
      <w:r w:rsidRPr="00FE7071">
        <w:rPr>
          <w:i/>
          <w:iCs/>
          <w:noProof/>
          <w:sz w:val="22"/>
          <w:lang w:val="en-US"/>
        </w:rPr>
        <w:t>16</w:t>
      </w:r>
      <w:r w:rsidRPr="00FE7071">
        <w:rPr>
          <w:noProof/>
          <w:sz w:val="22"/>
          <w:lang w:val="en-US"/>
        </w:rPr>
        <w:t>, 179–189. http://doi.org/10.1016/j.frl.2015.11.002</w:t>
      </w:r>
    </w:p>
    <w:p w:rsidR="00FE7071" w:rsidRPr="000C2F6E" w:rsidRDefault="00FE7071" w:rsidP="00FE7071">
      <w:pPr>
        <w:widowControl w:val="0"/>
        <w:autoSpaceDE w:val="0"/>
        <w:autoSpaceDN w:val="0"/>
        <w:adjustRightInd w:val="0"/>
        <w:ind w:left="480" w:hanging="480"/>
        <w:rPr>
          <w:noProof/>
          <w:sz w:val="22"/>
        </w:rPr>
      </w:pPr>
      <w:r w:rsidRPr="00FE7071">
        <w:rPr>
          <w:noProof/>
          <w:sz w:val="22"/>
          <w:lang w:val="en-US"/>
        </w:rPr>
        <w:t xml:space="preserve">Terra, P. R. S. (2007). </w:t>
      </w:r>
      <w:r w:rsidRPr="000C2F6E">
        <w:rPr>
          <w:noProof/>
          <w:sz w:val="22"/>
        </w:rPr>
        <w:t xml:space="preserve">Estrutura de capital e fatores macroeconômicos na América Latina. </w:t>
      </w:r>
      <w:r w:rsidRPr="000C2F6E">
        <w:rPr>
          <w:i/>
          <w:iCs/>
          <w:noProof/>
          <w:sz w:val="22"/>
        </w:rPr>
        <w:t>Revista de Administração</w:t>
      </w:r>
      <w:r w:rsidRPr="000C2F6E">
        <w:rPr>
          <w:noProof/>
          <w:sz w:val="22"/>
        </w:rPr>
        <w:t xml:space="preserve">, </w:t>
      </w:r>
      <w:r w:rsidRPr="000C2F6E">
        <w:rPr>
          <w:i/>
          <w:iCs/>
          <w:noProof/>
          <w:sz w:val="22"/>
        </w:rPr>
        <w:t>42</w:t>
      </w:r>
      <w:r w:rsidRPr="000C2F6E">
        <w:rPr>
          <w:noProof/>
          <w:sz w:val="22"/>
        </w:rPr>
        <w:t>(2), 192–204. Retrieved from http://www.revistasusp.sibi.usp.br/scielo.php?pid=S0080-21072007000200007&amp;script=sci_arttext</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Terra, P. R. S. (2011). Determinants of corporate debt maturity in Latin America. </w:t>
      </w:r>
      <w:r w:rsidRPr="00FE7071">
        <w:rPr>
          <w:i/>
          <w:iCs/>
          <w:noProof/>
          <w:sz w:val="22"/>
          <w:lang w:val="en-US"/>
        </w:rPr>
        <w:t>European Business Review</w:t>
      </w:r>
      <w:r w:rsidRPr="00FE7071">
        <w:rPr>
          <w:noProof/>
          <w:sz w:val="22"/>
          <w:lang w:val="en-US"/>
        </w:rPr>
        <w:t xml:space="preserve">, </w:t>
      </w:r>
      <w:r w:rsidRPr="00FE7071">
        <w:rPr>
          <w:i/>
          <w:iCs/>
          <w:noProof/>
          <w:sz w:val="22"/>
          <w:lang w:val="en-US"/>
        </w:rPr>
        <w:t>23</w:t>
      </w:r>
      <w:r w:rsidRPr="00FE7071">
        <w:rPr>
          <w:noProof/>
          <w:sz w:val="22"/>
          <w:lang w:val="en-US"/>
        </w:rPr>
        <w:t>(1), 45–70. http://doi.org/10.1108/09555341111097982</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Tian, L., Han, L., &amp; Zhang, S. (2015). Business Life Cycle and Capital Structure: Evidence from Chinese Manufacturing Firms. </w:t>
      </w:r>
      <w:r w:rsidRPr="00FE7071">
        <w:rPr>
          <w:i/>
          <w:iCs/>
          <w:noProof/>
          <w:sz w:val="22"/>
          <w:lang w:val="en-US"/>
        </w:rPr>
        <w:t>China &amp; World Economy</w:t>
      </w:r>
      <w:r w:rsidRPr="00FE7071">
        <w:rPr>
          <w:noProof/>
          <w:sz w:val="22"/>
          <w:lang w:val="en-US"/>
        </w:rPr>
        <w:t xml:space="preserve">, </w:t>
      </w:r>
      <w:r w:rsidRPr="00FE7071">
        <w:rPr>
          <w:i/>
          <w:iCs/>
          <w:noProof/>
          <w:sz w:val="22"/>
          <w:lang w:val="en-US"/>
        </w:rPr>
        <w:t>23</w:t>
      </w:r>
      <w:r w:rsidRPr="00FE7071">
        <w:rPr>
          <w:noProof/>
          <w:sz w:val="22"/>
          <w:lang w:val="en-US"/>
        </w:rPr>
        <w:t>(2), 22–39. http://doi.org/10.1111/cwe.12105</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Titman, S., &amp; Wessels, R. (1988). The determinants of capital structure choice. </w:t>
      </w:r>
      <w:r w:rsidRPr="00FE7071">
        <w:rPr>
          <w:i/>
          <w:iCs/>
          <w:noProof/>
          <w:sz w:val="22"/>
          <w:lang w:val="en-US"/>
        </w:rPr>
        <w:t>Journal of Finance</w:t>
      </w:r>
      <w:r w:rsidRPr="00FE7071">
        <w:rPr>
          <w:noProof/>
          <w:sz w:val="22"/>
          <w:lang w:val="en-US"/>
        </w:rPr>
        <w:t xml:space="preserve">, </w:t>
      </w:r>
      <w:r w:rsidRPr="00FE7071">
        <w:rPr>
          <w:i/>
          <w:iCs/>
          <w:noProof/>
          <w:sz w:val="22"/>
          <w:lang w:val="en-US"/>
        </w:rPr>
        <w:t>43</w:t>
      </w:r>
      <w:r w:rsidRPr="00FE7071">
        <w:rPr>
          <w:noProof/>
          <w:sz w:val="22"/>
          <w:lang w:val="en-US"/>
        </w:rPr>
        <w:t>(1), 1–19. Retrieved from http://www.jstor.org/stable/10.2307/2328319</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ur Rehman, A., Wang, M., &amp; Yu, H. (2016). Dynamics of financial leverage across firm life cycle in Chinese firms: an empirical investigation using dynamic panel data model. </w:t>
      </w:r>
      <w:r w:rsidRPr="00FE7071">
        <w:rPr>
          <w:i/>
          <w:iCs/>
          <w:noProof/>
          <w:sz w:val="22"/>
          <w:lang w:val="en-US"/>
        </w:rPr>
        <w:t>China Finance and Economic Review</w:t>
      </w:r>
      <w:r w:rsidRPr="00FE7071">
        <w:rPr>
          <w:noProof/>
          <w:sz w:val="22"/>
          <w:lang w:val="en-US"/>
        </w:rPr>
        <w:t xml:space="preserve">, </w:t>
      </w:r>
      <w:r w:rsidRPr="00FE7071">
        <w:rPr>
          <w:i/>
          <w:iCs/>
          <w:noProof/>
          <w:sz w:val="22"/>
          <w:lang w:val="en-US"/>
        </w:rPr>
        <w:t>4</w:t>
      </w:r>
      <w:r w:rsidRPr="00FE7071">
        <w:rPr>
          <w:noProof/>
          <w:sz w:val="22"/>
          <w:lang w:val="en-US"/>
        </w:rPr>
        <w:t>(1), 19. http://doi.org/10.1186/s40589-016-0041-z</w:t>
      </w:r>
    </w:p>
    <w:p w:rsidR="00FE7071" w:rsidRPr="00FE7071" w:rsidRDefault="00FE7071" w:rsidP="00FE7071">
      <w:pPr>
        <w:widowControl w:val="0"/>
        <w:autoSpaceDE w:val="0"/>
        <w:autoSpaceDN w:val="0"/>
        <w:adjustRightInd w:val="0"/>
        <w:ind w:left="480" w:hanging="480"/>
        <w:rPr>
          <w:noProof/>
          <w:sz w:val="22"/>
          <w:lang w:val="en-US"/>
        </w:rPr>
      </w:pPr>
      <w:r w:rsidRPr="00FE7071">
        <w:rPr>
          <w:noProof/>
          <w:sz w:val="22"/>
          <w:lang w:val="en-US"/>
        </w:rPr>
        <w:t xml:space="preserve">Welch, I. (2011). Two common problems in capital structure research: the financial-debt-to-asset ratio and issuing activity versus leverage changes. </w:t>
      </w:r>
      <w:r w:rsidRPr="00FE7071">
        <w:rPr>
          <w:i/>
          <w:iCs/>
          <w:noProof/>
          <w:sz w:val="22"/>
          <w:lang w:val="en-US"/>
        </w:rPr>
        <w:t>International Review of Finance</w:t>
      </w:r>
      <w:r w:rsidRPr="00FE7071">
        <w:rPr>
          <w:noProof/>
          <w:sz w:val="22"/>
          <w:lang w:val="en-US"/>
        </w:rPr>
        <w:t xml:space="preserve">, </w:t>
      </w:r>
      <w:r w:rsidRPr="00FE7071">
        <w:rPr>
          <w:i/>
          <w:iCs/>
          <w:noProof/>
          <w:sz w:val="22"/>
          <w:lang w:val="en-US"/>
        </w:rPr>
        <w:t>11</w:t>
      </w:r>
      <w:r w:rsidRPr="00FE7071">
        <w:rPr>
          <w:noProof/>
          <w:sz w:val="22"/>
          <w:lang w:val="en-US"/>
        </w:rPr>
        <w:t>(1), 1–17. http://doi.org/10.1111/j.1468-2443.2010.01125.x</w:t>
      </w:r>
    </w:p>
    <w:p w:rsidR="00E6136F" w:rsidRDefault="00FE7071" w:rsidP="00FF5B59">
      <w:pPr>
        <w:widowControl w:val="0"/>
        <w:autoSpaceDE w:val="0"/>
        <w:autoSpaceDN w:val="0"/>
        <w:adjustRightInd w:val="0"/>
        <w:ind w:left="480" w:hanging="480"/>
      </w:pPr>
      <w:r w:rsidRPr="00FE7071">
        <w:rPr>
          <w:noProof/>
          <w:sz w:val="22"/>
          <w:lang w:val="en-US"/>
        </w:rPr>
        <w:t xml:space="preserve">Yazdanfar, D., &amp; Öhman, P. (2016). Capital structure dynamics among SMEs: Swedish empirical evidence. </w:t>
      </w:r>
      <w:r w:rsidRPr="000C2F6E">
        <w:rPr>
          <w:i/>
          <w:iCs/>
          <w:noProof/>
          <w:sz w:val="22"/>
        </w:rPr>
        <w:t>The Journal of Risk Finance</w:t>
      </w:r>
      <w:r w:rsidRPr="000C2F6E">
        <w:rPr>
          <w:noProof/>
          <w:sz w:val="22"/>
        </w:rPr>
        <w:t xml:space="preserve">, </w:t>
      </w:r>
      <w:r w:rsidRPr="000C2F6E">
        <w:rPr>
          <w:i/>
          <w:iCs/>
          <w:noProof/>
          <w:sz w:val="22"/>
        </w:rPr>
        <w:t>17</w:t>
      </w:r>
      <w:r w:rsidRPr="000C2F6E">
        <w:rPr>
          <w:noProof/>
          <w:sz w:val="22"/>
        </w:rPr>
        <w:t>(2), 245–260. http://doi.org/10.1108/JRF-04-2015-0040</w:t>
      </w:r>
      <w:r w:rsidR="00302248" w:rsidRPr="000C2F6E">
        <w:rPr>
          <w:rStyle w:val="RefernciaSutil"/>
          <w:sz w:val="22"/>
        </w:rPr>
        <w:fldChar w:fldCharType="end"/>
      </w:r>
      <w:bookmarkEnd w:id="0"/>
    </w:p>
    <w:sectPr w:rsidR="00E6136F" w:rsidSect="00ED4C7B">
      <w:headerReference w:type="default" r:id="rId8"/>
      <w:footerReference w:type="default" r:id="rId9"/>
      <w:type w:val="continuous"/>
      <w:pgSz w:w="11900" w:h="16840"/>
      <w:pgMar w:top="1701" w:right="1134" w:bottom="1134" w:left="1701"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EA13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EA137C" w16cid:durableId="1E9195E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177" w:rsidRDefault="00603177" w:rsidP="008A5824">
      <w:r>
        <w:separator/>
      </w:r>
    </w:p>
  </w:endnote>
  <w:endnote w:type="continuationSeparator" w:id="0">
    <w:p w:rsidR="00603177" w:rsidRDefault="00603177"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835696" w:rsidRDefault="00835696">
        <w:pPr>
          <w:pStyle w:val="Rodap"/>
          <w:jc w:val="right"/>
          <w:rPr>
            <w:rFonts w:ascii="Times New Roman" w:hAnsi="Times New Roman" w:cs="Times New Roman"/>
          </w:rPr>
        </w:pPr>
      </w:p>
      <w:p w:rsidR="00835696" w:rsidRPr="00C04F45" w:rsidRDefault="00835696">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ED4C7B">
          <w:rPr>
            <w:rFonts w:ascii="Times New Roman" w:hAnsi="Times New Roman" w:cs="Times New Roman"/>
            <w:noProof/>
          </w:rPr>
          <w:t>2</w:t>
        </w:r>
        <w:r w:rsidRPr="00C04F45">
          <w:rPr>
            <w:rFonts w:ascii="Times New Roman" w:hAnsi="Times New Roman" w:cs="Times New Roman"/>
          </w:rPr>
          <w:fldChar w:fldCharType="end"/>
        </w:r>
      </w:p>
    </w:sdtContent>
  </w:sdt>
  <w:p w:rsidR="00835696" w:rsidRDefault="00835696">
    <w:pPr>
      <w:pStyle w:val="Rodap"/>
      <w:rPr>
        <w:rFonts w:ascii="Times New Roman" w:hAnsi="Times New Roman" w:cs="Times New Roman"/>
      </w:rPr>
    </w:pPr>
  </w:p>
  <w:p w:rsidR="00835696" w:rsidRPr="00C04F45" w:rsidRDefault="00835696"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177" w:rsidRDefault="00603177" w:rsidP="008A5824">
      <w:r>
        <w:separator/>
      </w:r>
    </w:p>
  </w:footnote>
  <w:footnote w:type="continuationSeparator" w:id="0">
    <w:p w:rsidR="00603177" w:rsidRDefault="00603177"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96" w:rsidRPr="00E361F4" w:rsidRDefault="00835696"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ana Pimenta">
    <w15:presenceInfo w15:providerId="Windows Live" w15:userId="c81ddd4ad1b272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8A5824"/>
    <w:rsid w:val="00067126"/>
    <w:rsid w:val="000E695D"/>
    <w:rsid w:val="00117376"/>
    <w:rsid w:val="00122E61"/>
    <w:rsid w:val="00154F5E"/>
    <w:rsid w:val="0016220D"/>
    <w:rsid w:val="00194BA9"/>
    <w:rsid w:val="001A4423"/>
    <w:rsid w:val="001C328B"/>
    <w:rsid w:val="001F6A6D"/>
    <w:rsid w:val="002B0015"/>
    <w:rsid w:val="002B2B78"/>
    <w:rsid w:val="00302248"/>
    <w:rsid w:val="00361C60"/>
    <w:rsid w:val="0036377D"/>
    <w:rsid w:val="0038579D"/>
    <w:rsid w:val="003B21FA"/>
    <w:rsid w:val="003E25A0"/>
    <w:rsid w:val="004020EB"/>
    <w:rsid w:val="004667BC"/>
    <w:rsid w:val="00473887"/>
    <w:rsid w:val="00491708"/>
    <w:rsid w:val="0053213C"/>
    <w:rsid w:val="00541E86"/>
    <w:rsid w:val="0054594B"/>
    <w:rsid w:val="00575565"/>
    <w:rsid w:val="005E67BF"/>
    <w:rsid w:val="00603177"/>
    <w:rsid w:val="006064A3"/>
    <w:rsid w:val="00631DCF"/>
    <w:rsid w:val="00682FA6"/>
    <w:rsid w:val="00686527"/>
    <w:rsid w:val="0072578D"/>
    <w:rsid w:val="00734C9C"/>
    <w:rsid w:val="00747360"/>
    <w:rsid w:val="00814A9B"/>
    <w:rsid w:val="00826CD0"/>
    <w:rsid w:val="00835696"/>
    <w:rsid w:val="00860B20"/>
    <w:rsid w:val="008A5824"/>
    <w:rsid w:val="008B0AB3"/>
    <w:rsid w:val="008D4F05"/>
    <w:rsid w:val="008D7E66"/>
    <w:rsid w:val="00927022"/>
    <w:rsid w:val="009352DB"/>
    <w:rsid w:val="009707D1"/>
    <w:rsid w:val="009762AB"/>
    <w:rsid w:val="009833D5"/>
    <w:rsid w:val="009A797B"/>
    <w:rsid w:val="00A86ECF"/>
    <w:rsid w:val="00AA3CA5"/>
    <w:rsid w:val="00B30931"/>
    <w:rsid w:val="00B32719"/>
    <w:rsid w:val="00B41CAF"/>
    <w:rsid w:val="00BB638A"/>
    <w:rsid w:val="00BD0F13"/>
    <w:rsid w:val="00C04F45"/>
    <w:rsid w:val="00C30374"/>
    <w:rsid w:val="00C75EBF"/>
    <w:rsid w:val="00C76519"/>
    <w:rsid w:val="00CA2367"/>
    <w:rsid w:val="00CA25AA"/>
    <w:rsid w:val="00CE5296"/>
    <w:rsid w:val="00CF28E3"/>
    <w:rsid w:val="00CF645C"/>
    <w:rsid w:val="00D66230"/>
    <w:rsid w:val="00D91EAD"/>
    <w:rsid w:val="00DC3E1C"/>
    <w:rsid w:val="00DD3FF6"/>
    <w:rsid w:val="00E13CBB"/>
    <w:rsid w:val="00E361F4"/>
    <w:rsid w:val="00E6136F"/>
    <w:rsid w:val="00E97DB3"/>
    <w:rsid w:val="00ED4C7B"/>
    <w:rsid w:val="00ED7A83"/>
    <w:rsid w:val="00F45659"/>
    <w:rsid w:val="00F63374"/>
    <w:rsid w:val="00FA4A15"/>
    <w:rsid w:val="00FE1CF2"/>
    <w:rsid w:val="00FE7071"/>
    <w:rsid w:val="00FF07B7"/>
    <w:rsid w:val="00FF5B5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Refdecomentrio">
    <w:name w:val="annotation reference"/>
    <w:basedOn w:val="Fontepargpadro"/>
    <w:uiPriority w:val="99"/>
    <w:semiHidden/>
    <w:unhideWhenUsed/>
    <w:rsid w:val="005E67BF"/>
    <w:rPr>
      <w:sz w:val="16"/>
      <w:szCs w:val="16"/>
    </w:rPr>
  </w:style>
  <w:style w:type="paragraph" w:styleId="Textodecomentrio">
    <w:name w:val="annotation text"/>
    <w:basedOn w:val="Normal"/>
    <w:link w:val="TextodecomentrioChar"/>
    <w:uiPriority w:val="99"/>
    <w:semiHidden/>
    <w:unhideWhenUsed/>
    <w:rsid w:val="005E67BF"/>
  </w:style>
  <w:style w:type="character" w:customStyle="1" w:styleId="TextodecomentrioChar">
    <w:name w:val="Texto de comentário Char"/>
    <w:basedOn w:val="Fontepargpadro"/>
    <w:link w:val="Textodecomentrio"/>
    <w:uiPriority w:val="99"/>
    <w:semiHidden/>
    <w:rsid w:val="005E67BF"/>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5E67BF"/>
    <w:rPr>
      <w:b/>
      <w:bCs/>
    </w:rPr>
  </w:style>
  <w:style w:type="character" w:customStyle="1" w:styleId="AssuntodocomentrioChar">
    <w:name w:val="Assunto do comentário Char"/>
    <w:basedOn w:val="TextodecomentrioChar"/>
    <w:link w:val="Assuntodocomentrio"/>
    <w:uiPriority w:val="99"/>
    <w:semiHidden/>
    <w:rsid w:val="005E67BF"/>
    <w:rPr>
      <w:rFonts w:ascii="Times New Roman" w:eastAsia="Times New Roman" w:hAnsi="Times New Roman" w:cs="Times New Roman"/>
      <w:b/>
      <w:bCs/>
      <w:sz w:val="20"/>
      <w:szCs w:val="20"/>
      <w:lang w:eastAsia="pt-BR"/>
    </w:rPr>
  </w:style>
  <w:style w:type="paragraph" w:customStyle="1" w:styleId="ArtigoNormal">
    <w:name w:val="Artigo_Normal"/>
    <w:basedOn w:val="Normal"/>
    <w:link w:val="ArtigoNormalChar"/>
    <w:qFormat/>
    <w:rsid w:val="00122E61"/>
    <w:pPr>
      <w:suppressAutoHyphens w:val="0"/>
      <w:ind w:firstLine="709"/>
      <w:jc w:val="both"/>
    </w:pPr>
    <w:rPr>
      <w:rFonts w:eastAsiaTheme="majorEastAsia" w:cstheme="majorBidi"/>
      <w:sz w:val="24"/>
      <w:szCs w:val="22"/>
      <w:lang w:val="en-US" w:eastAsia="en-US" w:bidi="en-US"/>
    </w:rPr>
  </w:style>
  <w:style w:type="character" w:customStyle="1" w:styleId="ArtigoNormalChar">
    <w:name w:val="Artigo_Normal Char"/>
    <w:basedOn w:val="Fontepargpadro"/>
    <w:link w:val="ArtigoNormal"/>
    <w:qFormat/>
    <w:rsid w:val="00122E61"/>
    <w:rPr>
      <w:rFonts w:ascii="Times New Roman" w:eastAsiaTheme="majorEastAsia" w:hAnsi="Times New Roman" w:cstheme="majorBidi"/>
      <w:szCs w:val="22"/>
      <w:lang w:val="en-US" w:bidi="en-US"/>
    </w:rPr>
  </w:style>
  <w:style w:type="table" w:styleId="Tabelacomgrade">
    <w:name w:val="Table Grid"/>
    <w:basedOn w:val="Tabelanormal"/>
    <w:uiPriority w:val="59"/>
    <w:rsid w:val="00122E61"/>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122E61"/>
    <w:pPr>
      <w:spacing w:after="200"/>
    </w:pPr>
    <w:rPr>
      <w:b/>
      <w:bCs/>
      <w:color w:val="4472C4" w:themeColor="accent1"/>
      <w:sz w:val="18"/>
      <w:szCs w:val="18"/>
    </w:rPr>
  </w:style>
  <w:style w:type="character" w:styleId="TextodoEspaoReservado">
    <w:name w:val="Placeholder Text"/>
    <w:basedOn w:val="Fontepargpadro"/>
    <w:uiPriority w:val="99"/>
    <w:semiHidden/>
    <w:rsid w:val="00361C60"/>
    <w:rPr>
      <w:color w:val="808080"/>
    </w:rPr>
  </w:style>
  <w:style w:type="paragraph" w:customStyle="1" w:styleId="NotadeTabela">
    <w:name w:val="Nota de Tabela"/>
    <w:basedOn w:val="Citao"/>
    <w:next w:val="ArtigoNormal"/>
    <w:link w:val="NotadeTabelaChar"/>
    <w:qFormat/>
    <w:rsid w:val="00747360"/>
    <w:pPr>
      <w:suppressAutoHyphens w:val="0"/>
      <w:jc w:val="both"/>
    </w:pPr>
    <w:rPr>
      <w:rFonts w:eastAsiaTheme="majorEastAsia" w:cstheme="majorBidi"/>
      <w:i w:val="0"/>
      <w:color w:val="auto"/>
      <w:sz w:val="16"/>
      <w:szCs w:val="22"/>
      <w:lang w:eastAsia="en-US" w:bidi="en-US"/>
    </w:rPr>
  </w:style>
  <w:style w:type="character" w:customStyle="1" w:styleId="NotadeTabelaChar">
    <w:name w:val="Nota de Tabela Char"/>
    <w:basedOn w:val="CitaoChar"/>
    <w:link w:val="NotadeTabela"/>
    <w:rsid w:val="00747360"/>
    <w:rPr>
      <w:rFonts w:ascii="Times New Roman" w:eastAsiaTheme="majorEastAsia" w:hAnsi="Times New Roman" w:cstheme="majorBidi"/>
      <w:i/>
      <w:iCs/>
      <w:color w:val="000000" w:themeColor="text1"/>
      <w:sz w:val="16"/>
      <w:szCs w:val="22"/>
      <w:lang w:eastAsia="pt-BR" w:bidi="en-US"/>
    </w:rPr>
  </w:style>
  <w:style w:type="paragraph" w:styleId="Citao">
    <w:name w:val="Quote"/>
    <w:basedOn w:val="Normal"/>
    <w:next w:val="Normal"/>
    <w:link w:val="CitaoChar"/>
    <w:uiPriority w:val="29"/>
    <w:qFormat/>
    <w:rsid w:val="00747360"/>
    <w:rPr>
      <w:i/>
      <w:iCs/>
      <w:color w:val="000000" w:themeColor="text1"/>
    </w:rPr>
  </w:style>
  <w:style w:type="character" w:customStyle="1" w:styleId="CitaoChar">
    <w:name w:val="Citação Char"/>
    <w:basedOn w:val="Fontepargpadro"/>
    <w:link w:val="Citao"/>
    <w:uiPriority w:val="29"/>
    <w:rsid w:val="00747360"/>
    <w:rPr>
      <w:rFonts w:ascii="Times New Roman" w:eastAsia="Times New Roman" w:hAnsi="Times New Roman" w:cs="Times New Roman"/>
      <w:i/>
      <w:iCs/>
      <w:color w:val="000000" w:themeColor="text1"/>
      <w:sz w:val="20"/>
      <w:szCs w:val="20"/>
      <w:lang w:eastAsia="pt-BR"/>
    </w:rPr>
  </w:style>
  <w:style w:type="character" w:styleId="RefernciaSutil">
    <w:name w:val="Subtle Reference"/>
    <w:basedOn w:val="Fontepargpadro"/>
    <w:uiPriority w:val="31"/>
    <w:qFormat/>
    <w:rsid w:val="00FE7071"/>
    <w:rPr>
      <w:smallCaps/>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AB0C5-6FFE-4EF4-AD54-C24C3C8F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9053</Words>
  <Characters>48890</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Renielly Nascimento Iara</cp:lastModifiedBy>
  <cp:revision>8</cp:revision>
  <dcterms:created xsi:type="dcterms:W3CDTF">2018-05-03T14:05:00Z</dcterms:created>
  <dcterms:modified xsi:type="dcterms:W3CDTF">2018-05-03T18:36:00Z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