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1756E" w14:textId="77777777" w:rsidR="0036377D" w:rsidRDefault="0036377D" w:rsidP="0036377D">
      <w:pPr>
        <w:jc w:val="center"/>
        <w:rPr>
          <w:b/>
          <w:sz w:val="24"/>
        </w:rPr>
      </w:pPr>
    </w:p>
    <w:p w14:paraId="6030277B" w14:textId="1C17C4A7" w:rsidR="00B41AC1" w:rsidRDefault="00443F3B" w:rsidP="00B41AC1">
      <w:pPr>
        <w:jc w:val="center"/>
        <w:rPr>
          <w:b/>
          <w:sz w:val="24"/>
        </w:rPr>
      </w:pPr>
      <w:r w:rsidRPr="00443F3B">
        <w:rPr>
          <w:b/>
          <w:sz w:val="24"/>
        </w:rPr>
        <w:t>D</w:t>
      </w:r>
      <w:r w:rsidR="00B95D5D" w:rsidRPr="00443F3B">
        <w:rPr>
          <w:b/>
          <w:sz w:val="24"/>
        </w:rPr>
        <w:t>emonstração</w:t>
      </w:r>
      <w:r w:rsidRPr="00443F3B">
        <w:rPr>
          <w:b/>
          <w:sz w:val="24"/>
        </w:rPr>
        <w:t xml:space="preserve"> </w:t>
      </w:r>
      <w:r w:rsidR="00B95D5D">
        <w:rPr>
          <w:b/>
          <w:sz w:val="24"/>
        </w:rPr>
        <w:t>d</w:t>
      </w:r>
      <w:r w:rsidR="00B95D5D" w:rsidRPr="00443F3B">
        <w:rPr>
          <w:b/>
          <w:sz w:val="24"/>
        </w:rPr>
        <w:t>o Valor Adicionado</w:t>
      </w:r>
      <w:r w:rsidR="006600FB">
        <w:rPr>
          <w:b/>
          <w:sz w:val="24"/>
        </w:rPr>
        <w:t xml:space="preserve"> (DVA)</w:t>
      </w:r>
      <w:r w:rsidR="00B95D5D" w:rsidRPr="00443F3B">
        <w:rPr>
          <w:b/>
          <w:sz w:val="24"/>
        </w:rPr>
        <w:t xml:space="preserve">: Distribuição </w:t>
      </w:r>
      <w:r w:rsidR="00B95D5D">
        <w:rPr>
          <w:b/>
          <w:sz w:val="24"/>
        </w:rPr>
        <w:t>d</w:t>
      </w:r>
      <w:r w:rsidR="00B95D5D" w:rsidRPr="00443F3B">
        <w:rPr>
          <w:b/>
          <w:sz w:val="24"/>
        </w:rPr>
        <w:t xml:space="preserve">e Riqueza </w:t>
      </w:r>
      <w:r w:rsidR="00B95D5D">
        <w:rPr>
          <w:b/>
          <w:sz w:val="24"/>
        </w:rPr>
        <w:t>d</w:t>
      </w:r>
      <w:r w:rsidR="00B95D5D" w:rsidRPr="00443F3B">
        <w:rPr>
          <w:b/>
          <w:sz w:val="24"/>
        </w:rPr>
        <w:t xml:space="preserve">as Maiores Empresas Públicas </w:t>
      </w:r>
      <w:r w:rsidR="00B95D5D">
        <w:rPr>
          <w:b/>
          <w:sz w:val="24"/>
        </w:rPr>
        <w:t>e</w:t>
      </w:r>
      <w:r w:rsidR="00B95D5D" w:rsidRPr="00443F3B">
        <w:rPr>
          <w:b/>
          <w:sz w:val="24"/>
        </w:rPr>
        <w:t xml:space="preserve"> Privadas </w:t>
      </w:r>
      <w:r w:rsidR="00B95D5D">
        <w:rPr>
          <w:b/>
          <w:sz w:val="24"/>
        </w:rPr>
        <w:t>d</w:t>
      </w:r>
      <w:r w:rsidR="00B95D5D" w:rsidRPr="00443F3B">
        <w:rPr>
          <w:b/>
          <w:sz w:val="24"/>
        </w:rPr>
        <w:t>o Setor</w:t>
      </w:r>
      <w:r w:rsidR="00B95D5D">
        <w:rPr>
          <w:b/>
          <w:sz w:val="24"/>
        </w:rPr>
        <w:t xml:space="preserve"> Elétrico</w:t>
      </w:r>
    </w:p>
    <w:p w14:paraId="56E00ED0" w14:textId="77777777" w:rsidR="005F3083" w:rsidRDefault="005F3083" w:rsidP="00B41AC1">
      <w:pPr>
        <w:jc w:val="center"/>
        <w:rPr>
          <w:color w:val="999999"/>
        </w:rPr>
      </w:pPr>
    </w:p>
    <w:p w14:paraId="326792FE" w14:textId="77777777" w:rsidR="00B41AC1" w:rsidRDefault="00B41AC1" w:rsidP="00B41AC1">
      <w:pPr>
        <w:jc w:val="center"/>
        <w:rPr>
          <w:color w:val="999999"/>
        </w:rPr>
      </w:pPr>
    </w:p>
    <w:p w14:paraId="16B06297" w14:textId="77777777" w:rsidR="0020365C" w:rsidRDefault="0020365C" w:rsidP="0020365C">
      <w:pPr>
        <w:jc w:val="right"/>
        <w:rPr>
          <w:sz w:val="24"/>
        </w:rPr>
      </w:pPr>
      <w:r>
        <w:rPr>
          <w:sz w:val="24"/>
        </w:rPr>
        <w:t>Enrique Augusto Toledo Viviani</w:t>
      </w:r>
    </w:p>
    <w:p w14:paraId="07C2E784" w14:textId="77777777" w:rsidR="0020365C" w:rsidRDefault="0020365C" w:rsidP="0020365C">
      <w:pPr>
        <w:jc w:val="right"/>
        <w:rPr>
          <w:sz w:val="24"/>
        </w:rPr>
      </w:pPr>
      <w:r>
        <w:rPr>
          <w:sz w:val="24"/>
        </w:rPr>
        <w:t>Universidade Federal de Santa Catarina (UFSC)</w:t>
      </w:r>
    </w:p>
    <w:p w14:paraId="5B387051" w14:textId="77777777" w:rsidR="0020365C" w:rsidRDefault="0020365C" w:rsidP="0020365C">
      <w:pPr>
        <w:jc w:val="right"/>
        <w:rPr>
          <w:sz w:val="24"/>
        </w:rPr>
      </w:pPr>
      <w:r w:rsidRPr="005F3083">
        <w:rPr>
          <w:sz w:val="24"/>
        </w:rPr>
        <w:t>enautov@gmail.com</w:t>
      </w:r>
    </w:p>
    <w:p w14:paraId="1660B299" w14:textId="77777777" w:rsidR="0020365C" w:rsidRDefault="0020365C" w:rsidP="00D8315F">
      <w:pPr>
        <w:jc w:val="right"/>
        <w:rPr>
          <w:sz w:val="24"/>
        </w:rPr>
      </w:pPr>
    </w:p>
    <w:p w14:paraId="3D6A5D3F" w14:textId="77777777" w:rsidR="0020365C" w:rsidRDefault="0020365C" w:rsidP="0020365C">
      <w:pPr>
        <w:jc w:val="right"/>
        <w:rPr>
          <w:sz w:val="24"/>
          <w:shd w:val="clear" w:color="auto" w:fill="FFFFFF"/>
        </w:rPr>
      </w:pPr>
      <w:proofErr w:type="spellStart"/>
      <w:r w:rsidRPr="005F3083">
        <w:rPr>
          <w:rStyle w:val="nfase"/>
          <w:bCs/>
          <w:i w:val="0"/>
          <w:iCs w:val="0"/>
          <w:sz w:val="24"/>
          <w:shd w:val="clear" w:color="auto" w:fill="FFFFFF"/>
        </w:rPr>
        <w:t>Denize</w:t>
      </w:r>
      <w:proofErr w:type="spellEnd"/>
      <w:r w:rsidRPr="005F3083">
        <w:rPr>
          <w:sz w:val="24"/>
          <w:shd w:val="clear" w:color="auto" w:fill="FFFFFF"/>
        </w:rPr>
        <w:t> </w:t>
      </w:r>
      <w:proofErr w:type="spellStart"/>
      <w:r w:rsidRPr="005F3083">
        <w:rPr>
          <w:sz w:val="24"/>
          <w:shd w:val="clear" w:color="auto" w:fill="FFFFFF"/>
        </w:rPr>
        <w:t>Demarche</w:t>
      </w:r>
      <w:proofErr w:type="spellEnd"/>
      <w:r w:rsidRPr="005F3083">
        <w:rPr>
          <w:sz w:val="24"/>
          <w:shd w:val="clear" w:color="auto" w:fill="FFFFFF"/>
        </w:rPr>
        <w:t xml:space="preserve"> </w:t>
      </w:r>
      <w:proofErr w:type="spellStart"/>
      <w:r w:rsidRPr="005F3083">
        <w:rPr>
          <w:sz w:val="24"/>
          <w:shd w:val="clear" w:color="auto" w:fill="FFFFFF"/>
        </w:rPr>
        <w:t>Minatti</w:t>
      </w:r>
      <w:proofErr w:type="spellEnd"/>
      <w:r w:rsidRPr="005F3083">
        <w:rPr>
          <w:sz w:val="24"/>
          <w:shd w:val="clear" w:color="auto" w:fill="FFFFFF"/>
        </w:rPr>
        <w:t xml:space="preserve"> Ferreira</w:t>
      </w:r>
    </w:p>
    <w:p w14:paraId="34881A2C" w14:textId="77777777" w:rsidR="0020365C" w:rsidRDefault="0020365C" w:rsidP="0020365C">
      <w:pPr>
        <w:jc w:val="right"/>
        <w:rPr>
          <w:sz w:val="24"/>
        </w:rPr>
      </w:pPr>
      <w:r>
        <w:rPr>
          <w:sz w:val="24"/>
        </w:rPr>
        <w:t>Universidade Federal de Santa Catarina (UFSC)</w:t>
      </w:r>
    </w:p>
    <w:p w14:paraId="6460CD1E" w14:textId="77777777" w:rsidR="0020365C" w:rsidRDefault="0020365C" w:rsidP="0020365C">
      <w:pPr>
        <w:jc w:val="right"/>
        <w:rPr>
          <w:sz w:val="24"/>
        </w:rPr>
      </w:pPr>
      <w:r w:rsidRPr="005F3083">
        <w:rPr>
          <w:sz w:val="24"/>
        </w:rPr>
        <w:t>denize.minatti@ufsc.br</w:t>
      </w:r>
    </w:p>
    <w:p w14:paraId="1D4A1091" w14:textId="77777777" w:rsidR="0020365C" w:rsidRDefault="0020365C" w:rsidP="00D8315F">
      <w:pPr>
        <w:jc w:val="right"/>
        <w:rPr>
          <w:sz w:val="24"/>
        </w:rPr>
      </w:pPr>
    </w:p>
    <w:p w14:paraId="03D7E92B" w14:textId="0A453D37" w:rsidR="00B41AC1" w:rsidRDefault="005F3083" w:rsidP="00D8315F">
      <w:pPr>
        <w:jc w:val="right"/>
        <w:rPr>
          <w:sz w:val="24"/>
        </w:rPr>
      </w:pPr>
      <w:r w:rsidRPr="005F3083">
        <w:rPr>
          <w:sz w:val="24"/>
        </w:rPr>
        <w:t xml:space="preserve">Alessandra Rodrigues Machado de </w:t>
      </w:r>
      <w:proofErr w:type="spellStart"/>
      <w:r w:rsidRPr="005F3083">
        <w:rPr>
          <w:sz w:val="24"/>
        </w:rPr>
        <w:t>Araujo</w:t>
      </w:r>
      <w:proofErr w:type="spellEnd"/>
    </w:p>
    <w:p w14:paraId="06EAB7C6" w14:textId="4D047ECD" w:rsidR="005F3083" w:rsidRDefault="005F3083" w:rsidP="00D8315F">
      <w:pPr>
        <w:jc w:val="right"/>
        <w:rPr>
          <w:sz w:val="24"/>
        </w:rPr>
      </w:pPr>
      <w:r>
        <w:rPr>
          <w:sz w:val="24"/>
        </w:rPr>
        <w:t>Universidade Federal de Santa Catarina</w:t>
      </w:r>
      <w:r w:rsidR="00B04514">
        <w:rPr>
          <w:sz w:val="24"/>
        </w:rPr>
        <w:t xml:space="preserve"> (UFSC)</w:t>
      </w:r>
    </w:p>
    <w:p w14:paraId="268ECEBB" w14:textId="456057DE" w:rsidR="005F3083" w:rsidRDefault="005F3083" w:rsidP="00D8315F">
      <w:pPr>
        <w:jc w:val="right"/>
        <w:rPr>
          <w:sz w:val="24"/>
        </w:rPr>
      </w:pPr>
      <w:r w:rsidRPr="005F3083">
        <w:rPr>
          <w:sz w:val="24"/>
        </w:rPr>
        <w:t>alermdearaujo@hotmail.com</w:t>
      </w:r>
    </w:p>
    <w:p w14:paraId="0A330144" w14:textId="6CA51ABA" w:rsidR="005F3083" w:rsidRDefault="005F3083" w:rsidP="00D8315F">
      <w:pPr>
        <w:jc w:val="right"/>
        <w:rPr>
          <w:sz w:val="24"/>
        </w:rPr>
      </w:pPr>
    </w:p>
    <w:p w14:paraId="14FF3142" w14:textId="77777777" w:rsidR="005F3083" w:rsidRPr="005F3083" w:rsidRDefault="005F3083" w:rsidP="00D8315F">
      <w:pPr>
        <w:jc w:val="right"/>
        <w:rPr>
          <w:sz w:val="24"/>
        </w:rPr>
      </w:pPr>
    </w:p>
    <w:p w14:paraId="451001EF" w14:textId="4F4EE841" w:rsidR="004B4B28" w:rsidRDefault="00B41AC1" w:rsidP="00B41AC1">
      <w:pPr>
        <w:jc w:val="both"/>
        <w:rPr>
          <w:sz w:val="24"/>
          <w:szCs w:val="24"/>
        </w:rPr>
      </w:pPr>
      <w:r>
        <w:rPr>
          <w:b/>
          <w:sz w:val="24"/>
          <w:szCs w:val="24"/>
        </w:rPr>
        <w:t xml:space="preserve">Resumo: </w:t>
      </w:r>
      <w:r w:rsidR="004B4B28">
        <w:rPr>
          <w:sz w:val="24"/>
          <w:szCs w:val="24"/>
        </w:rPr>
        <w:t xml:space="preserve">O setor de energia elétrico brasileiro sofreu diversas mudanças desde a sua concepção, sendo uma das mais relevantes o amplo processo de privatização ao final dos anos 90. </w:t>
      </w:r>
      <w:r w:rsidR="00A465D0">
        <w:rPr>
          <w:sz w:val="24"/>
          <w:szCs w:val="24"/>
        </w:rPr>
        <w:t>A configuração híbrida atual das empresas do setor</w:t>
      </w:r>
      <w:r w:rsidR="004B4B28">
        <w:rPr>
          <w:sz w:val="24"/>
          <w:szCs w:val="24"/>
        </w:rPr>
        <w:t xml:space="preserve"> suscita estudos quanto a</w:t>
      </w:r>
      <w:r w:rsidR="00D9298E">
        <w:rPr>
          <w:sz w:val="24"/>
          <w:szCs w:val="24"/>
        </w:rPr>
        <w:t xml:space="preserve"> eficiência</w:t>
      </w:r>
      <w:r w:rsidR="000F48AE">
        <w:rPr>
          <w:sz w:val="24"/>
          <w:szCs w:val="24"/>
        </w:rPr>
        <w:t xml:space="preserve">, </w:t>
      </w:r>
      <w:r w:rsidR="00D9298E">
        <w:rPr>
          <w:sz w:val="24"/>
          <w:szCs w:val="24"/>
        </w:rPr>
        <w:t xml:space="preserve">resultados e impacto no consumidor </w:t>
      </w:r>
      <w:r w:rsidR="004B4B28">
        <w:rPr>
          <w:sz w:val="24"/>
          <w:szCs w:val="24"/>
        </w:rPr>
        <w:t xml:space="preserve">entre as </w:t>
      </w:r>
      <w:r w:rsidR="000F48AE">
        <w:rPr>
          <w:sz w:val="24"/>
          <w:szCs w:val="24"/>
        </w:rPr>
        <w:t>companhias</w:t>
      </w:r>
      <w:r w:rsidR="004B4B28">
        <w:rPr>
          <w:sz w:val="24"/>
          <w:szCs w:val="24"/>
        </w:rPr>
        <w:t xml:space="preserve"> </w:t>
      </w:r>
      <w:r w:rsidR="00A465D0">
        <w:rPr>
          <w:sz w:val="24"/>
          <w:szCs w:val="24"/>
        </w:rPr>
        <w:t>que p</w:t>
      </w:r>
      <w:r w:rsidR="00D9298E">
        <w:rPr>
          <w:sz w:val="24"/>
          <w:szCs w:val="24"/>
        </w:rPr>
        <w:t xml:space="preserve">assaram </w:t>
      </w:r>
      <w:r w:rsidR="004B4B28">
        <w:rPr>
          <w:sz w:val="24"/>
          <w:szCs w:val="24"/>
        </w:rPr>
        <w:t>o controle acionário</w:t>
      </w:r>
      <w:r w:rsidR="00D9298E">
        <w:rPr>
          <w:sz w:val="24"/>
          <w:szCs w:val="24"/>
        </w:rPr>
        <w:t xml:space="preserve"> majoritário </w:t>
      </w:r>
      <w:r w:rsidR="004B4B28">
        <w:rPr>
          <w:sz w:val="24"/>
          <w:szCs w:val="24"/>
        </w:rPr>
        <w:t>de público a privado. Desse modo, utilizando a Demonstração do Valor Adicionado</w:t>
      </w:r>
      <w:r w:rsidR="000F48AE">
        <w:rPr>
          <w:sz w:val="24"/>
          <w:szCs w:val="24"/>
        </w:rPr>
        <w:t xml:space="preserve"> (DVA)</w:t>
      </w:r>
      <w:r w:rsidR="00D9298E">
        <w:rPr>
          <w:sz w:val="24"/>
          <w:szCs w:val="24"/>
        </w:rPr>
        <w:t xml:space="preserve"> como </w:t>
      </w:r>
      <w:r w:rsidR="00076091">
        <w:rPr>
          <w:sz w:val="24"/>
          <w:szCs w:val="24"/>
        </w:rPr>
        <w:t>instrumento quanto à distribuição de riqueza produzida em determinado período</w:t>
      </w:r>
      <w:r w:rsidR="004B4B28">
        <w:rPr>
          <w:sz w:val="24"/>
          <w:szCs w:val="24"/>
        </w:rPr>
        <w:t xml:space="preserve">, a presente pesquisa tem como objetivo </w:t>
      </w:r>
      <w:r w:rsidR="00A465D0">
        <w:rPr>
          <w:sz w:val="24"/>
          <w:szCs w:val="24"/>
        </w:rPr>
        <w:t xml:space="preserve">principal </w:t>
      </w:r>
      <w:r w:rsidR="004B4B28">
        <w:rPr>
          <w:sz w:val="24"/>
          <w:szCs w:val="24"/>
        </w:rPr>
        <w:t xml:space="preserve">observar </w:t>
      </w:r>
      <w:r w:rsidR="00A465D0">
        <w:rPr>
          <w:sz w:val="24"/>
          <w:szCs w:val="24"/>
        </w:rPr>
        <w:t xml:space="preserve">como se comporta a distribuição de riqueza nas dez empresas mais relevantes do setor elétrico divididas entre públicas e privadas. Para tanto, realizou-se </w:t>
      </w:r>
      <w:r w:rsidR="003437C4">
        <w:rPr>
          <w:sz w:val="24"/>
          <w:szCs w:val="24"/>
        </w:rPr>
        <w:t>o</w:t>
      </w:r>
      <w:r w:rsidR="00A465D0">
        <w:rPr>
          <w:sz w:val="24"/>
          <w:szCs w:val="24"/>
        </w:rPr>
        <w:t xml:space="preserve"> teste estatístico</w:t>
      </w:r>
      <w:r w:rsidR="00D9298E">
        <w:rPr>
          <w:sz w:val="24"/>
          <w:szCs w:val="24"/>
        </w:rPr>
        <w:t xml:space="preserve"> não</w:t>
      </w:r>
      <w:r w:rsidR="00076091">
        <w:rPr>
          <w:sz w:val="24"/>
          <w:szCs w:val="24"/>
        </w:rPr>
        <w:t xml:space="preserve"> paramétrico</w:t>
      </w:r>
      <w:r w:rsidR="00A465D0">
        <w:rPr>
          <w:sz w:val="24"/>
          <w:szCs w:val="24"/>
        </w:rPr>
        <w:t xml:space="preserve"> de Mann-Whitney</w:t>
      </w:r>
      <w:r w:rsidR="00D9298E">
        <w:rPr>
          <w:sz w:val="24"/>
          <w:szCs w:val="24"/>
        </w:rPr>
        <w:t>, a 95% de confiança,</w:t>
      </w:r>
      <w:r w:rsidR="00A465D0">
        <w:rPr>
          <w:sz w:val="24"/>
          <w:szCs w:val="24"/>
        </w:rPr>
        <w:t xml:space="preserve"> e uma análise individual da empresa </w:t>
      </w:r>
      <w:proofErr w:type="spellStart"/>
      <w:r w:rsidR="00A465D0">
        <w:rPr>
          <w:sz w:val="24"/>
          <w:szCs w:val="24"/>
        </w:rPr>
        <w:t>Eletrobras</w:t>
      </w:r>
      <w:proofErr w:type="spellEnd"/>
      <w:r w:rsidR="00A465D0">
        <w:rPr>
          <w:sz w:val="24"/>
          <w:szCs w:val="24"/>
        </w:rPr>
        <w:t xml:space="preserve"> no contexto de sua potencial privatização. </w:t>
      </w:r>
      <w:r w:rsidR="000F48AE">
        <w:rPr>
          <w:sz w:val="24"/>
          <w:szCs w:val="24"/>
        </w:rPr>
        <w:t>A investigação</w:t>
      </w:r>
      <w:r w:rsidR="00A465D0">
        <w:rPr>
          <w:sz w:val="24"/>
          <w:szCs w:val="24"/>
        </w:rPr>
        <w:t xml:space="preserve"> apont</w:t>
      </w:r>
      <w:r w:rsidR="000F48AE">
        <w:rPr>
          <w:sz w:val="24"/>
          <w:szCs w:val="24"/>
        </w:rPr>
        <w:t>ou</w:t>
      </w:r>
      <w:r w:rsidR="00D9298E">
        <w:rPr>
          <w:sz w:val="24"/>
          <w:szCs w:val="24"/>
        </w:rPr>
        <w:t xml:space="preserve"> certa convergência em relação a d</w:t>
      </w:r>
      <w:r w:rsidR="000F48AE">
        <w:rPr>
          <w:sz w:val="24"/>
          <w:szCs w:val="24"/>
        </w:rPr>
        <w:t>estinação de</w:t>
      </w:r>
      <w:r w:rsidR="00D9298E">
        <w:rPr>
          <w:sz w:val="24"/>
          <w:szCs w:val="24"/>
        </w:rPr>
        <w:t xml:space="preserve"> riqueza</w:t>
      </w:r>
      <w:r w:rsidR="000F48AE">
        <w:rPr>
          <w:sz w:val="24"/>
          <w:szCs w:val="24"/>
        </w:rPr>
        <w:t xml:space="preserve"> produzida</w:t>
      </w:r>
      <w:r w:rsidR="00D9298E">
        <w:rPr>
          <w:sz w:val="24"/>
          <w:szCs w:val="24"/>
        </w:rPr>
        <w:t xml:space="preserve"> a tributos e </w:t>
      </w:r>
      <w:r w:rsidR="000F48AE">
        <w:rPr>
          <w:sz w:val="24"/>
          <w:szCs w:val="24"/>
        </w:rPr>
        <w:t>à</w:t>
      </w:r>
      <w:r w:rsidR="00D9298E">
        <w:rPr>
          <w:sz w:val="24"/>
          <w:szCs w:val="24"/>
        </w:rPr>
        <w:t xml:space="preserve"> remuneração de terceiros, mas visíveis </w:t>
      </w:r>
      <w:r w:rsidR="00A465D0">
        <w:rPr>
          <w:sz w:val="24"/>
          <w:szCs w:val="24"/>
        </w:rPr>
        <w:t>divergência</w:t>
      </w:r>
      <w:r w:rsidR="00D9298E">
        <w:rPr>
          <w:sz w:val="24"/>
          <w:szCs w:val="24"/>
        </w:rPr>
        <w:t>s</w:t>
      </w:r>
      <w:r w:rsidR="00A465D0">
        <w:rPr>
          <w:sz w:val="24"/>
          <w:szCs w:val="24"/>
        </w:rPr>
        <w:t xml:space="preserve"> quanto a distribuição de riqueza a empregados e </w:t>
      </w:r>
      <w:r w:rsidR="00D9298E">
        <w:rPr>
          <w:sz w:val="24"/>
          <w:szCs w:val="24"/>
        </w:rPr>
        <w:t xml:space="preserve">à </w:t>
      </w:r>
      <w:r w:rsidR="00A465D0">
        <w:rPr>
          <w:sz w:val="24"/>
          <w:szCs w:val="24"/>
        </w:rPr>
        <w:t>remuneração a acionistas de cada setor, público e privado. O</w:t>
      </w:r>
      <w:r w:rsidR="000F48AE">
        <w:rPr>
          <w:sz w:val="24"/>
          <w:szCs w:val="24"/>
        </w:rPr>
        <w:t xml:space="preserve">s resultados do teste estatístico </w:t>
      </w:r>
      <w:r w:rsidR="00A465D0">
        <w:rPr>
          <w:sz w:val="24"/>
          <w:szCs w:val="24"/>
        </w:rPr>
        <w:t>de Mann-Whitney sugeri</w:t>
      </w:r>
      <w:r w:rsidR="000F48AE">
        <w:rPr>
          <w:sz w:val="24"/>
          <w:szCs w:val="24"/>
        </w:rPr>
        <w:t>ram</w:t>
      </w:r>
      <w:r w:rsidR="00A465D0">
        <w:rPr>
          <w:sz w:val="24"/>
          <w:szCs w:val="24"/>
        </w:rPr>
        <w:t xml:space="preserve"> que há diferença na distribuição proporcional entre a população de empresas públicas e privadas do setor elétrico quanto à categoria “Pessoal”</w:t>
      </w:r>
      <w:r w:rsidR="000F48AE">
        <w:rPr>
          <w:sz w:val="24"/>
          <w:szCs w:val="24"/>
        </w:rPr>
        <w:t>, o que não ocorre nas outras categorias da DVA</w:t>
      </w:r>
      <w:r w:rsidR="00A465D0">
        <w:rPr>
          <w:sz w:val="24"/>
          <w:szCs w:val="24"/>
        </w:rPr>
        <w:t xml:space="preserve">. A análise individual da </w:t>
      </w:r>
      <w:proofErr w:type="spellStart"/>
      <w:r w:rsidR="00A465D0">
        <w:rPr>
          <w:sz w:val="24"/>
          <w:szCs w:val="24"/>
        </w:rPr>
        <w:t>Eletrobras</w:t>
      </w:r>
      <w:proofErr w:type="spellEnd"/>
      <w:r w:rsidR="00A465D0">
        <w:rPr>
          <w:sz w:val="24"/>
          <w:szCs w:val="24"/>
        </w:rPr>
        <w:t xml:space="preserve"> indica que embora o Valor Total Adicionado a distribuir da empresa seja relevante no período analisado, há uma distribuição de riqueza prejudicial aos sócios e acionistas, principalmente devido aos grandes prejuízos obtidos pela companhia</w:t>
      </w:r>
      <w:r w:rsidR="000F48AE">
        <w:rPr>
          <w:sz w:val="24"/>
          <w:szCs w:val="24"/>
        </w:rPr>
        <w:t xml:space="preserve"> no período</w:t>
      </w:r>
      <w:r w:rsidR="00A465D0">
        <w:rPr>
          <w:sz w:val="24"/>
          <w:szCs w:val="24"/>
        </w:rPr>
        <w:t>.</w:t>
      </w:r>
    </w:p>
    <w:p w14:paraId="303EBF94" w14:textId="77777777" w:rsidR="000F48AE" w:rsidRDefault="000F48AE" w:rsidP="00B41AC1">
      <w:pPr>
        <w:jc w:val="both"/>
        <w:rPr>
          <w:sz w:val="24"/>
          <w:szCs w:val="24"/>
        </w:rPr>
      </w:pPr>
    </w:p>
    <w:p w14:paraId="52D214C3" w14:textId="56744381" w:rsidR="00B41AC1" w:rsidRDefault="00B41AC1" w:rsidP="00A71434">
      <w:pPr>
        <w:jc w:val="both"/>
        <w:rPr>
          <w:sz w:val="24"/>
          <w:szCs w:val="24"/>
        </w:rPr>
      </w:pPr>
      <w:r>
        <w:rPr>
          <w:b/>
          <w:sz w:val="24"/>
          <w:szCs w:val="24"/>
        </w:rPr>
        <w:t xml:space="preserve">Palavras-chave: </w:t>
      </w:r>
      <w:r w:rsidR="009315B2">
        <w:rPr>
          <w:sz w:val="24"/>
          <w:szCs w:val="24"/>
        </w:rPr>
        <w:t>Distribuição do Valor Adicionado</w:t>
      </w:r>
      <w:r>
        <w:rPr>
          <w:sz w:val="24"/>
          <w:szCs w:val="24"/>
        </w:rPr>
        <w:t xml:space="preserve">; </w:t>
      </w:r>
      <w:r w:rsidR="00583960">
        <w:rPr>
          <w:sz w:val="24"/>
          <w:szCs w:val="24"/>
        </w:rPr>
        <w:t xml:space="preserve">Empresas Públicas e Privadas; </w:t>
      </w:r>
      <w:r w:rsidR="00833E13">
        <w:rPr>
          <w:sz w:val="24"/>
          <w:szCs w:val="24"/>
        </w:rPr>
        <w:t>Setor Elétrico</w:t>
      </w:r>
      <w:r w:rsidR="00583960">
        <w:rPr>
          <w:sz w:val="24"/>
          <w:szCs w:val="24"/>
        </w:rPr>
        <w:t>.</w:t>
      </w:r>
    </w:p>
    <w:p w14:paraId="60737134" w14:textId="77777777" w:rsidR="00B41AC1" w:rsidRDefault="00B41AC1" w:rsidP="00B41AC1">
      <w:pPr>
        <w:rPr>
          <w:sz w:val="24"/>
          <w:szCs w:val="24"/>
        </w:rPr>
      </w:pPr>
    </w:p>
    <w:p w14:paraId="47CAB51A" w14:textId="493558F9" w:rsidR="00B41AC1" w:rsidRPr="0036377D" w:rsidRDefault="00B41AC1" w:rsidP="00B41AC1">
      <w:pPr>
        <w:rPr>
          <w:sz w:val="24"/>
          <w:szCs w:val="24"/>
        </w:rPr>
      </w:pPr>
      <w:r>
        <w:rPr>
          <w:b/>
          <w:sz w:val="24"/>
          <w:szCs w:val="24"/>
        </w:rPr>
        <w:t xml:space="preserve">Linha Temática: </w:t>
      </w:r>
      <w:r w:rsidR="00BE5B85" w:rsidRPr="00417657">
        <w:rPr>
          <w:sz w:val="24"/>
          <w:szCs w:val="24"/>
        </w:rPr>
        <w:t>Contabilidade Financeira</w:t>
      </w:r>
    </w:p>
    <w:p w14:paraId="46927EC9" w14:textId="77777777" w:rsidR="00B41AC1" w:rsidRDefault="00B41AC1" w:rsidP="00B41AC1"/>
    <w:p w14:paraId="41B8309E" w14:textId="1D1162CE" w:rsidR="00B41AC1" w:rsidRDefault="00B41AC1" w:rsidP="00B41AC1"/>
    <w:p w14:paraId="3F084AA8" w14:textId="77777777" w:rsidR="005F3083" w:rsidRDefault="005F3083" w:rsidP="00B41AC1"/>
    <w:p w14:paraId="522E027A" w14:textId="77777777" w:rsidR="00B41AC1" w:rsidRDefault="00B41AC1" w:rsidP="00B41AC1"/>
    <w:p w14:paraId="4A21DD6F" w14:textId="2279564E" w:rsidR="00B41AC1" w:rsidRDefault="00B41AC1" w:rsidP="00B41AC1"/>
    <w:p w14:paraId="23F0A376" w14:textId="77777777" w:rsidR="00D7307A" w:rsidRDefault="00D7307A" w:rsidP="00B41AC1"/>
    <w:p w14:paraId="69330B3E" w14:textId="77777777" w:rsidR="003437C4" w:rsidRDefault="003437C4" w:rsidP="00B41AC1"/>
    <w:p w14:paraId="1038C05F" w14:textId="77777777" w:rsidR="00B41AC1" w:rsidRDefault="00B41AC1" w:rsidP="00B41AC1"/>
    <w:p w14:paraId="6C38B634" w14:textId="77777777" w:rsidR="00B41AC1" w:rsidRDefault="00B41AC1" w:rsidP="00B41AC1"/>
    <w:p w14:paraId="44989892" w14:textId="5F042FF2" w:rsidR="009E5621" w:rsidRPr="00697917" w:rsidRDefault="00B41AC1" w:rsidP="00264AC8">
      <w:pPr>
        <w:pStyle w:val="PargrafodaLista"/>
        <w:numPr>
          <w:ilvl w:val="0"/>
          <w:numId w:val="13"/>
        </w:numPr>
        <w:tabs>
          <w:tab w:val="left" w:pos="284"/>
        </w:tabs>
        <w:ind w:hanging="720"/>
        <w:rPr>
          <w:b/>
          <w:sz w:val="24"/>
          <w:szCs w:val="24"/>
        </w:rPr>
      </w:pPr>
      <w:r w:rsidRPr="00697917">
        <w:rPr>
          <w:b/>
          <w:sz w:val="24"/>
          <w:szCs w:val="24"/>
        </w:rPr>
        <w:lastRenderedPageBreak/>
        <w:t>Introdução</w:t>
      </w:r>
    </w:p>
    <w:p w14:paraId="5D33F4B4" w14:textId="77777777" w:rsidR="00697917" w:rsidRDefault="00697917" w:rsidP="00697917">
      <w:pPr>
        <w:pStyle w:val="PargrafodaLista"/>
      </w:pPr>
    </w:p>
    <w:p w14:paraId="052467E6" w14:textId="223A9413" w:rsidR="009E5621" w:rsidRDefault="009E5621" w:rsidP="009E5621">
      <w:pPr>
        <w:pStyle w:val="TextoABNT"/>
        <w:spacing w:line="240" w:lineRule="auto"/>
      </w:pPr>
      <w:r>
        <w:t>A contabilidade surgiu como uma forma de controle patrimonial ainda nos primórdios da civilização. Contudo, ao longo dos séculos, com o progresso tecnológico e social, destacou-se por seu uso como um instrumento social, utilizado para monitorar desde a parte fiscal de empresas como também a distribuição de riqueza produzida para a sociedade. Tal evolução foi possível devido aos pesquisadores que enxergaram na contabilidade um campo de conhecimento científico</w:t>
      </w:r>
      <w:r w:rsidR="00BC72A5">
        <w:t>, já que</w:t>
      </w:r>
      <w:r>
        <w:t xml:space="preserve"> </w:t>
      </w:r>
      <w:r w:rsidR="00BC72A5">
        <w:t>esta</w:t>
      </w:r>
      <w:r>
        <w:t xml:space="preserve"> necessitava de aperfeiçoamento para responder às questões de seus usuários (</w:t>
      </w:r>
      <w:r w:rsidR="006148F0" w:rsidRPr="00496229">
        <w:rPr>
          <w:szCs w:val="22"/>
        </w:rPr>
        <w:t>S</w:t>
      </w:r>
      <w:r w:rsidR="006148F0">
        <w:rPr>
          <w:szCs w:val="22"/>
        </w:rPr>
        <w:t>antos</w:t>
      </w:r>
      <w:r w:rsidR="006148F0" w:rsidRPr="00496229">
        <w:rPr>
          <w:szCs w:val="22"/>
        </w:rPr>
        <w:t xml:space="preserve">, </w:t>
      </w:r>
      <w:proofErr w:type="spellStart"/>
      <w:r w:rsidR="006148F0" w:rsidRPr="00496229">
        <w:rPr>
          <w:szCs w:val="22"/>
        </w:rPr>
        <w:t>S</w:t>
      </w:r>
      <w:r w:rsidR="006148F0">
        <w:rPr>
          <w:szCs w:val="22"/>
        </w:rPr>
        <w:t>chimidt</w:t>
      </w:r>
      <w:proofErr w:type="spellEnd"/>
      <w:r w:rsidR="006148F0">
        <w:rPr>
          <w:szCs w:val="22"/>
        </w:rPr>
        <w:t xml:space="preserve"> e</w:t>
      </w:r>
      <w:r w:rsidR="006148F0" w:rsidRPr="00496229">
        <w:rPr>
          <w:szCs w:val="22"/>
        </w:rPr>
        <w:t xml:space="preserve"> M</w:t>
      </w:r>
      <w:r w:rsidR="006148F0">
        <w:rPr>
          <w:szCs w:val="22"/>
        </w:rPr>
        <w:t>achado, 2011</w:t>
      </w:r>
      <w:r>
        <w:t>).</w:t>
      </w:r>
    </w:p>
    <w:p w14:paraId="60B2973A" w14:textId="3C4F5852" w:rsidR="009E5621" w:rsidRDefault="009E5621" w:rsidP="009E5621">
      <w:pPr>
        <w:pStyle w:val="TextoABNT"/>
        <w:spacing w:line="240" w:lineRule="auto"/>
      </w:pPr>
      <w:r>
        <w:t>A DVA, desde sua concepção, abrange, mesmo que indiretamente, questões sociais pelas informações que apresenta. É a demonstração contábil que se propõe a divulgar a geração de valor produzido pela própria empresa, através de suas próprias atividades, e a contrapartida aos componentes econômicos que formaram esse valor adicionado (Cosenza, 200</w:t>
      </w:r>
      <w:r w:rsidR="00F903D8">
        <w:t>5</w:t>
      </w:r>
      <w:r>
        <w:t>).</w:t>
      </w:r>
    </w:p>
    <w:p w14:paraId="3E608082" w14:textId="58E422D7" w:rsidR="009E5621" w:rsidRDefault="009E5621" w:rsidP="009E5621">
      <w:pPr>
        <w:pStyle w:val="TextoABNT"/>
        <w:spacing w:line="240" w:lineRule="auto"/>
      </w:pPr>
      <w:r>
        <w:t xml:space="preserve">Desse modo, a DVA se torna um meio que se propõe a cumprir as demandas de tais usuários </w:t>
      </w:r>
      <w:r w:rsidR="006600FB">
        <w:t xml:space="preserve">interessados nas </w:t>
      </w:r>
      <w:r>
        <w:t xml:space="preserve">informações que os impactam diretamente. Tornada obrigatória sua divulgação em companhias abertas no Brasil ao final do ano de 2007, com a publicação da Lei 11.638/07, a DVA alcançou então o mesmo patamar de destaque que outras demonstrações contábeis já possuíam, como o Balanço Patrimonial e a Demonstração do Resultado do Exercício. </w:t>
      </w:r>
    </w:p>
    <w:p w14:paraId="172EDF69" w14:textId="5EA43ED7" w:rsidR="009E5621" w:rsidRDefault="009E5621" w:rsidP="009E5621">
      <w:pPr>
        <w:pStyle w:val="TextoABNT"/>
        <w:spacing w:line="240" w:lineRule="auto"/>
        <w:rPr>
          <w:highlight w:val="white"/>
        </w:rPr>
      </w:pPr>
      <w:r>
        <w:t>As empresas do setor elétrico foram pioneiras na divulgação da DVA no Brasil, por força da</w:t>
      </w:r>
      <w:r w:rsidR="00464D17">
        <w:t xml:space="preserve"> </w:t>
      </w:r>
      <w:r w:rsidR="00464D17">
        <w:rPr>
          <w:highlight w:val="white"/>
        </w:rPr>
        <w:t>Resolução n</w:t>
      </w:r>
      <w:r w:rsidR="00464D17">
        <w:t>º 444/2001, editada pela</w:t>
      </w:r>
      <w:r w:rsidR="00350EB5">
        <w:t xml:space="preserve"> </w:t>
      </w:r>
      <w:r>
        <w:rPr>
          <w:highlight w:val="white"/>
        </w:rPr>
        <w:t>Agência Nacional de Energia Elétrica</w:t>
      </w:r>
      <w:r w:rsidR="00F2389A">
        <w:rPr>
          <w:highlight w:val="white"/>
        </w:rPr>
        <w:t xml:space="preserve"> (ANEEL)</w:t>
      </w:r>
      <w:r w:rsidR="00943BC9">
        <w:rPr>
          <w:highlight w:val="white"/>
        </w:rPr>
        <w:t xml:space="preserve">. Tal resolução visava a implantação do </w:t>
      </w:r>
      <w:r w:rsidR="00943BC9">
        <w:t>Manual de Contabilidade do Serviço Público de Energia Elétrica</w:t>
      </w:r>
      <w:r w:rsidR="00813201">
        <w:t xml:space="preserve"> convergente às normas contábeis internacionais</w:t>
      </w:r>
      <w:r w:rsidR="00943BC9">
        <w:t xml:space="preserve">, </w:t>
      </w:r>
      <w:r w:rsidR="00813201">
        <w:t xml:space="preserve">ampliando o Plano de Contas do setor elétrico, definindo objetivos, instruções gerais e contábeis, e abordando sobre a divulgação de dados e informações contábeis, financeiras, administrativas e de responsabilidade </w:t>
      </w:r>
      <w:r w:rsidR="00813201" w:rsidRPr="000F5FF1">
        <w:t>social (A</w:t>
      </w:r>
      <w:r w:rsidR="00F2389A" w:rsidRPr="000F5FF1">
        <w:t>NEEL</w:t>
      </w:r>
      <w:r w:rsidR="00813201" w:rsidRPr="000F5FF1">
        <w:t>, 2015).</w:t>
      </w:r>
      <w:r w:rsidR="00813201">
        <w:t xml:space="preserve"> </w:t>
      </w:r>
      <w:r w:rsidR="00F2389A">
        <w:t xml:space="preserve">O contexto da elaboração de um manual contábil para o setor elétrico refletia </w:t>
      </w:r>
      <w:r w:rsidR="00F2389A">
        <w:rPr>
          <w:highlight w:val="white"/>
        </w:rPr>
        <w:t>a nova configuração do setor após as privatizações ocorridas ao final dos anos 90</w:t>
      </w:r>
      <w:r w:rsidR="000F5FF1">
        <w:rPr>
          <w:highlight w:val="white"/>
        </w:rPr>
        <w:t>.</w:t>
      </w:r>
    </w:p>
    <w:p w14:paraId="7C3D6CFF" w14:textId="28560653" w:rsidR="009E5621" w:rsidRDefault="009E5621" w:rsidP="009E5621">
      <w:pPr>
        <w:pStyle w:val="TextoABNT"/>
        <w:spacing w:line="240" w:lineRule="auto"/>
      </w:pPr>
      <w:r>
        <w:t>D</w:t>
      </w:r>
      <w:r w:rsidR="00300803">
        <w:t>esse modo,</w:t>
      </w:r>
      <w:r w:rsidR="00B81CC2">
        <w:t xml:space="preserve"> considerando a importância econômica e social do setor elétrico e a possível influência do controle acionário sobre os resultados (</w:t>
      </w:r>
      <w:r w:rsidR="00B81CC2" w:rsidRPr="00FB631C">
        <w:t>Correa,</w:t>
      </w:r>
      <w:r w:rsidR="00B81CC2">
        <w:t xml:space="preserve"> </w:t>
      </w:r>
      <w:r w:rsidR="00B81CC2" w:rsidRPr="00FB631C">
        <w:t xml:space="preserve">Taffarel, Ribeiro, Menon, </w:t>
      </w:r>
      <w:r w:rsidR="00B81CC2">
        <w:t xml:space="preserve">&amp; </w:t>
      </w:r>
      <w:r w:rsidR="00B81CC2" w:rsidRPr="00FB631C">
        <w:t>Men</w:t>
      </w:r>
      <w:r w:rsidR="00B81CC2" w:rsidRPr="00D71AA4">
        <w:t>o</w:t>
      </w:r>
      <w:r w:rsidR="00B81CC2" w:rsidRPr="00FB631C">
        <w:t>n</w:t>
      </w:r>
      <w:r w:rsidR="00B81CC2">
        <w:t xml:space="preserve">, 2016), </w:t>
      </w:r>
      <w:r>
        <w:t xml:space="preserve">este trabalho utiliza-se da DVA como instrumento de investigação </w:t>
      </w:r>
      <w:r w:rsidR="006600FB">
        <w:t xml:space="preserve">do </w:t>
      </w:r>
      <w:r>
        <w:t>ramo elétrico</w:t>
      </w:r>
      <w:r w:rsidR="00674FB9">
        <w:t xml:space="preserve">, apresentando como problema de pesquisa: Qual a Distribuição do Valor Adicionado nas dez empresas mais relevantes do setor elétrico, estatais e privadas, com demonstrações publicadas na Bolsa, Balcão, Brasil </w:t>
      </w:r>
      <w:bookmarkStart w:id="0" w:name="_Hlk512872174"/>
      <w:r w:rsidR="00686E6A">
        <w:t>[</w:t>
      </w:r>
      <w:r w:rsidR="00674FB9">
        <w:t>B</w:t>
      </w:r>
      <w:r w:rsidR="00686E6A">
        <w:t>]</w:t>
      </w:r>
      <w:r w:rsidR="00686E6A">
        <w:rPr>
          <w:vertAlign w:val="superscript"/>
        </w:rPr>
        <w:t>3</w:t>
      </w:r>
      <w:bookmarkEnd w:id="0"/>
      <w:r w:rsidR="00674FB9">
        <w:t>?</w:t>
      </w:r>
      <w:r>
        <w:t xml:space="preserve"> </w:t>
      </w:r>
      <w:r w:rsidR="00674FB9">
        <w:t>Assim, l</w:t>
      </w:r>
      <w:r>
        <w:t>imitando-se ao período de 2012 a 201</w:t>
      </w:r>
      <w:r w:rsidR="00FF6DAE">
        <w:t>7</w:t>
      </w:r>
      <w:r>
        <w:t xml:space="preserve">, tem-se como principal objetivo </w:t>
      </w:r>
      <w:bookmarkStart w:id="1" w:name="_Hlk504555729"/>
      <w:r>
        <w:t xml:space="preserve">analisar como é realizada a Distribuição do Valor Adicionado nas dez empresas mais relevantes do setor elétrico, estatais e privadas, com </w:t>
      </w:r>
      <w:r w:rsidR="001F5AED">
        <w:t xml:space="preserve">demonstrações publicadas </w:t>
      </w:r>
      <w:r>
        <w:t>na</w:t>
      </w:r>
      <w:r w:rsidR="009609E0">
        <w:t xml:space="preserve"> </w:t>
      </w:r>
      <w:r w:rsidR="00686E6A">
        <w:t>[B]</w:t>
      </w:r>
      <w:r w:rsidR="00686E6A">
        <w:rPr>
          <w:vertAlign w:val="superscript"/>
        </w:rPr>
        <w:t>3</w:t>
      </w:r>
      <w:bookmarkEnd w:id="1"/>
      <w:r w:rsidR="00686E6A">
        <w:t>.</w:t>
      </w:r>
    </w:p>
    <w:p w14:paraId="5B8B7922" w14:textId="59EC0F32" w:rsidR="009E5621" w:rsidRDefault="009E5621" w:rsidP="009E5621">
      <w:pPr>
        <w:pStyle w:val="TextoABNT"/>
        <w:spacing w:line="240" w:lineRule="auto"/>
      </w:pPr>
      <w:r>
        <w:t xml:space="preserve">Como </w:t>
      </w:r>
      <w:r w:rsidR="00350EB5">
        <w:t>objetivos específicos têm-se</w:t>
      </w:r>
      <w:r>
        <w:t>:</w:t>
      </w:r>
      <w:r w:rsidR="006600FB">
        <w:t xml:space="preserve"> (i)</w:t>
      </w:r>
      <w:r>
        <w:t xml:space="preserve"> interpretar os indicadores relativos </w:t>
      </w:r>
      <w:r w:rsidR="00C23644">
        <w:t>à</w:t>
      </w:r>
      <w:r>
        <w:t xml:space="preserve"> </w:t>
      </w:r>
      <w:r w:rsidR="0093797B">
        <w:t>D</w:t>
      </w:r>
      <w:r>
        <w:t xml:space="preserve">istribuição do </w:t>
      </w:r>
      <w:r w:rsidR="0093797B">
        <w:t>V</w:t>
      </w:r>
      <w:r>
        <w:t xml:space="preserve">alor </w:t>
      </w:r>
      <w:r w:rsidR="0093797B">
        <w:t>A</w:t>
      </w:r>
      <w:r>
        <w:t>dicionado para o Governo, Pessoal, Capital Próprio e de Terceiros da DVA na composição de empresas selecionadas, comparando-os entre as empresas estatais e privadas;</w:t>
      </w:r>
      <w:r w:rsidR="000923A6">
        <w:t xml:space="preserve"> (</w:t>
      </w:r>
      <w:proofErr w:type="spellStart"/>
      <w:r w:rsidR="000923A6">
        <w:t>ii</w:t>
      </w:r>
      <w:proofErr w:type="spellEnd"/>
      <w:r w:rsidR="000923A6">
        <w:t>)</w:t>
      </w:r>
      <w:r>
        <w:t xml:space="preserve"> verificar se há diferença significativa de alocação média de recursos em determinado setor entre organizações públicas e privadas, </w:t>
      </w:r>
      <w:r w:rsidR="006600FB">
        <w:t xml:space="preserve">por meio do </w:t>
      </w:r>
      <w:r>
        <w:t>teste não paramétrico de Mann-Whitney;</w:t>
      </w:r>
      <w:r w:rsidR="007D15EA">
        <w:t xml:space="preserve"> e, </w:t>
      </w:r>
      <w:r w:rsidR="006600FB">
        <w:t>(</w:t>
      </w:r>
      <w:proofErr w:type="spellStart"/>
      <w:r w:rsidR="006600FB">
        <w:t>ii</w:t>
      </w:r>
      <w:r w:rsidR="000923A6">
        <w:t>i</w:t>
      </w:r>
      <w:proofErr w:type="spellEnd"/>
      <w:r w:rsidR="006600FB">
        <w:t xml:space="preserve">) </w:t>
      </w:r>
      <w:r>
        <w:t>averiguar o comportamento da empresa</w:t>
      </w:r>
      <w:r w:rsidR="007D15EA">
        <w:t xml:space="preserve"> </w:t>
      </w:r>
      <w:proofErr w:type="spellStart"/>
      <w:r w:rsidR="007D15EA">
        <w:t>Eletrobras</w:t>
      </w:r>
      <w:proofErr w:type="spellEnd"/>
      <w:r w:rsidR="007D15EA">
        <w:t xml:space="preserve"> a partir de sua DVA,</w:t>
      </w:r>
      <w:r>
        <w:t xml:space="preserve"> frente ao contexto de privatizações do setor</w:t>
      </w:r>
      <w:r w:rsidR="007D15EA">
        <w:t>.</w:t>
      </w:r>
    </w:p>
    <w:p w14:paraId="10B2E8FE" w14:textId="050577A0" w:rsidR="009E5621" w:rsidRDefault="009E5621" w:rsidP="009E5621">
      <w:pPr>
        <w:pStyle w:val="TextoABNT"/>
        <w:spacing w:line="240" w:lineRule="auto"/>
      </w:pPr>
      <w:r>
        <w:t xml:space="preserve">O presente estudo visa contribuir na análise de distribuição de riquezas no âmbito da composição </w:t>
      </w:r>
      <w:r w:rsidR="00C23644">
        <w:t>público-privada</w:t>
      </w:r>
      <w:r>
        <w:t xml:space="preserve"> do setor elétrico nacional. Tal informação pode ser relevante em futuros debates sobre as destinações de riqueza de empresas privadas e públicas do setor, e ainda em projetos acerca da composição de capital da empresa </w:t>
      </w:r>
      <w:proofErr w:type="spellStart"/>
      <w:r>
        <w:t>Eletrobras</w:t>
      </w:r>
      <w:proofErr w:type="spellEnd"/>
      <w:r>
        <w:t>.</w:t>
      </w:r>
    </w:p>
    <w:p w14:paraId="3DCAF843" w14:textId="2EA2F297" w:rsidR="00686E6A" w:rsidRDefault="00686E6A" w:rsidP="009E5621">
      <w:pPr>
        <w:pStyle w:val="TextoABNT"/>
        <w:spacing w:line="240" w:lineRule="auto"/>
      </w:pPr>
    </w:p>
    <w:p w14:paraId="3C4152F0" w14:textId="311790FD" w:rsidR="00686E6A" w:rsidRDefault="00686E6A" w:rsidP="009E5621">
      <w:pPr>
        <w:pStyle w:val="TextoABNT"/>
        <w:spacing w:line="240" w:lineRule="auto"/>
      </w:pPr>
    </w:p>
    <w:p w14:paraId="7021FE8B" w14:textId="77777777" w:rsidR="00686E6A" w:rsidRDefault="00686E6A" w:rsidP="009E5621">
      <w:pPr>
        <w:pStyle w:val="TextoABNT"/>
        <w:spacing w:line="240" w:lineRule="auto"/>
      </w:pPr>
    </w:p>
    <w:p w14:paraId="1CB2E0CE" w14:textId="77777777" w:rsidR="00DC6CC8" w:rsidRPr="000F5FF1" w:rsidRDefault="00DC6CC8" w:rsidP="00686E6A">
      <w:bookmarkStart w:id="2" w:name="_o706i7i7ohsj" w:colFirst="0" w:colLast="0"/>
      <w:bookmarkEnd w:id="2"/>
    </w:p>
    <w:p w14:paraId="50242CB9" w14:textId="66714538" w:rsidR="009E5621" w:rsidRDefault="009E5621" w:rsidP="009E5621">
      <w:pPr>
        <w:pStyle w:val="Ttulo1"/>
        <w:numPr>
          <w:ilvl w:val="0"/>
          <w:numId w:val="0"/>
        </w:numPr>
        <w:spacing w:before="0" w:after="0" w:line="360" w:lineRule="auto"/>
        <w:ind w:left="432" w:hanging="432"/>
      </w:pPr>
      <w:r w:rsidRPr="00C23644">
        <w:t>2 Referencial Teórico</w:t>
      </w:r>
    </w:p>
    <w:p w14:paraId="5C39E9A3" w14:textId="2F910B4F" w:rsidR="00FE07D5" w:rsidRDefault="00E144C9" w:rsidP="00E144C9">
      <w:pPr>
        <w:pStyle w:val="TextoABNT"/>
        <w:spacing w:line="240" w:lineRule="auto"/>
      </w:pPr>
      <w:r>
        <w:t>Dado os tópicos abordados na introdução, convém detalhar acerca do contexto histórico e estudos realizados envolvendo a DVA</w:t>
      </w:r>
      <w:r w:rsidR="0018278A">
        <w:t xml:space="preserve">, além de </w:t>
      </w:r>
      <w:r>
        <w:t>características e pesquisas sobre o setor elétrico nacional.</w:t>
      </w:r>
    </w:p>
    <w:p w14:paraId="1DC461A0" w14:textId="77777777" w:rsidR="00E144C9" w:rsidRPr="00253A0A" w:rsidRDefault="00E144C9" w:rsidP="00253A0A">
      <w:pPr>
        <w:pStyle w:val="TextoABNT"/>
        <w:spacing w:line="240" w:lineRule="auto"/>
        <w:rPr>
          <w:b/>
        </w:rPr>
      </w:pPr>
    </w:p>
    <w:p w14:paraId="16D48C6D" w14:textId="14C4DDB8" w:rsidR="009E5621" w:rsidRPr="00081D93" w:rsidRDefault="009E5621" w:rsidP="009E5621">
      <w:pPr>
        <w:pStyle w:val="Ttulo2"/>
        <w:spacing w:before="0" w:after="0" w:line="360" w:lineRule="auto"/>
      </w:pPr>
      <w:r w:rsidRPr="00081D93">
        <w:t>2.1 Demonstração do Valor Adicionado</w:t>
      </w:r>
    </w:p>
    <w:p w14:paraId="731BF58E" w14:textId="4718B343" w:rsidR="009E5621" w:rsidRDefault="009E5621" w:rsidP="00827C13">
      <w:pPr>
        <w:pStyle w:val="TextoABNT"/>
        <w:tabs>
          <w:tab w:val="left" w:pos="3969"/>
        </w:tabs>
        <w:spacing w:line="240" w:lineRule="auto"/>
      </w:pPr>
      <w:r>
        <w:t>A ideia de uma demonstração que evidenciasse a produção e distribuição de riqueza remete ao início do século XX. Os primeiros usos da informação acerca do valor adicionado surgiram nos Estados Unidos, nos anos vinte, quando foram usados como base de cálculo dos sistemas de pagamentos de incentivos governamentais, passando a ser utilizada por empresas britânicas nos anos setenta (Cosenza, 200</w:t>
      </w:r>
      <w:r w:rsidR="00F903D8">
        <w:t>5</w:t>
      </w:r>
      <w:r>
        <w:t>).</w:t>
      </w:r>
    </w:p>
    <w:p w14:paraId="12A83F20" w14:textId="4D0C80D6" w:rsidR="009E5621" w:rsidRDefault="009E5621" w:rsidP="009E5621">
      <w:pPr>
        <w:pStyle w:val="TextoABNT"/>
        <w:spacing w:line="240" w:lineRule="auto"/>
      </w:pPr>
      <w:r>
        <w:t xml:space="preserve">Contribuiu para a sua criação a proliferação de ideais sociais na época, que questionavam a participação de empresas em questões sociais. Fixou-se, então, o entendimento que as companhias estão inseridas em um ambiente complexo, no qual suas ações têm efeitos em diversos agentes sociais; logo, </w:t>
      </w:r>
      <w:r w:rsidR="00253A0A">
        <w:t>a ideia de negócio voltada somente a atender os acionistas torna-se</w:t>
      </w:r>
      <w:r>
        <w:t xml:space="preserve"> deficiente, fazendo com que as empresas tenham de incorporar objetivos sociais em seus planos de negócios (Tenório, 2008).</w:t>
      </w:r>
    </w:p>
    <w:p w14:paraId="5B8A6FE3" w14:textId="73B77518" w:rsidR="009E5621" w:rsidRDefault="009E5621" w:rsidP="009E5621">
      <w:pPr>
        <w:pStyle w:val="TextoABNT"/>
        <w:spacing w:line="240" w:lineRule="auto"/>
      </w:pPr>
      <w:r>
        <w:t xml:space="preserve">Dado esse contexto, a DVA tem sua relevância ao ser </w:t>
      </w:r>
      <w:r>
        <w:rPr>
          <w:highlight w:val="white"/>
        </w:rPr>
        <w:t>a forma mais competente criada pela Contabilidade para auxiliar na medição e demonstração da capacidade de geração, bem como de distribuição, da riqueza de uma entidade</w:t>
      </w:r>
      <w:r>
        <w:t xml:space="preserve"> (Santos, 1999). De acordo com Cunha (2003), a DVA, a partir da mensuração de riqueza agregada pelas empresas, proporciona o apuramento percentual de riqueza criado por tal empresa no âmbito de suas vendas, de recursos gerados que foram repartidos ao governo por meio de impostos e contribuições, além da participação da empresa </w:t>
      </w:r>
      <w:r w:rsidR="005E1ACE">
        <w:t>e</w:t>
      </w:r>
      <w:r>
        <w:t xml:space="preserve"> do setor na distribuição de renda do país. </w:t>
      </w:r>
    </w:p>
    <w:p w14:paraId="68F33952" w14:textId="19A1F213" w:rsidR="009E5621" w:rsidRDefault="009E5621" w:rsidP="009E5621">
      <w:pPr>
        <w:pStyle w:val="TextoABNT"/>
        <w:spacing w:line="240" w:lineRule="auto"/>
        <w:rPr>
          <w:highlight w:val="white"/>
        </w:rPr>
      </w:pPr>
      <w:r>
        <w:rPr>
          <w:highlight w:val="white"/>
        </w:rPr>
        <w:t xml:space="preserve">No Brasil, </w:t>
      </w:r>
      <w:r>
        <w:t xml:space="preserve">a DVA era elaborada por algumas empresas apenas com propósitos gerenciais, ou para disponibilizar informações adicionais ao grupo de </w:t>
      </w:r>
      <w:r w:rsidRPr="00253A0A">
        <w:rPr>
          <w:i/>
        </w:rPr>
        <w:t>stakeholders</w:t>
      </w:r>
      <w:r>
        <w:t xml:space="preserve"> (</w:t>
      </w:r>
      <w:proofErr w:type="spellStart"/>
      <w:r w:rsidR="007A7E70" w:rsidRPr="00940355">
        <w:t>Follmann</w:t>
      </w:r>
      <w:proofErr w:type="spellEnd"/>
      <w:r w:rsidR="007A7E70">
        <w:t xml:space="preserve"> </w:t>
      </w:r>
      <w:r w:rsidR="00F903D8">
        <w:t>&amp;</w:t>
      </w:r>
      <w:r w:rsidR="007A7E70">
        <w:t xml:space="preserve"> Soares, 2011</w:t>
      </w:r>
      <w:r>
        <w:t xml:space="preserve">). A partir do ano de 2002, </w:t>
      </w:r>
      <w:r>
        <w:rPr>
          <w:highlight w:val="white"/>
        </w:rPr>
        <w:t>a DVA se tornou obrigatória para empresas do setor elétrico por força da Resolução n</w:t>
      </w:r>
      <w:r>
        <w:t>º 444/2001 da</w:t>
      </w:r>
      <w:r>
        <w:rPr>
          <w:highlight w:val="white"/>
        </w:rPr>
        <w:t xml:space="preserve"> ANEEL. Somente no ano de 2007 que a obrigação de elaboração e publicação da DVA foi estendida a companhias abertas, com a publicação da Lei 11.638/07, que modificou a Lei 6.404/76, conhecida como “Lei das S.A.”.</w:t>
      </w:r>
    </w:p>
    <w:p w14:paraId="55EAE12B" w14:textId="1870195D" w:rsidR="009E5621" w:rsidRDefault="006E238A" w:rsidP="009E5621">
      <w:pPr>
        <w:pStyle w:val="TextoABNT"/>
        <w:spacing w:line="240" w:lineRule="auto"/>
        <w:rPr>
          <w:highlight w:val="white"/>
        </w:rPr>
      </w:pPr>
      <w:r>
        <w:rPr>
          <w:highlight w:val="white"/>
        </w:rPr>
        <w:t>A</w:t>
      </w:r>
      <w:r w:rsidR="009E5621">
        <w:rPr>
          <w:highlight w:val="white"/>
        </w:rPr>
        <w:t xml:space="preserve"> DVA deve demonstrar a distribuição de riqueza da seguinte forma: </w:t>
      </w:r>
      <w:r w:rsidR="009E5621" w:rsidRPr="00311055">
        <w:rPr>
          <w:highlight w:val="white"/>
        </w:rPr>
        <w:t xml:space="preserve">(i) </w:t>
      </w:r>
      <w:r w:rsidR="009E5621" w:rsidRPr="00496229">
        <w:rPr>
          <w:highlight w:val="white"/>
        </w:rPr>
        <w:t>pessoal e encargos; (</w:t>
      </w:r>
      <w:proofErr w:type="spellStart"/>
      <w:r w:rsidR="009E5621" w:rsidRPr="00496229">
        <w:rPr>
          <w:highlight w:val="white"/>
        </w:rPr>
        <w:t>ii</w:t>
      </w:r>
      <w:proofErr w:type="spellEnd"/>
      <w:r w:rsidR="009E5621" w:rsidRPr="00496229">
        <w:rPr>
          <w:highlight w:val="white"/>
        </w:rPr>
        <w:t>) impostos, taxas e contribuições; (</w:t>
      </w:r>
      <w:proofErr w:type="spellStart"/>
      <w:r w:rsidR="009E5621" w:rsidRPr="00496229">
        <w:rPr>
          <w:highlight w:val="white"/>
        </w:rPr>
        <w:t>iii</w:t>
      </w:r>
      <w:proofErr w:type="spellEnd"/>
      <w:r w:rsidR="009E5621" w:rsidRPr="00496229">
        <w:rPr>
          <w:highlight w:val="white"/>
        </w:rPr>
        <w:t>) juros e aluguéis; (</w:t>
      </w:r>
      <w:proofErr w:type="spellStart"/>
      <w:r w:rsidR="009E5621" w:rsidRPr="00496229">
        <w:rPr>
          <w:highlight w:val="white"/>
        </w:rPr>
        <w:t>iv</w:t>
      </w:r>
      <w:proofErr w:type="spellEnd"/>
      <w:r w:rsidR="009E5621" w:rsidRPr="00496229">
        <w:rPr>
          <w:highlight w:val="white"/>
        </w:rPr>
        <w:t>) juros sobre o capital próprio (JCP) e dividendos</w:t>
      </w:r>
      <w:r w:rsidR="005E14BC">
        <w:rPr>
          <w:highlight w:val="white"/>
        </w:rPr>
        <w:t>; e</w:t>
      </w:r>
      <w:r w:rsidR="009E5621" w:rsidRPr="00496229">
        <w:rPr>
          <w:highlight w:val="white"/>
        </w:rPr>
        <w:t xml:space="preserve"> (v) lucros retidos/prejuízos do exercício</w:t>
      </w:r>
      <w:r w:rsidR="005E14BC">
        <w:rPr>
          <w:highlight w:val="white"/>
        </w:rPr>
        <w:t xml:space="preserve"> (CPC, 2008)</w:t>
      </w:r>
      <w:r w:rsidR="009E5621">
        <w:rPr>
          <w:highlight w:val="white"/>
        </w:rPr>
        <w:t>.</w:t>
      </w:r>
    </w:p>
    <w:p w14:paraId="00B1944F" w14:textId="2826FFA7" w:rsidR="005605F0" w:rsidRDefault="005605F0" w:rsidP="005605F0">
      <w:pPr>
        <w:pStyle w:val="TextoABNT"/>
        <w:spacing w:line="240" w:lineRule="auto"/>
        <w:rPr>
          <w:highlight w:val="white"/>
        </w:rPr>
      </w:pPr>
      <w:r>
        <w:rPr>
          <w:highlight w:val="white"/>
        </w:rPr>
        <w:t xml:space="preserve">Pela importância da temática, </w:t>
      </w:r>
      <w:r w:rsidR="009E5621">
        <w:rPr>
          <w:highlight w:val="white"/>
        </w:rPr>
        <w:t xml:space="preserve">estudos foram realizados sobre a distribuição de riqueza com o auxílio da DVA. </w:t>
      </w:r>
      <w:r>
        <w:rPr>
          <w:highlight w:val="white"/>
        </w:rPr>
        <w:t>Santos e Silva (2009), por sua vez, utilizaram a DVA para analisar a distribuição de riqueza somente para as empresas do setor de telefonia no período de 2007 e 2008. Ao final, a maior parcela de valor adicionado produzido era destinada ao governo, seguido por remuneração de capitais de terceiros, remuneração de capitais próprios e pessoal.</w:t>
      </w:r>
    </w:p>
    <w:p w14:paraId="1797F3A7" w14:textId="0469963B" w:rsidR="00993453" w:rsidRDefault="00CC2217" w:rsidP="009E5621">
      <w:pPr>
        <w:pStyle w:val="TextoABNT"/>
        <w:spacing w:line="240" w:lineRule="auto"/>
        <w:rPr>
          <w:highlight w:val="white"/>
        </w:rPr>
      </w:pPr>
      <w:proofErr w:type="spellStart"/>
      <w:r w:rsidRPr="00E70ABF">
        <w:t>G</w:t>
      </w:r>
      <w:r>
        <w:t>recco</w:t>
      </w:r>
      <w:proofErr w:type="spellEnd"/>
      <w:r>
        <w:t xml:space="preserve">, Cruz, </w:t>
      </w:r>
      <w:proofErr w:type="gramStart"/>
      <w:r>
        <w:t>Peres, e Pereira</w:t>
      </w:r>
      <w:proofErr w:type="gramEnd"/>
      <w:r>
        <w:t xml:space="preserve"> </w:t>
      </w:r>
      <w:r w:rsidR="009E5621">
        <w:rPr>
          <w:highlight w:val="white"/>
        </w:rPr>
        <w:t xml:space="preserve">(2010) estruturam uma pesquisa com as maiores empresas brasileiras, buscando expor as destinações mais comuns de riqueza para cada setor. </w:t>
      </w:r>
      <w:r w:rsidR="00993453">
        <w:rPr>
          <w:highlight w:val="white"/>
        </w:rPr>
        <w:t xml:space="preserve">Após pesquisas utilizando a DVA como base, chegou-se a resultados que mostram, por exemplo, que o setor </w:t>
      </w:r>
      <w:proofErr w:type="gramStart"/>
      <w:r w:rsidR="00993453">
        <w:rPr>
          <w:highlight w:val="white"/>
        </w:rPr>
        <w:t xml:space="preserve">da </w:t>
      </w:r>
      <w:r w:rsidR="006128EF">
        <w:rPr>
          <w:highlight w:val="white"/>
        </w:rPr>
        <w:t>auto</w:t>
      </w:r>
      <w:proofErr w:type="gramEnd"/>
      <w:r w:rsidR="006128EF">
        <w:rPr>
          <w:highlight w:val="white"/>
        </w:rPr>
        <w:t xml:space="preserve"> indústria</w:t>
      </w:r>
      <w:r w:rsidR="00993453">
        <w:rPr>
          <w:highlight w:val="white"/>
        </w:rPr>
        <w:t xml:space="preserve"> é o que mais destina riquezas aos empregados;</w:t>
      </w:r>
      <w:r w:rsidR="006E790D">
        <w:rPr>
          <w:highlight w:val="white"/>
        </w:rPr>
        <w:t xml:space="preserve"> já as empresas de telecomunicações formaram o setor no qual o maior destinatário para suas riquezas foi o governo.</w:t>
      </w:r>
      <w:r w:rsidR="00993453">
        <w:rPr>
          <w:highlight w:val="white"/>
        </w:rPr>
        <w:t xml:space="preserve"> </w:t>
      </w:r>
    </w:p>
    <w:p w14:paraId="32769331" w14:textId="1A042E75" w:rsidR="00827C13" w:rsidRDefault="00827C13" w:rsidP="00827C13">
      <w:pPr>
        <w:pStyle w:val="TextoABNT"/>
        <w:spacing w:line="240" w:lineRule="auto"/>
      </w:pPr>
      <w:r w:rsidRPr="000F5FF1">
        <w:t>Lima, Góis e Luca (2015) pesquisaram</w:t>
      </w:r>
      <w:r>
        <w:t xml:space="preserve"> a associação entre a distribuição do valor adicionado e a identidade do acionista majoritário em uma amostra de 435 empresas listadas na </w:t>
      </w:r>
      <w:r w:rsidR="00130F6F">
        <w:t>BOVESPA</w:t>
      </w:r>
      <w:r>
        <w:t xml:space="preserve">. Em seus resultados, constataram que empresas com acionista majoritário do tipo estatal apresentam homogeneidade quanto à distribuição do valor adicionado em cada categoria </w:t>
      </w:r>
      <w:r>
        <w:lastRenderedPageBreak/>
        <w:t>da DVA; acionistas majoritários classificados como institucionais apresentaram baixa distribuição para cada categoria da DVA; acionistas majoritários do tipo familiar apresentaram nível de distribuição baixo para proprietários e médio para as demais categorias; e acionistas majoritários estrangeiros apresentaram níveis baixos de distribuição de valor adicionado ao governo e a empregados.</w:t>
      </w:r>
    </w:p>
    <w:p w14:paraId="09F980AB" w14:textId="77777777" w:rsidR="00827C13" w:rsidRDefault="00827C13" w:rsidP="00827C13">
      <w:pPr>
        <w:pStyle w:val="TextoABNT"/>
        <w:spacing w:line="240" w:lineRule="auto"/>
      </w:pPr>
      <w:r w:rsidRPr="005C0131">
        <w:t>Nunes,</w:t>
      </w:r>
      <w:r>
        <w:t xml:space="preserve"> e</w:t>
      </w:r>
      <w:r w:rsidRPr="005C0131">
        <w:t xml:space="preserve"> Miranda</w:t>
      </w:r>
      <w:r>
        <w:t xml:space="preserve"> </w:t>
      </w:r>
      <w:r w:rsidRPr="005C0131">
        <w:t>(2016)</w:t>
      </w:r>
      <w:r>
        <w:t xml:space="preserve"> analisaram a distribuição do valor adicionado das empresas componentes do índice IBrX-100 no ano de 2013. A pesquisa verificou que pouco mais de 20% das empresas da amostra destinam em média 50% do valor adicionado produzido a seus empregados. Além disso, 18% das empresas possuíam carga tributária de aproximadamente 59%, e 80% da amostra distribuiu em média 5% da riqueza total gerada a acionistas, um nível considerado baixo, segundo os autores.</w:t>
      </w:r>
    </w:p>
    <w:p w14:paraId="2455B773" w14:textId="43DBA5C2" w:rsidR="00443052" w:rsidRDefault="00443052" w:rsidP="00443052">
      <w:pPr>
        <w:pStyle w:val="TextoABNT"/>
        <w:spacing w:line="240" w:lineRule="auto"/>
        <w:rPr>
          <w:highlight w:val="white"/>
        </w:rPr>
      </w:pPr>
      <w:r w:rsidRPr="00937039">
        <w:t>Melo, Ferreira e Ferreira (2016) seguiram</w:t>
      </w:r>
      <w:r>
        <w:t xml:space="preserve"> uma visão diversa ao analisar a destinação de riqueza produzida pelas empresas de capital aberto por região geográfica do Brasil nos anos de 2013 e 2014. Perceberam-se discrepâncias significativas quanto à distribuição por categoria entre as regiões: as empresas da região Centro-Oeste, por exemplo, são as que mais destinaram riquezas a seus empregados nos períodos analisados; já as empresas da região Sul foram as maiores provedoras ao grupo de remuneração dos capitais próprios nos anos analisados.</w:t>
      </w:r>
    </w:p>
    <w:p w14:paraId="5DE3D457" w14:textId="7C26AF95" w:rsidR="001820BC" w:rsidRDefault="006A1AF9" w:rsidP="001820BC">
      <w:pPr>
        <w:pStyle w:val="TextoABNT"/>
        <w:spacing w:line="240" w:lineRule="auto"/>
      </w:pPr>
      <w:r w:rsidRPr="0046473F">
        <w:t>Junior, Araújo e Ferreira (2017),</w:t>
      </w:r>
      <w:r>
        <w:t xml:space="preserve"> </w:t>
      </w:r>
      <w:r w:rsidR="00C35B6B">
        <w:t xml:space="preserve">ao </w:t>
      </w:r>
      <w:r>
        <w:t>investigar</w:t>
      </w:r>
      <w:r w:rsidR="00C35B6B">
        <w:t>e</w:t>
      </w:r>
      <w:r>
        <w:t xml:space="preserve">m </w:t>
      </w:r>
      <w:r w:rsidR="00993453">
        <w:t>o comportamento d</w:t>
      </w:r>
      <w:r>
        <w:t>a DVA</w:t>
      </w:r>
      <w:r w:rsidR="00C35B6B">
        <w:t xml:space="preserve"> do ano de 2015</w:t>
      </w:r>
      <w:r>
        <w:t xml:space="preserve"> das companhias pertencentes ao </w:t>
      </w:r>
      <w:r w:rsidR="00130F6F" w:rsidRPr="006128EF">
        <w:rPr>
          <w:i/>
        </w:rPr>
        <w:t>R</w:t>
      </w:r>
      <w:r w:rsidRPr="006128EF">
        <w:rPr>
          <w:i/>
        </w:rPr>
        <w:t>anking</w:t>
      </w:r>
      <w:r>
        <w:t xml:space="preserve"> de </w:t>
      </w:r>
      <w:r w:rsidR="00130F6F">
        <w:t xml:space="preserve">Melhores Empresas para </w:t>
      </w:r>
      <w:proofErr w:type="gramStart"/>
      <w:r w:rsidR="00130F6F">
        <w:t>se</w:t>
      </w:r>
      <w:r w:rsidR="00081D93">
        <w:t xml:space="preserve"> </w:t>
      </w:r>
      <w:r w:rsidR="00130F6F">
        <w:t>Trabalhar</w:t>
      </w:r>
      <w:proofErr w:type="gramEnd"/>
      <w:r w:rsidR="001B78E9">
        <w:t>, perceberam</w:t>
      </w:r>
      <w:r w:rsidR="00C35B6B">
        <w:t xml:space="preserve"> que a categoria que representa os empregados foi a maior destinação de ocorrida pelas empresas da amostra naquele ano, atingindo 84% de representatividade.</w:t>
      </w:r>
    </w:p>
    <w:p w14:paraId="22E7FA21" w14:textId="65199502" w:rsidR="001820BC" w:rsidRPr="00827C13" w:rsidRDefault="001820BC" w:rsidP="000F5FF1">
      <w:pPr>
        <w:pStyle w:val="TextoABNT"/>
        <w:spacing w:line="240" w:lineRule="auto"/>
      </w:pPr>
    </w:p>
    <w:p w14:paraId="0DAFF5DD" w14:textId="17A062D3" w:rsidR="009E5621" w:rsidRPr="00081D93" w:rsidRDefault="009E5621" w:rsidP="009E5621">
      <w:pPr>
        <w:pStyle w:val="Ttulo2"/>
        <w:spacing w:before="0" w:after="0" w:line="360" w:lineRule="auto"/>
        <w:rPr>
          <w:highlight w:val="white"/>
        </w:rPr>
      </w:pPr>
      <w:r w:rsidRPr="00081D93">
        <w:rPr>
          <w:highlight w:val="white"/>
        </w:rPr>
        <w:t>2.2 Setor Elétrico Nacional</w:t>
      </w:r>
    </w:p>
    <w:p w14:paraId="3277D935" w14:textId="77777777" w:rsidR="009E5621" w:rsidRDefault="009E5621" w:rsidP="009E5621">
      <w:pPr>
        <w:pStyle w:val="TextoABNT"/>
        <w:spacing w:line="240" w:lineRule="auto"/>
      </w:pPr>
      <w:r>
        <w:t>O setor elétrico brasileiro foi amplamente influenciado pelas dimensões continentais do país e pelo grande potencial hidrelétrico das bacias fluviais (Ferreira, 2000). Desde sua concepção, o setor elétrico nacional apresentou uma estrutura vertical, com o Estado na parte mais alta da hierarquia controlando todos os processos de geração, transmissão e distribuição. No entanto, a partir dos novos arranjos promovidos nos anos 90, passou-se a ter uma estrutura horizontalizada, com um modelo de integração de livre concorrência no mercado (Leme, 2005).</w:t>
      </w:r>
    </w:p>
    <w:p w14:paraId="3AD48964" w14:textId="77777777" w:rsidR="009E5621" w:rsidRDefault="009E5621" w:rsidP="009E5621">
      <w:pPr>
        <w:pStyle w:val="TextoABNT"/>
        <w:spacing w:line="240" w:lineRule="auto"/>
      </w:pPr>
      <w:r>
        <w:t>Desse modo, a composição atual do setor elétrico brasileiro é diversificada. Obteve-se uma conformação híbrida quanto à propriedade de ativos, ou seja, um misto entre a propriedade privada de ativos com o controle estatal (</w:t>
      </w:r>
      <w:proofErr w:type="spellStart"/>
      <w:r>
        <w:t>Esposito</w:t>
      </w:r>
      <w:proofErr w:type="spellEnd"/>
      <w:r>
        <w:t>, 2012).</w:t>
      </w:r>
    </w:p>
    <w:p w14:paraId="06A79195" w14:textId="1F560137" w:rsidR="009E5621" w:rsidRDefault="009E5621" w:rsidP="009E5621">
      <w:pPr>
        <w:pStyle w:val="TextoABNT"/>
        <w:spacing w:line="240" w:lineRule="auto"/>
      </w:pPr>
      <w:r>
        <w:t>A característica social do setor elétrico, ou seja, sua função de atender a população</w:t>
      </w:r>
      <w:r w:rsidR="00666059">
        <w:t xml:space="preserve"> acaba</w:t>
      </w:r>
      <w:r>
        <w:t xml:space="preserve"> gerando debates acerca do tipo de controle que tais empresas devem possuir. Vários estudos foram realizados visando comparar as empresas privadas e públicas do setor elétrico nacional; ou empresas que possuíam controle estatal e acabaram sendo privatizadas.</w:t>
      </w:r>
    </w:p>
    <w:p w14:paraId="303D7317" w14:textId="77777777" w:rsidR="008B5FE7" w:rsidRDefault="008B5FE7" w:rsidP="008B5FE7">
      <w:pPr>
        <w:pStyle w:val="TextoABNT"/>
        <w:spacing w:line="240" w:lineRule="auto"/>
        <w:ind w:firstLine="680"/>
      </w:pPr>
      <w:r>
        <w:t xml:space="preserve">Costa e </w:t>
      </w:r>
      <w:proofErr w:type="spellStart"/>
      <w:r>
        <w:t>Zotes</w:t>
      </w:r>
      <w:proofErr w:type="spellEnd"/>
      <w:r>
        <w:t xml:space="preserve"> (2005) chegaram a uma conclusão semelhante ao realizar um estudo de caso com uma empresa do setor, afirmando que, embora a qualidade dos serviços prestados pela empresa objeto do estudo não foi impactada pelo processo de privatização, a avaliação dos clientes mostrou uma insatisfação crescente quanto ao serviço no período.</w:t>
      </w:r>
    </w:p>
    <w:p w14:paraId="4074F91F" w14:textId="0DC5E479" w:rsidR="008B5FE7" w:rsidRDefault="008B5FE7" w:rsidP="008B5FE7">
      <w:pPr>
        <w:pStyle w:val="TextoABNT"/>
        <w:spacing w:line="240" w:lineRule="auto"/>
      </w:pPr>
      <w:r>
        <w:t>Ainda</w:t>
      </w:r>
      <w:r w:rsidR="00B13A1A">
        <w:t>,</w:t>
      </w:r>
      <w:r>
        <w:t xml:space="preserve"> Costa e </w:t>
      </w:r>
      <w:proofErr w:type="spellStart"/>
      <w:r>
        <w:t>Zotes</w:t>
      </w:r>
      <w:proofErr w:type="spellEnd"/>
      <w:r>
        <w:t xml:space="preserve"> (2005), em um segundo trabalho, </w:t>
      </w:r>
      <w:r w:rsidR="00130F6F">
        <w:t>e</w:t>
      </w:r>
      <w:r>
        <w:t>studaram a questão do público-privado das empresas do setor elétrico sob uma ótica diferente, referente à questão de emprego. Afirmaram, ao realizar o estudo de caso de uma empresa do setor elétrico que passou por processo de privatização, que houve uma diminuição na quantidade de empregos ofertados em favor de um amplo processo de terceirização.</w:t>
      </w:r>
    </w:p>
    <w:p w14:paraId="0CC119B3" w14:textId="0F12F3F5" w:rsidR="0048251E" w:rsidRDefault="00257C40" w:rsidP="003E0C3D">
      <w:pPr>
        <w:pStyle w:val="TextoABNT"/>
        <w:spacing w:line="240" w:lineRule="auto"/>
        <w:ind w:firstLine="680"/>
      </w:pPr>
      <w:r w:rsidRPr="00496229">
        <w:t>Silvestre,</w:t>
      </w:r>
      <w:r>
        <w:t xml:space="preserve"> </w:t>
      </w:r>
      <w:r w:rsidRPr="00496229">
        <w:t>Hall, Matos</w:t>
      </w:r>
      <w:r>
        <w:t xml:space="preserve"> e </w:t>
      </w:r>
      <w:r w:rsidRPr="00496229">
        <w:t>Figueira (2010</w:t>
      </w:r>
      <w:r w:rsidRPr="00940355">
        <w:t>)</w:t>
      </w:r>
      <w:r w:rsidR="009E5621">
        <w:t>, ao comparar</w:t>
      </w:r>
      <w:r w:rsidR="00722418">
        <w:t>em</w:t>
      </w:r>
      <w:r w:rsidR="009E5621">
        <w:t xml:space="preserve"> as empresas públicas e privadas do setor elétrico da região Nordeste, cheg</w:t>
      </w:r>
      <w:r w:rsidR="00722418">
        <w:t xml:space="preserve">aram </w:t>
      </w:r>
      <w:r w:rsidR="00130F6F">
        <w:t>à</w:t>
      </w:r>
      <w:r w:rsidR="009E5621">
        <w:t xml:space="preserve"> conclusão que, embora a privatização tenha melhorado as empresas na questão financeira, na perspectiva dos acionistas, isso não se refletiu </w:t>
      </w:r>
      <w:r w:rsidR="009E5621">
        <w:lastRenderedPageBreak/>
        <w:t xml:space="preserve">em melhorias técnicas, ou seja, na perspectiva do consumidor não foram encontradas melhoras consideráveis. </w:t>
      </w:r>
      <w:r w:rsidR="00722418">
        <w:t xml:space="preserve">   </w:t>
      </w:r>
    </w:p>
    <w:p w14:paraId="36A8B9F3" w14:textId="77777777" w:rsidR="0048251E" w:rsidRDefault="0048251E" w:rsidP="005D5F19">
      <w:pPr>
        <w:pStyle w:val="TextoABNT"/>
        <w:spacing w:line="240" w:lineRule="auto"/>
      </w:pPr>
      <w:r w:rsidRPr="001B19A3">
        <w:t>Tinoco, Rossi e Portugal (2015)</w:t>
      </w:r>
      <w:r>
        <w:t xml:space="preserve"> procuram um viés diferente ao comparar a remuneração de executivos em companhias públicas e privadas do setor elétrico. Chegou-se à constatação de que as remunerações de executivos em companhias privadas eram 46% superiores do que no setor público.</w:t>
      </w:r>
    </w:p>
    <w:p w14:paraId="30B09392" w14:textId="5EAE10A4" w:rsidR="00827C13" w:rsidRDefault="00827C13" w:rsidP="005D5F19">
      <w:pPr>
        <w:pStyle w:val="TextoABNT"/>
        <w:spacing w:line="240" w:lineRule="auto"/>
      </w:pPr>
      <w:r w:rsidRPr="008F0777">
        <w:t>Lima,</w:t>
      </w:r>
      <w:r>
        <w:t xml:space="preserve"> </w:t>
      </w:r>
      <w:proofErr w:type="spellStart"/>
      <w:r w:rsidRPr="008F0777">
        <w:t>Borinelli</w:t>
      </w:r>
      <w:proofErr w:type="spellEnd"/>
      <w:r>
        <w:t xml:space="preserve"> e </w:t>
      </w:r>
      <w:r w:rsidRPr="008F0777">
        <w:t>Vieira</w:t>
      </w:r>
      <w:r>
        <w:t xml:space="preserve"> </w:t>
      </w:r>
      <w:r w:rsidRPr="008F0777">
        <w:t>(2015)</w:t>
      </w:r>
      <w:r>
        <w:t xml:space="preserve">, ao analisarem os impactos da crise econômica mundial de 2008 nos investimentos de programas de responsabilidade socioambiental das empresas do setor elétrico brasileiro listadas no Índice de Sustentabilidade Empresarial da </w:t>
      </w:r>
      <w:r w:rsidR="00130F6F">
        <w:t>BOVESPA</w:t>
      </w:r>
      <w:r>
        <w:t>, perceberam que a destinação dos lucros a programas de ações ambientais não é uniforme, ocorrendo grandes distinções entre as empresas do setor. Ainda, constataram a dificuldade de se medir especificamente investimentos ações ambientais nas empresas, uma vez que a maioria é aplicado em programas internos que focam o melhoramento de processos internos de uma forma geral, incluindo o meio ambiente.</w:t>
      </w:r>
    </w:p>
    <w:p w14:paraId="672F31C2" w14:textId="0489EF7F" w:rsidR="003E0C3D" w:rsidRDefault="003E0C3D" w:rsidP="003E0C3D">
      <w:pPr>
        <w:pStyle w:val="TextoABNT"/>
        <w:spacing w:line="240" w:lineRule="auto"/>
        <w:ind w:firstLine="680"/>
      </w:pPr>
      <w:r w:rsidRPr="00666059">
        <w:t>Correa, Taffarel, Ribeiro e Menon (2016)</w:t>
      </w:r>
      <w:r>
        <w:t xml:space="preserve"> analisaram, sob a ótica da eficiência, empresas do setor elétrico, classificando-as entre empresas estatais e privadas. Os resultados da pesquisa mostraram que as empresas de capital público apresentam maior estabilidade, seus índices de eficiência são menores se comparadas com as empresas privadas do setor. </w:t>
      </w:r>
    </w:p>
    <w:p w14:paraId="0315B4D6" w14:textId="5BADF7B4" w:rsidR="00161948" w:rsidRDefault="00844D4E" w:rsidP="003E0C3D">
      <w:pPr>
        <w:pStyle w:val="TextoABNT"/>
        <w:spacing w:line="240" w:lineRule="auto"/>
        <w:ind w:firstLine="680"/>
      </w:pPr>
      <w:r w:rsidRPr="00844D4E">
        <w:t>Martins</w:t>
      </w:r>
      <w:r>
        <w:t xml:space="preserve"> e </w:t>
      </w:r>
      <w:r w:rsidRPr="00844D4E">
        <w:t>Silva (2018)</w:t>
      </w:r>
      <w:r>
        <w:t xml:space="preserve"> investigaram a percepção de analistas financeiros quanto às informações contábeis de empresas do setor elétrico. </w:t>
      </w:r>
      <w:r w:rsidR="00130F6F">
        <w:t xml:space="preserve">A pesquisa foi realizada por meio </w:t>
      </w:r>
      <w:r>
        <w:t>de um questionário</w:t>
      </w:r>
      <w:r w:rsidR="00130F6F">
        <w:t xml:space="preserve"> com </w:t>
      </w:r>
      <w:r>
        <w:t xml:space="preserve">26 analistas divididos entre analistas de investimentos e analistas de crédito. </w:t>
      </w:r>
      <w:r w:rsidR="00E9100E">
        <w:t xml:space="preserve">Alguns resultados obtidos pela pesquisa incluem: </w:t>
      </w:r>
      <w:r>
        <w:t xml:space="preserve">A maioria dos analistas dos dois grupos considera a </w:t>
      </w:r>
      <w:r w:rsidR="00E9100E">
        <w:t>Demonstração do Resultado do Exercício mais relevante que o Balanço Patrimonial; o atraso na divulgação das demonstrações contábeis para análise foi considerada mais prejudicial para os analistas de investimentos; e os dois grupos de analistas consideram que o atual formato de divulgação (uma demonstração contábil societária e outra regulatória) das informações financeiras das companhias de energia elétrica não é considerado ideal.</w:t>
      </w:r>
    </w:p>
    <w:p w14:paraId="6F172D3B" w14:textId="00E3D348" w:rsidR="003E0C3D" w:rsidRDefault="003E0C3D" w:rsidP="009E5621">
      <w:pPr>
        <w:pStyle w:val="TextoABNT"/>
        <w:spacing w:line="240" w:lineRule="auto"/>
      </w:pPr>
    </w:p>
    <w:p w14:paraId="310C9A93" w14:textId="168C308D" w:rsidR="009E5621" w:rsidRPr="008C59FC" w:rsidRDefault="009E5621" w:rsidP="009E5621">
      <w:pPr>
        <w:pStyle w:val="Ttulo1"/>
        <w:numPr>
          <w:ilvl w:val="0"/>
          <w:numId w:val="0"/>
        </w:numPr>
        <w:spacing w:before="0" w:after="0" w:line="360" w:lineRule="auto"/>
      </w:pPr>
      <w:bookmarkStart w:id="3" w:name="_6tyj2d3ompo5" w:colFirst="0" w:colLast="0"/>
      <w:bookmarkEnd w:id="3"/>
      <w:r w:rsidRPr="008C59FC">
        <w:t>3</w:t>
      </w:r>
      <w:r w:rsidR="00827C13">
        <w:t xml:space="preserve"> </w:t>
      </w:r>
      <w:r w:rsidRPr="008C59FC">
        <w:t>Metodologia</w:t>
      </w:r>
    </w:p>
    <w:p w14:paraId="19A45CA8" w14:textId="1A438BE5" w:rsidR="00FE46AB" w:rsidRDefault="00FE46AB" w:rsidP="00827C13">
      <w:pPr>
        <w:pStyle w:val="TextoABNT"/>
        <w:spacing w:line="240" w:lineRule="auto"/>
      </w:pPr>
      <w:r>
        <w:t xml:space="preserve">A </w:t>
      </w:r>
      <w:r w:rsidR="00701649">
        <w:t>presente</w:t>
      </w:r>
      <w:r>
        <w:t xml:space="preserve"> pesquisa caracteriza-se como descritiva em seu objetivo. Segundo Gil (2012), as pesquisas descritivas têm como objetivo a </w:t>
      </w:r>
      <w:r w:rsidR="00130F6F">
        <w:t>exposição</w:t>
      </w:r>
      <w:r>
        <w:t xml:space="preserve"> das características de determinada população, e também podem ser elaboradas com a finalidade de identificar possíveis relações entre variáveis. Quanto ao delineamento, pode-se classificar essa pesquisa como documental, uma vez que</w:t>
      </w:r>
      <w:r w:rsidR="00701649">
        <w:t xml:space="preserve"> se vale</w:t>
      </w:r>
      <w:r>
        <w:t xml:space="preserve"> de documentos elaborados com finalidades diversas</w:t>
      </w:r>
      <w:r w:rsidR="00701649">
        <w:t xml:space="preserve">. </w:t>
      </w:r>
      <w:r>
        <w:t>(Gil, 2012)</w:t>
      </w:r>
      <w:r w:rsidR="00701649">
        <w:t>.</w:t>
      </w:r>
    </w:p>
    <w:p w14:paraId="035C2085" w14:textId="59D2A9F5" w:rsidR="00A80E80" w:rsidRDefault="009E5621" w:rsidP="009E5621">
      <w:pPr>
        <w:pStyle w:val="TextoABNT"/>
        <w:spacing w:line="240" w:lineRule="auto"/>
      </w:pPr>
      <w:r w:rsidRPr="00317BD7">
        <w:t xml:space="preserve">A partir do </w:t>
      </w:r>
      <w:r w:rsidRPr="00317BD7">
        <w:rPr>
          <w:i/>
        </w:rPr>
        <w:t xml:space="preserve">software </w:t>
      </w:r>
      <w:proofErr w:type="spellStart"/>
      <w:r w:rsidRPr="00317BD7">
        <w:t>Econom</w:t>
      </w:r>
      <w:r w:rsidR="00C83844">
        <w:t>atica</w:t>
      </w:r>
      <w:proofErr w:type="spellEnd"/>
      <w:r w:rsidR="00C83844">
        <w:t>®</w:t>
      </w:r>
      <w:r w:rsidRPr="00317BD7">
        <w:t xml:space="preserve"> </w:t>
      </w:r>
      <w:r>
        <w:t xml:space="preserve">dispôs-se </w:t>
      </w:r>
      <w:r w:rsidRPr="00317BD7">
        <w:t>todas as empresas</w:t>
      </w:r>
      <w:r w:rsidR="007D15EA">
        <w:t xml:space="preserve"> classificadas como pertencentes ao</w:t>
      </w:r>
      <w:r w:rsidRPr="00317BD7">
        <w:t xml:space="preserve"> setor elétrico</w:t>
      </w:r>
      <w:r w:rsidR="007D15EA">
        <w:t xml:space="preserve"> e</w:t>
      </w:r>
      <w:r w:rsidRPr="00317BD7">
        <w:t xml:space="preserve"> que possu</w:t>
      </w:r>
      <w:r w:rsidR="007D15EA">
        <w:t>íam</w:t>
      </w:r>
      <w:r w:rsidRPr="00317BD7">
        <w:t xml:space="preserve"> </w:t>
      </w:r>
      <w:r w:rsidR="001F5AED">
        <w:t xml:space="preserve">informações no </w:t>
      </w:r>
      <w:r w:rsidR="00722418" w:rsidRPr="00C83844">
        <w:rPr>
          <w:i/>
        </w:rPr>
        <w:t>website</w:t>
      </w:r>
      <w:r w:rsidR="00722418">
        <w:t xml:space="preserve"> d</w:t>
      </w:r>
      <w:r w:rsidRPr="00317BD7">
        <w:t xml:space="preserve">a </w:t>
      </w:r>
      <w:r w:rsidR="00F03F90">
        <w:t>[B]</w:t>
      </w:r>
      <w:r w:rsidR="00F03F90">
        <w:rPr>
          <w:vertAlign w:val="superscript"/>
        </w:rPr>
        <w:t>3</w:t>
      </w:r>
      <w:r>
        <w:t>,</w:t>
      </w:r>
      <w:r w:rsidR="00C83844">
        <w:t xml:space="preserve"> </w:t>
      </w:r>
      <w:r>
        <w:t>o</w:t>
      </w:r>
      <w:r w:rsidRPr="00317BD7">
        <w:t>rden</w:t>
      </w:r>
      <w:r>
        <w:t>ando-as</w:t>
      </w:r>
      <w:r w:rsidR="00C83844">
        <w:t xml:space="preserve"> pelo valor do ativo to</w:t>
      </w:r>
      <w:r w:rsidRPr="00317BD7">
        <w:t>tal</w:t>
      </w:r>
      <w:r w:rsidR="00D845E2">
        <w:t xml:space="preserve"> </w:t>
      </w:r>
      <w:r w:rsidR="00C83844">
        <w:t>(</w:t>
      </w:r>
      <w:r w:rsidR="007A06E3">
        <w:t>referente a 30/09/2017</w:t>
      </w:r>
      <w:r w:rsidR="00C83844">
        <w:t>)</w:t>
      </w:r>
      <w:r w:rsidRPr="00317BD7">
        <w:t>, em ordem decrescente.</w:t>
      </w:r>
      <w:r>
        <w:t xml:space="preserve"> Então</w:t>
      </w:r>
      <w:r w:rsidRPr="00A87BD4">
        <w:t xml:space="preserve">, </w:t>
      </w:r>
      <w:r>
        <w:t xml:space="preserve">procurou-se, primeiramente, cinco empresas com o controle acionário público que não fossem subsidiárias, atuassem somente no setor elétrico e tivessem suas demonstrações publicadas no </w:t>
      </w:r>
      <w:r w:rsidRPr="00496229">
        <w:rPr>
          <w:i/>
        </w:rPr>
        <w:t>website</w:t>
      </w:r>
      <w:r>
        <w:t xml:space="preserve"> da </w:t>
      </w:r>
      <w:r w:rsidR="00F03F90">
        <w:t>[B]</w:t>
      </w:r>
      <w:r w:rsidR="00F03F90">
        <w:rPr>
          <w:vertAlign w:val="superscript"/>
        </w:rPr>
        <w:t>3</w:t>
      </w:r>
      <w:r>
        <w:t xml:space="preserve">. </w:t>
      </w:r>
    </w:p>
    <w:p w14:paraId="573B0BAC" w14:textId="7EA014C0" w:rsidR="009E5621" w:rsidRPr="00A87BD4" w:rsidRDefault="009E5621" w:rsidP="009E5621">
      <w:pPr>
        <w:pStyle w:val="TextoABNT"/>
        <w:spacing w:line="240" w:lineRule="auto"/>
      </w:pPr>
      <w:r>
        <w:t xml:space="preserve">As companhias que atingiram tais critérios foram: </w:t>
      </w:r>
      <w:proofErr w:type="spellStart"/>
      <w:r>
        <w:t>Eletrobras</w:t>
      </w:r>
      <w:proofErr w:type="spellEnd"/>
      <w:r>
        <w:t xml:space="preserve">, Cemig, Copel, Cesp e Celesc. A fim de questões de paridade, ou seja, para se manter o mesmo número de empresas para o setor privado, selecionou-se as cinco maiores empresas privadas pelo valor do Ativo Total a partir dos mesmos critérios anteriores, chegando às empresas: </w:t>
      </w:r>
      <w:proofErr w:type="spellStart"/>
      <w:r>
        <w:t>Neoenergia</w:t>
      </w:r>
      <w:proofErr w:type="spellEnd"/>
      <w:r>
        <w:t xml:space="preserve">, CPFL Energia, Santo Antônio Energia S.A., </w:t>
      </w:r>
      <w:proofErr w:type="spellStart"/>
      <w:r>
        <w:t>Energisa</w:t>
      </w:r>
      <w:proofErr w:type="spellEnd"/>
      <w:r>
        <w:t xml:space="preserve"> e </w:t>
      </w:r>
      <w:proofErr w:type="spellStart"/>
      <w:r>
        <w:t>Engie</w:t>
      </w:r>
      <w:proofErr w:type="spellEnd"/>
      <w:r>
        <w:t xml:space="preserve"> Brasil. </w:t>
      </w:r>
      <w:r w:rsidR="00537704">
        <w:t xml:space="preserve">A </w:t>
      </w:r>
      <w:r w:rsidR="004A7847">
        <w:t>Figura</w:t>
      </w:r>
      <w:r w:rsidRPr="00A87BD4">
        <w:t xml:space="preserve"> 1 expõe</w:t>
      </w:r>
      <w:r>
        <w:t xml:space="preserve"> a amostra e os dados de cada empresa selecionada.</w:t>
      </w:r>
    </w:p>
    <w:p w14:paraId="0F3BB6C7" w14:textId="2D6EED96" w:rsidR="009E5621" w:rsidRDefault="00CE6490" w:rsidP="00CE6490">
      <w:pPr>
        <w:pStyle w:val="TtulodeTabelas"/>
        <w:tabs>
          <w:tab w:val="center" w:pos="4529"/>
        </w:tabs>
        <w:ind w:hanging="6"/>
        <w:jc w:val="left"/>
      </w:pPr>
      <w:r>
        <w:tab/>
      </w:r>
    </w:p>
    <w:p w14:paraId="139D66BE" w14:textId="187B32EF" w:rsidR="005D5F19" w:rsidRDefault="005D5F19" w:rsidP="00CE6490">
      <w:pPr>
        <w:pStyle w:val="TtulodeTabelas"/>
        <w:tabs>
          <w:tab w:val="center" w:pos="4529"/>
        </w:tabs>
        <w:ind w:hanging="6"/>
        <w:jc w:val="left"/>
      </w:pPr>
    </w:p>
    <w:p w14:paraId="495DBF3C" w14:textId="2C7E346B" w:rsidR="005D5F19" w:rsidRDefault="005D5F19" w:rsidP="00CE6490">
      <w:pPr>
        <w:pStyle w:val="TtulodeTabelas"/>
        <w:tabs>
          <w:tab w:val="center" w:pos="4529"/>
        </w:tabs>
        <w:ind w:hanging="6"/>
        <w:jc w:val="left"/>
      </w:pPr>
    </w:p>
    <w:p w14:paraId="00ADBBA0" w14:textId="77777777" w:rsidR="005D5F19" w:rsidRDefault="005D5F19" w:rsidP="00CE6490">
      <w:pPr>
        <w:pStyle w:val="TtulodeTabelas"/>
        <w:tabs>
          <w:tab w:val="center" w:pos="4529"/>
        </w:tabs>
        <w:ind w:hanging="6"/>
        <w:jc w:val="left"/>
      </w:pPr>
    </w:p>
    <w:p w14:paraId="00DFBC59" w14:textId="6D388C65" w:rsidR="009E5621" w:rsidRPr="009A4586" w:rsidRDefault="009E5621" w:rsidP="00CE6490">
      <w:pPr>
        <w:pStyle w:val="Legenda"/>
        <w:spacing w:after="0"/>
        <w:jc w:val="left"/>
        <w:rPr>
          <w:i w:val="0"/>
        </w:rPr>
      </w:pPr>
    </w:p>
    <w:tbl>
      <w:tblPr>
        <w:tblW w:w="886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5"/>
        <w:gridCol w:w="2126"/>
        <w:gridCol w:w="1985"/>
        <w:gridCol w:w="2410"/>
      </w:tblGrid>
      <w:tr w:rsidR="009E5621" w:rsidRPr="009B5256" w14:paraId="1FD0E5DA" w14:textId="77777777" w:rsidTr="005D5F19">
        <w:trPr>
          <w:trHeight w:val="170"/>
        </w:trPr>
        <w:tc>
          <w:tcPr>
            <w:tcW w:w="2345" w:type="dxa"/>
            <w:shd w:val="clear" w:color="auto" w:fill="auto"/>
            <w:vAlign w:val="center"/>
            <w:hideMark/>
          </w:tcPr>
          <w:p w14:paraId="224963D2" w14:textId="77777777" w:rsidR="009E5621" w:rsidRPr="00496229" w:rsidRDefault="009E5621" w:rsidP="00E64B82">
            <w:pPr>
              <w:jc w:val="center"/>
              <w:rPr>
                <w:b/>
                <w:bCs/>
                <w:color w:val="000000"/>
              </w:rPr>
            </w:pPr>
            <w:r w:rsidRPr="00496229">
              <w:rPr>
                <w:b/>
                <w:bCs/>
                <w:color w:val="000000"/>
              </w:rPr>
              <w:t>Empresas</w:t>
            </w:r>
          </w:p>
        </w:tc>
        <w:tc>
          <w:tcPr>
            <w:tcW w:w="2126" w:type="dxa"/>
            <w:shd w:val="clear" w:color="auto" w:fill="auto"/>
            <w:vAlign w:val="center"/>
            <w:hideMark/>
          </w:tcPr>
          <w:p w14:paraId="74873FAF" w14:textId="72CF96FB" w:rsidR="009E5621" w:rsidRPr="00496229" w:rsidRDefault="009E5621" w:rsidP="00E64B82">
            <w:pPr>
              <w:jc w:val="center"/>
              <w:rPr>
                <w:b/>
                <w:bCs/>
                <w:color w:val="000000"/>
              </w:rPr>
            </w:pPr>
            <w:r w:rsidRPr="00496229">
              <w:rPr>
                <w:b/>
                <w:bCs/>
                <w:color w:val="000000"/>
              </w:rPr>
              <w:t>Acionista Majoritário</w:t>
            </w:r>
          </w:p>
        </w:tc>
        <w:tc>
          <w:tcPr>
            <w:tcW w:w="1985" w:type="dxa"/>
            <w:shd w:val="clear" w:color="auto" w:fill="auto"/>
            <w:vAlign w:val="center"/>
            <w:hideMark/>
          </w:tcPr>
          <w:p w14:paraId="03A32476" w14:textId="771D3200" w:rsidR="009E5621" w:rsidRPr="00496229" w:rsidRDefault="009E5621" w:rsidP="00E64B82">
            <w:pPr>
              <w:jc w:val="center"/>
              <w:rPr>
                <w:b/>
                <w:bCs/>
                <w:color w:val="000000"/>
              </w:rPr>
            </w:pPr>
            <w:r w:rsidRPr="00496229">
              <w:rPr>
                <w:b/>
                <w:bCs/>
                <w:color w:val="000000"/>
              </w:rPr>
              <w:t>Controle Acionário</w:t>
            </w:r>
          </w:p>
        </w:tc>
        <w:tc>
          <w:tcPr>
            <w:tcW w:w="2410" w:type="dxa"/>
            <w:shd w:val="clear" w:color="auto" w:fill="auto"/>
            <w:vAlign w:val="center"/>
            <w:hideMark/>
          </w:tcPr>
          <w:p w14:paraId="58E0383A" w14:textId="2261CC56" w:rsidR="00181F04" w:rsidRDefault="009E5621" w:rsidP="00E64B82">
            <w:pPr>
              <w:jc w:val="center"/>
              <w:rPr>
                <w:b/>
                <w:bCs/>
                <w:color w:val="000000"/>
              </w:rPr>
            </w:pPr>
            <w:r w:rsidRPr="00496229">
              <w:rPr>
                <w:b/>
                <w:bCs/>
                <w:color w:val="000000"/>
              </w:rPr>
              <w:t>Ativo Total (3</w:t>
            </w:r>
            <w:r>
              <w:rPr>
                <w:b/>
                <w:bCs/>
                <w:color w:val="000000"/>
              </w:rPr>
              <w:t>0</w:t>
            </w:r>
            <w:r w:rsidRPr="00496229">
              <w:rPr>
                <w:b/>
                <w:bCs/>
                <w:color w:val="000000"/>
              </w:rPr>
              <w:t>/0</w:t>
            </w:r>
            <w:r>
              <w:rPr>
                <w:b/>
                <w:bCs/>
                <w:color w:val="000000"/>
              </w:rPr>
              <w:t>9</w:t>
            </w:r>
            <w:r w:rsidRPr="00496229">
              <w:rPr>
                <w:b/>
                <w:bCs/>
                <w:color w:val="000000"/>
              </w:rPr>
              <w:t xml:space="preserve">/2017) </w:t>
            </w:r>
          </w:p>
          <w:p w14:paraId="24BA72C0" w14:textId="456543A0" w:rsidR="009E5621" w:rsidRPr="00496229" w:rsidRDefault="009E5621" w:rsidP="00E64B82">
            <w:pPr>
              <w:jc w:val="center"/>
              <w:rPr>
                <w:b/>
                <w:bCs/>
                <w:color w:val="000000"/>
              </w:rPr>
            </w:pPr>
            <w:r w:rsidRPr="00496229">
              <w:rPr>
                <w:b/>
                <w:bCs/>
                <w:color w:val="000000"/>
              </w:rPr>
              <w:t>em milhares</w:t>
            </w:r>
          </w:p>
        </w:tc>
      </w:tr>
      <w:tr w:rsidR="009E5621" w:rsidRPr="009B5256" w14:paraId="4A040F6D" w14:textId="77777777" w:rsidTr="005D5F19">
        <w:trPr>
          <w:trHeight w:val="170"/>
        </w:trPr>
        <w:tc>
          <w:tcPr>
            <w:tcW w:w="2345" w:type="dxa"/>
            <w:shd w:val="clear" w:color="auto" w:fill="auto"/>
            <w:noWrap/>
            <w:vAlign w:val="center"/>
            <w:hideMark/>
          </w:tcPr>
          <w:p w14:paraId="2C0E9538" w14:textId="77777777" w:rsidR="009E5621" w:rsidRPr="00496229" w:rsidRDefault="009E5621" w:rsidP="00E64B82">
            <w:pPr>
              <w:rPr>
                <w:color w:val="000000"/>
              </w:rPr>
            </w:pPr>
            <w:proofErr w:type="spellStart"/>
            <w:r w:rsidRPr="00496229">
              <w:rPr>
                <w:color w:val="000000"/>
              </w:rPr>
              <w:t>Eletrobras</w:t>
            </w:r>
            <w:proofErr w:type="spellEnd"/>
          </w:p>
        </w:tc>
        <w:tc>
          <w:tcPr>
            <w:tcW w:w="2126" w:type="dxa"/>
            <w:shd w:val="clear" w:color="auto" w:fill="auto"/>
            <w:noWrap/>
            <w:vAlign w:val="center"/>
            <w:hideMark/>
          </w:tcPr>
          <w:p w14:paraId="467F4196" w14:textId="77777777" w:rsidR="009E5621" w:rsidRPr="00496229" w:rsidRDefault="009E5621" w:rsidP="00E64B82">
            <w:pPr>
              <w:jc w:val="center"/>
              <w:rPr>
                <w:color w:val="000000"/>
              </w:rPr>
            </w:pPr>
            <w:r w:rsidRPr="00496229">
              <w:rPr>
                <w:color w:val="000000"/>
              </w:rPr>
              <w:t>União Federal (Tesouro Nacional)</w:t>
            </w:r>
          </w:p>
        </w:tc>
        <w:tc>
          <w:tcPr>
            <w:tcW w:w="1985" w:type="dxa"/>
            <w:shd w:val="clear" w:color="auto" w:fill="auto"/>
            <w:noWrap/>
            <w:vAlign w:val="center"/>
            <w:hideMark/>
          </w:tcPr>
          <w:p w14:paraId="1B03F2D5" w14:textId="77777777" w:rsidR="009E5621" w:rsidRPr="00496229" w:rsidRDefault="009E5621" w:rsidP="00E64B82">
            <w:pPr>
              <w:jc w:val="center"/>
              <w:rPr>
                <w:color w:val="000000"/>
              </w:rPr>
            </w:pPr>
            <w:r w:rsidRPr="00496229">
              <w:rPr>
                <w:color w:val="000000"/>
              </w:rPr>
              <w:t>Estatal</w:t>
            </w:r>
          </w:p>
        </w:tc>
        <w:tc>
          <w:tcPr>
            <w:tcW w:w="2410" w:type="dxa"/>
            <w:shd w:val="clear" w:color="auto" w:fill="auto"/>
            <w:noWrap/>
            <w:vAlign w:val="center"/>
            <w:hideMark/>
          </w:tcPr>
          <w:p w14:paraId="018798F8" w14:textId="77777777" w:rsidR="009E5621" w:rsidRPr="00496229" w:rsidRDefault="009E5621" w:rsidP="00E64B82">
            <w:pPr>
              <w:jc w:val="center"/>
              <w:rPr>
                <w:color w:val="000000"/>
              </w:rPr>
            </w:pPr>
            <w:r w:rsidRPr="00496229">
              <w:rPr>
                <w:color w:val="000000"/>
              </w:rPr>
              <w:t>R</w:t>
            </w:r>
            <w:r w:rsidRPr="00311055">
              <w:rPr>
                <w:color w:val="000000"/>
              </w:rPr>
              <w:t xml:space="preserve">$ </w:t>
            </w:r>
            <w:r w:rsidRPr="00D510B7">
              <w:rPr>
                <w:color w:val="000000"/>
              </w:rPr>
              <w:t>171</w:t>
            </w:r>
            <w:r>
              <w:rPr>
                <w:color w:val="000000"/>
              </w:rPr>
              <w:t>.</w:t>
            </w:r>
            <w:r w:rsidRPr="00D510B7">
              <w:rPr>
                <w:color w:val="000000"/>
              </w:rPr>
              <w:t>347</w:t>
            </w:r>
            <w:r>
              <w:rPr>
                <w:color w:val="000000"/>
              </w:rPr>
              <w:t>.</w:t>
            </w:r>
            <w:r w:rsidRPr="00D510B7">
              <w:rPr>
                <w:color w:val="000000"/>
              </w:rPr>
              <w:t>517</w:t>
            </w:r>
            <w:r>
              <w:rPr>
                <w:color w:val="000000"/>
              </w:rPr>
              <w:t>,00</w:t>
            </w:r>
          </w:p>
        </w:tc>
      </w:tr>
      <w:tr w:rsidR="009E5621" w:rsidRPr="009B5256" w14:paraId="6611A5DD" w14:textId="77777777" w:rsidTr="005D5F19">
        <w:trPr>
          <w:trHeight w:val="170"/>
        </w:trPr>
        <w:tc>
          <w:tcPr>
            <w:tcW w:w="2345" w:type="dxa"/>
            <w:shd w:val="clear" w:color="auto" w:fill="auto"/>
            <w:noWrap/>
            <w:vAlign w:val="center"/>
            <w:hideMark/>
          </w:tcPr>
          <w:p w14:paraId="18D09E52" w14:textId="77777777" w:rsidR="009E5621" w:rsidRPr="00496229" w:rsidRDefault="009E5621" w:rsidP="00E64B82">
            <w:pPr>
              <w:rPr>
                <w:color w:val="000000"/>
              </w:rPr>
            </w:pPr>
            <w:proofErr w:type="spellStart"/>
            <w:r>
              <w:rPr>
                <w:color w:val="000000"/>
              </w:rPr>
              <w:t>Neoenergia</w:t>
            </w:r>
            <w:proofErr w:type="spellEnd"/>
          </w:p>
        </w:tc>
        <w:tc>
          <w:tcPr>
            <w:tcW w:w="2126" w:type="dxa"/>
            <w:shd w:val="clear" w:color="auto" w:fill="auto"/>
            <w:noWrap/>
            <w:vAlign w:val="center"/>
            <w:hideMark/>
          </w:tcPr>
          <w:p w14:paraId="165666F0" w14:textId="77777777" w:rsidR="009E5621" w:rsidRPr="00496229" w:rsidRDefault="009E5621" w:rsidP="00E64B82">
            <w:pPr>
              <w:jc w:val="center"/>
              <w:rPr>
                <w:color w:val="000000"/>
              </w:rPr>
            </w:pPr>
            <w:r w:rsidRPr="00D510B7">
              <w:rPr>
                <w:color w:val="000000"/>
              </w:rPr>
              <w:t>Iberdrola Energia S.A.</w:t>
            </w:r>
          </w:p>
        </w:tc>
        <w:tc>
          <w:tcPr>
            <w:tcW w:w="1985" w:type="dxa"/>
            <w:shd w:val="clear" w:color="auto" w:fill="auto"/>
            <w:noWrap/>
            <w:vAlign w:val="center"/>
            <w:hideMark/>
          </w:tcPr>
          <w:p w14:paraId="0BB7D30B" w14:textId="77777777" w:rsidR="009E5621" w:rsidRPr="00496229" w:rsidRDefault="009E5621" w:rsidP="00E64B82">
            <w:pPr>
              <w:jc w:val="center"/>
              <w:rPr>
                <w:color w:val="000000"/>
              </w:rPr>
            </w:pPr>
            <w:r>
              <w:rPr>
                <w:color w:val="000000"/>
              </w:rPr>
              <w:t>Privado</w:t>
            </w:r>
          </w:p>
        </w:tc>
        <w:tc>
          <w:tcPr>
            <w:tcW w:w="2410" w:type="dxa"/>
            <w:shd w:val="clear" w:color="auto" w:fill="auto"/>
            <w:noWrap/>
            <w:vAlign w:val="center"/>
            <w:hideMark/>
          </w:tcPr>
          <w:p w14:paraId="2627F5E9" w14:textId="66B79203" w:rsidR="009E5621" w:rsidRPr="00496229" w:rsidRDefault="00CE6490" w:rsidP="00E64B82">
            <w:pPr>
              <w:jc w:val="center"/>
              <w:rPr>
                <w:color w:val="000000"/>
              </w:rPr>
            </w:pPr>
            <w:r>
              <w:rPr>
                <w:color w:val="000000"/>
              </w:rPr>
              <w:t xml:space="preserve">R$ </w:t>
            </w:r>
            <w:r w:rsidR="009E5621" w:rsidRPr="00D510B7">
              <w:rPr>
                <w:color w:val="000000"/>
              </w:rPr>
              <w:t>42</w:t>
            </w:r>
            <w:r w:rsidR="009E5621">
              <w:rPr>
                <w:color w:val="000000"/>
              </w:rPr>
              <w:t>.</w:t>
            </w:r>
            <w:r w:rsidR="009E5621" w:rsidRPr="00D510B7">
              <w:rPr>
                <w:color w:val="000000"/>
              </w:rPr>
              <w:t>114</w:t>
            </w:r>
            <w:r w:rsidR="009E5621">
              <w:rPr>
                <w:color w:val="000000"/>
              </w:rPr>
              <w:t>.</w:t>
            </w:r>
            <w:r w:rsidR="009E5621" w:rsidRPr="00D510B7">
              <w:rPr>
                <w:color w:val="000000"/>
              </w:rPr>
              <w:t>499</w:t>
            </w:r>
            <w:r w:rsidR="009E5621">
              <w:rPr>
                <w:color w:val="000000"/>
              </w:rPr>
              <w:t>,00</w:t>
            </w:r>
          </w:p>
        </w:tc>
      </w:tr>
      <w:tr w:rsidR="009E5621" w:rsidRPr="009B5256" w14:paraId="468C8E49" w14:textId="77777777" w:rsidTr="005D5F19">
        <w:trPr>
          <w:trHeight w:val="170"/>
        </w:trPr>
        <w:tc>
          <w:tcPr>
            <w:tcW w:w="2345" w:type="dxa"/>
            <w:shd w:val="clear" w:color="auto" w:fill="auto"/>
            <w:noWrap/>
            <w:vAlign w:val="center"/>
            <w:hideMark/>
          </w:tcPr>
          <w:p w14:paraId="4E14EE4B" w14:textId="77777777" w:rsidR="009E5621" w:rsidRPr="00496229" w:rsidRDefault="009E5621" w:rsidP="00E64B82">
            <w:pPr>
              <w:rPr>
                <w:color w:val="000000"/>
              </w:rPr>
            </w:pPr>
            <w:r>
              <w:rPr>
                <w:color w:val="000000"/>
              </w:rPr>
              <w:t>Cemig</w:t>
            </w:r>
          </w:p>
        </w:tc>
        <w:tc>
          <w:tcPr>
            <w:tcW w:w="2126" w:type="dxa"/>
            <w:shd w:val="clear" w:color="auto" w:fill="auto"/>
            <w:noWrap/>
            <w:vAlign w:val="center"/>
            <w:hideMark/>
          </w:tcPr>
          <w:p w14:paraId="14069960" w14:textId="77777777" w:rsidR="009E5621" w:rsidRPr="00496229" w:rsidRDefault="009E5621" w:rsidP="00E64B82">
            <w:pPr>
              <w:ind w:right="-68"/>
              <w:jc w:val="center"/>
              <w:rPr>
                <w:color w:val="000000"/>
              </w:rPr>
            </w:pPr>
            <w:r w:rsidRPr="00D510B7">
              <w:rPr>
                <w:color w:val="000000"/>
              </w:rPr>
              <w:t>Estado de Minas Gerais</w:t>
            </w:r>
          </w:p>
        </w:tc>
        <w:tc>
          <w:tcPr>
            <w:tcW w:w="1985" w:type="dxa"/>
            <w:shd w:val="clear" w:color="auto" w:fill="auto"/>
            <w:noWrap/>
            <w:vAlign w:val="center"/>
            <w:hideMark/>
          </w:tcPr>
          <w:p w14:paraId="5C36C174" w14:textId="77777777" w:rsidR="009E5621" w:rsidRPr="00496229" w:rsidRDefault="009E5621" w:rsidP="00E64B82">
            <w:pPr>
              <w:jc w:val="center"/>
              <w:rPr>
                <w:color w:val="000000"/>
              </w:rPr>
            </w:pPr>
            <w:r>
              <w:rPr>
                <w:color w:val="000000"/>
              </w:rPr>
              <w:t>Estatal</w:t>
            </w:r>
          </w:p>
        </w:tc>
        <w:tc>
          <w:tcPr>
            <w:tcW w:w="2410" w:type="dxa"/>
            <w:shd w:val="clear" w:color="auto" w:fill="auto"/>
            <w:noWrap/>
            <w:vAlign w:val="center"/>
            <w:hideMark/>
          </w:tcPr>
          <w:p w14:paraId="3BA86737" w14:textId="184C2A74" w:rsidR="009E5621" w:rsidRPr="00496229" w:rsidRDefault="00CE6490" w:rsidP="00E64B82">
            <w:pPr>
              <w:jc w:val="center"/>
              <w:rPr>
                <w:color w:val="000000"/>
              </w:rPr>
            </w:pPr>
            <w:r>
              <w:rPr>
                <w:color w:val="000000"/>
              </w:rPr>
              <w:t xml:space="preserve">R$ </w:t>
            </w:r>
            <w:r w:rsidR="009E5621" w:rsidRPr="00D510B7">
              <w:rPr>
                <w:color w:val="000000"/>
              </w:rPr>
              <w:t>41</w:t>
            </w:r>
            <w:r w:rsidR="009E5621">
              <w:rPr>
                <w:color w:val="000000"/>
              </w:rPr>
              <w:t>.</w:t>
            </w:r>
            <w:r w:rsidR="009E5621" w:rsidRPr="00D510B7">
              <w:rPr>
                <w:color w:val="000000"/>
              </w:rPr>
              <w:t>832</w:t>
            </w:r>
            <w:r w:rsidR="009E5621">
              <w:rPr>
                <w:color w:val="000000"/>
              </w:rPr>
              <w:t>.</w:t>
            </w:r>
            <w:r w:rsidR="009E5621" w:rsidRPr="00D510B7">
              <w:rPr>
                <w:color w:val="000000"/>
              </w:rPr>
              <w:t>075</w:t>
            </w:r>
            <w:r w:rsidR="009E5621">
              <w:rPr>
                <w:color w:val="000000"/>
              </w:rPr>
              <w:t>,00</w:t>
            </w:r>
          </w:p>
        </w:tc>
      </w:tr>
      <w:tr w:rsidR="009E5621" w:rsidRPr="009B5256" w14:paraId="5F5D461A" w14:textId="77777777" w:rsidTr="005D5F19">
        <w:trPr>
          <w:trHeight w:val="170"/>
        </w:trPr>
        <w:tc>
          <w:tcPr>
            <w:tcW w:w="2345" w:type="dxa"/>
            <w:shd w:val="clear" w:color="auto" w:fill="auto"/>
            <w:noWrap/>
            <w:vAlign w:val="center"/>
            <w:hideMark/>
          </w:tcPr>
          <w:p w14:paraId="193B502D" w14:textId="77777777" w:rsidR="009E5621" w:rsidRPr="00496229" w:rsidRDefault="009E5621" w:rsidP="00E64B82">
            <w:pPr>
              <w:rPr>
                <w:color w:val="000000"/>
              </w:rPr>
            </w:pPr>
            <w:r w:rsidRPr="00D510B7">
              <w:rPr>
                <w:color w:val="000000"/>
              </w:rPr>
              <w:t>CPFL Energia</w:t>
            </w:r>
          </w:p>
        </w:tc>
        <w:tc>
          <w:tcPr>
            <w:tcW w:w="2126" w:type="dxa"/>
            <w:shd w:val="clear" w:color="auto" w:fill="auto"/>
            <w:noWrap/>
            <w:vAlign w:val="center"/>
            <w:hideMark/>
          </w:tcPr>
          <w:p w14:paraId="137F9708" w14:textId="77777777" w:rsidR="009E5621" w:rsidRPr="00496229" w:rsidRDefault="009E5621" w:rsidP="00E64B82">
            <w:pPr>
              <w:jc w:val="center"/>
              <w:rPr>
                <w:color w:val="000000"/>
              </w:rPr>
            </w:pPr>
            <w:proofErr w:type="spellStart"/>
            <w:r w:rsidRPr="00D510B7">
              <w:rPr>
                <w:color w:val="000000"/>
              </w:rPr>
              <w:t>State</w:t>
            </w:r>
            <w:proofErr w:type="spellEnd"/>
            <w:r w:rsidRPr="00D510B7">
              <w:rPr>
                <w:color w:val="000000"/>
              </w:rPr>
              <w:t xml:space="preserve"> Grid </w:t>
            </w:r>
            <w:proofErr w:type="spellStart"/>
            <w:r w:rsidRPr="00D510B7">
              <w:rPr>
                <w:color w:val="000000"/>
              </w:rPr>
              <w:t>Brazil</w:t>
            </w:r>
            <w:proofErr w:type="spellEnd"/>
            <w:r w:rsidRPr="00D510B7">
              <w:rPr>
                <w:color w:val="000000"/>
              </w:rPr>
              <w:t xml:space="preserve"> Power Participações S.A.</w:t>
            </w:r>
          </w:p>
        </w:tc>
        <w:tc>
          <w:tcPr>
            <w:tcW w:w="1985" w:type="dxa"/>
            <w:shd w:val="clear" w:color="auto" w:fill="auto"/>
            <w:noWrap/>
            <w:vAlign w:val="center"/>
            <w:hideMark/>
          </w:tcPr>
          <w:p w14:paraId="20D1C8BA" w14:textId="77777777" w:rsidR="009E5621" w:rsidRPr="00496229" w:rsidRDefault="009E5621" w:rsidP="00E64B82">
            <w:pPr>
              <w:jc w:val="center"/>
              <w:rPr>
                <w:color w:val="000000"/>
              </w:rPr>
            </w:pPr>
            <w:r>
              <w:rPr>
                <w:color w:val="000000"/>
              </w:rPr>
              <w:t>Privado</w:t>
            </w:r>
          </w:p>
        </w:tc>
        <w:tc>
          <w:tcPr>
            <w:tcW w:w="2410" w:type="dxa"/>
            <w:shd w:val="clear" w:color="auto" w:fill="auto"/>
            <w:noWrap/>
            <w:vAlign w:val="center"/>
            <w:hideMark/>
          </w:tcPr>
          <w:p w14:paraId="2B0E519A" w14:textId="6BC1022A" w:rsidR="009E5621" w:rsidRPr="00496229" w:rsidRDefault="00CE6490" w:rsidP="00E64B82">
            <w:pPr>
              <w:jc w:val="center"/>
              <w:rPr>
                <w:color w:val="000000"/>
              </w:rPr>
            </w:pPr>
            <w:r>
              <w:rPr>
                <w:color w:val="000000"/>
              </w:rPr>
              <w:t xml:space="preserve">R$ </w:t>
            </w:r>
            <w:r w:rsidR="009E5621" w:rsidRPr="00D510B7">
              <w:rPr>
                <w:color w:val="000000"/>
              </w:rPr>
              <w:t>41</w:t>
            </w:r>
            <w:r w:rsidR="009E5621">
              <w:rPr>
                <w:color w:val="000000"/>
              </w:rPr>
              <w:t>.</w:t>
            </w:r>
            <w:r w:rsidR="009E5621" w:rsidRPr="00D510B7">
              <w:rPr>
                <w:color w:val="000000"/>
              </w:rPr>
              <w:t>793</w:t>
            </w:r>
            <w:r w:rsidR="009E5621">
              <w:rPr>
                <w:color w:val="000000"/>
              </w:rPr>
              <w:t>.</w:t>
            </w:r>
            <w:r w:rsidR="009E5621" w:rsidRPr="00D510B7">
              <w:rPr>
                <w:color w:val="000000"/>
              </w:rPr>
              <w:t>477</w:t>
            </w:r>
            <w:r w:rsidR="009E5621">
              <w:rPr>
                <w:color w:val="000000"/>
              </w:rPr>
              <w:t>,00</w:t>
            </w:r>
          </w:p>
        </w:tc>
      </w:tr>
      <w:tr w:rsidR="009E5621" w:rsidRPr="009B5256" w14:paraId="64D27AE8" w14:textId="77777777" w:rsidTr="005D5F19">
        <w:trPr>
          <w:trHeight w:val="170"/>
        </w:trPr>
        <w:tc>
          <w:tcPr>
            <w:tcW w:w="2345" w:type="dxa"/>
            <w:shd w:val="clear" w:color="auto" w:fill="auto"/>
            <w:noWrap/>
            <w:vAlign w:val="center"/>
            <w:hideMark/>
          </w:tcPr>
          <w:p w14:paraId="18574663" w14:textId="77777777" w:rsidR="009E5621" w:rsidRPr="00496229" w:rsidRDefault="009E5621" w:rsidP="00E64B82">
            <w:pPr>
              <w:rPr>
                <w:color w:val="000000"/>
              </w:rPr>
            </w:pPr>
            <w:r w:rsidRPr="00D510B7">
              <w:rPr>
                <w:color w:val="000000"/>
              </w:rPr>
              <w:t>Copel</w:t>
            </w:r>
          </w:p>
        </w:tc>
        <w:tc>
          <w:tcPr>
            <w:tcW w:w="2126" w:type="dxa"/>
            <w:shd w:val="clear" w:color="auto" w:fill="auto"/>
            <w:noWrap/>
            <w:vAlign w:val="center"/>
            <w:hideMark/>
          </w:tcPr>
          <w:p w14:paraId="67340FDD" w14:textId="77777777" w:rsidR="009E5621" w:rsidRPr="00496229" w:rsidRDefault="009E5621" w:rsidP="00E64B82">
            <w:pPr>
              <w:jc w:val="center"/>
              <w:rPr>
                <w:color w:val="000000"/>
              </w:rPr>
            </w:pPr>
            <w:r w:rsidRPr="00D510B7">
              <w:rPr>
                <w:color w:val="000000"/>
              </w:rPr>
              <w:t>Estado Do Paraná</w:t>
            </w:r>
          </w:p>
        </w:tc>
        <w:tc>
          <w:tcPr>
            <w:tcW w:w="1985" w:type="dxa"/>
            <w:shd w:val="clear" w:color="auto" w:fill="auto"/>
            <w:noWrap/>
            <w:vAlign w:val="center"/>
            <w:hideMark/>
          </w:tcPr>
          <w:p w14:paraId="53519190" w14:textId="77777777" w:rsidR="009E5621" w:rsidRPr="00496229" w:rsidRDefault="009E5621" w:rsidP="00E64B82">
            <w:pPr>
              <w:jc w:val="center"/>
              <w:rPr>
                <w:color w:val="000000"/>
              </w:rPr>
            </w:pPr>
            <w:r>
              <w:rPr>
                <w:color w:val="000000"/>
              </w:rPr>
              <w:t>Estatal</w:t>
            </w:r>
          </w:p>
        </w:tc>
        <w:tc>
          <w:tcPr>
            <w:tcW w:w="2410" w:type="dxa"/>
            <w:shd w:val="clear" w:color="auto" w:fill="auto"/>
            <w:noWrap/>
            <w:vAlign w:val="center"/>
            <w:hideMark/>
          </w:tcPr>
          <w:p w14:paraId="7B4A19F3" w14:textId="67FE0780" w:rsidR="009E5621" w:rsidRPr="00496229" w:rsidRDefault="00CE6490" w:rsidP="00E64B82">
            <w:pPr>
              <w:jc w:val="center"/>
              <w:rPr>
                <w:color w:val="000000"/>
              </w:rPr>
            </w:pPr>
            <w:r>
              <w:rPr>
                <w:color w:val="000000"/>
              </w:rPr>
              <w:t xml:space="preserve">R$ </w:t>
            </w:r>
            <w:r w:rsidR="009E5621" w:rsidRPr="00D510B7">
              <w:rPr>
                <w:color w:val="000000"/>
              </w:rPr>
              <w:t>33</w:t>
            </w:r>
            <w:r w:rsidR="009E5621">
              <w:rPr>
                <w:color w:val="000000"/>
              </w:rPr>
              <w:t>.</w:t>
            </w:r>
            <w:r w:rsidR="009E5621" w:rsidRPr="00D510B7">
              <w:rPr>
                <w:color w:val="000000"/>
              </w:rPr>
              <w:t>707</w:t>
            </w:r>
            <w:r w:rsidR="009E5621">
              <w:rPr>
                <w:color w:val="000000"/>
              </w:rPr>
              <w:t>.</w:t>
            </w:r>
            <w:r w:rsidR="009E5621" w:rsidRPr="00D510B7">
              <w:rPr>
                <w:color w:val="000000"/>
              </w:rPr>
              <w:t>184</w:t>
            </w:r>
            <w:r w:rsidR="009E5621">
              <w:rPr>
                <w:color w:val="000000"/>
              </w:rPr>
              <w:t>,00</w:t>
            </w:r>
          </w:p>
        </w:tc>
      </w:tr>
      <w:tr w:rsidR="009E5621" w:rsidRPr="009B5256" w14:paraId="53E4DF1A" w14:textId="77777777" w:rsidTr="005D5F19">
        <w:trPr>
          <w:trHeight w:val="170"/>
        </w:trPr>
        <w:tc>
          <w:tcPr>
            <w:tcW w:w="2345" w:type="dxa"/>
            <w:shd w:val="clear" w:color="auto" w:fill="auto"/>
            <w:noWrap/>
            <w:vAlign w:val="center"/>
            <w:hideMark/>
          </w:tcPr>
          <w:p w14:paraId="79C20B64" w14:textId="77777777" w:rsidR="009E5621" w:rsidRPr="00496229" w:rsidRDefault="009E5621" w:rsidP="00E64B82">
            <w:pPr>
              <w:rPr>
                <w:color w:val="000000"/>
              </w:rPr>
            </w:pPr>
            <w:r w:rsidRPr="00F64523">
              <w:rPr>
                <w:color w:val="000000"/>
              </w:rPr>
              <w:t xml:space="preserve">Santo </w:t>
            </w:r>
            <w:proofErr w:type="spellStart"/>
            <w:r w:rsidRPr="00F64523">
              <w:rPr>
                <w:color w:val="000000"/>
              </w:rPr>
              <w:t>Antonio</w:t>
            </w:r>
            <w:proofErr w:type="spellEnd"/>
            <w:r w:rsidRPr="00F64523">
              <w:rPr>
                <w:color w:val="000000"/>
              </w:rPr>
              <w:t xml:space="preserve"> Energia SA</w:t>
            </w:r>
          </w:p>
        </w:tc>
        <w:tc>
          <w:tcPr>
            <w:tcW w:w="2126" w:type="dxa"/>
            <w:shd w:val="clear" w:color="auto" w:fill="auto"/>
            <w:noWrap/>
            <w:vAlign w:val="center"/>
            <w:hideMark/>
          </w:tcPr>
          <w:p w14:paraId="243BF7DC" w14:textId="77777777" w:rsidR="009E5621" w:rsidRPr="00496229" w:rsidRDefault="009E5621" w:rsidP="00E64B82">
            <w:pPr>
              <w:jc w:val="center"/>
              <w:rPr>
                <w:color w:val="000000"/>
              </w:rPr>
            </w:pPr>
            <w:r w:rsidRPr="00DC7430">
              <w:rPr>
                <w:color w:val="000000"/>
              </w:rPr>
              <w:t>Madeira Energia S.A.</w:t>
            </w:r>
          </w:p>
        </w:tc>
        <w:tc>
          <w:tcPr>
            <w:tcW w:w="1985" w:type="dxa"/>
            <w:shd w:val="clear" w:color="auto" w:fill="auto"/>
            <w:noWrap/>
            <w:vAlign w:val="center"/>
            <w:hideMark/>
          </w:tcPr>
          <w:p w14:paraId="2BA08891" w14:textId="77777777" w:rsidR="009E5621" w:rsidRPr="00496229" w:rsidRDefault="009E5621" w:rsidP="00E64B82">
            <w:pPr>
              <w:jc w:val="center"/>
              <w:rPr>
                <w:color w:val="000000"/>
              </w:rPr>
            </w:pPr>
            <w:r w:rsidRPr="00496229">
              <w:rPr>
                <w:color w:val="000000"/>
              </w:rPr>
              <w:t>Privado</w:t>
            </w:r>
          </w:p>
        </w:tc>
        <w:tc>
          <w:tcPr>
            <w:tcW w:w="2410" w:type="dxa"/>
            <w:shd w:val="clear" w:color="auto" w:fill="auto"/>
            <w:noWrap/>
            <w:vAlign w:val="center"/>
            <w:hideMark/>
          </w:tcPr>
          <w:p w14:paraId="48A3EDC1" w14:textId="02A7E6F5" w:rsidR="009E5621" w:rsidRPr="00496229" w:rsidRDefault="00CE6490" w:rsidP="00E64B82">
            <w:pPr>
              <w:jc w:val="center"/>
              <w:rPr>
                <w:color w:val="000000"/>
              </w:rPr>
            </w:pPr>
            <w:r>
              <w:rPr>
                <w:color w:val="000000"/>
              </w:rPr>
              <w:t xml:space="preserve">R$ </w:t>
            </w:r>
            <w:r w:rsidR="009E5621" w:rsidRPr="00F64523">
              <w:rPr>
                <w:color w:val="000000"/>
              </w:rPr>
              <w:t>23</w:t>
            </w:r>
            <w:r w:rsidR="009E5621">
              <w:rPr>
                <w:color w:val="000000"/>
              </w:rPr>
              <w:t>.</w:t>
            </w:r>
            <w:r w:rsidR="009E5621" w:rsidRPr="00F64523">
              <w:rPr>
                <w:color w:val="000000"/>
              </w:rPr>
              <w:t>753</w:t>
            </w:r>
            <w:r w:rsidR="009E5621">
              <w:rPr>
                <w:color w:val="000000"/>
              </w:rPr>
              <w:t>.</w:t>
            </w:r>
            <w:r w:rsidR="009E5621" w:rsidRPr="00F64523">
              <w:rPr>
                <w:color w:val="000000"/>
              </w:rPr>
              <w:t>690</w:t>
            </w:r>
            <w:r w:rsidR="009E5621">
              <w:rPr>
                <w:color w:val="000000"/>
              </w:rPr>
              <w:t>,00</w:t>
            </w:r>
          </w:p>
        </w:tc>
      </w:tr>
      <w:tr w:rsidR="009E5621" w:rsidRPr="009B5256" w14:paraId="2A9E12B6" w14:textId="77777777" w:rsidTr="005D5F19">
        <w:trPr>
          <w:trHeight w:val="170"/>
        </w:trPr>
        <w:tc>
          <w:tcPr>
            <w:tcW w:w="2345" w:type="dxa"/>
            <w:shd w:val="clear" w:color="auto" w:fill="auto"/>
            <w:noWrap/>
            <w:vAlign w:val="center"/>
            <w:hideMark/>
          </w:tcPr>
          <w:p w14:paraId="0E4FC80F" w14:textId="77777777" w:rsidR="009E5621" w:rsidRPr="00496229" w:rsidRDefault="009E5621" w:rsidP="00E64B82">
            <w:pPr>
              <w:rPr>
                <w:color w:val="000000"/>
              </w:rPr>
            </w:pPr>
            <w:proofErr w:type="spellStart"/>
            <w:r w:rsidRPr="00F64523">
              <w:rPr>
                <w:color w:val="000000"/>
              </w:rPr>
              <w:t>Energisa</w:t>
            </w:r>
            <w:proofErr w:type="spellEnd"/>
          </w:p>
        </w:tc>
        <w:tc>
          <w:tcPr>
            <w:tcW w:w="2126" w:type="dxa"/>
            <w:shd w:val="clear" w:color="auto" w:fill="auto"/>
            <w:noWrap/>
            <w:vAlign w:val="center"/>
            <w:hideMark/>
          </w:tcPr>
          <w:p w14:paraId="25BA923C" w14:textId="77777777" w:rsidR="009E5621" w:rsidRPr="00496229" w:rsidRDefault="009E5621" w:rsidP="00E64B82">
            <w:pPr>
              <w:jc w:val="center"/>
              <w:rPr>
                <w:color w:val="000000"/>
              </w:rPr>
            </w:pPr>
            <w:proofErr w:type="spellStart"/>
            <w:r w:rsidRPr="00CD6D31">
              <w:rPr>
                <w:color w:val="000000"/>
              </w:rPr>
              <w:t>Gipar</w:t>
            </w:r>
            <w:proofErr w:type="spellEnd"/>
            <w:r w:rsidRPr="00CD6D31">
              <w:rPr>
                <w:color w:val="000000"/>
              </w:rPr>
              <w:t xml:space="preserve"> S/A</w:t>
            </w:r>
          </w:p>
        </w:tc>
        <w:tc>
          <w:tcPr>
            <w:tcW w:w="1985" w:type="dxa"/>
            <w:shd w:val="clear" w:color="auto" w:fill="auto"/>
            <w:noWrap/>
            <w:vAlign w:val="center"/>
            <w:hideMark/>
          </w:tcPr>
          <w:p w14:paraId="0188D6C7" w14:textId="77777777" w:rsidR="009E5621" w:rsidRPr="00496229" w:rsidRDefault="009E5621" w:rsidP="00E64B82">
            <w:pPr>
              <w:jc w:val="center"/>
              <w:rPr>
                <w:color w:val="000000"/>
              </w:rPr>
            </w:pPr>
            <w:r>
              <w:rPr>
                <w:color w:val="000000"/>
              </w:rPr>
              <w:t>Privado</w:t>
            </w:r>
          </w:p>
        </w:tc>
        <w:tc>
          <w:tcPr>
            <w:tcW w:w="2410" w:type="dxa"/>
            <w:shd w:val="clear" w:color="auto" w:fill="auto"/>
            <w:noWrap/>
            <w:vAlign w:val="center"/>
            <w:hideMark/>
          </w:tcPr>
          <w:p w14:paraId="79A42EA3" w14:textId="49884EB8" w:rsidR="009E5621" w:rsidRPr="00496229" w:rsidRDefault="00CE6490" w:rsidP="00E64B82">
            <w:pPr>
              <w:jc w:val="center"/>
              <w:rPr>
                <w:color w:val="000000"/>
              </w:rPr>
            </w:pPr>
            <w:r>
              <w:rPr>
                <w:color w:val="000000"/>
              </w:rPr>
              <w:t xml:space="preserve">R$ </w:t>
            </w:r>
            <w:r w:rsidR="009E5621" w:rsidRPr="00F64523">
              <w:rPr>
                <w:color w:val="000000"/>
              </w:rPr>
              <w:t>21</w:t>
            </w:r>
            <w:r w:rsidR="009E5621">
              <w:rPr>
                <w:color w:val="000000"/>
              </w:rPr>
              <w:t>.</w:t>
            </w:r>
            <w:r w:rsidR="009E5621" w:rsidRPr="00F64523">
              <w:rPr>
                <w:color w:val="000000"/>
              </w:rPr>
              <w:t>050</w:t>
            </w:r>
            <w:r w:rsidR="009E5621">
              <w:rPr>
                <w:color w:val="000000"/>
              </w:rPr>
              <w:t>.</w:t>
            </w:r>
            <w:r w:rsidR="009E5621" w:rsidRPr="00F64523">
              <w:rPr>
                <w:color w:val="000000"/>
              </w:rPr>
              <w:t>112</w:t>
            </w:r>
            <w:r w:rsidR="009E5621">
              <w:rPr>
                <w:color w:val="000000"/>
              </w:rPr>
              <w:t>,00</w:t>
            </w:r>
          </w:p>
        </w:tc>
      </w:tr>
      <w:tr w:rsidR="009E5621" w:rsidRPr="009B5256" w14:paraId="1D2CB0C2" w14:textId="77777777" w:rsidTr="005D5F19">
        <w:trPr>
          <w:trHeight w:val="170"/>
        </w:trPr>
        <w:tc>
          <w:tcPr>
            <w:tcW w:w="2345" w:type="dxa"/>
            <w:shd w:val="clear" w:color="auto" w:fill="auto"/>
            <w:noWrap/>
            <w:vAlign w:val="center"/>
            <w:hideMark/>
          </w:tcPr>
          <w:p w14:paraId="0D4099ED" w14:textId="77777777" w:rsidR="009E5621" w:rsidRPr="00496229" w:rsidRDefault="009E5621" w:rsidP="00E64B82">
            <w:pPr>
              <w:rPr>
                <w:color w:val="000000"/>
              </w:rPr>
            </w:pPr>
            <w:proofErr w:type="spellStart"/>
            <w:r w:rsidRPr="00496229">
              <w:rPr>
                <w:color w:val="000000"/>
              </w:rPr>
              <w:t>Engie</w:t>
            </w:r>
            <w:proofErr w:type="spellEnd"/>
            <w:r w:rsidRPr="00496229">
              <w:rPr>
                <w:color w:val="000000"/>
              </w:rPr>
              <w:t xml:space="preserve"> Brasil</w:t>
            </w:r>
          </w:p>
        </w:tc>
        <w:tc>
          <w:tcPr>
            <w:tcW w:w="2126" w:type="dxa"/>
            <w:shd w:val="clear" w:color="auto" w:fill="auto"/>
            <w:noWrap/>
            <w:vAlign w:val="center"/>
            <w:hideMark/>
          </w:tcPr>
          <w:p w14:paraId="025DC95B" w14:textId="77777777" w:rsidR="009E5621" w:rsidRPr="00496229" w:rsidRDefault="009E5621" w:rsidP="00E64B82">
            <w:pPr>
              <w:jc w:val="center"/>
              <w:rPr>
                <w:color w:val="000000"/>
              </w:rPr>
            </w:pPr>
            <w:proofErr w:type="spellStart"/>
            <w:r w:rsidRPr="00496229">
              <w:rPr>
                <w:color w:val="000000"/>
              </w:rPr>
              <w:t>Engie</w:t>
            </w:r>
            <w:proofErr w:type="spellEnd"/>
            <w:r w:rsidRPr="00496229">
              <w:rPr>
                <w:color w:val="000000"/>
              </w:rPr>
              <w:t xml:space="preserve"> Brasil </w:t>
            </w:r>
            <w:proofErr w:type="spellStart"/>
            <w:r w:rsidRPr="00496229">
              <w:rPr>
                <w:color w:val="000000"/>
              </w:rPr>
              <w:t>Participacoes</w:t>
            </w:r>
            <w:proofErr w:type="spellEnd"/>
            <w:r w:rsidRPr="00496229">
              <w:rPr>
                <w:color w:val="000000"/>
              </w:rPr>
              <w:t xml:space="preserve"> Ltda.</w:t>
            </w:r>
          </w:p>
        </w:tc>
        <w:tc>
          <w:tcPr>
            <w:tcW w:w="1985" w:type="dxa"/>
            <w:shd w:val="clear" w:color="auto" w:fill="auto"/>
            <w:noWrap/>
            <w:vAlign w:val="center"/>
            <w:hideMark/>
          </w:tcPr>
          <w:p w14:paraId="63025AA2" w14:textId="77777777" w:rsidR="009E5621" w:rsidRPr="00496229" w:rsidRDefault="009E5621" w:rsidP="00E64B82">
            <w:pPr>
              <w:jc w:val="center"/>
              <w:rPr>
                <w:color w:val="000000"/>
              </w:rPr>
            </w:pPr>
            <w:r w:rsidRPr="00496229">
              <w:rPr>
                <w:color w:val="000000"/>
              </w:rPr>
              <w:t>Privado</w:t>
            </w:r>
          </w:p>
        </w:tc>
        <w:tc>
          <w:tcPr>
            <w:tcW w:w="2410" w:type="dxa"/>
            <w:shd w:val="clear" w:color="auto" w:fill="auto"/>
            <w:noWrap/>
            <w:vAlign w:val="center"/>
            <w:hideMark/>
          </w:tcPr>
          <w:p w14:paraId="6C5BE9FE" w14:textId="67BCCE0E" w:rsidR="009E5621" w:rsidRPr="00496229" w:rsidRDefault="00CE6490" w:rsidP="00E64B82">
            <w:pPr>
              <w:jc w:val="center"/>
              <w:rPr>
                <w:color w:val="000000"/>
              </w:rPr>
            </w:pPr>
            <w:r>
              <w:rPr>
                <w:color w:val="000000"/>
              </w:rPr>
              <w:t>R$</w:t>
            </w:r>
            <w:r w:rsidR="009E5621" w:rsidRPr="00496229">
              <w:rPr>
                <w:color w:val="000000"/>
              </w:rPr>
              <w:t xml:space="preserve"> </w:t>
            </w:r>
            <w:r w:rsidR="009E5621" w:rsidRPr="00F64523">
              <w:rPr>
                <w:color w:val="000000"/>
              </w:rPr>
              <w:t>19</w:t>
            </w:r>
            <w:r w:rsidR="009E5621">
              <w:rPr>
                <w:color w:val="000000"/>
              </w:rPr>
              <w:t>.</w:t>
            </w:r>
            <w:r w:rsidR="009E5621" w:rsidRPr="00F64523">
              <w:rPr>
                <w:color w:val="000000"/>
              </w:rPr>
              <w:t>568</w:t>
            </w:r>
            <w:r w:rsidR="009E5621">
              <w:rPr>
                <w:color w:val="000000"/>
              </w:rPr>
              <w:t>.</w:t>
            </w:r>
            <w:r w:rsidR="009E5621" w:rsidRPr="00F64523">
              <w:rPr>
                <w:color w:val="000000"/>
              </w:rPr>
              <w:t>513</w:t>
            </w:r>
            <w:r w:rsidR="009E5621">
              <w:rPr>
                <w:color w:val="000000"/>
              </w:rPr>
              <w:t>,00</w:t>
            </w:r>
          </w:p>
        </w:tc>
      </w:tr>
      <w:tr w:rsidR="009E5621" w:rsidRPr="009B5256" w14:paraId="36C717D8" w14:textId="77777777" w:rsidTr="005D5F19">
        <w:trPr>
          <w:trHeight w:val="170"/>
        </w:trPr>
        <w:tc>
          <w:tcPr>
            <w:tcW w:w="2345" w:type="dxa"/>
            <w:shd w:val="clear" w:color="auto" w:fill="auto"/>
            <w:noWrap/>
            <w:vAlign w:val="center"/>
            <w:hideMark/>
          </w:tcPr>
          <w:p w14:paraId="5685C323" w14:textId="77777777" w:rsidR="009E5621" w:rsidRPr="00496229" w:rsidRDefault="009E5621" w:rsidP="00E64B82">
            <w:pPr>
              <w:rPr>
                <w:color w:val="000000"/>
              </w:rPr>
            </w:pPr>
            <w:r w:rsidRPr="00D510B7">
              <w:rPr>
                <w:color w:val="000000"/>
              </w:rPr>
              <w:t>Cesp</w:t>
            </w:r>
          </w:p>
        </w:tc>
        <w:tc>
          <w:tcPr>
            <w:tcW w:w="2126" w:type="dxa"/>
            <w:shd w:val="clear" w:color="auto" w:fill="auto"/>
            <w:noWrap/>
            <w:vAlign w:val="center"/>
            <w:hideMark/>
          </w:tcPr>
          <w:p w14:paraId="649C0C8D" w14:textId="77777777" w:rsidR="009E5621" w:rsidRPr="00496229" w:rsidRDefault="009E5621" w:rsidP="00E64B82">
            <w:pPr>
              <w:jc w:val="center"/>
              <w:rPr>
                <w:color w:val="000000"/>
              </w:rPr>
            </w:pPr>
            <w:r w:rsidRPr="00D510B7">
              <w:rPr>
                <w:color w:val="000000"/>
              </w:rPr>
              <w:t>Fazenda Do Estado de São Paulo</w:t>
            </w:r>
          </w:p>
        </w:tc>
        <w:tc>
          <w:tcPr>
            <w:tcW w:w="1985" w:type="dxa"/>
            <w:shd w:val="clear" w:color="auto" w:fill="auto"/>
            <w:noWrap/>
            <w:vAlign w:val="center"/>
            <w:hideMark/>
          </w:tcPr>
          <w:p w14:paraId="519A5A35" w14:textId="77777777" w:rsidR="009E5621" w:rsidRPr="00496229" w:rsidRDefault="009E5621" w:rsidP="00E64B82">
            <w:pPr>
              <w:jc w:val="center"/>
              <w:rPr>
                <w:color w:val="000000"/>
              </w:rPr>
            </w:pPr>
            <w:r>
              <w:rPr>
                <w:color w:val="000000"/>
              </w:rPr>
              <w:t>Estatal</w:t>
            </w:r>
          </w:p>
        </w:tc>
        <w:tc>
          <w:tcPr>
            <w:tcW w:w="2410" w:type="dxa"/>
            <w:shd w:val="clear" w:color="auto" w:fill="auto"/>
            <w:noWrap/>
            <w:vAlign w:val="center"/>
            <w:hideMark/>
          </w:tcPr>
          <w:p w14:paraId="29838D0E" w14:textId="66C355B0" w:rsidR="009E5621" w:rsidRPr="00496229" w:rsidRDefault="00CE6490" w:rsidP="00E64B82">
            <w:pPr>
              <w:jc w:val="center"/>
              <w:rPr>
                <w:color w:val="000000"/>
              </w:rPr>
            </w:pPr>
            <w:r>
              <w:rPr>
                <w:color w:val="000000"/>
              </w:rPr>
              <w:t xml:space="preserve">R$ </w:t>
            </w:r>
            <w:r w:rsidR="009E5621" w:rsidRPr="00D510B7">
              <w:rPr>
                <w:color w:val="000000"/>
              </w:rPr>
              <w:t>11</w:t>
            </w:r>
            <w:r w:rsidR="009E5621">
              <w:rPr>
                <w:color w:val="000000"/>
              </w:rPr>
              <w:t>.</w:t>
            </w:r>
            <w:r w:rsidR="009E5621" w:rsidRPr="00D510B7">
              <w:rPr>
                <w:color w:val="000000"/>
              </w:rPr>
              <w:t>110</w:t>
            </w:r>
            <w:r w:rsidR="009E5621">
              <w:rPr>
                <w:color w:val="000000"/>
              </w:rPr>
              <w:t>.</w:t>
            </w:r>
            <w:r w:rsidR="009E5621" w:rsidRPr="00D510B7">
              <w:rPr>
                <w:color w:val="000000"/>
              </w:rPr>
              <w:t>565</w:t>
            </w:r>
            <w:r w:rsidR="009E5621">
              <w:rPr>
                <w:color w:val="000000"/>
              </w:rPr>
              <w:t>,00</w:t>
            </w:r>
          </w:p>
        </w:tc>
      </w:tr>
      <w:tr w:rsidR="009E5621" w:rsidRPr="009B5256" w14:paraId="1509A07E" w14:textId="77777777" w:rsidTr="005D5F19">
        <w:trPr>
          <w:trHeight w:val="170"/>
        </w:trPr>
        <w:tc>
          <w:tcPr>
            <w:tcW w:w="2345" w:type="dxa"/>
            <w:shd w:val="clear" w:color="auto" w:fill="auto"/>
            <w:noWrap/>
            <w:vAlign w:val="center"/>
            <w:hideMark/>
          </w:tcPr>
          <w:p w14:paraId="0EEA976F" w14:textId="77777777" w:rsidR="009E5621" w:rsidRPr="00496229" w:rsidRDefault="009E5621" w:rsidP="00E64B82">
            <w:pPr>
              <w:rPr>
                <w:color w:val="000000"/>
              </w:rPr>
            </w:pPr>
            <w:r w:rsidRPr="00D510B7">
              <w:rPr>
                <w:color w:val="000000"/>
              </w:rPr>
              <w:t>Celesc</w:t>
            </w:r>
          </w:p>
        </w:tc>
        <w:tc>
          <w:tcPr>
            <w:tcW w:w="2126" w:type="dxa"/>
            <w:shd w:val="clear" w:color="auto" w:fill="auto"/>
            <w:noWrap/>
            <w:vAlign w:val="center"/>
            <w:hideMark/>
          </w:tcPr>
          <w:p w14:paraId="58C02842" w14:textId="77777777" w:rsidR="009E5621" w:rsidRPr="00496229" w:rsidRDefault="009E5621" w:rsidP="00E64B82">
            <w:pPr>
              <w:jc w:val="center"/>
              <w:rPr>
                <w:color w:val="000000"/>
              </w:rPr>
            </w:pPr>
            <w:r w:rsidRPr="00D510B7">
              <w:rPr>
                <w:color w:val="000000"/>
              </w:rPr>
              <w:t>Estado de Santa Catarina</w:t>
            </w:r>
          </w:p>
        </w:tc>
        <w:tc>
          <w:tcPr>
            <w:tcW w:w="1985" w:type="dxa"/>
            <w:shd w:val="clear" w:color="auto" w:fill="auto"/>
            <w:noWrap/>
            <w:vAlign w:val="center"/>
            <w:hideMark/>
          </w:tcPr>
          <w:p w14:paraId="5ED548E3" w14:textId="77777777" w:rsidR="009E5621" w:rsidRPr="00496229" w:rsidRDefault="009E5621" w:rsidP="00E64B82">
            <w:pPr>
              <w:jc w:val="center"/>
              <w:rPr>
                <w:color w:val="000000"/>
              </w:rPr>
            </w:pPr>
            <w:r>
              <w:rPr>
                <w:color w:val="000000"/>
              </w:rPr>
              <w:t>Estatal</w:t>
            </w:r>
          </w:p>
        </w:tc>
        <w:tc>
          <w:tcPr>
            <w:tcW w:w="2410" w:type="dxa"/>
            <w:shd w:val="clear" w:color="auto" w:fill="auto"/>
            <w:noWrap/>
            <w:vAlign w:val="center"/>
            <w:hideMark/>
          </w:tcPr>
          <w:p w14:paraId="375A0F4C" w14:textId="4E26C277" w:rsidR="009E5621" w:rsidRPr="00496229" w:rsidRDefault="00CE6490" w:rsidP="00E64B82">
            <w:pPr>
              <w:jc w:val="center"/>
              <w:rPr>
                <w:color w:val="000000"/>
              </w:rPr>
            </w:pPr>
            <w:r>
              <w:rPr>
                <w:color w:val="000000"/>
              </w:rPr>
              <w:t xml:space="preserve">R$ </w:t>
            </w:r>
            <w:r w:rsidR="009E5621" w:rsidRPr="00F64523">
              <w:rPr>
                <w:color w:val="000000"/>
              </w:rPr>
              <w:t>9</w:t>
            </w:r>
            <w:r w:rsidR="009E5621">
              <w:rPr>
                <w:color w:val="000000"/>
              </w:rPr>
              <w:t>.</w:t>
            </w:r>
            <w:r w:rsidR="009E5621" w:rsidRPr="00F64523">
              <w:rPr>
                <w:color w:val="000000"/>
              </w:rPr>
              <w:t>133</w:t>
            </w:r>
            <w:r w:rsidR="009E5621">
              <w:rPr>
                <w:color w:val="000000"/>
              </w:rPr>
              <w:t>.</w:t>
            </w:r>
            <w:r w:rsidR="009E5621" w:rsidRPr="00F64523">
              <w:rPr>
                <w:color w:val="000000"/>
              </w:rPr>
              <w:t>055</w:t>
            </w:r>
            <w:r w:rsidR="009E5621">
              <w:rPr>
                <w:color w:val="000000"/>
              </w:rPr>
              <w:t>,00</w:t>
            </w:r>
          </w:p>
        </w:tc>
      </w:tr>
    </w:tbl>
    <w:p w14:paraId="2D5EB8FF" w14:textId="55CE4F9A" w:rsidR="009E5621" w:rsidRDefault="00597C3F" w:rsidP="005D5F19">
      <w:pPr>
        <w:pStyle w:val="Legenda"/>
        <w:spacing w:after="0"/>
        <w:jc w:val="left"/>
      </w:pPr>
      <w:r>
        <w:rPr>
          <w:b w:val="0"/>
          <w:i w:val="0"/>
          <w:sz w:val="20"/>
          <w:szCs w:val="20"/>
        </w:rPr>
        <w:t>Figura</w:t>
      </w:r>
      <w:r w:rsidRPr="00496229">
        <w:rPr>
          <w:b w:val="0"/>
          <w:i w:val="0"/>
          <w:sz w:val="20"/>
          <w:szCs w:val="20"/>
        </w:rPr>
        <w:t xml:space="preserve"> </w:t>
      </w:r>
      <w:r w:rsidRPr="00496229">
        <w:rPr>
          <w:b w:val="0"/>
          <w:i w:val="0"/>
          <w:sz w:val="20"/>
          <w:szCs w:val="20"/>
        </w:rPr>
        <w:fldChar w:fldCharType="begin"/>
      </w:r>
      <w:r w:rsidRPr="00496229">
        <w:rPr>
          <w:b w:val="0"/>
          <w:i w:val="0"/>
          <w:sz w:val="20"/>
          <w:szCs w:val="20"/>
        </w:rPr>
        <w:instrText xml:space="preserve"> SEQ Tabela \* ARABIC </w:instrText>
      </w:r>
      <w:r w:rsidRPr="00496229">
        <w:rPr>
          <w:b w:val="0"/>
          <w:i w:val="0"/>
          <w:sz w:val="20"/>
          <w:szCs w:val="20"/>
        </w:rPr>
        <w:fldChar w:fldCharType="separate"/>
      </w:r>
      <w:r w:rsidR="00295746">
        <w:rPr>
          <w:b w:val="0"/>
          <w:i w:val="0"/>
          <w:noProof/>
          <w:sz w:val="20"/>
          <w:szCs w:val="20"/>
        </w:rPr>
        <w:t>1</w:t>
      </w:r>
      <w:r w:rsidRPr="00496229">
        <w:rPr>
          <w:b w:val="0"/>
          <w:i w:val="0"/>
          <w:noProof/>
          <w:sz w:val="20"/>
          <w:szCs w:val="20"/>
        </w:rPr>
        <w:fldChar w:fldCharType="end"/>
      </w:r>
      <w:r w:rsidR="00A55C43">
        <w:rPr>
          <w:b w:val="0"/>
          <w:i w:val="0"/>
          <w:noProof/>
          <w:sz w:val="20"/>
          <w:szCs w:val="20"/>
        </w:rPr>
        <w:t>.</w:t>
      </w:r>
      <w:r w:rsidRPr="00496229">
        <w:rPr>
          <w:b w:val="0"/>
          <w:i w:val="0"/>
          <w:sz w:val="20"/>
          <w:szCs w:val="20"/>
        </w:rPr>
        <w:t xml:space="preserve"> Amostra de Empresas por Acionista e Ativo Total</w:t>
      </w:r>
      <w:r w:rsidR="009E5621">
        <w:t>.</w:t>
      </w:r>
    </w:p>
    <w:p w14:paraId="20034BBB" w14:textId="77777777" w:rsidR="009E5621" w:rsidRDefault="009E5621" w:rsidP="009E5621">
      <w:pPr>
        <w:pStyle w:val="TextoABNT"/>
        <w:spacing w:line="240" w:lineRule="auto"/>
      </w:pPr>
    </w:p>
    <w:p w14:paraId="0157EE67" w14:textId="7C300BD6" w:rsidR="009D4E62" w:rsidRDefault="009E5621" w:rsidP="009E5621">
      <w:pPr>
        <w:pStyle w:val="TextoABNT"/>
        <w:spacing w:line="240" w:lineRule="auto"/>
      </w:pPr>
      <w:r>
        <w:t xml:space="preserve">Com a amostra devidamente selecionada, foram coletadas as </w:t>
      </w:r>
      <w:proofErr w:type="spellStart"/>
      <w:r w:rsidR="008D19AD">
        <w:t>DVAs</w:t>
      </w:r>
      <w:proofErr w:type="spellEnd"/>
      <w:r>
        <w:t xml:space="preserve"> de 2012 a 201</w:t>
      </w:r>
      <w:r w:rsidR="00361E3B">
        <w:t>7</w:t>
      </w:r>
      <w:r>
        <w:t xml:space="preserve"> de cada empresa no </w:t>
      </w:r>
      <w:r w:rsidRPr="00496229">
        <w:rPr>
          <w:i/>
        </w:rPr>
        <w:t xml:space="preserve">website </w:t>
      </w:r>
      <w:r>
        <w:t xml:space="preserve">da </w:t>
      </w:r>
      <w:r w:rsidR="00F03F90">
        <w:t>[B]</w:t>
      </w:r>
      <w:r w:rsidR="00F03F90">
        <w:rPr>
          <w:vertAlign w:val="superscript"/>
        </w:rPr>
        <w:t>3</w:t>
      </w:r>
      <w:r>
        <w:t xml:space="preserve">. Para não ocorrer distorções significantes, optou-se por comparar a distribuição de valores para cada subgrupo percentualmente, ou seja, quanto cada grupo representa do total de valor produzido no período analisado. Ressalta-se que foi descartado o grupo “Outros” na análise, uma vez que as empresas do setor público não apresentavam tal categoria para destinação. </w:t>
      </w:r>
    </w:p>
    <w:p w14:paraId="67222084" w14:textId="19B65E34" w:rsidR="000632EB" w:rsidRDefault="009E5621" w:rsidP="000632EB">
      <w:pPr>
        <w:pStyle w:val="TextoABNT"/>
        <w:spacing w:line="240" w:lineRule="auto"/>
      </w:pPr>
      <w:r>
        <w:t>A</w:t>
      </w:r>
      <w:r w:rsidR="009D4E62">
        <w:t xml:space="preserve">demais, </w:t>
      </w:r>
      <w:r>
        <w:t xml:space="preserve">utilizou-se o teste não paramétrico de </w:t>
      </w:r>
      <w:r w:rsidRPr="00722AAF">
        <w:t>Mann-Whitney</w:t>
      </w:r>
      <w:r>
        <w:t>, a 95% de confiança, a fim de identificar se as distribuições percentuais de cada setor são idênticas ou não.</w:t>
      </w:r>
      <w:r w:rsidR="009D4E62">
        <w:t xml:space="preserve"> Tal</w:t>
      </w:r>
      <w:r w:rsidR="000632EB">
        <w:t xml:space="preserve"> teste tem sua aplicação utilizada para testar se duas amostras independentes foram extraídas de populações com médias iguais (</w:t>
      </w:r>
      <w:r w:rsidR="00CD050D" w:rsidRPr="00496229">
        <w:t>F</w:t>
      </w:r>
      <w:r w:rsidR="00CD050D">
        <w:t>ávero</w:t>
      </w:r>
      <w:r w:rsidR="00CD050D" w:rsidRPr="00496229">
        <w:t xml:space="preserve">, </w:t>
      </w:r>
      <w:r w:rsidR="00CD050D">
        <w:t xml:space="preserve">Silva, </w:t>
      </w:r>
      <w:proofErr w:type="spellStart"/>
      <w:r w:rsidR="00CD050D">
        <w:t>Belfiore</w:t>
      </w:r>
      <w:proofErr w:type="spellEnd"/>
      <w:r w:rsidR="00CD050D">
        <w:t xml:space="preserve">, </w:t>
      </w:r>
      <w:r w:rsidR="00FE2F61">
        <w:t>&amp;</w:t>
      </w:r>
      <w:r w:rsidR="00CD050D">
        <w:t xml:space="preserve"> Chan, 2009</w:t>
      </w:r>
      <w:r w:rsidR="00302A30">
        <w:t xml:space="preserve">). É um teste não </w:t>
      </w:r>
      <w:r w:rsidR="000632EB">
        <w:t>paramétrico, ou seja, não leva em conta o tipo de distribuição da população</w:t>
      </w:r>
      <w:r w:rsidR="009D4E62">
        <w:t>.</w:t>
      </w:r>
      <w:r w:rsidR="000632EB">
        <w:t xml:space="preserve"> </w:t>
      </w:r>
    </w:p>
    <w:p w14:paraId="3F486FFD" w14:textId="5E31B33C" w:rsidR="009E5621" w:rsidRDefault="009E5621" w:rsidP="009D4E62">
      <w:pPr>
        <w:pStyle w:val="TextoABNT"/>
        <w:spacing w:line="240" w:lineRule="auto"/>
      </w:pPr>
      <w:r>
        <w:t xml:space="preserve">Na </w:t>
      </w:r>
      <w:r w:rsidR="00DF2AE4">
        <w:t xml:space="preserve">sequência optou-se por realizar </w:t>
      </w:r>
      <w:r>
        <w:t>uma análise temporal a partir da DVA da maior empresa</w:t>
      </w:r>
      <w:r w:rsidR="0058134A">
        <w:t xml:space="preserve"> em </w:t>
      </w:r>
      <w:r w:rsidR="007845B1">
        <w:t>ativo t</w:t>
      </w:r>
      <w:r w:rsidR="0058134A">
        <w:t>otal</w:t>
      </w:r>
      <w:r>
        <w:t xml:space="preserve"> do setor elétrico brasileiro, a </w:t>
      </w:r>
      <w:proofErr w:type="spellStart"/>
      <w:r>
        <w:t>Eletrobras</w:t>
      </w:r>
      <w:proofErr w:type="spellEnd"/>
      <w:r>
        <w:t>. O propósito de tal investigação é verificar como a riqueza gerada pela principal empresa pública do setor está sendo distribuída para os diversos segmentos, uma vez que a ideia de privatização da companhia é tema recorrente de debate de diversos governos, parlamentares e setores da população. Para tal, usou-se a DVA dos anos de 2012 a 2017.</w:t>
      </w:r>
    </w:p>
    <w:p w14:paraId="58FD1865" w14:textId="17757A00" w:rsidR="009E5621" w:rsidRDefault="009E5621" w:rsidP="009E5621">
      <w:pPr>
        <w:pStyle w:val="TextoABNT"/>
        <w:spacing w:line="240" w:lineRule="auto"/>
      </w:pPr>
      <w:r>
        <w:t xml:space="preserve">Considera-se como limitação da pesquisa o foco nas principais empresas do setor elétrico, e não do setor total; e a linha do tempo de cinco anos para a comparação entre setores e seis anos para a análise da </w:t>
      </w:r>
      <w:proofErr w:type="spellStart"/>
      <w:r>
        <w:t>Eletrobras</w:t>
      </w:r>
      <w:proofErr w:type="spellEnd"/>
      <w:r>
        <w:t>.</w:t>
      </w:r>
    </w:p>
    <w:p w14:paraId="10D60960" w14:textId="71EC3ECA" w:rsidR="002B7B9A" w:rsidRDefault="002B7B9A" w:rsidP="009E5621">
      <w:pPr>
        <w:pStyle w:val="TextoABNT"/>
        <w:spacing w:line="240" w:lineRule="auto"/>
      </w:pPr>
    </w:p>
    <w:p w14:paraId="41A44338" w14:textId="0448C111" w:rsidR="009E5621" w:rsidRDefault="009E5621" w:rsidP="009E5621">
      <w:pPr>
        <w:pStyle w:val="Ttulo1"/>
        <w:numPr>
          <w:ilvl w:val="0"/>
          <w:numId w:val="0"/>
        </w:numPr>
        <w:spacing w:before="0" w:after="0" w:line="360" w:lineRule="auto"/>
      </w:pPr>
      <w:r w:rsidRPr="00FB2AA6">
        <w:t>4 Descrição e análise dos resultados</w:t>
      </w:r>
    </w:p>
    <w:p w14:paraId="47372F8F" w14:textId="1AE997C3" w:rsidR="00B54425" w:rsidRDefault="00B54425" w:rsidP="00B54425">
      <w:pPr>
        <w:pStyle w:val="TextoABNT"/>
        <w:spacing w:line="240" w:lineRule="auto"/>
      </w:pPr>
      <w:r>
        <w:t xml:space="preserve">A primeira </w:t>
      </w:r>
      <w:r w:rsidR="004C72A3">
        <w:t xml:space="preserve">fase </w:t>
      </w:r>
      <w:r>
        <w:t xml:space="preserve">de </w:t>
      </w:r>
      <w:r w:rsidR="002B7B9A">
        <w:t>análise consiste</w:t>
      </w:r>
      <w:r>
        <w:t xml:space="preserve"> em uma comparação percentual entre as empresas agrupadas da amostra de cada setor. </w:t>
      </w:r>
      <w:r w:rsidR="004C72A3">
        <w:t>E</w:t>
      </w:r>
      <w:r>
        <w:t>m seguida, realizou-se o teste estatístico não-paramétrico de Mann-Whitney, com 95% de confiança, para verificar se há diferenças na distribuição proporcional populacional de cada setor em relação às categorias da DVA.</w:t>
      </w:r>
      <w:r w:rsidR="00CF3998">
        <w:t xml:space="preserve"> Finalmente, </w:t>
      </w:r>
      <w:r w:rsidR="004B3A49">
        <w:t xml:space="preserve">o </w:t>
      </w:r>
      <w:r w:rsidR="00CF3998">
        <w:t>últim</w:t>
      </w:r>
      <w:r w:rsidR="004B3A49">
        <w:t>o</w:t>
      </w:r>
      <w:r w:rsidR="00CF3998">
        <w:t xml:space="preserve"> </w:t>
      </w:r>
      <w:r w:rsidR="004B3A49">
        <w:t>item</w:t>
      </w:r>
      <w:r w:rsidR="00CF3998">
        <w:t xml:space="preserve"> da presente pesquisa concentra-se em uma análise individual da empresa </w:t>
      </w:r>
      <w:proofErr w:type="spellStart"/>
      <w:r w:rsidR="00CF3998">
        <w:t>Eletrobras</w:t>
      </w:r>
      <w:proofErr w:type="spellEnd"/>
      <w:r w:rsidR="00CF3998">
        <w:t>.</w:t>
      </w:r>
    </w:p>
    <w:p w14:paraId="7AC8ADB5" w14:textId="77777777" w:rsidR="00B54425" w:rsidRPr="004C72A3" w:rsidRDefault="00B54425" w:rsidP="004C72A3">
      <w:pPr>
        <w:ind w:firstLine="709"/>
        <w:rPr>
          <w:b/>
        </w:rPr>
      </w:pPr>
    </w:p>
    <w:p w14:paraId="55B391D0" w14:textId="150609B0" w:rsidR="009E5621" w:rsidRDefault="004C72A3" w:rsidP="009E5621">
      <w:pPr>
        <w:pStyle w:val="Ttulo2"/>
        <w:spacing w:before="0" w:after="0"/>
      </w:pPr>
      <w:r>
        <w:t xml:space="preserve">4.1 </w:t>
      </w:r>
      <w:r w:rsidR="009E5621">
        <w:t>Análise Comparativa Percentual</w:t>
      </w:r>
      <w:r w:rsidR="00913B3E">
        <w:t xml:space="preserve"> </w:t>
      </w:r>
    </w:p>
    <w:p w14:paraId="4E4C3744" w14:textId="77777777" w:rsidR="008D19AD" w:rsidRPr="008D19AD" w:rsidRDefault="008D19AD" w:rsidP="004C72A3"/>
    <w:p w14:paraId="64EDAF07" w14:textId="0895CDCA" w:rsidR="009E5621" w:rsidRDefault="009E5621" w:rsidP="009E5621">
      <w:pPr>
        <w:pStyle w:val="TextoABNT"/>
        <w:spacing w:line="240" w:lineRule="auto"/>
      </w:pPr>
      <w:r>
        <w:lastRenderedPageBreak/>
        <w:t xml:space="preserve">O primeiro grupo analisado é o </w:t>
      </w:r>
      <w:r w:rsidR="00F73D82">
        <w:t xml:space="preserve">grupo </w:t>
      </w:r>
      <w:r>
        <w:t>“Pessoal</w:t>
      </w:r>
      <w:r w:rsidR="002B7B9A">
        <w:t>”, riqueza</w:t>
      </w:r>
      <w:r>
        <w:t xml:space="preserve"> produzida no período que foi destinada ao pagamento de pessoal e congêneres. De acordo com o CPC 09</w:t>
      </w:r>
      <w:r w:rsidR="006E2662">
        <w:t xml:space="preserve"> (</w:t>
      </w:r>
      <w:r w:rsidR="00FF6DAE">
        <w:t>2008</w:t>
      </w:r>
      <w:r w:rsidR="006E2662">
        <w:t>)</w:t>
      </w:r>
      <w:r>
        <w:t>, a categoria Pessoal engloba qualquer tipo de remuneração direta aos funcionários, como salários, férias, comissões, horas extras, etc.; ainda alcança os depósitos de FGTS em conta vinculada aos empregados, e benefícios diversos aos funcionários, como assistência médica, alimentação, transporte, etc. (CPC, 2008).</w:t>
      </w:r>
    </w:p>
    <w:p w14:paraId="4840DB72" w14:textId="0E6FD614" w:rsidR="00FD5224" w:rsidRDefault="00E20E61" w:rsidP="002A2682">
      <w:pPr>
        <w:pStyle w:val="TextoABNT"/>
        <w:spacing w:line="240" w:lineRule="auto"/>
      </w:pPr>
      <w:r>
        <w:t>O</w:t>
      </w:r>
      <w:r w:rsidR="006E2662" w:rsidRPr="00C921E0">
        <w:t xml:space="preserve"> grupo</w:t>
      </w:r>
      <w:r w:rsidR="002A2682">
        <w:t xml:space="preserve"> “</w:t>
      </w:r>
      <w:r w:rsidR="006E2662" w:rsidRPr="00C921E0">
        <w:t>Pessoal</w:t>
      </w:r>
      <w:r w:rsidR="002A2682">
        <w:t>”</w:t>
      </w:r>
      <w:r w:rsidR="006E2662" w:rsidRPr="00C921E0">
        <w:t xml:space="preserve"> possui </w:t>
      </w:r>
      <w:r w:rsidR="006E2662">
        <w:t xml:space="preserve">uma participação substancialmente </w:t>
      </w:r>
      <w:r w:rsidR="006E2662" w:rsidRPr="00C921E0">
        <w:t xml:space="preserve">maior no setor público, </w:t>
      </w:r>
      <w:r w:rsidR="00FF6DAE">
        <w:t>mesmo com sucessivas quedas entre 2013 e 2016</w:t>
      </w:r>
      <w:r w:rsidR="006E2662" w:rsidRPr="00C921E0">
        <w:t xml:space="preserve">. </w:t>
      </w:r>
      <w:r w:rsidR="006E2662">
        <w:t xml:space="preserve">O maior pico atingido pelo setor privado ocorreu no ano de 2014, quando se </w:t>
      </w:r>
      <w:r w:rsidR="00E37410">
        <w:t xml:space="preserve">chegou a </w:t>
      </w:r>
      <w:r w:rsidR="006E2662">
        <w:t>exatos 10% de toda a riqueza produzida pelas empresas da amostra. Quanto ao setor público, o cume foi obtido um ano antes, em 2013,</w:t>
      </w:r>
      <w:r w:rsidR="00E37410">
        <w:t xml:space="preserve"> apresentando</w:t>
      </w:r>
      <w:r w:rsidR="006E2662">
        <w:t xml:space="preserve"> 32,3% de representatividade na riqueza produzida pelas empresas da amostra</w:t>
      </w:r>
      <w:r>
        <w:t xml:space="preserve">, conforme apresenta </w:t>
      </w:r>
      <w:r w:rsidR="005E0BCC">
        <w:t>a</w:t>
      </w:r>
      <w:r>
        <w:t xml:space="preserve"> </w:t>
      </w:r>
      <w:r w:rsidR="005E0BCC">
        <w:t>F</w:t>
      </w:r>
      <w:r w:rsidR="00262848">
        <w:t>igura</w:t>
      </w:r>
      <w:r>
        <w:t xml:space="preserve"> </w:t>
      </w:r>
      <w:r w:rsidR="004A7847">
        <w:t>2</w:t>
      </w:r>
      <w:r w:rsidR="006E2662">
        <w:t>.</w:t>
      </w:r>
    </w:p>
    <w:p w14:paraId="7D2401A0" w14:textId="796F46A3" w:rsidR="00C035A6" w:rsidRPr="00C035A6" w:rsidRDefault="001208E9" w:rsidP="00080DC8">
      <w:pPr>
        <w:pStyle w:val="Legenda"/>
        <w:spacing w:after="0"/>
        <w:rPr>
          <w:b w:val="0"/>
          <w:i w:val="0"/>
          <w:sz w:val="20"/>
          <w:szCs w:val="20"/>
        </w:rPr>
      </w:pPr>
      <w:r w:rsidRPr="00C035A6">
        <w:rPr>
          <w:b w:val="0"/>
          <w:i w:val="0"/>
          <w:noProof/>
          <w:lang w:val="en-US" w:eastAsia="en-US"/>
        </w:rPr>
        <w:drawing>
          <wp:anchor distT="0" distB="0" distL="114300" distR="114300" simplePos="0" relativeHeight="251666432" behindDoc="0" locked="0" layoutInCell="1" allowOverlap="1" wp14:anchorId="1EE125EA" wp14:editId="053B86C5">
            <wp:simplePos x="0" y="0"/>
            <wp:positionH relativeFrom="margin">
              <wp:align>right</wp:align>
            </wp:positionH>
            <wp:positionV relativeFrom="paragraph">
              <wp:posOffset>154822</wp:posOffset>
            </wp:positionV>
            <wp:extent cx="5741035" cy="3366770"/>
            <wp:effectExtent l="0" t="0" r="12065" b="5080"/>
            <wp:wrapTopAndBottom/>
            <wp:docPr id="8" name="Gráfico 8">
              <a:extLst xmlns:a="http://schemas.openxmlformats.org/drawingml/2006/main">
                <a:ext uri="{FF2B5EF4-FFF2-40B4-BE49-F238E27FC236}">
                  <a16:creationId xmlns:a16="http://schemas.microsoft.com/office/drawing/2014/main" id="{BE7E3172-211B-44D2-89F4-610FE69475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14:paraId="2FB5DBCD" w14:textId="5EF0F670" w:rsidR="009E5621" w:rsidRPr="00C035A6" w:rsidRDefault="00A314EB" w:rsidP="00C035A6">
      <w:pPr>
        <w:pStyle w:val="Legenda"/>
        <w:rPr>
          <w:b w:val="0"/>
          <w:i w:val="0"/>
          <w:sz w:val="20"/>
          <w:szCs w:val="20"/>
        </w:rPr>
      </w:pPr>
      <w:r w:rsidRPr="00C035A6">
        <w:rPr>
          <w:b w:val="0"/>
          <w:i w:val="0"/>
          <w:sz w:val="20"/>
          <w:szCs w:val="20"/>
        </w:rPr>
        <w:t xml:space="preserve">Figura </w:t>
      </w:r>
      <w:r>
        <w:rPr>
          <w:b w:val="0"/>
          <w:i w:val="0"/>
          <w:sz w:val="20"/>
          <w:szCs w:val="20"/>
        </w:rPr>
        <w:t>2</w:t>
      </w:r>
      <w:r w:rsidR="00A55C43">
        <w:rPr>
          <w:b w:val="0"/>
          <w:i w:val="0"/>
          <w:sz w:val="20"/>
          <w:szCs w:val="20"/>
        </w:rPr>
        <w:t>.</w:t>
      </w:r>
      <w:r w:rsidRPr="00C035A6">
        <w:rPr>
          <w:b w:val="0"/>
          <w:i w:val="0"/>
          <w:sz w:val="20"/>
          <w:szCs w:val="20"/>
        </w:rPr>
        <w:t xml:space="preserve"> Distribuição Percentual Referente </w:t>
      </w:r>
      <w:r w:rsidR="00130F6F">
        <w:rPr>
          <w:b w:val="0"/>
          <w:i w:val="0"/>
          <w:sz w:val="20"/>
          <w:szCs w:val="20"/>
        </w:rPr>
        <w:t>ao Grupo “</w:t>
      </w:r>
      <w:r w:rsidRPr="00C035A6">
        <w:rPr>
          <w:b w:val="0"/>
          <w:i w:val="0"/>
          <w:sz w:val="20"/>
          <w:szCs w:val="20"/>
        </w:rPr>
        <w:t>Pessoa</w:t>
      </w:r>
      <w:r>
        <w:rPr>
          <w:b w:val="0"/>
          <w:i w:val="0"/>
          <w:sz w:val="20"/>
          <w:szCs w:val="20"/>
        </w:rPr>
        <w:t>l</w:t>
      </w:r>
      <w:r w:rsidR="00130F6F">
        <w:rPr>
          <w:b w:val="0"/>
          <w:i w:val="0"/>
          <w:sz w:val="20"/>
          <w:szCs w:val="20"/>
        </w:rPr>
        <w:t>”</w:t>
      </w:r>
      <w:r>
        <w:rPr>
          <w:b w:val="0"/>
          <w:i w:val="0"/>
          <w:sz w:val="20"/>
          <w:szCs w:val="20"/>
        </w:rPr>
        <w:t>.</w:t>
      </w:r>
    </w:p>
    <w:p w14:paraId="1CAE56A8" w14:textId="320A5E0E" w:rsidR="0055370C" w:rsidRDefault="00644824" w:rsidP="00D36ED5">
      <w:pPr>
        <w:pStyle w:val="TextoABNT"/>
        <w:spacing w:line="240" w:lineRule="auto"/>
      </w:pPr>
      <w:r w:rsidRPr="00D845E2">
        <w:t>O</w:t>
      </w:r>
      <w:r w:rsidR="009E5621" w:rsidRPr="009D4E62">
        <w:t xml:space="preserve"> grupo “Impostos, Taxas e Contribuições”</w:t>
      </w:r>
      <w:r w:rsidR="00D36ED5">
        <w:t xml:space="preserve"> </w:t>
      </w:r>
      <w:r w:rsidR="009E5621" w:rsidRPr="00CE67CA">
        <w:t xml:space="preserve">inclui </w:t>
      </w:r>
      <w:r w:rsidR="009E5621" w:rsidRPr="00874C53">
        <w:t>qualquer tipo de tributo que se en</w:t>
      </w:r>
      <w:r w:rsidRPr="00874C53">
        <w:t xml:space="preserve">quadre </w:t>
      </w:r>
      <w:r w:rsidR="009E5621" w:rsidRPr="000C543B">
        <w:t xml:space="preserve">nas </w:t>
      </w:r>
      <w:r w:rsidR="009E5621" w:rsidRPr="00A63296">
        <w:t>espécies citadas, incluindo as três esferas administrativas públicas, ou seja, Federal, Estadual e Municipal.</w:t>
      </w:r>
      <w:r w:rsidR="00651DBF">
        <w:t xml:space="preserve"> </w:t>
      </w:r>
    </w:p>
    <w:p w14:paraId="5CA15A89" w14:textId="1535ADEE" w:rsidR="001C6455" w:rsidRDefault="00262848" w:rsidP="00651DBF">
      <w:pPr>
        <w:pStyle w:val="Fontedetabelas"/>
        <w:spacing w:after="0"/>
        <w:ind w:left="0" w:firstLine="709"/>
        <w:jc w:val="both"/>
        <w:rPr>
          <w:sz w:val="24"/>
        </w:rPr>
      </w:pPr>
      <w:r>
        <w:rPr>
          <w:sz w:val="24"/>
        </w:rPr>
        <w:t xml:space="preserve">A Figura </w:t>
      </w:r>
      <w:r w:rsidR="004A7847">
        <w:rPr>
          <w:sz w:val="24"/>
        </w:rPr>
        <w:t>3</w:t>
      </w:r>
      <w:r w:rsidR="00651DBF">
        <w:rPr>
          <w:sz w:val="24"/>
        </w:rPr>
        <w:t xml:space="preserve"> </w:t>
      </w:r>
      <w:r w:rsidR="00B41503">
        <w:rPr>
          <w:sz w:val="24"/>
        </w:rPr>
        <w:t>de</w:t>
      </w:r>
      <w:r w:rsidR="00E37410">
        <w:rPr>
          <w:sz w:val="24"/>
        </w:rPr>
        <w:t>mo</w:t>
      </w:r>
      <w:r w:rsidR="00B41503">
        <w:rPr>
          <w:sz w:val="24"/>
        </w:rPr>
        <w:t>n</w:t>
      </w:r>
      <w:r w:rsidR="00E37410">
        <w:rPr>
          <w:sz w:val="24"/>
        </w:rPr>
        <w:t>stra, a partir do ano de 2013, uma tendência crescente para as empresas da amostra do setor privado, chegando ao ápice no ano de 2017, com 62,83% da riqueza produzida sendo destinada a tributos. Já para a amostra de empresas públicas,</w:t>
      </w:r>
      <w:r w:rsidR="002C2AA4">
        <w:rPr>
          <w:sz w:val="24"/>
        </w:rPr>
        <w:t xml:space="preserve"> há uma visível queda ao longo dos períodos analisados, com </w:t>
      </w:r>
      <w:r w:rsidR="00C663B2">
        <w:rPr>
          <w:sz w:val="24"/>
        </w:rPr>
        <w:t xml:space="preserve">o ano de 2015 como ponto discrepante. Nesse ano, pode-se dizer que as maiores responsáveis para que se chegasse a proporção de </w:t>
      </w:r>
      <w:r w:rsidR="00E37410">
        <w:rPr>
          <w:sz w:val="24"/>
        </w:rPr>
        <w:t>62,09%</w:t>
      </w:r>
      <w:r w:rsidR="00C663B2">
        <w:rPr>
          <w:sz w:val="24"/>
        </w:rPr>
        <w:t xml:space="preserve"> de riqueza produzida para impostos foram as empresas </w:t>
      </w:r>
      <w:r w:rsidR="001C6455">
        <w:rPr>
          <w:sz w:val="24"/>
        </w:rPr>
        <w:t>Celesc e Copel, que acabaram por destinar 83,70% e 74,06%, respectivamente, de toda a riqueza que produziram naquele ano para tributos.</w:t>
      </w:r>
    </w:p>
    <w:p w14:paraId="62DC8B03" w14:textId="1DAA77DA" w:rsidR="00651DBF" w:rsidRDefault="002C2AA4" w:rsidP="00651DBF">
      <w:pPr>
        <w:pStyle w:val="Fontedetabelas"/>
        <w:spacing w:after="0"/>
        <w:ind w:left="0" w:firstLine="709"/>
        <w:jc w:val="both"/>
        <w:rPr>
          <w:sz w:val="24"/>
        </w:rPr>
      </w:pPr>
      <w:r>
        <w:rPr>
          <w:sz w:val="24"/>
        </w:rPr>
        <w:t xml:space="preserve">Com base nos achados da presente pesquisa, é </w:t>
      </w:r>
      <w:r w:rsidR="00130F6F">
        <w:rPr>
          <w:sz w:val="24"/>
        </w:rPr>
        <w:t xml:space="preserve">importante </w:t>
      </w:r>
      <w:r>
        <w:rPr>
          <w:sz w:val="24"/>
        </w:rPr>
        <w:t>comparar os valores em pecúnia destinados ao Estado no ano em que a representatividade dos tributos foi a maior para cada setor. Assim, no ano de 2015, as empresas públicas do setor público destinaram pouco mais de R$ 37,4 bilhões a impostos</w:t>
      </w:r>
      <w:r w:rsidR="00132216">
        <w:rPr>
          <w:sz w:val="24"/>
        </w:rPr>
        <w:t>.</w:t>
      </w:r>
      <w:r>
        <w:rPr>
          <w:sz w:val="24"/>
        </w:rPr>
        <w:t xml:space="preserve"> </w:t>
      </w:r>
      <w:r w:rsidR="00132216">
        <w:rPr>
          <w:sz w:val="24"/>
        </w:rPr>
        <w:t>J</w:t>
      </w:r>
      <w:r>
        <w:rPr>
          <w:sz w:val="24"/>
        </w:rPr>
        <w:t>á para o ano de 2017 no setor privado da amostra, chegou-se a pouco mais de R$ 28,5 bilhões.</w:t>
      </w:r>
    </w:p>
    <w:p w14:paraId="3125A7BA" w14:textId="597BAFBD" w:rsidR="009E5621" w:rsidRDefault="003878AC" w:rsidP="00080DC8">
      <w:pPr>
        <w:pStyle w:val="Legenda"/>
        <w:spacing w:after="0"/>
        <w:rPr>
          <w:b w:val="0"/>
          <w:i w:val="0"/>
          <w:sz w:val="20"/>
          <w:szCs w:val="20"/>
        </w:rPr>
      </w:pPr>
      <w:r>
        <w:rPr>
          <w:noProof/>
          <w:lang w:val="en-US" w:eastAsia="en-US"/>
        </w:rPr>
        <w:lastRenderedPageBreak/>
        <w:drawing>
          <wp:anchor distT="0" distB="0" distL="114300" distR="114300" simplePos="0" relativeHeight="251667456" behindDoc="0" locked="0" layoutInCell="1" allowOverlap="1" wp14:anchorId="13FC50C1" wp14:editId="4D79C612">
            <wp:simplePos x="0" y="0"/>
            <wp:positionH relativeFrom="margin">
              <wp:align>right</wp:align>
            </wp:positionH>
            <wp:positionV relativeFrom="paragraph">
              <wp:posOffset>153552</wp:posOffset>
            </wp:positionV>
            <wp:extent cx="5741035" cy="3365500"/>
            <wp:effectExtent l="0" t="0" r="12065" b="25400"/>
            <wp:wrapTopAndBottom/>
            <wp:docPr id="12" name="Gráfico 12">
              <a:extLst xmlns:a="http://schemas.openxmlformats.org/drawingml/2006/main">
                <a:ext uri="{FF2B5EF4-FFF2-40B4-BE49-F238E27FC236}">
                  <a16:creationId xmlns:a16="http://schemas.microsoft.com/office/drawing/2014/main" id="{240CC13D-CE2D-4EC3-B50D-6C8B061E0C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CA0568D" w14:textId="4F7BEC21" w:rsidR="009E5621" w:rsidRDefault="002F71C6" w:rsidP="009E5621">
      <w:pPr>
        <w:pStyle w:val="Fontedetabelas"/>
        <w:spacing w:after="0"/>
        <w:ind w:left="0"/>
      </w:pPr>
      <w:r w:rsidRPr="002F71C6">
        <w:t>Figura 3</w:t>
      </w:r>
      <w:r w:rsidR="00A55C43">
        <w:t>.</w:t>
      </w:r>
      <w:r w:rsidRPr="002F71C6">
        <w:t xml:space="preserve"> Distribuição Percentual Referente </w:t>
      </w:r>
      <w:r w:rsidR="00130F6F">
        <w:t>ao Grupo “</w:t>
      </w:r>
      <w:r w:rsidRPr="002F71C6">
        <w:t>Impostos, Taxas e Contribuiçõe</w:t>
      </w:r>
      <w:r>
        <w:t>s</w:t>
      </w:r>
      <w:r w:rsidR="00130F6F">
        <w:t>”</w:t>
      </w:r>
      <w:r>
        <w:t>.</w:t>
      </w:r>
    </w:p>
    <w:p w14:paraId="791F972F" w14:textId="77777777" w:rsidR="00D16F55" w:rsidRDefault="00D16F55" w:rsidP="009E5621">
      <w:pPr>
        <w:pStyle w:val="Fontedetabelas"/>
        <w:spacing w:after="0"/>
        <w:ind w:left="0" w:firstLine="709"/>
        <w:jc w:val="both"/>
      </w:pPr>
    </w:p>
    <w:p w14:paraId="30264424" w14:textId="7F40B03B" w:rsidR="009E5621" w:rsidRDefault="009E5621" w:rsidP="009E5621">
      <w:pPr>
        <w:pStyle w:val="Fontedetabelas"/>
        <w:spacing w:after="0"/>
        <w:ind w:left="0" w:firstLine="709"/>
        <w:jc w:val="both"/>
        <w:rPr>
          <w:sz w:val="24"/>
        </w:rPr>
      </w:pPr>
      <w:r>
        <w:rPr>
          <w:sz w:val="24"/>
        </w:rPr>
        <w:t>Um ponto relevante é que, em todos os anos nos dois setores, excetuando-se o ano de 2013 do setor privado, que obteve 49,17%, mais de cinquenta por cento da riqueza produzida pelas empresas da amostra foi para o Estado em forma de tributação. De acordo com Castro e Brandão (2010), há evidências fortes que a carga tributária aplicada ao setor elétrico é excessiva, fazendo com que o preço da tarifa acabe tendo maior peso nos orçamentos familiares.</w:t>
      </w:r>
    </w:p>
    <w:p w14:paraId="6FB5BD38" w14:textId="23BF8B1A" w:rsidR="0045348B" w:rsidRPr="000F5FF1" w:rsidRDefault="0045348B" w:rsidP="009E5621">
      <w:pPr>
        <w:pStyle w:val="Fontedetabelas"/>
        <w:spacing w:after="0"/>
        <w:ind w:left="0" w:firstLine="709"/>
        <w:jc w:val="both"/>
        <w:rPr>
          <w:sz w:val="24"/>
        </w:rPr>
      </w:pPr>
      <w:r w:rsidRPr="000F5FF1">
        <w:rPr>
          <w:sz w:val="24"/>
        </w:rPr>
        <w:t xml:space="preserve">Ainda, </w:t>
      </w:r>
      <w:proofErr w:type="spellStart"/>
      <w:r w:rsidR="000F5FF1" w:rsidRPr="00CE44DB">
        <w:rPr>
          <w:sz w:val="24"/>
        </w:rPr>
        <w:t>Schäfer</w:t>
      </w:r>
      <w:proofErr w:type="spellEnd"/>
      <w:r w:rsidRPr="00AE26CD">
        <w:rPr>
          <w:sz w:val="24"/>
        </w:rPr>
        <w:t xml:space="preserve">, </w:t>
      </w:r>
      <w:proofErr w:type="spellStart"/>
      <w:r w:rsidRPr="00AE26CD">
        <w:rPr>
          <w:sz w:val="24"/>
        </w:rPr>
        <w:t>Konraht</w:t>
      </w:r>
      <w:proofErr w:type="spellEnd"/>
      <w:r w:rsidRPr="00AE26CD">
        <w:rPr>
          <w:sz w:val="24"/>
        </w:rPr>
        <w:t xml:space="preserve"> e Ferreira (2016)</w:t>
      </w:r>
      <w:r w:rsidRPr="00CE44DB">
        <w:rPr>
          <w:sz w:val="24"/>
        </w:rPr>
        <w:t>, ao</w:t>
      </w:r>
      <w:r w:rsidRPr="000F5FF1">
        <w:rPr>
          <w:sz w:val="24"/>
        </w:rPr>
        <w:t xml:space="preserve"> analisarem empresas do setor elétrico nacional</w:t>
      </w:r>
      <w:r w:rsidRPr="0045348B">
        <w:rPr>
          <w:sz w:val="24"/>
        </w:rPr>
        <w:t xml:space="preserve"> sob um viés tributário, no período de 2007 a 2013, chegaram à conclusão que as companhias </w:t>
      </w:r>
      <w:r w:rsidRPr="00AE26CD">
        <w:rPr>
          <w:sz w:val="24"/>
        </w:rPr>
        <w:t>que geram valor adicionado em montantes superiores às demais empresas do setor possuem uma carga tributária percentual inferior às empresas que geram menor valor adicionado</w:t>
      </w:r>
      <w:r>
        <w:rPr>
          <w:sz w:val="24"/>
        </w:rPr>
        <w:t>,</w:t>
      </w:r>
      <w:r w:rsidR="00140917">
        <w:rPr>
          <w:sz w:val="24"/>
        </w:rPr>
        <w:t xml:space="preserve"> podendo</w:t>
      </w:r>
      <w:r>
        <w:rPr>
          <w:sz w:val="24"/>
        </w:rPr>
        <w:t xml:space="preserve"> indica</w:t>
      </w:r>
      <w:r w:rsidR="00140917">
        <w:rPr>
          <w:sz w:val="24"/>
        </w:rPr>
        <w:t>r</w:t>
      </w:r>
      <w:r>
        <w:rPr>
          <w:sz w:val="24"/>
        </w:rPr>
        <w:t xml:space="preserve"> uma dist</w:t>
      </w:r>
      <w:r w:rsidR="00140917">
        <w:rPr>
          <w:sz w:val="24"/>
        </w:rPr>
        <w:t>orção em relação à capacidade contributiva.</w:t>
      </w:r>
    </w:p>
    <w:p w14:paraId="4710E43B" w14:textId="4570903D" w:rsidR="009E5621" w:rsidRPr="004353F0" w:rsidRDefault="0088370C" w:rsidP="009E5621">
      <w:pPr>
        <w:pStyle w:val="Fontedetabelas"/>
        <w:ind w:left="0" w:firstLine="709"/>
        <w:jc w:val="both"/>
      </w:pPr>
      <w:r>
        <w:rPr>
          <w:sz w:val="24"/>
        </w:rPr>
        <w:t>O</w:t>
      </w:r>
      <w:r w:rsidR="009E5621" w:rsidRPr="00496229">
        <w:rPr>
          <w:sz w:val="24"/>
        </w:rPr>
        <w:t xml:space="preserve"> grupo “Remuneração de Capitais de Terceiros”</w:t>
      </w:r>
      <w:r>
        <w:rPr>
          <w:sz w:val="24"/>
        </w:rPr>
        <w:t xml:space="preserve"> é a </w:t>
      </w:r>
      <w:r w:rsidR="009E5621">
        <w:rPr>
          <w:sz w:val="24"/>
        </w:rPr>
        <w:t xml:space="preserve">categoria </w:t>
      </w:r>
      <w:r>
        <w:rPr>
          <w:sz w:val="24"/>
        </w:rPr>
        <w:t xml:space="preserve">que </w:t>
      </w:r>
      <w:r w:rsidR="009E5621">
        <w:rPr>
          <w:sz w:val="24"/>
        </w:rPr>
        <w:t>ag</w:t>
      </w:r>
      <w:r>
        <w:rPr>
          <w:sz w:val="24"/>
        </w:rPr>
        <w:t xml:space="preserve">rega </w:t>
      </w:r>
      <w:r w:rsidR="009E5621">
        <w:rPr>
          <w:sz w:val="24"/>
        </w:rPr>
        <w:t xml:space="preserve">os valores destinados a financiadores externos de capital, englobando juros, aluguéis e </w:t>
      </w:r>
      <w:r w:rsidR="009E5621" w:rsidRPr="006D47EC">
        <w:rPr>
          <w:sz w:val="24"/>
        </w:rPr>
        <w:t xml:space="preserve">outras remunerações que </w:t>
      </w:r>
      <w:r w:rsidR="009E5621">
        <w:rPr>
          <w:sz w:val="24"/>
        </w:rPr>
        <w:t>sejam</w:t>
      </w:r>
      <w:r w:rsidR="009E5621" w:rsidRPr="006D47EC">
        <w:rPr>
          <w:sz w:val="24"/>
        </w:rPr>
        <w:t xml:space="preserve"> transferência de riqueza</w:t>
      </w:r>
      <w:r w:rsidR="009E5621">
        <w:rPr>
          <w:sz w:val="24"/>
        </w:rPr>
        <w:t xml:space="preserve"> </w:t>
      </w:r>
      <w:r w:rsidR="009E5621" w:rsidRPr="006D47EC">
        <w:rPr>
          <w:sz w:val="24"/>
        </w:rPr>
        <w:t>a terceiros,</w:t>
      </w:r>
      <w:r w:rsidR="009E5621">
        <w:rPr>
          <w:sz w:val="24"/>
        </w:rPr>
        <w:t xml:space="preserve"> como </w:t>
      </w:r>
      <w:r w:rsidR="00080DC8">
        <w:rPr>
          <w:sz w:val="24"/>
        </w:rPr>
        <w:t>por exemplo,</w:t>
      </w:r>
      <w:r w:rsidR="009E5621">
        <w:rPr>
          <w:sz w:val="24"/>
        </w:rPr>
        <w:t xml:space="preserve"> </w:t>
      </w:r>
      <w:r w:rsidR="009E5621" w:rsidRPr="00D16F55">
        <w:rPr>
          <w:i/>
          <w:sz w:val="24"/>
        </w:rPr>
        <w:t>royalties</w:t>
      </w:r>
      <w:r w:rsidR="009E5621" w:rsidRPr="006D47EC">
        <w:rPr>
          <w:sz w:val="24"/>
        </w:rPr>
        <w:t>,</w:t>
      </w:r>
      <w:r w:rsidR="009E5621">
        <w:rPr>
          <w:sz w:val="24"/>
        </w:rPr>
        <w:t xml:space="preserve"> </w:t>
      </w:r>
      <w:r w:rsidR="009E5621" w:rsidRPr="006D47EC">
        <w:rPr>
          <w:sz w:val="24"/>
        </w:rPr>
        <w:t>franquia, direitos autorais, etc</w:t>
      </w:r>
      <w:r w:rsidR="009E5621">
        <w:rPr>
          <w:sz w:val="24"/>
        </w:rPr>
        <w:t>. (CPC, 2008).</w:t>
      </w:r>
    </w:p>
    <w:p w14:paraId="0433485B" w14:textId="77777777" w:rsidR="0088370C" w:rsidRDefault="0088370C" w:rsidP="009E5621">
      <w:pPr>
        <w:pStyle w:val="Legenda"/>
        <w:spacing w:after="0"/>
        <w:jc w:val="left"/>
        <w:rPr>
          <w:b w:val="0"/>
          <w:i w:val="0"/>
          <w:sz w:val="20"/>
          <w:szCs w:val="20"/>
        </w:rPr>
      </w:pPr>
    </w:p>
    <w:p w14:paraId="21ED297A" w14:textId="77777777" w:rsidR="002B7B9A" w:rsidRDefault="002B7B9A" w:rsidP="009E5621">
      <w:pPr>
        <w:pStyle w:val="Legenda"/>
        <w:spacing w:after="0"/>
        <w:jc w:val="left"/>
        <w:rPr>
          <w:b w:val="0"/>
          <w:i w:val="0"/>
          <w:sz w:val="20"/>
          <w:szCs w:val="20"/>
        </w:rPr>
      </w:pPr>
    </w:p>
    <w:p w14:paraId="0BE6B3D2" w14:textId="3DEB2583" w:rsidR="009E5621" w:rsidRDefault="00235583" w:rsidP="009E5621">
      <w:pPr>
        <w:pStyle w:val="Legenda"/>
        <w:spacing w:after="0"/>
        <w:jc w:val="left"/>
        <w:rPr>
          <w:b w:val="0"/>
          <w:i w:val="0"/>
          <w:sz w:val="20"/>
          <w:szCs w:val="20"/>
        </w:rPr>
      </w:pPr>
      <w:r>
        <w:rPr>
          <w:noProof/>
          <w:lang w:val="en-US" w:eastAsia="en-US"/>
        </w:rPr>
        <w:drawing>
          <wp:anchor distT="0" distB="0" distL="114300" distR="114300" simplePos="0" relativeHeight="251668480" behindDoc="0" locked="0" layoutInCell="1" allowOverlap="1" wp14:anchorId="208DF9CB" wp14:editId="1EFB335D">
            <wp:simplePos x="0" y="0"/>
            <wp:positionH relativeFrom="margin">
              <wp:align>right</wp:align>
            </wp:positionH>
            <wp:positionV relativeFrom="paragraph">
              <wp:posOffset>149225</wp:posOffset>
            </wp:positionV>
            <wp:extent cx="5741035" cy="3365500"/>
            <wp:effectExtent l="0" t="0" r="12065" b="25400"/>
            <wp:wrapTopAndBottom/>
            <wp:docPr id="15" name="Gráfico 15">
              <a:extLst xmlns:a="http://schemas.openxmlformats.org/drawingml/2006/main">
                <a:ext uri="{FF2B5EF4-FFF2-40B4-BE49-F238E27FC236}">
                  <a16:creationId xmlns:a16="http://schemas.microsoft.com/office/drawing/2014/main" id="{841CB284-9751-4DC0-919D-562507C783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2C8D2A86" w14:textId="22017459" w:rsidR="009E5621" w:rsidRDefault="00A55C43" w:rsidP="009E5621">
      <w:pPr>
        <w:pStyle w:val="Fontedetabelas"/>
        <w:spacing w:after="0"/>
        <w:ind w:left="0"/>
      </w:pPr>
      <w:r w:rsidRPr="00A55C43">
        <w:t>Figura 4</w:t>
      </w:r>
      <w:r>
        <w:t>.</w:t>
      </w:r>
      <w:r w:rsidRPr="00A55C43">
        <w:t xml:space="preserve"> Distribuição Percentual Referente </w:t>
      </w:r>
      <w:r w:rsidR="00130F6F">
        <w:t>ao Grupo “</w:t>
      </w:r>
      <w:r w:rsidRPr="00A55C43">
        <w:t>Remuneração de Capitais de Terceiros</w:t>
      </w:r>
      <w:r w:rsidR="00130F6F">
        <w:t>”</w:t>
      </w:r>
      <w:r>
        <w:t>.</w:t>
      </w:r>
    </w:p>
    <w:p w14:paraId="3EA5291A" w14:textId="77777777" w:rsidR="009E5621" w:rsidRDefault="009E5621" w:rsidP="009E5621">
      <w:pPr>
        <w:pStyle w:val="Fontedetabelas"/>
        <w:spacing w:after="0"/>
        <w:ind w:left="0"/>
      </w:pPr>
    </w:p>
    <w:p w14:paraId="61269CCA" w14:textId="625FF37A" w:rsidR="009E5621" w:rsidRDefault="009E5621" w:rsidP="009E5621">
      <w:pPr>
        <w:pStyle w:val="Fontedetabelas"/>
        <w:spacing w:after="0"/>
        <w:ind w:left="0" w:firstLine="709"/>
        <w:jc w:val="both"/>
        <w:rPr>
          <w:sz w:val="24"/>
        </w:rPr>
      </w:pPr>
      <w:r>
        <w:rPr>
          <w:sz w:val="24"/>
        </w:rPr>
        <w:t>A partir d</w:t>
      </w:r>
      <w:r w:rsidR="00262848">
        <w:rPr>
          <w:sz w:val="24"/>
        </w:rPr>
        <w:t>a Figura</w:t>
      </w:r>
      <w:r w:rsidR="000A5F31">
        <w:rPr>
          <w:sz w:val="24"/>
        </w:rPr>
        <w:t xml:space="preserve"> </w:t>
      </w:r>
      <w:r w:rsidR="004A7847">
        <w:rPr>
          <w:sz w:val="24"/>
        </w:rPr>
        <w:t>4</w:t>
      </w:r>
      <w:r>
        <w:rPr>
          <w:sz w:val="24"/>
        </w:rPr>
        <w:t>, é possível perceber que até o ano de 2014 as empresas privadas da amostra destinaram uma proporção crescente da riqueza produzida a capitais de terceiros, ao contrário das públicas, que enfrentaram uma queda e, em seguida, estabilidade.</w:t>
      </w:r>
      <w:r w:rsidR="00A87EF1">
        <w:rPr>
          <w:sz w:val="24"/>
        </w:rPr>
        <w:t xml:space="preserve"> A partir de 2015, a proporção para as empresas públicas da amostra passa a do setor privado, esta que sofre uma sensível queda no ano de 2017.</w:t>
      </w:r>
      <w:r>
        <w:rPr>
          <w:sz w:val="24"/>
        </w:rPr>
        <w:t xml:space="preserve"> </w:t>
      </w:r>
      <w:r w:rsidR="00A87EF1">
        <w:rPr>
          <w:sz w:val="24"/>
        </w:rPr>
        <w:t>Na linha para o setor público, c</w:t>
      </w:r>
      <w:r>
        <w:rPr>
          <w:sz w:val="24"/>
        </w:rPr>
        <w:t xml:space="preserve">hama a atenção o pico de 40,36% atingido pelas companhias públicas em 2015, assim como a </w:t>
      </w:r>
      <w:r w:rsidR="00930E47">
        <w:rPr>
          <w:sz w:val="24"/>
        </w:rPr>
        <w:t xml:space="preserve">acentuada </w:t>
      </w:r>
      <w:r>
        <w:rPr>
          <w:sz w:val="24"/>
        </w:rPr>
        <w:t>queda no ano seguinte</w:t>
      </w:r>
      <w:r w:rsidR="00A87EF1">
        <w:rPr>
          <w:sz w:val="24"/>
        </w:rPr>
        <w:t>.</w:t>
      </w:r>
    </w:p>
    <w:p w14:paraId="2159E320" w14:textId="21C42EAA" w:rsidR="009E5621" w:rsidRDefault="000A0708" w:rsidP="009E5621">
      <w:pPr>
        <w:pStyle w:val="Fontedetabelas"/>
        <w:spacing w:after="0"/>
        <w:ind w:left="0" w:firstLine="709"/>
        <w:jc w:val="both"/>
        <w:rPr>
          <w:sz w:val="24"/>
        </w:rPr>
      </w:pPr>
      <w:r>
        <w:rPr>
          <w:sz w:val="24"/>
        </w:rPr>
        <w:t>A partir dos estudos da presente pesquisa, pode-se inferir que o</w:t>
      </w:r>
      <w:r w:rsidR="009E5621">
        <w:rPr>
          <w:sz w:val="24"/>
        </w:rPr>
        <w:t xml:space="preserve"> ápice atingido pelas empresas públicas em 2015 </w:t>
      </w:r>
      <w:r>
        <w:rPr>
          <w:sz w:val="24"/>
        </w:rPr>
        <w:t>foi causado em grande parte pela</w:t>
      </w:r>
      <w:r w:rsidR="009E5621">
        <w:rPr>
          <w:sz w:val="24"/>
        </w:rPr>
        <w:t xml:space="preserve"> maior empresa</w:t>
      </w:r>
      <w:r>
        <w:rPr>
          <w:sz w:val="24"/>
        </w:rPr>
        <w:t xml:space="preserve"> em Ativo Total</w:t>
      </w:r>
      <w:r w:rsidR="009E5621">
        <w:rPr>
          <w:sz w:val="24"/>
        </w:rPr>
        <w:t xml:space="preserve"> do segmento no Brasil</w:t>
      </w:r>
      <w:r w:rsidR="00305A33">
        <w:rPr>
          <w:sz w:val="24"/>
        </w:rPr>
        <w:t xml:space="preserve">, </w:t>
      </w:r>
      <w:r w:rsidR="009E5621">
        <w:rPr>
          <w:sz w:val="24"/>
        </w:rPr>
        <w:t xml:space="preserve">a </w:t>
      </w:r>
      <w:proofErr w:type="spellStart"/>
      <w:r w:rsidR="009E5621">
        <w:rPr>
          <w:sz w:val="24"/>
        </w:rPr>
        <w:t>Eletrobras</w:t>
      </w:r>
      <w:proofErr w:type="spellEnd"/>
      <w:r w:rsidR="00305A33">
        <w:rPr>
          <w:sz w:val="24"/>
        </w:rPr>
        <w:t xml:space="preserve">, que </w:t>
      </w:r>
      <w:r>
        <w:rPr>
          <w:sz w:val="24"/>
        </w:rPr>
        <w:t xml:space="preserve">destinou </w:t>
      </w:r>
      <w:r w:rsidR="00305A33">
        <w:rPr>
          <w:sz w:val="24"/>
        </w:rPr>
        <w:t>naquele</w:t>
      </w:r>
      <w:r w:rsidR="009E5621">
        <w:rPr>
          <w:sz w:val="24"/>
        </w:rPr>
        <w:t xml:space="preserve"> ano 99,58% de toda a riqueza gerada</w:t>
      </w:r>
      <w:r>
        <w:rPr>
          <w:sz w:val="24"/>
        </w:rPr>
        <w:t xml:space="preserve"> </w:t>
      </w:r>
      <w:r w:rsidR="009E5621">
        <w:rPr>
          <w:sz w:val="24"/>
        </w:rPr>
        <w:t>a capitais de terceiros, especialmente juros, que representaram 98,5% do grupo “Remuneração de Capitais de Terceiros”.</w:t>
      </w:r>
    </w:p>
    <w:p w14:paraId="3077EBD9" w14:textId="75404BAF" w:rsidR="009E5621" w:rsidRDefault="009E5621" w:rsidP="00425B7E">
      <w:pPr>
        <w:pStyle w:val="Fontedetabelas"/>
        <w:spacing w:after="0"/>
        <w:ind w:left="0" w:firstLine="709"/>
        <w:jc w:val="both"/>
        <w:rPr>
          <w:sz w:val="24"/>
        </w:rPr>
      </w:pPr>
      <w:r>
        <w:rPr>
          <w:sz w:val="24"/>
        </w:rPr>
        <w:t>O último grupo a ser comparado é “Remuneração dos Capitais Próprios”</w:t>
      </w:r>
      <w:r w:rsidR="00305A33">
        <w:rPr>
          <w:sz w:val="24"/>
        </w:rPr>
        <w:t xml:space="preserve"> que r</w:t>
      </w:r>
      <w:r>
        <w:rPr>
          <w:sz w:val="24"/>
        </w:rPr>
        <w:t xml:space="preserve">epresenta todos os </w:t>
      </w:r>
      <w:r w:rsidRPr="001E0C92">
        <w:rPr>
          <w:sz w:val="24"/>
        </w:rPr>
        <w:t>valores relativos à remuneração atribuída aos</w:t>
      </w:r>
      <w:r>
        <w:rPr>
          <w:sz w:val="24"/>
        </w:rPr>
        <w:t xml:space="preserve"> </w:t>
      </w:r>
      <w:r w:rsidRPr="001E0C92">
        <w:rPr>
          <w:sz w:val="24"/>
        </w:rPr>
        <w:t>sócios e acionistas</w:t>
      </w:r>
      <w:r>
        <w:rPr>
          <w:sz w:val="24"/>
        </w:rPr>
        <w:t xml:space="preserve">, incluindo juros sobre o capital próprio e dividendos, além de lucros retidos e prejuízos do exercício (CPC, 2008). </w:t>
      </w:r>
    </w:p>
    <w:p w14:paraId="0ECCD04D" w14:textId="160C73CD" w:rsidR="00305A33" w:rsidRDefault="00305A33" w:rsidP="00305A33">
      <w:pPr>
        <w:pStyle w:val="TextoABNT"/>
        <w:spacing w:line="240" w:lineRule="auto"/>
      </w:pPr>
      <w:r>
        <w:t>Percebe-se que a trajetória da linha de empresas públicas é bastante irregular, com queda em um ano e crescimento no ano seguinte, diferente da linha referente a empresas privadas, que parte do ápice de 19,35% para permanecer em constante queda até o ano de 2014</w:t>
      </w:r>
      <w:r w:rsidR="002750E6">
        <w:t xml:space="preserve">. A partir daí, </w:t>
      </w:r>
      <w:r w:rsidR="002B7B9A">
        <w:t>há tendência</w:t>
      </w:r>
      <w:r w:rsidR="002750E6">
        <w:t xml:space="preserve"> de crescimento para os anos subsequentes como um todo, </w:t>
      </w:r>
      <w:r>
        <w:t xml:space="preserve">conforme apresenta </w:t>
      </w:r>
      <w:r w:rsidR="00262848">
        <w:t xml:space="preserve">a </w:t>
      </w:r>
      <w:r w:rsidR="00EB19CE">
        <w:t>F</w:t>
      </w:r>
      <w:r w:rsidR="00262848">
        <w:t>igura</w:t>
      </w:r>
      <w:r>
        <w:t xml:space="preserve"> </w:t>
      </w:r>
      <w:r w:rsidR="004A7847">
        <w:t>5</w:t>
      </w:r>
      <w:r>
        <w:t>.</w:t>
      </w:r>
    </w:p>
    <w:p w14:paraId="101D3A07" w14:textId="4C47CA87" w:rsidR="00425B7E" w:rsidRDefault="00425B7E" w:rsidP="00425B7E">
      <w:pPr>
        <w:pStyle w:val="Fontedetabelas"/>
        <w:spacing w:after="0"/>
        <w:ind w:left="0" w:firstLine="709"/>
        <w:jc w:val="both"/>
      </w:pPr>
    </w:p>
    <w:p w14:paraId="1E81EC18" w14:textId="725F3137" w:rsidR="009E5621" w:rsidRDefault="00A55C43" w:rsidP="0042123D">
      <w:pPr>
        <w:pStyle w:val="Legenda"/>
        <w:spacing w:after="0"/>
        <w:jc w:val="left"/>
      </w:pPr>
      <w:r>
        <w:rPr>
          <w:b w:val="0"/>
          <w:i w:val="0"/>
          <w:sz w:val="20"/>
          <w:szCs w:val="20"/>
        </w:rPr>
        <w:lastRenderedPageBreak/>
        <w:t>Figura 5.</w:t>
      </w:r>
      <w:r w:rsidRPr="0049489C">
        <w:rPr>
          <w:b w:val="0"/>
          <w:i w:val="0"/>
          <w:sz w:val="20"/>
          <w:szCs w:val="20"/>
        </w:rPr>
        <w:t xml:space="preserve"> Distribuição</w:t>
      </w:r>
      <w:r>
        <w:rPr>
          <w:b w:val="0"/>
          <w:i w:val="0"/>
          <w:sz w:val="20"/>
          <w:szCs w:val="20"/>
        </w:rPr>
        <w:t xml:space="preserve"> Percentual Referente </w:t>
      </w:r>
      <w:r w:rsidR="00130F6F">
        <w:rPr>
          <w:b w:val="0"/>
          <w:i w:val="0"/>
          <w:sz w:val="20"/>
          <w:szCs w:val="20"/>
        </w:rPr>
        <w:t>ao Grupo “</w:t>
      </w:r>
      <w:r>
        <w:rPr>
          <w:b w:val="0"/>
          <w:i w:val="0"/>
          <w:sz w:val="20"/>
          <w:szCs w:val="20"/>
        </w:rPr>
        <w:t>Remuneração de Capitais Próprios</w:t>
      </w:r>
      <w:r>
        <w:rPr>
          <w:noProof/>
          <w:lang w:val="en-US" w:eastAsia="en-US"/>
        </w:rPr>
        <w:drawing>
          <wp:anchor distT="0" distB="0" distL="114300" distR="114300" simplePos="0" relativeHeight="251658240" behindDoc="0" locked="0" layoutInCell="1" allowOverlap="1" wp14:anchorId="1519D30F" wp14:editId="43B619A2">
            <wp:simplePos x="0" y="0"/>
            <wp:positionH relativeFrom="margin">
              <wp:posOffset>3175</wp:posOffset>
            </wp:positionH>
            <wp:positionV relativeFrom="paragraph">
              <wp:posOffset>114300</wp:posOffset>
            </wp:positionV>
            <wp:extent cx="5741035" cy="3366000"/>
            <wp:effectExtent l="0" t="0" r="12065" b="25400"/>
            <wp:wrapTopAndBottom/>
            <wp:docPr id="16" name="Gráfico 16">
              <a:extLst xmlns:a="http://schemas.openxmlformats.org/drawingml/2006/main">
                <a:ext uri="{FF2B5EF4-FFF2-40B4-BE49-F238E27FC236}">
                  <a16:creationId xmlns:a16="http://schemas.microsoft.com/office/drawing/2014/main" id="{9246E374-2C1B-4F62-A879-2A7A8EEEF1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130F6F">
        <w:rPr>
          <w:b w:val="0"/>
          <w:i w:val="0"/>
          <w:sz w:val="20"/>
          <w:szCs w:val="20"/>
        </w:rPr>
        <w:t>”</w:t>
      </w:r>
      <w:r>
        <w:rPr>
          <w:b w:val="0"/>
          <w:bCs w:val="0"/>
          <w:i w:val="0"/>
          <w:noProof/>
          <w:lang w:eastAsia="en-US"/>
        </w:rPr>
        <w:t>.</w:t>
      </w:r>
    </w:p>
    <w:p w14:paraId="794B2138" w14:textId="5662CD4F" w:rsidR="009E5621" w:rsidRPr="0042123D" w:rsidRDefault="009E5621" w:rsidP="009E5621">
      <w:pPr>
        <w:pStyle w:val="Fontedetabelas"/>
        <w:spacing w:after="0"/>
        <w:ind w:left="0"/>
        <w:rPr>
          <w:sz w:val="24"/>
        </w:rPr>
      </w:pPr>
    </w:p>
    <w:p w14:paraId="6DF70D9C" w14:textId="2C91171E" w:rsidR="009E5621" w:rsidRDefault="009E5621" w:rsidP="00D845E2">
      <w:pPr>
        <w:pStyle w:val="TextoABNT"/>
        <w:spacing w:line="240" w:lineRule="auto"/>
      </w:pPr>
      <w:r>
        <w:t xml:space="preserve">Novamente, o </w:t>
      </w:r>
      <w:r w:rsidR="00DC6EC0">
        <w:t>ano de 2015 é</w:t>
      </w:r>
      <w:r w:rsidR="00A071B4">
        <w:t xml:space="preserve"> o mais </w:t>
      </w:r>
      <w:r w:rsidR="00130F6F">
        <w:t xml:space="preserve">representativo </w:t>
      </w:r>
      <w:r w:rsidR="00A071B4">
        <w:t xml:space="preserve">quanto </w:t>
      </w:r>
      <w:r w:rsidR="002F6B09">
        <w:t>a análise da</w:t>
      </w:r>
      <w:r w:rsidR="00A071B4">
        <w:t xml:space="preserve">s empresas públicas da amostra. O expressivo resultado negativo foi obtido, principalmente, por causa da empresa </w:t>
      </w:r>
      <w:proofErr w:type="spellStart"/>
      <w:r w:rsidR="00A071B4">
        <w:t>Eletrobras</w:t>
      </w:r>
      <w:proofErr w:type="spellEnd"/>
      <w:r w:rsidR="00A071B4">
        <w:t xml:space="preserve">, </w:t>
      </w:r>
      <w:r>
        <w:t>que</w:t>
      </w:r>
      <w:r w:rsidR="00A071B4">
        <w:t>, naquele ano, incorreu em um prejuízo de mais de R$ 14,9 bilhões.</w:t>
      </w:r>
      <w:r>
        <w:t xml:space="preserve">                                                                                                                                                        </w:t>
      </w:r>
    </w:p>
    <w:p w14:paraId="39D2184D" w14:textId="1F60B37E" w:rsidR="009E5621" w:rsidRDefault="00823A96" w:rsidP="009E5621">
      <w:pPr>
        <w:pStyle w:val="TextoABNT"/>
        <w:spacing w:line="240" w:lineRule="auto"/>
      </w:pPr>
      <w:r>
        <w:t>As constatações</w:t>
      </w:r>
      <w:r w:rsidR="009E5621">
        <w:t xml:space="preserve"> </w:t>
      </w:r>
      <w:r>
        <w:t xml:space="preserve">do presente estudo </w:t>
      </w:r>
      <w:r w:rsidR="009E5621">
        <w:t>tendem a corroborar as observações de Silvestre et al. (20</w:t>
      </w:r>
      <w:r w:rsidR="00CF3998">
        <w:t>10</w:t>
      </w:r>
      <w:r w:rsidR="009E5621">
        <w:t xml:space="preserve">), uma vez que as empresas privadas da amostra possuem resultados relativamente superiores </w:t>
      </w:r>
      <w:r w:rsidR="005027F6">
        <w:t>aos da</w:t>
      </w:r>
      <w:r w:rsidR="009E5621">
        <w:t xml:space="preserve"> amostra de empresas públicas.</w:t>
      </w:r>
    </w:p>
    <w:p w14:paraId="44C69567" w14:textId="795DAAEF" w:rsidR="009E5621" w:rsidRDefault="009E5621" w:rsidP="009E5621">
      <w:pPr>
        <w:pStyle w:val="TextoABNT"/>
        <w:spacing w:line="240" w:lineRule="auto"/>
      </w:pPr>
    </w:p>
    <w:p w14:paraId="7B444DC8" w14:textId="003FC1D4" w:rsidR="009E5621" w:rsidRDefault="00FA47E1" w:rsidP="00FA47E1">
      <w:pPr>
        <w:pStyle w:val="Ttulo2"/>
        <w:tabs>
          <w:tab w:val="left" w:pos="426"/>
        </w:tabs>
        <w:spacing w:before="0" w:after="0"/>
      </w:pPr>
      <w:r>
        <w:t xml:space="preserve">4.2 </w:t>
      </w:r>
      <w:r w:rsidR="009E5621">
        <w:t xml:space="preserve">Aplicação do </w:t>
      </w:r>
      <w:r w:rsidR="001C75D4">
        <w:t>T</w:t>
      </w:r>
      <w:r w:rsidR="009E5621">
        <w:t xml:space="preserve">este </w:t>
      </w:r>
      <w:r w:rsidR="009E5621" w:rsidRPr="00722AAF">
        <w:t>Mann-Whitney</w:t>
      </w:r>
    </w:p>
    <w:p w14:paraId="0668FC81" w14:textId="091C51B1" w:rsidR="009E5621" w:rsidRDefault="009E5621" w:rsidP="009E5621">
      <w:pPr>
        <w:pStyle w:val="TextoABNT"/>
        <w:spacing w:line="240" w:lineRule="auto"/>
      </w:pPr>
    </w:p>
    <w:p w14:paraId="42FF7AF4" w14:textId="24652577" w:rsidR="009E5621" w:rsidRDefault="009E5621" w:rsidP="009E5621">
      <w:pPr>
        <w:pStyle w:val="TextoABNT"/>
        <w:spacing w:line="240" w:lineRule="auto"/>
      </w:pPr>
      <w:r>
        <w:t>O teste</w:t>
      </w:r>
      <w:r w:rsidR="009D4E62">
        <w:t xml:space="preserve"> não paramétrico</w:t>
      </w:r>
      <w:r>
        <w:t xml:space="preserve"> foi realizado entre as duas amostras independentes de empresas privadas e públicas analisadas, a 95% de confiança, com a hipótese nula de que a distribuição dos dois grupos é estatisticamente igual. O que determina a rejeição ou </w:t>
      </w:r>
      <w:r w:rsidR="00FA47E1">
        <w:t xml:space="preserve">não </w:t>
      </w:r>
      <w:r>
        <w:t xml:space="preserve">de tal hipótese é o p-valor: como o teste está sendo feito a 95% de confiança, se o p-valor for menor que 0,05, rejeita-se a hipótese nula; caso seja maior, a hipótese nula </w:t>
      </w:r>
      <w:r w:rsidR="00D72A2D">
        <w:t>não é rejeitada</w:t>
      </w:r>
      <w:r>
        <w:t>.</w:t>
      </w:r>
    </w:p>
    <w:p w14:paraId="5001E1F0" w14:textId="77777777" w:rsidR="005A0342" w:rsidRDefault="00913B3E" w:rsidP="00913B3E">
      <w:pPr>
        <w:pStyle w:val="TextoABNT"/>
        <w:spacing w:line="240" w:lineRule="auto"/>
      </w:pPr>
      <w:r>
        <w:t>O resultado do teste de Mann-Whitney aponta que em tod</w:t>
      </w:r>
      <w:r w:rsidR="009714C4">
        <w:t>a</w:t>
      </w:r>
      <w:r>
        <w:t xml:space="preserve">s </w:t>
      </w:r>
      <w:r w:rsidR="005A0342">
        <w:t>os grupos</w:t>
      </w:r>
      <w:r>
        <w:t xml:space="preserve">, excetuando-se “Pessoal”, a hipótese nula </w:t>
      </w:r>
      <w:r w:rsidR="005A0342">
        <w:t>não é rejeitada</w:t>
      </w:r>
      <w:r>
        <w:t>, ou seja, pode-se dizer, a 95% de confiança, que a distribuição da população proporcional aos referentes grupos é igual (</w:t>
      </w:r>
      <w:r w:rsidR="004A7847">
        <w:t>Figura 6</w:t>
      </w:r>
      <w:r>
        <w:t>).</w:t>
      </w:r>
      <w:r w:rsidR="009714C4">
        <w:t xml:space="preserve"> </w:t>
      </w:r>
    </w:p>
    <w:p w14:paraId="6607E7C6" w14:textId="1525FE24" w:rsidR="00397DE0" w:rsidRDefault="005A0342" w:rsidP="00913B3E">
      <w:pPr>
        <w:pStyle w:val="TextoABNT"/>
        <w:spacing w:line="240" w:lineRule="auto"/>
      </w:pPr>
      <w:r>
        <w:t xml:space="preserve">O grupo </w:t>
      </w:r>
      <w:r w:rsidR="00397DE0">
        <w:t xml:space="preserve">“Pessoal” </w:t>
      </w:r>
      <w:r w:rsidR="009714C4">
        <w:t xml:space="preserve">foi </w:t>
      </w:r>
      <w:r>
        <w:t>o</w:t>
      </w:r>
      <w:r w:rsidR="009714C4">
        <w:t xml:space="preserve"> únic</w:t>
      </w:r>
      <w:r>
        <w:t>o</w:t>
      </w:r>
      <w:r w:rsidR="009714C4">
        <w:t xml:space="preserve"> na qual a Hipótese Nula </w:t>
      </w:r>
      <w:r>
        <w:t xml:space="preserve">foi </w:t>
      </w:r>
      <w:r w:rsidR="009714C4">
        <w:t>rejeitada, indicando que</w:t>
      </w:r>
      <w:r w:rsidR="00397DE0">
        <w:t>, a 95% de confiança, as distribuições proporcionais populacionais das amostras, no caso pública e privada, são estatisticamente diferentes.</w:t>
      </w:r>
    </w:p>
    <w:p w14:paraId="79D899C6" w14:textId="77777777" w:rsidR="009714C4" w:rsidRDefault="009714C4" w:rsidP="00913B3E">
      <w:pPr>
        <w:pStyle w:val="TextoABNT"/>
        <w:spacing w:line="240" w:lineRule="auto"/>
      </w:pPr>
    </w:p>
    <w:tbl>
      <w:tblPr>
        <w:tblStyle w:val="Tabelacomgrade"/>
        <w:tblW w:w="9067" w:type="dxa"/>
        <w:jc w:val="center"/>
        <w:tblLook w:val="04A0" w:firstRow="1" w:lastRow="0" w:firstColumn="1" w:lastColumn="0" w:noHBand="0" w:noVBand="1"/>
      </w:tblPr>
      <w:tblGrid>
        <w:gridCol w:w="1668"/>
        <w:gridCol w:w="1162"/>
        <w:gridCol w:w="3686"/>
        <w:gridCol w:w="2551"/>
      </w:tblGrid>
      <w:tr w:rsidR="009E5621" w:rsidRPr="002713B2" w14:paraId="60B35E67" w14:textId="77777777" w:rsidTr="005D6F1E">
        <w:trPr>
          <w:jc w:val="center"/>
        </w:trPr>
        <w:tc>
          <w:tcPr>
            <w:tcW w:w="1668" w:type="dxa"/>
          </w:tcPr>
          <w:p w14:paraId="4D0361C2" w14:textId="77777777" w:rsidR="009E5621" w:rsidRPr="00496229" w:rsidRDefault="009E5621" w:rsidP="005A0342">
            <w:pPr>
              <w:jc w:val="both"/>
              <w:rPr>
                <w:b/>
              </w:rPr>
            </w:pPr>
            <w:r w:rsidRPr="00496229">
              <w:rPr>
                <w:b/>
              </w:rPr>
              <w:t>Categoria</w:t>
            </w:r>
          </w:p>
        </w:tc>
        <w:tc>
          <w:tcPr>
            <w:tcW w:w="1162" w:type="dxa"/>
          </w:tcPr>
          <w:p w14:paraId="15CA3F92" w14:textId="77777777" w:rsidR="009E5621" w:rsidRPr="00496229" w:rsidRDefault="009E5621" w:rsidP="005A0342">
            <w:pPr>
              <w:jc w:val="both"/>
              <w:rPr>
                <w:b/>
              </w:rPr>
            </w:pPr>
            <w:r w:rsidRPr="00496229">
              <w:rPr>
                <w:b/>
              </w:rPr>
              <w:t>p-valor</w:t>
            </w:r>
          </w:p>
        </w:tc>
        <w:tc>
          <w:tcPr>
            <w:tcW w:w="3686" w:type="dxa"/>
          </w:tcPr>
          <w:p w14:paraId="0AF593B1" w14:textId="77777777" w:rsidR="009E5621" w:rsidRPr="00496229" w:rsidRDefault="009E5621" w:rsidP="005A0342">
            <w:pPr>
              <w:jc w:val="both"/>
              <w:rPr>
                <w:b/>
              </w:rPr>
            </w:pPr>
            <w:r w:rsidRPr="00496229">
              <w:rPr>
                <w:b/>
              </w:rPr>
              <w:t>Hipótese Nula</w:t>
            </w:r>
          </w:p>
        </w:tc>
        <w:tc>
          <w:tcPr>
            <w:tcW w:w="2551" w:type="dxa"/>
          </w:tcPr>
          <w:p w14:paraId="0A2FA401" w14:textId="77777777" w:rsidR="009E5621" w:rsidRPr="00496229" w:rsidRDefault="009E5621" w:rsidP="005A0342">
            <w:pPr>
              <w:ind w:left="715"/>
              <w:jc w:val="both"/>
              <w:rPr>
                <w:b/>
              </w:rPr>
            </w:pPr>
            <w:r w:rsidRPr="00496229">
              <w:rPr>
                <w:b/>
              </w:rPr>
              <w:t>Resultado</w:t>
            </w:r>
          </w:p>
        </w:tc>
      </w:tr>
      <w:tr w:rsidR="009E5621" w:rsidRPr="002713B2" w14:paraId="24FAB253" w14:textId="77777777" w:rsidTr="005D6F1E">
        <w:trPr>
          <w:trHeight w:val="700"/>
          <w:jc w:val="center"/>
        </w:trPr>
        <w:tc>
          <w:tcPr>
            <w:tcW w:w="1668" w:type="dxa"/>
          </w:tcPr>
          <w:p w14:paraId="5C397D6B" w14:textId="77777777" w:rsidR="009E5621" w:rsidRPr="00496229" w:rsidRDefault="009E5621" w:rsidP="005A0342">
            <w:pPr>
              <w:jc w:val="both"/>
            </w:pPr>
            <w:r w:rsidRPr="00496229">
              <w:t>Pessoal</w:t>
            </w:r>
          </w:p>
        </w:tc>
        <w:tc>
          <w:tcPr>
            <w:tcW w:w="1162" w:type="dxa"/>
          </w:tcPr>
          <w:p w14:paraId="6EEEDCE1" w14:textId="77777777" w:rsidR="007272BB" w:rsidRPr="00FA47E1" w:rsidRDefault="007272BB" w:rsidP="005A0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jc w:val="both"/>
              <w:rPr>
                <w:color w:val="000000"/>
              </w:rPr>
            </w:pPr>
            <w:r w:rsidRPr="00FA47E1">
              <w:rPr>
                <w:color w:val="000000"/>
              </w:rPr>
              <w:t>0.002165</w:t>
            </w:r>
          </w:p>
          <w:p w14:paraId="248D5035" w14:textId="1BCDB161" w:rsidR="009E5621" w:rsidRPr="00496229" w:rsidRDefault="009E5621" w:rsidP="005A0342">
            <w:pPr>
              <w:jc w:val="both"/>
            </w:pPr>
          </w:p>
        </w:tc>
        <w:tc>
          <w:tcPr>
            <w:tcW w:w="3686" w:type="dxa"/>
          </w:tcPr>
          <w:p w14:paraId="5C4ACF07" w14:textId="77777777" w:rsidR="009E5621" w:rsidRPr="00496229" w:rsidRDefault="009E5621" w:rsidP="005A0342">
            <w:pPr>
              <w:jc w:val="both"/>
            </w:pPr>
            <w:r w:rsidRPr="00496229">
              <w:t xml:space="preserve">Quanto à destinação percentual de Pessoal, os dois grupos </w:t>
            </w:r>
            <w:r w:rsidRPr="00496229">
              <w:rPr>
                <w:b/>
                <w:bCs/>
              </w:rPr>
              <w:t>não são</w:t>
            </w:r>
            <w:r w:rsidRPr="00496229">
              <w:t xml:space="preserve"> estatisticamente diferentes (são iguais)</w:t>
            </w:r>
          </w:p>
        </w:tc>
        <w:tc>
          <w:tcPr>
            <w:tcW w:w="2551" w:type="dxa"/>
          </w:tcPr>
          <w:p w14:paraId="3CF52E36" w14:textId="77777777" w:rsidR="009E5621" w:rsidRPr="00496229" w:rsidRDefault="009E5621" w:rsidP="005A0342">
            <w:pPr>
              <w:jc w:val="both"/>
            </w:pPr>
            <w:r w:rsidRPr="00496229">
              <w:t>Rejeita-se a Hipótese Nula</w:t>
            </w:r>
          </w:p>
        </w:tc>
      </w:tr>
      <w:tr w:rsidR="009E5621" w:rsidRPr="002713B2" w14:paraId="34D4CDC2" w14:textId="77777777" w:rsidTr="005D6F1E">
        <w:trPr>
          <w:jc w:val="center"/>
        </w:trPr>
        <w:tc>
          <w:tcPr>
            <w:tcW w:w="1668" w:type="dxa"/>
          </w:tcPr>
          <w:p w14:paraId="4097D26C" w14:textId="77777777" w:rsidR="009E5621" w:rsidRPr="00496229" w:rsidRDefault="009E5621" w:rsidP="005A0342">
            <w:pPr>
              <w:jc w:val="both"/>
            </w:pPr>
            <w:r w:rsidRPr="00496229">
              <w:t>Impostos, Taxas e Contribuições</w:t>
            </w:r>
          </w:p>
        </w:tc>
        <w:tc>
          <w:tcPr>
            <w:tcW w:w="1162" w:type="dxa"/>
          </w:tcPr>
          <w:p w14:paraId="1B7062E3" w14:textId="413D1E99" w:rsidR="009E5621" w:rsidRPr="00FA47E1" w:rsidRDefault="007272BB" w:rsidP="005A0342">
            <w:pPr>
              <w:pStyle w:val="Pr-formataoHTML"/>
              <w:shd w:val="clear" w:color="auto" w:fill="FFFFFF"/>
              <w:wordWrap w:val="0"/>
              <w:spacing w:line="225" w:lineRule="atLeast"/>
              <w:jc w:val="both"/>
              <w:rPr>
                <w:color w:val="000000"/>
              </w:rPr>
            </w:pPr>
            <w:r w:rsidRPr="00FA47E1">
              <w:rPr>
                <w:rFonts w:ascii="Times New Roman" w:hAnsi="Times New Roman" w:cs="Times New Roman"/>
                <w:color w:val="000000"/>
              </w:rPr>
              <w:t>0.2403</w:t>
            </w:r>
          </w:p>
        </w:tc>
        <w:tc>
          <w:tcPr>
            <w:tcW w:w="3686" w:type="dxa"/>
          </w:tcPr>
          <w:p w14:paraId="418E5649" w14:textId="77777777" w:rsidR="009E5621" w:rsidRPr="00496229" w:rsidRDefault="009E5621" w:rsidP="005A0342">
            <w:pPr>
              <w:jc w:val="both"/>
            </w:pPr>
            <w:r w:rsidRPr="00496229">
              <w:t xml:space="preserve">Quanto à destinação percentual de Impostos, Taxas e Contribuições, os dois grupos </w:t>
            </w:r>
            <w:r w:rsidRPr="00496229">
              <w:rPr>
                <w:b/>
                <w:bCs/>
              </w:rPr>
              <w:t>não são</w:t>
            </w:r>
            <w:r w:rsidRPr="00496229">
              <w:t xml:space="preserve"> estatisticamente diferentes (são iguais)</w:t>
            </w:r>
          </w:p>
        </w:tc>
        <w:tc>
          <w:tcPr>
            <w:tcW w:w="2551" w:type="dxa"/>
          </w:tcPr>
          <w:p w14:paraId="0C9114BA" w14:textId="73DEC462" w:rsidR="009E5621" w:rsidRPr="00496229" w:rsidRDefault="00FA47E1" w:rsidP="005A0342">
            <w:pPr>
              <w:jc w:val="both"/>
            </w:pPr>
            <w:r>
              <w:t xml:space="preserve">Não se rejeita </w:t>
            </w:r>
            <w:r w:rsidR="009E5621" w:rsidRPr="00496229">
              <w:t>a Hipótese Nula</w:t>
            </w:r>
          </w:p>
        </w:tc>
      </w:tr>
      <w:tr w:rsidR="009E5621" w:rsidRPr="002713B2" w14:paraId="38F372B7" w14:textId="77777777" w:rsidTr="005D6F1E">
        <w:trPr>
          <w:jc w:val="center"/>
        </w:trPr>
        <w:tc>
          <w:tcPr>
            <w:tcW w:w="1668" w:type="dxa"/>
          </w:tcPr>
          <w:p w14:paraId="62E64911" w14:textId="77777777" w:rsidR="009E5621" w:rsidRPr="00496229" w:rsidRDefault="009E5621" w:rsidP="005A0342">
            <w:pPr>
              <w:jc w:val="both"/>
            </w:pPr>
            <w:r w:rsidRPr="00496229">
              <w:lastRenderedPageBreak/>
              <w:t>Remuneração de Capitais de Terceiros</w:t>
            </w:r>
          </w:p>
        </w:tc>
        <w:tc>
          <w:tcPr>
            <w:tcW w:w="1162" w:type="dxa"/>
          </w:tcPr>
          <w:p w14:paraId="378DF6DB" w14:textId="58A711BA" w:rsidR="009E5621" w:rsidRPr="00FA47E1" w:rsidRDefault="001F30BE" w:rsidP="005A0342">
            <w:pPr>
              <w:pStyle w:val="Pr-formataoHTML"/>
              <w:shd w:val="clear" w:color="auto" w:fill="FFFFFF"/>
              <w:wordWrap w:val="0"/>
              <w:spacing w:line="225" w:lineRule="atLeast"/>
              <w:jc w:val="both"/>
              <w:rPr>
                <w:color w:val="000000"/>
              </w:rPr>
            </w:pPr>
            <w:r w:rsidRPr="00FA47E1">
              <w:rPr>
                <w:rFonts w:ascii="Times New Roman" w:hAnsi="Times New Roman" w:cs="Times New Roman"/>
                <w:color w:val="000000"/>
              </w:rPr>
              <w:t>0.5887</w:t>
            </w:r>
          </w:p>
        </w:tc>
        <w:tc>
          <w:tcPr>
            <w:tcW w:w="3686" w:type="dxa"/>
          </w:tcPr>
          <w:p w14:paraId="5C43F5B1" w14:textId="77777777" w:rsidR="009E5621" w:rsidRPr="00496229" w:rsidRDefault="009E5621" w:rsidP="005A0342">
            <w:pPr>
              <w:jc w:val="both"/>
            </w:pPr>
            <w:r w:rsidRPr="00496229">
              <w:t xml:space="preserve">Quanto à destinação percentual de Remuneração de Capitais de Terceiros, os dois grupos </w:t>
            </w:r>
            <w:r w:rsidRPr="00496229">
              <w:rPr>
                <w:b/>
                <w:bCs/>
              </w:rPr>
              <w:t>não são</w:t>
            </w:r>
            <w:r w:rsidRPr="00496229">
              <w:t xml:space="preserve"> estatisticamente diferentes (são iguais)</w:t>
            </w:r>
          </w:p>
        </w:tc>
        <w:tc>
          <w:tcPr>
            <w:tcW w:w="2551" w:type="dxa"/>
          </w:tcPr>
          <w:p w14:paraId="363561BD" w14:textId="6EAF4022" w:rsidR="009E5621" w:rsidRPr="00496229" w:rsidRDefault="00FA47E1" w:rsidP="005A0342">
            <w:pPr>
              <w:jc w:val="both"/>
            </w:pPr>
            <w:r>
              <w:t xml:space="preserve">Não se rejeita </w:t>
            </w:r>
            <w:r w:rsidR="009E5621" w:rsidRPr="00496229">
              <w:t>a Hipótese Nula</w:t>
            </w:r>
          </w:p>
        </w:tc>
      </w:tr>
      <w:tr w:rsidR="009E5621" w:rsidRPr="002713B2" w14:paraId="5653A5DE" w14:textId="77777777" w:rsidTr="005D6F1E">
        <w:trPr>
          <w:jc w:val="center"/>
        </w:trPr>
        <w:tc>
          <w:tcPr>
            <w:tcW w:w="1668" w:type="dxa"/>
          </w:tcPr>
          <w:p w14:paraId="6E84B543" w14:textId="77777777" w:rsidR="009E5621" w:rsidRPr="00496229" w:rsidRDefault="009E5621" w:rsidP="005A0342">
            <w:pPr>
              <w:jc w:val="both"/>
            </w:pPr>
            <w:r w:rsidRPr="00496229">
              <w:t>Remuneração de Capitais Próprios</w:t>
            </w:r>
          </w:p>
        </w:tc>
        <w:tc>
          <w:tcPr>
            <w:tcW w:w="1162" w:type="dxa"/>
          </w:tcPr>
          <w:p w14:paraId="742AC2EC" w14:textId="1C5FEDD4" w:rsidR="009E5621" w:rsidRPr="005D6F1E" w:rsidRDefault="001F30BE" w:rsidP="005A0342">
            <w:pPr>
              <w:pStyle w:val="Pr-formataoHTML"/>
              <w:shd w:val="clear" w:color="auto" w:fill="FFFFFF"/>
              <w:wordWrap w:val="0"/>
              <w:spacing w:line="225" w:lineRule="atLeast"/>
              <w:jc w:val="both"/>
              <w:rPr>
                <w:color w:val="000000"/>
              </w:rPr>
            </w:pPr>
            <w:r w:rsidRPr="005D6F1E">
              <w:rPr>
                <w:rFonts w:ascii="Times New Roman" w:hAnsi="Times New Roman" w:cs="Times New Roman"/>
                <w:color w:val="000000"/>
              </w:rPr>
              <w:t>0.132</w:t>
            </w:r>
          </w:p>
        </w:tc>
        <w:tc>
          <w:tcPr>
            <w:tcW w:w="3686" w:type="dxa"/>
          </w:tcPr>
          <w:p w14:paraId="2784D40B" w14:textId="77777777" w:rsidR="009E5621" w:rsidRPr="00496229" w:rsidRDefault="009E5621" w:rsidP="005A0342">
            <w:pPr>
              <w:jc w:val="both"/>
            </w:pPr>
            <w:r w:rsidRPr="00496229">
              <w:t xml:space="preserve">Quanto à destinação percentual de Remuneração de Capitais Próprios, os dois grupos </w:t>
            </w:r>
            <w:r w:rsidRPr="00496229">
              <w:rPr>
                <w:b/>
                <w:bCs/>
              </w:rPr>
              <w:t>não são</w:t>
            </w:r>
            <w:r w:rsidRPr="00496229">
              <w:t xml:space="preserve"> estatisticamente diferentes (são iguais)</w:t>
            </w:r>
          </w:p>
        </w:tc>
        <w:tc>
          <w:tcPr>
            <w:tcW w:w="2551" w:type="dxa"/>
          </w:tcPr>
          <w:p w14:paraId="2DC76AA9" w14:textId="5F46328D" w:rsidR="009E5621" w:rsidRPr="00496229" w:rsidRDefault="00096A5D" w:rsidP="005A0342">
            <w:pPr>
              <w:jc w:val="both"/>
            </w:pPr>
            <w:r>
              <w:t xml:space="preserve">Não se rejeita </w:t>
            </w:r>
            <w:r w:rsidR="009E5621" w:rsidRPr="00496229">
              <w:t>a Hipótese Nula</w:t>
            </w:r>
          </w:p>
        </w:tc>
      </w:tr>
    </w:tbl>
    <w:p w14:paraId="620F12A2" w14:textId="01081C74" w:rsidR="009E5621" w:rsidRDefault="00A55C43" w:rsidP="009E5621">
      <w:pPr>
        <w:pStyle w:val="TextoABNT"/>
        <w:spacing w:line="240" w:lineRule="auto"/>
        <w:ind w:firstLine="0"/>
        <w:rPr>
          <w:sz w:val="20"/>
        </w:rPr>
      </w:pPr>
      <w:r w:rsidRPr="00A55C43">
        <w:rPr>
          <w:sz w:val="20"/>
        </w:rPr>
        <w:t>Figura 6</w:t>
      </w:r>
      <w:r>
        <w:rPr>
          <w:sz w:val="20"/>
        </w:rPr>
        <w:t xml:space="preserve">. </w:t>
      </w:r>
      <w:r w:rsidRPr="00A55C43">
        <w:rPr>
          <w:sz w:val="20"/>
        </w:rPr>
        <w:t>Teste de Mann-Whitney</w:t>
      </w:r>
      <w:r>
        <w:rPr>
          <w:sz w:val="20"/>
        </w:rPr>
        <w:t>.</w:t>
      </w:r>
    </w:p>
    <w:p w14:paraId="774ABAA6" w14:textId="77777777" w:rsidR="009E5621" w:rsidRPr="005D6F1E" w:rsidRDefault="009E5621" w:rsidP="009E5621">
      <w:pPr>
        <w:pStyle w:val="TextoABNT"/>
        <w:spacing w:line="240" w:lineRule="auto"/>
        <w:ind w:firstLine="0"/>
      </w:pPr>
    </w:p>
    <w:p w14:paraId="2C1B147C" w14:textId="694899B5" w:rsidR="00262848" w:rsidRDefault="00262848" w:rsidP="00D845E2">
      <w:pPr>
        <w:pStyle w:val="TextoABNT"/>
        <w:spacing w:line="240" w:lineRule="auto"/>
      </w:pPr>
      <w:r>
        <w:t xml:space="preserve">Machado, </w:t>
      </w:r>
      <w:proofErr w:type="spellStart"/>
      <w:r>
        <w:t>Morch</w:t>
      </w:r>
      <w:proofErr w:type="spellEnd"/>
      <w:r>
        <w:t>, Vianna, Santos</w:t>
      </w:r>
      <w:r w:rsidR="00D30926">
        <w:t xml:space="preserve"> e Siqueira (2009), ao realizarem o mesmo teste a 95% de confiança para uma amostra de empresas do setor elétrico classificadas entre públicas e privadas em relação ao período de 2004 a 2007, constataram que os funcionários de empresas estatais receberam remuneração mais elevada do que os de empresas privadas em 2006 e 2007. Contudo, afirmam que </w:t>
      </w:r>
      <w:r w:rsidR="00D30926" w:rsidRPr="00D30926">
        <w:t>a diferença na distribuição de riqueza</w:t>
      </w:r>
      <w:r w:rsidR="00D30926">
        <w:t xml:space="preserve"> </w:t>
      </w:r>
      <w:r w:rsidR="00D30926" w:rsidRPr="00D30926">
        <w:t xml:space="preserve">aos funcionários </w:t>
      </w:r>
      <w:r w:rsidR="00D30926">
        <w:t>é explicada pelo maior número de funcionários nas empresas estatais analisadas.</w:t>
      </w:r>
    </w:p>
    <w:p w14:paraId="5427BE83" w14:textId="77777777" w:rsidR="009E5621" w:rsidRPr="00405150" w:rsidRDefault="009E5621" w:rsidP="009E5621">
      <w:pPr>
        <w:pStyle w:val="TextoABNT"/>
        <w:spacing w:line="240" w:lineRule="auto"/>
      </w:pPr>
    </w:p>
    <w:p w14:paraId="3A61741E" w14:textId="4F3F05C9" w:rsidR="009E5621" w:rsidRDefault="009E5621" w:rsidP="009E5621">
      <w:pPr>
        <w:pStyle w:val="Ttulo2"/>
        <w:numPr>
          <w:ilvl w:val="1"/>
          <w:numId w:val="9"/>
        </w:numPr>
        <w:spacing w:before="0" w:after="0"/>
      </w:pPr>
      <w:r>
        <w:t xml:space="preserve">Análise </w:t>
      </w:r>
      <w:r w:rsidR="006F46AA">
        <w:t>I</w:t>
      </w:r>
      <w:r>
        <w:t xml:space="preserve">ndividual da </w:t>
      </w:r>
      <w:proofErr w:type="spellStart"/>
      <w:r>
        <w:t>Eletrobras</w:t>
      </w:r>
      <w:proofErr w:type="spellEnd"/>
    </w:p>
    <w:p w14:paraId="63A7D5F9" w14:textId="77777777" w:rsidR="009E5621" w:rsidRDefault="009E5621" w:rsidP="009E5621">
      <w:pPr>
        <w:pStyle w:val="TextoABNT"/>
        <w:spacing w:line="240" w:lineRule="auto"/>
      </w:pPr>
    </w:p>
    <w:p w14:paraId="47B07BB0" w14:textId="0B33C524" w:rsidR="009E5621" w:rsidRDefault="009E5621" w:rsidP="009E5621">
      <w:pPr>
        <w:pStyle w:val="TextoABNT"/>
        <w:spacing w:line="240" w:lineRule="auto"/>
      </w:pPr>
      <w:r>
        <w:t xml:space="preserve">Nas análises anteriores, </w:t>
      </w:r>
      <w:r w:rsidR="00FA0B19">
        <w:t xml:space="preserve">percebeu-se que </w:t>
      </w:r>
      <w:r>
        <w:t xml:space="preserve">em relação ao ano de 2015, o quanto a empresa </w:t>
      </w:r>
      <w:proofErr w:type="spellStart"/>
      <w:r>
        <w:t>Eletrobras</w:t>
      </w:r>
      <w:proofErr w:type="spellEnd"/>
      <w:r>
        <w:t xml:space="preserve"> influenciou no resultado </w:t>
      </w:r>
      <w:r w:rsidR="00EB41D6">
        <w:t xml:space="preserve">em </w:t>
      </w:r>
      <w:r>
        <w:t xml:space="preserve">proporção apresentado para a amostra de empresas públicas. </w:t>
      </w:r>
      <w:r w:rsidR="00EB41D6">
        <w:t xml:space="preserve">Diante dessa constatação optou-se por realizar </w:t>
      </w:r>
      <w:r>
        <w:t xml:space="preserve">uma análise </w:t>
      </w:r>
      <w:r w:rsidR="00EB41D6">
        <w:t xml:space="preserve">detalhada da </w:t>
      </w:r>
      <w:r>
        <w:t>empresa</w:t>
      </w:r>
      <w:r w:rsidR="00EB41D6">
        <w:t xml:space="preserve"> </w:t>
      </w:r>
      <w:r>
        <w:t xml:space="preserve">a partir de sua </w:t>
      </w:r>
      <w:r w:rsidR="00FA32AD">
        <w:t xml:space="preserve">DVA no </w:t>
      </w:r>
      <w:r>
        <w:t>período de 2012 até 2017.</w:t>
      </w:r>
    </w:p>
    <w:p w14:paraId="5B5B9F98" w14:textId="7211823C" w:rsidR="002F70F2" w:rsidRDefault="009E5621" w:rsidP="009E5621">
      <w:pPr>
        <w:pStyle w:val="TextoABNT"/>
        <w:spacing w:line="240" w:lineRule="auto"/>
      </w:pPr>
      <w:r>
        <w:t xml:space="preserve">A criação da </w:t>
      </w:r>
      <w:proofErr w:type="spellStart"/>
      <w:r>
        <w:t>Eletrobras</w:t>
      </w:r>
      <w:proofErr w:type="spellEnd"/>
      <w:r>
        <w:t xml:space="preserve"> foi proposta oficialmente em 1954, por Getúlio Vargas. Contudo, foi somente em 1961 que sua constituição foi autorizada por Jânio Quadros, </w:t>
      </w:r>
      <w:r w:rsidRPr="00952D2C">
        <w:t xml:space="preserve">levando a ser oficialmente instalada um ano depois. Nos anos 90, com o projeto de desestatizações de companhias elétricas, a empresa chegou a perder algumas funções de estatal e houve uma mudança no perfil da empresa, no entanto </w:t>
      </w:r>
      <w:r>
        <w:t xml:space="preserve">a União ainda </w:t>
      </w:r>
      <w:r w:rsidRPr="00952D2C">
        <w:t>permanece</w:t>
      </w:r>
      <w:r>
        <w:t xml:space="preserve"> como acionista majoritária. </w:t>
      </w:r>
      <w:r w:rsidRPr="00952D2C">
        <w:t xml:space="preserve">Atualmente, a </w:t>
      </w:r>
      <w:proofErr w:type="spellStart"/>
      <w:r w:rsidRPr="00952D2C">
        <w:t>Eletrobras</w:t>
      </w:r>
      <w:proofErr w:type="spellEnd"/>
      <w:r w:rsidRPr="00952D2C">
        <w:t xml:space="preserve"> é a maior empresa de energia elétrica da América Latina, </w:t>
      </w:r>
      <w:r>
        <w:t>chegando a ser r</w:t>
      </w:r>
      <w:r w:rsidRPr="00952D2C">
        <w:t>esponsável por</w:t>
      </w:r>
      <w:r>
        <w:t xml:space="preserve"> cerca de</w:t>
      </w:r>
      <w:r w:rsidRPr="00952D2C">
        <w:t xml:space="preserve"> 37% do total da capacidade de geração do país</w:t>
      </w:r>
      <w:r>
        <w:t xml:space="preserve"> (</w:t>
      </w:r>
      <w:proofErr w:type="spellStart"/>
      <w:r>
        <w:t>E</w:t>
      </w:r>
      <w:r w:rsidR="00FB631C">
        <w:t>letrobras</w:t>
      </w:r>
      <w:proofErr w:type="spellEnd"/>
      <w:r w:rsidR="002B7B9A">
        <w:t>, 2018</w:t>
      </w:r>
      <w:r>
        <w:t xml:space="preserve">). </w:t>
      </w:r>
    </w:p>
    <w:p w14:paraId="443D8B42" w14:textId="7DDF1FD4" w:rsidR="002B7B9A" w:rsidRDefault="00234647" w:rsidP="009E5621">
      <w:pPr>
        <w:pStyle w:val="TextoABNT"/>
        <w:spacing w:line="240" w:lineRule="auto"/>
      </w:pPr>
      <w:r>
        <w:t>Ainda</w:t>
      </w:r>
      <w:r w:rsidR="00262848">
        <w:t xml:space="preserve"> </w:t>
      </w:r>
      <w:r>
        <w:t>hoje, s</w:t>
      </w:r>
      <w:r w:rsidR="009E5621">
        <w:t xml:space="preserve">eu porte e importância levam a constantes debates sobre uma possível desestatização para aliviar as contas públicas, </w:t>
      </w:r>
      <w:r w:rsidR="00FA32AD">
        <w:t xml:space="preserve">principalmente, </w:t>
      </w:r>
      <w:r w:rsidR="009E5621">
        <w:t>depois de consta</w:t>
      </w:r>
      <w:r w:rsidR="00FA32AD">
        <w:t xml:space="preserve">tados </w:t>
      </w:r>
      <w:r w:rsidR="009E5621">
        <w:t>prejuízos.</w:t>
      </w:r>
      <w:r>
        <w:t xml:space="preserve"> </w:t>
      </w:r>
      <w:r w:rsidR="0000350E">
        <w:t xml:space="preserve">Recentemente a discussão voltou aos holofotes com o envio da Medida Provisória 814 à avaliação do poder legislativo pelo presidente Michel Temer, ao final de 2017, que retira vetos à privatização da </w:t>
      </w:r>
      <w:proofErr w:type="spellStart"/>
      <w:r w:rsidR="0000350E" w:rsidRPr="005B3808">
        <w:t>Eletrobras</w:t>
      </w:r>
      <w:proofErr w:type="spellEnd"/>
      <w:r w:rsidR="0000350E" w:rsidRPr="005B3808">
        <w:t xml:space="preserve"> (Reuters, 2018).</w:t>
      </w:r>
      <w:r w:rsidR="0000350E">
        <w:t xml:space="preserve"> Ainda, em abril de 2018, o Chefe do Executivo assinou um decreto para que se iniciem estudos acerca da capitalização da </w:t>
      </w:r>
      <w:proofErr w:type="spellStart"/>
      <w:r w:rsidR="0000350E">
        <w:t>Eletrobras</w:t>
      </w:r>
      <w:proofErr w:type="spellEnd"/>
      <w:r w:rsidR="0000350E">
        <w:t xml:space="preserve"> </w:t>
      </w:r>
      <w:r w:rsidR="0000350E" w:rsidRPr="005B3808">
        <w:t xml:space="preserve">(Guilherme </w:t>
      </w:r>
      <w:proofErr w:type="spellStart"/>
      <w:r w:rsidR="0000350E" w:rsidRPr="005B3808">
        <w:t>Mazui</w:t>
      </w:r>
      <w:proofErr w:type="spellEnd"/>
      <w:r w:rsidR="0000350E" w:rsidRPr="005B3808">
        <w:t xml:space="preserve"> </w:t>
      </w:r>
      <w:r w:rsidR="002D67E6">
        <w:t xml:space="preserve">&amp; </w:t>
      </w:r>
      <w:proofErr w:type="spellStart"/>
      <w:r w:rsidR="0000350E" w:rsidRPr="005B3808">
        <w:t>Roniara</w:t>
      </w:r>
      <w:proofErr w:type="spellEnd"/>
      <w:r w:rsidR="0000350E" w:rsidRPr="005B3808">
        <w:t xml:space="preserve"> Castilhos, 2018).</w:t>
      </w:r>
      <w:r w:rsidR="0000350E">
        <w:t xml:space="preserve"> Nesse contexto, argumentos divergentes em relação </w:t>
      </w:r>
      <w:r w:rsidR="00DA7077">
        <w:t>à</w:t>
      </w:r>
      <w:r w:rsidR="0000350E">
        <w:t xml:space="preserve"> privatização da </w:t>
      </w:r>
      <w:proofErr w:type="spellStart"/>
      <w:r w:rsidR="0000350E">
        <w:t>Eletrobras</w:t>
      </w:r>
      <w:proofErr w:type="spellEnd"/>
      <w:r w:rsidR="0000350E">
        <w:t xml:space="preserve"> intensificaram. </w:t>
      </w:r>
    </w:p>
    <w:p w14:paraId="791CF2E4" w14:textId="4493F440" w:rsidR="00397DE0" w:rsidRDefault="002B7B9A" w:rsidP="008250EC">
      <w:pPr>
        <w:pStyle w:val="TextoABNT"/>
        <w:spacing w:line="240" w:lineRule="auto"/>
      </w:pPr>
      <w:r>
        <w:t>Mota (2017) afirma que, segundo especialistas consultados, a privatização</w:t>
      </w:r>
      <w:r w:rsidRPr="00A15C69">
        <w:t xml:space="preserve"> </w:t>
      </w:r>
      <w:r>
        <w:t>d</w:t>
      </w:r>
      <w:r w:rsidRPr="00A15C69">
        <w:t>a companhia pode</w:t>
      </w:r>
      <w:r>
        <w:t>rá</w:t>
      </w:r>
      <w:r w:rsidRPr="00A15C69">
        <w:t xml:space="preserve"> ser um passo importante para que ela </w:t>
      </w:r>
      <w:r>
        <w:t xml:space="preserve">consiga ganhar </w:t>
      </w:r>
      <w:r w:rsidRPr="00A15C69">
        <w:t>eficiência</w:t>
      </w:r>
      <w:r>
        <w:t xml:space="preserve">. Por outro lado, </w:t>
      </w:r>
      <w:r w:rsidR="009E5621">
        <w:t xml:space="preserve">Araújo e Chaves (2018) afirmam que sem uma </w:t>
      </w:r>
      <w:proofErr w:type="spellStart"/>
      <w:r w:rsidR="009E5621" w:rsidRPr="00A15C69">
        <w:t>Eletrobras</w:t>
      </w:r>
      <w:proofErr w:type="spellEnd"/>
      <w:r w:rsidR="009E5621">
        <w:t xml:space="preserve"> forte e</w:t>
      </w:r>
      <w:r w:rsidR="009E5621" w:rsidRPr="00A15C69">
        <w:t xml:space="preserve"> </w:t>
      </w:r>
      <w:r w:rsidR="009E5621">
        <w:t>pública</w:t>
      </w:r>
      <w:r w:rsidR="009E5621" w:rsidRPr="00A15C69">
        <w:t>, o Brasil</w:t>
      </w:r>
      <w:r w:rsidR="009E5621">
        <w:t xml:space="preserve"> irá amargar </w:t>
      </w:r>
      <w:r w:rsidR="009E5621" w:rsidRPr="00A15C69">
        <w:t>décadas de atraso industrial e tecnológico, reduzindo a</w:t>
      </w:r>
      <w:r w:rsidR="009E5621">
        <w:t xml:space="preserve">ssim sua </w:t>
      </w:r>
      <w:r w:rsidR="009E5621" w:rsidRPr="00A15C69">
        <w:t>importância geopolítica</w:t>
      </w:r>
      <w:r w:rsidR="009E5621">
        <w:t xml:space="preserve">. </w:t>
      </w:r>
    </w:p>
    <w:p w14:paraId="277EF717" w14:textId="167B7F47" w:rsidR="00E755F5" w:rsidRPr="00574629" w:rsidRDefault="00E755F5" w:rsidP="00E755F5">
      <w:pPr>
        <w:pStyle w:val="Fontedetabelas"/>
        <w:spacing w:after="0"/>
        <w:ind w:left="0" w:firstLine="709"/>
        <w:jc w:val="both"/>
        <w:rPr>
          <w:sz w:val="24"/>
        </w:rPr>
      </w:pPr>
      <w:r>
        <w:rPr>
          <w:sz w:val="24"/>
        </w:rPr>
        <w:t>A partir d</w:t>
      </w:r>
      <w:r w:rsidR="00262848">
        <w:rPr>
          <w:sz w:val="24"/>
        </w:rPr>
        <w:t xml:space="preserve">a </w:t>
      </w:r>
      <w:r w:rsidR="008416F0">
        <w:rPr>
          <w:sz w:val="24"/>
        </w:rPr>
        <w:t>F</w:t>
      </w:r>
      <w:r w:rsidR="00262848">
        <w:rPr>
          <w:sz w:val="24"/>
        </w:rPr>
        <w:t>igura</w:t>
      </w:r>
      <w:r>
        <w:rPr>
          <w:sz w:val="24"/>
        </w:rPr>
        <w:t xml:space="preserve"> </w:t>
      </w:r>
      <w:r w:rsidR="00084D26">
        <w:rPr>
          <w:sz w:val="24"/>
        </w:rPr>
        <w:t>7</w:t>
      </w:r>
      <w:r>
        <w:rPr>
          <w:sz w:val="24"/>
        </w:rPr>
        <w:t xml:space="preserve">, é possível fazer </w:t>
      </w:r>
      <w:r w:rsidR="005A0342">
        <w:rPr>
          <w:sz w:val="24"/>
        </w:rPr>
        <w:t xml:space="preserve">diferentes </w:t>
      </w:r>
      <w:r>
        <w:rPr>
          <w:sz w:val="24"/>
        </w:rPr>
        <w:t xml:space="preserve">observações. Primeiramente, destaca-se que os pontos da linha </w:t>
      </w:r>
      <w:r w:rsidR="00846390">
        <w:rPr>
          <w:sz w:val="24"/>
        </w:rPr>
        <w:t xml:space="preserve">referente ao Valor Adicionado Total a Distribuir representam </w:t>
      </w:r>
      <w:r w:rsidR="00691FCB">
        <w:rPr>
          <w:sz w:val="24"/>
        </w:rPr>
        <w:t>a</w:t>
      </w:r>
      <w:r>
        <w:rPr>
          <w:sz w:val="24"/>
        </w:rPr>
        <w:t xml:space="preserve"> soma total de todos os pontos das outras linhas em determinado ano</w:t>
      </w:r>
      <w:r w:rsidR="00846390">
        <w:rPr>
          <w:sz w:val="24"/>
        </w:rPr>
        <w:t>.</w:t>
      </w:r>
      <w:r>
        <w:rPr>
          <w:sz w:val="24"/>
        </w:rPr>
        <w:t xml:space="preserve"> Nota-se que </w:t>
      </w:r>
      <w:r w:rsidR="00691FCB">
        <w:rPr>
          <w:sz w:val="24"/>
        </w:rPr>
        <w:t xml:space="preserve">tal </w:t>
      </w:r>
      <w:r w:rsidR="00846390">
        <w:rPr>
          <w:sz w:val="24"/>
        </w:rPr>
        <w:t>linha</w:t>
      </w:r>
      <w:r>
        <w:rPr>
          <w:sz w:val="24"/>
        </w:rPr>
        <w:t xml:space="preserve"> </w:t>
      </w:r>
      <w:r w:rsidR="00846390">
        <w:rPr>
          <w:sz w:val="24"/>
        </w:rPr>
        <w:t>seguia</w:t>
      </w:r>
      <w:r>
        <w:rPr>
          <w:sz w:val="24"/>
        </w:rPr>
        <w:t xml:space="preserve"> em contínua ascensão</w:t>
      </w:r>
      <w:r w:rsidR="00846390">
        <w:rPr>
          <w:sz w:val="24"/>
        </w:rPr>
        <w:t xml:space="preserve"> até o ano de 2017</w:t>
      </w:r>
      <w:r>
        <w:rPr>
          <w:sz w:val="24"/>
        </w:rPr>
        <w:t>,</w:t>
      </w:r>
      <w:r w:rsidR="00846390">
        <w:rPr>
          <w:sz w:val="24"/>
        </w:rPr>
        <w:t xml:space="preserve"> quando </w:t>
      </w:r>
      <w:r w:rsidR="0049458F">
        <w:rPr>
          <w:sz w:val="24"/>
        </w:rPr>
        <w:t>ocorreu uma queda de mais de 40% de toda a riqueza produzida pela empresa.</w:t>
      </w:r>
    </w:p>
    <w:p w14:paraId="4077448A" w14:textId="6218E3E0" w:rsidR="009E5621" w:rsidRDefault="000A1FCE" w:rsidP="000A1FCE">
      <w:pPr>
        <w:pStyle w:val="Legenda"/>
        <w:spacing w:after="0"/>
        <w:rPr>
          <w:b w:val="0"/>
          <w:i w:val="0"/>
          <w:sz w:val="20"/>
          <w:szCs w:val="20"/>
        </w:rPr>
      </w:pPr>
      <w:r>
        <w:rPr>
          <w:noProof/>
          <w:lang w:val="en-US" w:eastAsia="en-US"/>
        </w:rPr>
        <w:lastRenderedPageBreak/>
        <w:drawing>
          <wp:anchor distT="0" distB="0" distL="114300" distR="114300" simplePos="0" relativeHeight="251670528" behindDoc="0" locked="0" layoutInCell="1" allowOverlap="1" wp14:anchorId="291D4957" wp14:editId="5BD7B58A">
            <wp:simplePos x="0" y="0"/>
            <wp:positionH relativeFrom="margin">
              <wp:align>right</wp:align>
            </wp:positionH>
            <wp:positionV relativeFrom="paragraph">
              <wp:posOffset>176722</wp:posOffset>
            </wp:positionV>
            <wp:extent cx="5741035" cy="3365500"/>
            <wp:effectExtent l="0" t="0" r="12065" b="6350"/>
            <wp:wrapTopAndBottom/>
            <wp:docPr id="20" name="Gráfico 20">
              <a:extLst xmlns:a="http://schemas.openxmlformats.org/drawingml/2006/main">
                <a:ext uri="{FF2B5EF4-FFF2-40B4-BE49-F238E27FC236}">
                  <a16:creationId xmlns:a16="http://schemas.microsoft.com/office/drawing/2014/main" id="{0919AB29-D56F-4A4C-B5E3-9124C988D3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3A8D46FD" w14:textId="4C5539BC" w:rsidR="009E5621" w:rsidRDefault="00C12818" w:rsidP="009E5621">
      <w:pPr>
        <w:pStyle w:val="Fontedetabelas"/>
        <w:spacing w:after="0"/>
        <w:ind w:left="0"/>
        <w:jc w:val="both"/>
      </w:pPr>
      <w:r w:rsidRPr="00C12818">
        <w:t>Figura 7</w:t>
      </w:r>
      <w:r>
        <w:t>.</w:t>
      </w:r>
      <w:r w:rsidRPr="00C12818">
        <w:t xml:space="preserve"> Distribuição do Valor Adicionado na </w:t>
      </w:r>
      <w:proofErr w:type="spellStart"/>
      <w:r w:rsidRPr="00C12818">
        <w:t>Eletrobras</w:t>
      </w:r>
      <w:proofErr w:type="spellEnd"/>
      <w:r w:rsidRPr="00C12818">
        <w:t xml:space="preserve"> (em mil</w:t>
      </w:r>
      <w:r>
        <w:t>).</w:t>
      </w:r>
    </w:p>
    <w:p w14:paraId="58E91E1E" w14:textId="77777777" w:rsidR="009E5621" w:rsidRDefault="009E5621" w:rsidP="009E5621">
      <w:pPr>
        <w:pStyle w:val="Fontedetabelas"/>
        <w:spacing w:after="0"/>
        <w:ind w:left="0"/>
        <w:jc w:val="both"/>
      </w:pPr>
    </w:p>
    <w:p w14:paraId="3A8B5656" w14:textId="77777777" w:rsidR="005A0342" w:rsidRDefault="00D06E8F" w:rsidP="009E5621">
      <w:pPr>
        <w:pStyle w:val="Fontedetabelas"/>
        <w:spacing w:after="0"/>
        <w:ind w:left="0" w:firstLine="709"/>
        <w:jc w:val="both"/>
        <w:rPr>
          <w:sz w:val="24"/>
        </w:rPr>
      </w:pPr>
      <w:r>
        <w:rPr>
          <w:sz w:val="24"/>
        </w:rPr>
        <w:t xml:space="preserve">A linha que representa </w:t>
      </w:r>
      <w:r w:rsidR="005A0342">
        <w:rPr>
          <w:sz w:val="24"/>
        </w:rPr>
        <w:t>o grupo “</w:t>
      </w:r>
      <w:r>
        <w:rPr>
          <w:sz w:val="24"/>
        </w:rPr>
        <w:t>Remuneração de Capitais de Terceiros</w:t>
      </w:r>
      <w:r w:rsidR="005A0342">
        <w:rPr>
          <w:sz w:val="24"/>
        </w:rPr>
        <w:t>”</w:t>
      </w:r>
      <w:r>
        <w:rPr>
          <w:sz w:val="24"/>
        </w:rPr>
        <w:t xml:space="preserve">, após sucessivos crescimentos, atinge seu ápice no ano de 2015, com R$ 19,8 bilhões para tal </w:t>
      </w:r>
      <w:r w:rsidR="005A0342">
        <w:rPr>
          <w:sz w:val="24"/>
        </w:rPr>
        <w:t>grupo</w:t>
      </w:r>
      <w:r>
        <w:rPr>
          <w:sz w:val="24"/>
        </w:rPr>
        <w:t>, sendo R$ 19,6 bilhões somente em juros</w:t>
      </w:r>
      <w:r w:rsidR="0071336D">
        <w:rPr>
          <w:sz w:val="24"/>
        </w:rPr>
        <w:t>, de acordo com os resultados da presente pesquisa</w:t>
      </w:r>
      <w:r>
        <w:rPr>
          <w:sz w:val="24"/>
        </w:rPr>
        <w:t>.</w:t>
      </w:r>
      <w:r w:rsidR="0071336D">
        <w:rPr>
          <w:sz w:val="24"/>
        </w:rPr>
        <w:t xml:space="preserve"> Em referência a linha que representa o quanto foi destinado a</w:t>
      </w:r>
      <w:r w:rsidR="005A0342">
        <w:rPr>
          <w:sz w:val="24"/>
        </w:rPr>
        <w:t>o grupo “I</w:t>
      </w:r>
      <w:r w:rsidR="0071336D">
        <w:rPr>
          <w:sz w:val="24"/>
        </w:rPr>
        <w:t xml:space="preserve">mpostos, </w:t>
      </w:r>
      <w:r w:rsidR="005A0342">
        <w:rPr>
          <w:sz w:val="24"/>
        </w:rPr>
        <w:t>T</w:t>
      </w:r>
      <w:r w:rsidR="0071336D">
        <w:rPr>
          <w:sz w:val="24"/>
        </w:rPr>
        <w:t xml:space="preserve">axas e </w:t>
      </w:r>
      <w:r w:rsidR="005A0342">
        <w:rPr>
          <w:sz w:val="24"/>
        </w:rPr>
        <w:t>C</w:t>
      </w:r>
      <w:r w:rsidR="0071336D">
        <w:rPr>
          <w:sz w:val="24"/>
        </w:rPr>
        <w:t>ontribuições</w:t>
      </w:r>
      <w:r w:rsidR="005A0342">
        <w:rPr>
          <w:sz w:val="24"/>
        </w:rPr>
        <w:t>”</w:t>
      </w:r>
      <w:r w:rsidR="0071336D">
        <w:rPr>
          <w:sz w:val="24"/>
        </w:rPr>
        <w:t xml:space="preserve">, é possível perceber que ela acompanha o quanto de valor adicionado total foi produzido pela empresa a cada ano, com ápice no ano de 2016, quando pouco mais de R$16 bilhões foram para o governo. </w:t>
      </w:r>
    </w:p>
    <w:p w14:paraId="5703BA75" w14:textId="07A4061E" w:rsidR="00D06E8F" w:rsidRDefault="0071336D" w:rsidP="009E5621">
      <w:pPr>
        <w:pStyle w:val="Fontedetabelas"/>
        <w:spacing w:after="0"/>
        <w:ind w:left="0" w:firstLine="709"/>
        <w:jc w:val="both"/>
        <w:rPr>
          <w:sz w:val="24"/>
        </w:rPr>
      </w:pPr>
      <w:r>
        <w:rPr>
          <w:sz w:val="24"/>
        </w:rPr>
        <w:t>O</w:t>
      </w:r>
      <w:r w:rsidR="009E5621" w:rsidRPr="00574629">
        <w:rPr>
          <w:sz w:val="24"/>
        </w:rPr>
        <w:t xml:space="preserve"> grupo “Pessoal” </w:t>
      </w:r>
      <w:r>
        <w:rPr>
          <w:sz w:val="24"/>
        </w:rPr>
        <w:t xml:space="preserve">foi o único que </w:t>
      </w:r>
      <w:r w:rsidR="009E5621" w:rsidRPr="00574629">
        <w:rPr>
          <w:sz w:val="24"/>
        </w:rPr>
        <w:t>se manteve em uma faixa quase constante</w:t>
      </w:r>
      <w:r>
        <w:rPr>
          <w:sz w:val="24"/>
        </w:rPr>
        <w:t>,</w:t>
      </w:r>
      <w:r w:rsidR="009E5621" w:rsidRPr="00574629">
        <w:rPr>
          <w:sz w:val="24"/>
        </w:rPr>
        <w:t xml:space="preserve"> entre R$ 5 bilhões e R$ 7,5 bilhões,</w:t>
      </w:r>
      <w:r>
        <w:rPr>
          <w:sz w:val="24"/>
        </w:rPr>
        <w:t xml:space="preserve"> no período estudado,</w:t>
      </w:r>
      <w:r w:rsidR="009E5621" w:rsidRPr="00574629">
        <w:rPr>
          <w:sz w:val="24"/>
        </w:rPr>
        <w:t xml:space="preserve"> apresentando uma leve tendência de crescimento de 2015 até 2017. </w:t>
      </w:r>
    </w:p>
    <w:p w14:paraId="50D6FD45" w14:textId="311C04C9" w:rsidR="009E5621" w:rsidRDefault="009E5621" w:rsidP="009E5621">
      <w:pPr>
        <w:pStyle w:val="Fontedetabelas"/>
        <w:spacing w:after="0"/>
        <w:ind w:left="0" w:firstLine="709"/>
        <w:jc w:val="both"/>
        <w:rPr>
          <w:sz w:val="24"/>
        </w:rPr>
      </w:pPr>
      <w:r>
        <w:rPr>
          <w:sz w:val="24"/>
        </w:rPr>
        <w:t xml:space="preserve">No entanto, o grupo que mais chama a atenção </w:t>
      </w:r>
      <w:r w:rsidR="005A0342">
        <w:rPr>
          <w:sz w:val="24"/>
        </w:rPr>
        <w:t xml:space="preserve">foi </w:t>
      </w:r>
      <w:r>
        <w:rPr>
          <w:sz w:val="24"/>
        </w:rPr>
        <w:t>“Remuneração de Capitais Próprios”. Em todos os períodos analisados, com exceção de 2016, o valor que seria destinado a sócios e acionistas é negativo. De fato, isso demonstra que a empresa vem por muito tempo arcando com prejuízos, talvez o principal motivo que in</w:t>
      </w:r>
      <w:r w:rsidR="005A0342">
        <w:rPr>
          <w:sz w:val="24"/>
        </w:rPr>
        <w:t xml:space="preserve">sufla </w:t>
      </w:r>
      <w:r>
        <w:rPr>
          <w:sz w:val="24"/>
        </w:rPr>
        <w:t>os debates para sua desestatização. Em 2016, o único ano em que tal linha apresentou um valor positivo, a empresa conseguiu um lucro de R$ 3,4 bilhões</w:t>
      </w:r>
      <w:r w:rsidR="0071336D">
        <w:rPr>
          <w:sz w:val="24"/>
        </w:rPr>
        <w:t>, de acordo com as pesquisas do presente estudo</w:t>
      </w:r>
      <w:r>
        <w:rPr>
          <w:sz w:val="24"/>
        </w:rPr>
        <w:t>.</w:t>
      </w:r>
    </w:p>
    <w:p w14:paraId="69120290" w14:textId="11BFE179" w:rsidR="009E5621" w:rsidRDefault="009E5621" w:rsidP="009E5621">
      <w:pPr>
        <w:pStyle w:val="Fontedetabelas"/>
        <w:spacing w:after="0"/>
        <w:ind w:left="0" w:firstLine="709"/>
        <w:jc w:val="both"/>
        <w:rPr>
          <w:sz w:val="24"/>
        </w:rPr>
      </w:pPr>
      <w:r>
        <w:rPr>
          <w:sz w:val="24"/>
        </w:rPr>
        <w:t xml:space="preserve">Portanto, </w:t>
      </w:r>
      <w:r w:rsidR="00420D8B">
        <w:rPr>
          <w:sz w:val="24"/>
        </w:rPr>
        <w:t xml:space="preserve">entende-se </w:t>
      </w:r>
      <w:r>
        <w:rPr>
          <w:sz w:val="24"/>
        </w:rPr>
        <w:t xml:space="preserve">que a empresa vem gerando grandes riquezas que são distribuídas ao seu pessoal, a terceiros, e ao Estado. Contudo, devido a constantes prejuízos, o valor a ser distribuído a sócios e acionistas é prejudicado, </w:t>
      </w:r>
      <w:r w:rsidR="00D3020B">
        <w:rPr>
          <w:sz w:val="24"/>
        </w:rPr>
        <w:t>sendo</w:t>
      </w:r>
      <w:r>
        <w:rPr>
          <w:sz w:val="24"/>
        </w:rPr>
        <w:t xml:space="preserve"> uma das </w:t>
      </w:r>
      <w:r w:rsidR="00BA360C">
        <w:rPr>
          <w:sz w:val="24"/>
        </w:rPr>
        <w:t xml:space="preserve">possíveis </w:t>
      </w:r>
      <w:r>
        <w:rPr>
          <w:sz w:val="24"/>
        </w:rPr>
        <w:t>razões pela qual à privatização é vista com bons olhos por essa parcela.</w:t>
      </w:r>
    </w:p>
    <w:p w14:paraId="7CFFC7CB" w14:textId="77777777" w:rsidR="00397DE0" w:rsidRDefault="00397DE0" w:rsidP="009E5621">
      <w:pPr>
        <w:pStyle w:val="Fontedetabelas"/>
        <w:spacing w:after="0"/>
        <w:ind w:left="0" w:firstLine="709"/>
        <w:jc w:val="both"/>
        <w:rPr>
          <w:sz w:val="24"/>
        </w:rPr>
      </w:pPr>
    </w:p>
    <w:p w14:paraId="72F937F5" w14:textId="43DC22B5" w:rsidR="009E5621" w:rsidRPr="002D67E6" w:rsidRDefault="009E5621" w:rsidP="009E5621">
      <w:pPr>
        <w:pStyle w:val="Ttulo1"/>
        <w:numPr>
          <w:ilvl w:val="0"/>
          <w:numId w:val="0"/>
        </w:numPr>
        <w:spacing w:before="0" w:after="0"/>
      </w:pPr>
      <w:r w:rsidRPr="002D67E6">
        <w:t xml:space="preserve">5 Considerações </w:t>
      </w:r>
      <w:r w:rsidR="00B7569A" w:rsidRPr="002D67E6">
        <w:t>Finais</w:t>
      </w:r>
    </w:p>
    <w:p w14:paraId="343A67B1" w14:textId="77777777" w:rsidR="009E5621" w:rsidRPr="009E5621" w:rsidRDefault="009E5621" w:rsidP="009E5621"/>
    <w:p w14:paraId="5DE4B68D" w14:textId="023A6C69" w:rsidR="009E5621" w:rsidRDefault="009E5621" w:rsidP="000F5FF1">
      <w:pPr>
        <w:pStyle w:val="TextoABNT"/>
        <w:spacing w:line="240" w:lineRule="auto"/>
      </w:pPr>
      <w:r>
        <w:t>O presente estudo teve como</w:t>
      </w:r>
      <w:r w:rsidR="00FB4426" w:rsidRPr="00FB4426">
        <w:t xml:space="preserve"> </w:t>
      </w:r>
      <w:r w:rsidR="00FB4426">
        <w:t xml:space="preserve">principal objetivo a análise de como é realizada a Distribuição do Valor Adicionado nas dez empresas mais relevantes do setor elétrico, estatais e privadas, com demonstrações publicadas na </w:t>
      </w:r>
      <w:r w:rsidR="00F03F90">
        <w:t>[B]</w:t>
      </w:r>
      <w:r w:rsidR="00F03F90">
        <w:rPr>
          <w:vertAlign w:val="superscript"/>
        </w:rPr>
        <w:t>3</w:t>
      </w:r>
      <w:r w:rsidR="00FB4426">
        <w:t xml:space="preserve">. Para isso, </w:t>
      </w:r>
      <w:r w:rsidR="00362767">
        <w:t xml:space="preserve">foram realizados um teste estatístico e uma análise individual da </w:t>
      </w:r>
      <w:proofErr w:type="spellStart"/>
      <w:r w:rsidR="00362767">
        <w:t>Eletrobras</w:t>
      </w:r>
      <w:proofErr w:type="spellEnd"/>
      <w:r w:rsidR="00362767">
        <w:t>, maior empresa do setor em ativo total.</w:t>
      </w:r>
    </w:p>
    <w:p w14:paraId="5E8EA031" w14:textId="77777777" w:rsidR="00C37153" w:rsidRDefault="009E5621" w:rsidP="00305D59">
      <w:pPr>
        <w:pStyle w:val="TextoABNT"/>
        <w:spacing w:line="240" w:lineRule="auto"/>
      </w:pPr>
      <w:r>
        <w:lastRenderedPageBreak/>
        <w:t xml:space="preserve">Ao se observar </w:t>
      </w:r>
      <w:r w:rsidR="00FB552A">
        <w:t xml:space="preserve">os </w:t>
      </w:r>
      <w:r>
        <w:t xml:space="preserve">gráficos proporcionais </w:t>
      </w:r>
      <w:r w:rsidR="00FB4426">
        <w:t>d</w:t>
      </w:r>
      <w:r w:rsidR="00C37153">
        <w:t xml:space="preserve">os grupos </w:t>
      </w:r>
      <w:r w:rsidR="00FB4426">
        <w:t xml:space="preserve">da DVA </w:t>
      </w:r>
      <w:r>
        <w:t>comparad</w:t>
      </w:r>
      <w:r w:rsidR="00FB4426">
        <w:t>a</w:t>
      </w:r>
      <w:r>
        <w:t>s entre setores,</w:t>
      </w:r>
      <w:r w:rsidR="00FB4426">
        <w:t xml:space="preserve"> referentes a primeira parte da presente pesquisa,</w:t>
      </w:r>
      <w:r>
        <w:t xml:space="preserve"> percebeu-se certa homogeneidade apenas em relação ao grupo referente a </w:t>
      </w:r>
      <w:r w:rsidR="00C37153">
        <w:t>“T</w:t>
      </w:r>
      <w:r>
        <w:t>ributos</w:t>
      </w:r>
      <w:r w:rsidR="00C37153">
        <w:t>”</w:t>
      </w:r>
      <w:r>
        <w:t xml:space="preserve">. </w:t>
      </w:r>
      <w:r w:rsidR="00C37153">
        <w:t xml:space="preserve">O grupo </w:t>
      </w:r>
      <w:r w:rsidR="00362767">
        <w:t xml:space="preserve">“Pessoal” apresentou </w:t>
      </w:r>
      <w:r w:rsidR="00C37153">
        <w:t xml:space="preserve">significativa </w:t>
      </w:r>
      <w:r w:rsidR="00362767">
        <w:t xml:space="preserve">divergência entre setor público e privado, com as maiores proporções de riqueza destinada aos empregados sendo das empresas públicas em todos os anos analisados. </w:t>
      </w:r>
    </w:p>
    <w:p w14:paraId="2A3C2580" w14:textId="2EAC1A84" w:rsidR="009E5621" w:rsidRDefault="00C37153" w:rsidP="00305D59">
      <w:pPr>
        <w:pStyle w:val="TextoABNT"/>
        <w:spacing w:line="240" w:lineRule="auto"/>
      </w:pPr>
      <w:r>
        <w:t>O grupo “</w:t>
      </w:r>
      <w:r w:rsidR="00362767">
        <w:t>Remuneração de Capitais Próprios” também merece destaque, por demonstrar que em quase todos os anos analisados, as empresas públicas da amostra vêm obtendo valor adicionado negativo quanto à remuneração de seus sócios e acionistas.</w:t>
      </w:r>
    </w:p>
    <w:p w14:paraId="60777704" w14:textId="15AF734D" w:rsidR="009E5621" w:rsidRDefault="009E5621" w:rsidP="009E5621">
      <w:pPr>
        <w:pStyle w:val="TextoABNT"/>
        <w:spacing w:line="240" w:lineRule="auto"/>
      </w:pPr>
      <w:r>
        <w:t xml:space="preserve">Em seguida, aplicou-se o teste não paramétrico de Mann-Whitney, </w:t>
      </w:r>
      <w:r w:rsidR="00362767">
        <w:t xml:space="preserve">a 95% de confiança, </w:t>
      </w:r>
      <w:r w:rsidR="00530E32">
        <w:t xml:space="preserve">em que os </w:t>
      </w:r>
      <w:r>
        <w:t xml:space="preserve">resultados demonstraram que somente </w:t>
      </w:r>
      <w:r w:rsidR="00C37153">
        <w:t xml:space="preserve">o grupo </w:t>
      </w:r>
      <w:r>
        <w:t xml:space="preserve">“Pessoal” possui uma distribuição proporcional populacional diferente, ou seja, as populações de empresas públicas e privadas são diferentes quanto a distribuição proporcional de riqueza </w:t>
      </w:r>
      <w:r w:rsidR="00C37153">
        <w:t xml:space="preserve">ao grupo </w:t>
      </w:r>
      <w:r>
        <w:t xml:space="preserve">“Pessoal”. </w:t>
      </w:r>
      <w:r w:rsidR="00362767">
        <w:t>De acordo com</w:t>
      </w:r>
      <w:r w:rsidR="00954E68">
        <w:t xml:space="preserve"> o estudo de</w:t>
      </w:r>
      <w:r>
        <w:t xml:space="preserve"> </w:t>
      </w:r>
      <w:r w:rsidRPr="002F4543">
        <w:t>Machad</w:t>
      </w:r>
      <w:r>
        <w:t>o et al. (2009)</w:t>
      </w:r>
      <w:r w:rsidR="00362767">
        <w:t xml:space="preserve">, </w:t>
      </w:r>
      <w:r w:rsidR="00D162D8">
        <w:t>os funcionários de empresas estatais recebe</w:t>
      </w:r>
      <w:r w:rsidR="00954E68">
        <w:t>m</w:t>
      </w:r>
      <w:r w:rsidR="00D162D8">
        <w:t xml:space="preserve"> remuneração mais elevada do que os de empresas privadas</w:t>
      </w:r>
      <w:r w:rsidR="00954E68">
        <w:t xml:space="preserve">, contudo a diferença na </w:t>
      </w:r>
      <w:r w:rsidR="00D162D8" w:rsidRPr="00D30926">
        <w:t>distribuição de riqueza</w:t>
      </w:r>
      <w:r w:rsidR="00D162D8">
        <w:t xml:space="preserve"> </w:t>
      </w:r>
      <w:r w:rsidR="00D162D8" w:rsidRPr="00D30926">
        <w:t xml:space="preserve">aos funcionários </w:t>
      </w:r>
      <w:r w:rsidR="00D162D8">
        <w:t>é explicada pelo maior número de funcionários nas empresas estatais analisadas</w:t>
      </w:r>
      <w:r w:rsidR="00954E68">
        <w:t>.</w:t>
      </w:r>
    </w:p>
    <w:p w14:paraId="0E20CD6F" w14:textId="73396A20" w:rsidR="00954E68" w:rsidRDefault="00C37153" w:rsidP="009E5621">
      <w:pPr>
        <w:pStyle w:val="TextoABNT"/>
        <w:spacing w:line="240" w:lineRule="auto"/>
      </w:pPr>
      <w:r>
        <w:t xml:space="preserve">Em seguida, </w:t>
      </w:r>
      <w:r w:rsidR="009E5621">
        <w:t xml:space="preserve">analisou-se somente </w:t>
      </w:r>
      <w:r w:rsidR="00FB4426">
        <w:t>o comportamento das categorias d</w:t>
      </w:r>
      <w:r w:rsidR="00305D59">
        <w:t>a DVA</w:t>
      </w:r>
      <w:r w:rsidR="009E5621">
        <w:t xml:space="preserve"> da </w:t>
      </w:r>
      <w:r w:rsidR="00FB4426">
        <w:t xml:space="preserve">empresa </w:t>
      </w:r>
      <w:proofErr w:type="spellStart"/>
      <w:r w:rsidR="009E5621">
        <w:t>Eletrobras</w:t>
      </w:r>
      <w:proofErr w:type="spellEnd"/>
      <w:r w:rsidR="009E5621">
        <w:t xml:space="preserve">, justificada pelo seu porte e relevância de debates acerca de sua privatização de capital. Percebeu-se </w:t>
      </w:r>
      <w:r w:rsidR="00954E68">
        <w:t xml:space="preserve">que o Valor Adicionado Total a Distribuir da empresa vinha em contínua ascensão, até sofrer uma queda no ano de 2017. Quanto às categorias específicas, </w:t>
      </w:r>
      <w:r w:rsidR="009E5621">
        <w:t xml:space="preserve">certa estabilidade em relação a riqueza destinada ao grupo “Pessoal”, além de certa relação entre as trajetórias das linhas que representam </w:t>
      </w:r>
      <w:r>
        <w:t xml:space="preserve">os grupos </w:t>
      </w:r>
      <w:r w:rsidR="009E5621">
        <w:t xml:space="preserve">“Remuneração de Capitais de Terceiros” e “Impostos Taxas e Contribuições”. </w:t>
      </w:r>
    </w:p>
    <w:p w14:paraId="621DB449" w14:textId="45D85875" w:rsidR="009E5621" w:rsidRDefault="009E5621" w:rsidP="009E5621">
      <w:pPr>
        <w:pStyle w:val="TextoABNT"/>
        <w:spacing w:line="240" w:lineRule="auto"/>
      </w:pPr>
      <w:r>
        <w:t xml:space="preserve">O fator destoante </w:t>
      </w:r>
      <w:r w:rsidR="00954E68">
        <w:t xml:space="preserve">e principal na avaliação da empresa </w:t>
      </w:r>
      <w:proofErr w:type="spellStart"/>
      <w:r w:rsidR="00954E68">
        <w:t>Eletrobras</w:t>
      </w:r>
      <w:proofErr w:type="spellEnd"/>
      <w:r w:rsidR="00954E68">
        <w:t xml:space="preserve"> </w:t>
      </w:r>
      <w:r>
        <w:t>é o</w:t>
      </w:r>
      <w:r w:rsidR="00954E68">
        <w:t xml:space="preserve"> comportamento </w:t>
      </w:r>
      <w:r w:rsidR="00C37153">
        <w:t xml:space="preserve">do grupo </w:t>
      </w:r>
      <w:r>
        <w:t>“Remuneração de Capitais Próprios”</w:t>
      </w:r>
      <w:r w:rsidR="00954E68">
        <w:t xml:space="preserve">. Tal grupo apresentou uma riqueza proporcional negativa em quase todos os anos analisados, excetuando-se 2016. Isso indica uma remuneração bastante deficitária a sócios e acionistas, o que acaba por acalorar o debate quanto a sua privatização de capital. </w:t>
      </w:r>
      <w:r w:rsidR="002C4AAE" w:rsidRPr="00496229">
        <w:t>Silvestre</w:t>
      </w:r>
      <w:r w:rsidR="002C4AAE">
        <w:t xml:space="preserve"> et al. </w:t>
      </w:r>
      <w:r w:rsidR="002C4AAE" w:rsidRPr="00496229">
        <w:t>(2010</w:t>
      </w:r>
      <w:r w:rsidR="002C4AAE" w:rsidRPr="00940355">
        <w:t>)</w:t>
      </w:r>
      <w:r w:rsidR="002C4AAE">
        <w:t xml:space="preserve"> constataram que a privatização de empresas do setor elétrico, de fato, melhorou a questão financeira das empresas analisadas, o que, entretanto, não se refletiu em melhoras direcionadas ao consumidor.</w:t>
      </w:r>
    </w:p>
    <w:p w14:paraId="289A3A93" w14:textId="43EC67FD" w:rsidR="009E5621" w:rsidRDefault="009E5621" w:rsidP="009E5621">
      <w:pPr>
        <w:pStyle w:val="TextoABNT"/>
        <w:spacing w:line="240" w:lineRule="auto"/>
        <w:ind w:firstLine="720"/>
      </w:pPr>
      <w:r>
        <w:t xml:space="preserve">Por fim, recomenda-se para futuros trabalhos a seleção de uma amostra maior de empresas e um </w:t>
      </w:r>
      <w:r w:rsidR="00305D59">
        <w:t>período</w:t>
      </w:r>
      <w:r>
        <w:t xml:space="preserve"> </w:t>
      </w:r>
      <w:r w:rsidR="00C37153">
        <w:t>mais amplo</w:t>
      </w:r>
      <w:r>
        <w:t>, seja na amostra total ou em uma análise de</w:t>
      </w:r>
      <w:r w:rsidR="00C37153">
        <w:t xml:space="preserve"> uma</w:t>
      </w:r>
      <w:r>
        <w:t xml:space="preserve"> empresa específica. Sugere-se também a observação de outras demonstrações contábeis ou cálculo de índices para as empresas, a fim de se obter materiais complementares à DVA.</w:t>
      </w:r>
      <w:r w:rsidR="00954E68">
        <w:t xml:space="preserve"> Ainda, a aplicação de mais testes estatísticos e maiores estudos quanto aos impactos da privatização no setor elétrico podem contribuir para nortear decisões.</w:t>
      </w:r>
    </w:p>
    <w:p w14:paraId="3FC5DC04" w14:textId="77777777" w:rsidR="009E5621" w:rsidRPr="00B355E3" w:rsidRDefault="009E5621" w:rsidP="009E5621">
      <w:pPr>
        <w:pStyle w:val="TextoABNT"/>
        <w:spacing w:line="240" w:lineRule="auto"/>
      </w:pPr>
    </w:p>
    <w:p w14:paraId="24964B4A" w14:textId="77777777" w:rsidR="009E5621" w:rsidRDefault="009E5621" w:rsidP="000F2BCA">
      <w:pPr>
        <w:pStyle w:val="Ttulo1"/>
        <w:numPr>
          <w:ilvl w:val="0"/>
          <w:numId w:val="0"/>
        </w:numPr>
        <w:spacing w:before="0" w:after="0"/>
      </w:pPr>
      <w:r>
        <w:t xml:space="preserve">REFERÊNCIAS </w:t>
      </w:r>
    </w:p>
    <w:p w14:paraId="3FABD99E" w14:textId="77777777" w:rsidR="00FA65B0" w:rsidRDefault="00FA65B0" w:rsidP="000F2BCA">
      <w:pPr>
        <w:rPr>
          <w:sz w:val="24"/>
        </w:rPr>
      </w:pPr>
      <w:bookmarkStart w:id="4" w:name="_Hlk510643819"/>
    </w:p>
    <w:p w14:paraId="2587B8DB" w14:textId="46995143" w:rsidR="00FA65B0" w:rsidRPr="008250EC" w:rsidRDefault="00FA65B0" w:rsidP="000F2BCA">
      <w:pPr>
        <w:rPr>
          <w:sz w:val="24"/>
          <w:szCs w:val="24"/>
        </w:rPr>
      </w:pPr>
      <w:r>
        <w:rPr>
          <w:sz w:val="24"/>
        </w:rPr>
        <w:t xml:space="preserve">ANEEL. (2015). </w:t>
      </w:r>
      <w:r w:rsidRPr="00FA65B0">
        <w:rPr>
          <w:sz w:val="24"/>
        </w:rPr>
        <w:t>M</w:t>
      </w:r>
      <w:r>
        <w:rPr>
          <w:sz w:val="24"/>
        </w:rPr>
        <w:t>anual de Contabilidade do Setor Elétrico</w:t>
      </w:r>
      <w:r w:rsidR="00B13A1A">
        <w:rPr>
          <w:sz w:val="24"/>
        </w:rPr>
        <w:t>. Recuperado</w:t>
      </w:r>
      <w:r w:rsidR="00A03B3B">
        <w:rPr>
          <w:sz w:val="24"/>
        </w:rPr>
        <w:t xml:space="preserve"> em 23 de abril, 2018,</w:t>
      </w:r>
      <w:r w:rsidR="00B13A1A">
        <w:rPr>
          <w:sz w:val="24"/>
        </w:rPr>
        <w:t xml:space="preserve"> de </w:t>
      </w:r>
      <w:r w:rsidR="008250EC" w:rsidRPr="00FC48B1">
        <w:rPr>
          <w:sz w:val="24"/>
          <w:szCs w:val="24"/>
        </w:rPr>
        <w:t>http://www2.aneel.gov.br/arquivos/PDF/MCSE_-_Revis%C3%A3o.pdf</w:t>
      </w:r>
      <w:r w:rsidR="008250EC" w:rsidRPr="008250EC">
        <w:rPr>
          <w:sz w:val="24"/>
          <w:szCs w:val="24"/>
        </w:rPr>
        <w:t xml:space="preserve"> </w:t>
      </w:r>
    </w:p>
    <w:p w14:paraId="0B1C6F6D" w14:textId="77777777" w:rsidR="00B13A1A" w:rsidRDefault="00B13A1A" w:rsidP="000F2BCA">
      <w:pPr>
        <w:rPr>
          <w:sz w:val="24"/>
        </w:rPr>
      </w:pPr>
    </w:p>
    <w:p w14:paraId="38FFF2BC" w14:textId="6616C722" w:rsidR="002528B6" w:rsidRPr="008250EC" w:rsidRDefault="002528B6" w:rsidP="000F2BCA">
      <w:pPr>
        <w:rPr>
          <w:sz w:val="24"/>
          <w:szCs w:val="24"/>
        </w:rPr>
      </w:pPr>
      <w:r>
        <w:rPr>
          <w:sz w:val="24"/>
        </w:rPr>
        <w:t>A</w:t>
      </w:r>
      <w:r w:rsidR="00574F7E">
        <w:rPr>
          <w:sz w:val="24"/>
        </w:rPr>
        <w:t>raújo</w:t>
      </w:r>
      <w:r>
        <w:rPr>
          <w:sz w:val="24"/>
        </w:rPr>
        <w:t>, F</w:t>
      </w:r>
      <w:r w:rsidR="00574F7E">
        <w:rPr>
          <w:sz w:val="24"/>
        </w:rPr>
        <w:t>.</w:t>
      </w:r>
      <w:r w:rsidR="00897E3B">
        <w:rPr>
          <w:sz w:val="24"/>
        </w:rPr>
        <w:t>, &amp;</w:t>
      </w:r>
      <w:r>
        <w:rPr>
          <w:sz w:val="24"/>
        </w:rPr>
        <w:t xml:space="preserve"> C</w:t>
      </w:r>
      <w:r w:rsidR="00574F7E">
        <w:rPr>
          <w:sz w:val="24"/>
        </w:rPr>
        <w:t>haves</w:t>
      </w:r>
      <w:r>
        <w:rPr>
          <w:sz w:val="24"/>
        </w:rPr>
        <w:t>, I</w:t>
      </w:r>
      <w:r w:rsidR="00574F7E">
        <w:rPr>
          <w:sz w:val="24"/>
        </w:rPr>
        <w:t>. (2018).</w:t>
      </w:r>
      <w:r>
        <w:rPr>
          <w:sz w:val="24"/>
        </w:rPr>
        <w:t xml:space="preserve"> </w:t>
      </w:r>
      <w:r w:rsidRPr="00D71AA4">
        <w:rPr>
          <w:sz w:val="24"/>
        </w:rPr>
        <w:t xml:space="preserve">Privatização da </w:t>
      </w:r>
      <w:proofErr w:type="spellStart"/>
      <w:r w:rsidRPr="00D71AA4">
        <w:rPr>
          <w:sz w:val="24"/>
        </w:rPr>
        <w:t>Eletrobras</w:t>
      </w:r>
      <w:proofErr w:type="spellEnd"/>
      <w:r w:rsidRPr="00D71AA4">
        <w:rPr>
          <w:sz w:val="24"/>
        </w:rPr>
        <w:t>, o Brasil na contramão do mundo – Artigo.</w:t>
      </w:r>
      <w:r>
        <w:rPr>
          <w:b/>
          <w:sz w:val="24"/>
        </w:rPr>
        <w:t xml:space="preserve"> </w:t>
      </w:r>
      <w:r w:rsidR="00574F7E">
        <w:rPr>
          <w:sz w:val="24"/>
        </w:rPr>
        <w:t xml:space="preserve">Recuperado </w:t>
      </w:r>
      <w:r w:rsidR="00A03B3B">
        <w:rPr>
          <w:sz w:val="24"/>
        </w:rPr>
        <w:t xml:space="preserve">em 15 de abril, 2018, </w:t>
      </w:r>
      <w:r w:rsidR="00574F7E" w:rsidRPr="009A4586">
        <w:rPr>
          <w:sz w:val="24"/>
          <w:szCs w:val="24"/>
        </w:rPr>
        <w:t>de</w:t>
      </w:r>
      <w:r w:rsidR="00574F7E" w:rsidRPr="00A63296">
        <w:rPr>
          <w:sz w:val="24"/>
          <w:szCs w:val="24"/>
        </w:rPr>
        <w:t xml:space="preserve"> </w:t>
      </w:r>
      <w:r w:rsidR="008250EC" w:rsidRPr="00FC48B1">
        <w:rPr>
          <w:sz w:val="24"/>
          <w:szCs w:val="24"/>
        </w:rPr>
        <w:t>http://www.ilumina.org.br/privatizacao-da-eletrobras-o-brasil-na-contramao-do-mundo-artigo</w:t>
      </w:r>
      <w:r w:rsidR="008250EC" w:rsidRPr="008250EC">
        <w:rPr>
          <w:sz w:val="24"/>
          <w:szCs w:val="24"/>
        </w:rPr>
        <w:t xml:space="preserve"> </w:t>
      </w:r>
      <w:r w:rsidR="00D71AA4" w:rsidRPr="008250EC">
        <w:rPr>
          <w:sz w:val="24"/>
          <w:szCs w:val="24"/>
        </w:rPr>
        <w:t xml:space="preserve"> </w:t>
      </w:r>
    </w:p>
    <w:p w14:paraId="59536347" w14:textId="77777777" w:rsidR="000D308F" w:rsidRPr="00385EDE" w:rsidRDefault="000D308F" w:rsidP="000F2BCA">
      <w:pPr>
        <w:rPr>
          <w:sz w:val="24"/>
        </w:rPr>
      </w:pPr>
    </w:p>
    <w:p w14:paraId="4E0FD6A9" w14:textId="2B22BA63" w:rsidR="002528B6" w:rsidRDefault="002528B6" w:rsidP="000F2BCA">
      <w:pPr>
        <w:rPr>
          <w:sz w:val="24"/>
        </w:rPr>
      </w:pPr>
      <w:r w:rsidRPr="00496229">
        <w:rPr>
          <w:sz w:val="24"/>
        </w:rPr>
        <w:t>C</w:t>
      </w:r>
      <w:r w:rsidR="000D308F">
        <w:rPr>
          <w:sz w:val="24"/>
        </w:rPr>
        <w:t>astro</w:t>
      </w:r>
      <w:r w:rsidRPr="00496229">
        <w:rPr>
          <w:sz w:val="24"/>
        </w:rPr>
        <w:t>, N</w:t>
      </w:r>
      <w:r w:rsidR="000D308F">
        <w:rPr>
          <w:sz w:val="24"/>
        </w:rPr>
        <w:t>.</w:t>
      </w:r>
      <w:r w:rsidRPr="00496229">
        <w:rPr>
          <w:sz w:val="24"/>
        </w:rPr>
        <w:t xml:space="preserve"> J. de</w:t>
      </w:r>
      <w:r w:rsidR="000D308F">
        <w:rPr>
          <w:sz w:val="24"/>
        </w:rPr>
        <w:t>,</w:t>
      </w:r>
      <w:r w:rsidRPr="00496229">
        <w:rPr>
          <w:sz w:val="24"/>
        </w:rPr>
        <w:t xml:space="preserve"> </w:t>
      </w:r>
      <w:r w:rsidR="00897E3B">
        <w:rPr>
          <w:sz w:val="24"/>
        </w:rPr>
        <w:t>&amp;</w:t>
      </w:r>
      <w:r w:rsidRPr="00496229">
        <w:rPr>
          <w:sz w:val="24"/>
        </w:rPr>
        <w:t xml:space="preserve"> B</w:t>
      </w:r>
      <w:r w:rsidR="000D308F">
        <w:rPr>
          <w:sz w:val="24"/>
        </w:rPr>
        <w:t>randão,</w:t>
      </w:r>
      <w:r w:rsidRPr="00496229">
        <w:rPr>
          <w:sz w:val="24"/>
        </w:rPr>
        <w:t xml:space="preserve"> R</w:t>
      </w:r>
      <w:r w:rsidR="000D308F">
        <w:rPr>
          <w:sz w:val="24"/>
        </w:rPr>
        <w:t>.</w:t>
      </w:r>
      <w:r w:rsidRPr="00496229">
        <w:rPr>
          <w:sz w:val="24"/>
        </w:rPr>
        <w:t xml:space="preserve"> </w:t>
      </w:r>
      <w:r w:rsidR="000D308F">
        <w:rPr>
          <w:sz w:val="24"/>
        </w:rPr>
        <w:t>O setor elétrico e a carga tributária. (2010).</w:t>
      </w:r>
      <w:r w:rsidRPr="00496229">
        <w:rPr>
          <w:sz w:val="24"/>
        </w:rPr>
        <w:t xml:space="preserve"> </w:t>
      </w:r>
      <w:r w:rsidRPr="00D71AA4">
        <w:rPr>
          <w:i/>
          <w:sz w:val="24"/>
        </w:rPr>
        <w:t xml:space="preserve">Agência </w:t>
      </w:r>
      <w:proofErr w:type="spellStart"/>
      <w:r w:rsidRPr="00D71AA4">
        <w:rPr>
          <w:i/>
          <w:sz w:val="24"/>
        </w:rPr>
        <w:t>CanalEnergia</w:t>
      </w:r>
      <w:proofErr w:type="spellEnd"/>
      <w:r w:rsidRPr="00D71AA4">
        <w:rPr>
          <w:i/>
          <w:sz w:val="24"/>
        </w:rPr>
        <w:t>.</w:t>
      </w:r>
      <w:r w:rsidRPr="00496229">
        <w:rPr>
          <w:sz w:val="24"/>
        </w:rPr>
        <w:t xml:space="preserve"> Rio de Janeiro, </w:t>
      </w:r>
      <w:r w:rsidR="000D308F">
        <w:rPr>
          <w:sz w:val="24"/>
        </w:rPr>
        <w:t>RJ</w:t>
      </w:r>
      <w:r w:rsidRPr="00496229">
        <w:rPr>
          <w:sz w:val="24"/>
        </w:rPr>
        <w:t>.</w:t>
      </w:r>
    </w:p>
    <w:p w14:paraId="3986017A" w14:textId="607ACCC3" w:rsidR="000D308F" w:rsidRDefault="000D308F" w:rsidP="000F2BCA">
      <w:pPr>
        <w:rPr>
          <w:sz w:val="24"/>
        </w:rPr>
      </w:pPr>
    </w:p>
    <w:p w14:paraId="45BD616F" w14:textId="0CEAC2A0" w:rsidR="00A03B3B" w:rsidRDefault="002203E4" w:rsidP="000F2BCA">
      <w:pPr>
        <w:rPr>
          <w:sz w:val="24"/>
        </w:rPr>
      </w:pPr>
      <w:r w:rsidRPr="002203E4">
        <w:rPr>
          <w:sz w:val="24"/>
        </w:rPr>
        <w:lastRenderedPageBreak/>
        <w:t xml:space="preserve">Pronunciamento Técnico CPC </w:t>
      </w:r>
      <w:r>
        <w:rPr>
          <w:sz w:val="24"/>
        </w:rPr>
        <w:t>09</w:t>
      </w:r>
      <w:r w:rsidRPr="002203E4">
        <w:rPr>
          <w:sz w:val="24"/>
        </w:rPr>
        <w:t xml:space="preserve"> </w:t>
      </w:r>
      <w:r>
        <w:rPr>
          <w:sz w:val="24"/>
        </w:rPr>
        <w:t>–</w:t>
      </w:r>
      <w:r w:rsidRPr="002203E4">
        <w:rPr>
          <w:sz w:val="24"/>
        </w:rPr>
        <w:t xml:space="preserve"> </w:t>
      </w:r>
      <w:r>
        <w:rPr>
          <w:sz w:val="24"/>
        </w:rPr>
        <w:t xml:space="preserve">Demonstração do Valor Adicionado. (2008). </w:t>
      </w:r>
      <w:r w:rsidRPr="002203E4">
        <w:rPr>
          <w:sz w:val="24"/>
        </w:rPr>
        <w:t xml:space="preserve">Recuperado </w:t>
      </w:r>
      <w:r w:rsidR="00A03B3B">
        <w:rPr>
          <w:sz w:val="24"/>
        </w:rPr>
        <w:t xml:space="preserve">em 26 de abril, 2018, </w:t>
      </w:r>
      <w:r w:rsidRPr="002203E4">
        <w:rPr>
          <w:sz w:val="24"/>
        </w:rPr>
        <w:t>de</w:t>
      </w:r>
      <w:r w:rsidR="00A03B3B">
        <w:rPr>
          <w:sz w:val="24"/>
        </w:rPr>
        <w:t xml:space="preserve"> </w:t>
      </w:r>
      <w:r w:rsidR="00A03B3B" w:rsidRPr="00FC48B1">
        <w:rPr>
          <w:sz w:val="24"/>
        </w:rPr>
        <w:t>http://www.cpc.org.br/CPC/Documentos-Emitidos/Pronunciamentos/Pronunciamento?Id=40</w:t>
      </w:r>
    </w:p>
    <w:p w14:paraId="209AD107" w14:textId="77777777" w:rsidR="002203E4" w:rsidRDefault="002203E4" w:rsidP="000F2BCA">
      <w:pPr>
        <w:rPr>
          <w:sz w:val="24"/>
        </w:rPr>
      </w:pPr>
    </w:p>
    <w:p w14:paraId="0D573495" w14:textId="37B58916" w:rsidR="00354873" w:rsidRPr="008A6E5F" w:rsidRDefault="00354873" w:rsidP="000F2BCA">
      <w:pPr>
        <w:rPr>
          <w:sz w:val="24"/>
        </w:rPr>
      </w:pPr>
      <w:r w:rsidRPr="00FB631C">
        <w:rPr>
          <w:sz w:val="24"/>
        </w:rPr>
        <w:t>C</w:t>
      </w:r>
      <w:r w:rsidR="008A6E5F" w:rsidRPr="00FB631C">
        <w:rPr>
          <w:sz w:val="24"/>
        </w:rPr>
        <w:t>orrea</w:t>
      </w:r>
      <w:r w:rsidRPr="00FB631C">
        <w:rPr>
          <w:sz w:val="24"/>
        </w:rPr>
        <w:t>, A</w:t>
      </w:r>
      <w:r w:rsidR="00574F7E" w:rsidRPr="00FB631C">
        <w:rPr>
          <w:sz w:val="24"/>
        </w:rPr>
        <w:t>.; T</w:t>
      </w:r>
      <w:r w:rsidR="008A6E5F" w:rsidRPr="00FB631C">
        <w:rPr>
          <w:sz w:val="24"/>
        </w:rPr>
        <w:t>affarel, M., Ribeiro, F., Menon, G. Men</w:t>
      </w:r>
      <w:r w:rsidR="008A6E5F" w:rsidRPr="00D71AA4">
        <w:rPr>
          <w:sz w:val="24"/>
        </w:rPr>
        <w:t>o</w:t>
      </w:r>
      <w:r w:rsidR="008A6E5F" w:rsidRPr="00FB631C">
        <w:rPr>
          <w:sz w:val="24"/>
        </w:rPr>
        <w:t xml:space="preserve">n. </w:t>
      </w:r>
      <w:r w:rsidR="008A6E5F" w:rsidRPr="008A6E5F">
        <w:rPr>
          <w:sz w:val="24"/>
        </w:rPr>
        <w:t>An</w:t>
      </w:r>
      <w:r w:rsidR="008A6E5F" w:rsidRPr="00D71AA4">
        <w:rPr>
          <w:sz w:val="24"/>
        </w:rPr>
        <w:t xml:space="preserve">álise de Eficiência: Uma Comparação das Empresas Estatais e Privadas do Setor de Energia Elétrica Brasileiro. </w:t>
      </w:r>
      <w:r w:rsidR="008A6E5F">
        <w:rPr>
          <w:sz w:val="24"/>
        </w:rPr>
        <w:t xml:space="preserve">(2016). </w:t>
      </w:r>
      <w:r w:rsidR="008A6E5F" w:rsidRPr="00D71AA4">
        <w:rPr>
          <w:i/>
          <w:sz w:val="24"/>
        </w:rPr>
        <w:t>Revista Catarinense da Ciência Contábil – CRCSC</w:t>
      </w:r>
      <w:r w:rsidR="008A6E5F">
        <w:rPr>
          <w:i/>
          <w:sz w:val="24"/>
        </w:rPr>
        <w:t xml:space="preserve">. </w:t>
      </w:r>
      <w:r w:rsidR="008A6E5F" w:rsidRPr="00D71AA4">
        <w:rPr>
          <w:sz w:val="24"/>
        </w:rPr>
        <w:t>Florianópolis, SC</w:t>
      </w:r>
      <w:r w:rsidR="008A6E5F">
        <w:rPr>
          <w:sz w:val="24"/>
        </w:rPr>
        <w:t>. 09-23.</w:t>
      </w:r>
    </w:p>
    <w:p w14:paraId="5B32E964" w14:textId="77777777" w:rsidR="002203E4" w:rsidRPr="008A6E5F" w:rsidRDefault="002203E4" w:rsidP="000F2BCA">
      <w:pPr>
        <w:rPr>
          <w:sz w:val="24"/>
        </w:rPr>
      </w:pPr>
    </w:p>
    <w:p w14:paraId="483A4C87" w14:textId="57E7B51B" w:rsidR="002528B6" w:rsidRPr="00496229" w:rsidRDefault="002528B6" w:rsidP="000F2BCA">
      <w:pPr>
        <w:rPr>
          <w:sz w:val="24"/>
        </w:rPr>
      </w:pPr>
      <w:r>
        <w:rPr>
          <w:sz w:val="24"/>
        </w:rPr>
        <w:t>C</w:t>
      </w:r>
      <w:r w:rsidR="002203E4">
        <w:rPr>
          <w:sz w:val="24"/>
        </w:rPr>
        <w:t xml:space="preserve">osenza, </w:t>
      </w:r>
      <w:r w:rsidRPr="00496229">
        <w:rPr>
          <w:sz w:val="24"/>
        </w:rPr>
        <w:t>J</w:t>
      </w:r>
      <w:r w:rsidR="002203E4">
        <w:rPr>
          <w:sz w:val="24"/>
        </w:rPr>
        <w:t>.</w:t>
      </w:r>
      <w:r w:rsidRPr="00496229">
        <w:rPr>
          <w:sz w:val="24"/>
        </w:rPr>
        <w:t xml:space="preserve"> P</w:t>
      </w:r>
      <w:r w:rsidR="002203E4">
        <w:rPr>
          <w:sz w:val="24"/>
        </w:rPr>
        <w:t>. (2005).</w:t>
      </w:r>
      <w:r w:rsidRPr="00496229">
        <w:rPr>
          <w:sz w:val="24"/>
        </w:rPr>
        <w:t xml:space="preserve"> </w:t>
      </w:r>
      <w:r w:rsidRPr="00D71AA4">
        <w:rPr>
          <w:sz w:val="24"/>
        </w:rPr>
        <w:t xml:space="preserve">A </w:t>
      </w:r>
      <w:r w:rsidR="00420D8B" w:rsidRPr="00D71AA4">
        <w:rPr>
          <w:sz w:val="24"/>
        </w:rPr>
        <w:t>Eficácia Informativa da Demonstração do Valor Adicionado</w:t>
      </w:r>
      <w:r w:rsidRPr="00D71AA4">
        <w:rPr>
          <w:sz w:val="24"/>
        </w:rPr>
        <w:t>.</w:t>
      </w:r>
      <w:r w:rsidRPr="00496229">
        <w:rPr>
          <w:sz w:val="24"/>
        </w:rPr>
        <w:t xml:space="preserve"> </w:t>
      </w:r>
      <w:r w:rsidRPr="00D71AA4">
        <w:rPr>
          <w:i/>
          <w:sz w:val="24"/>
        </w:rPr>
        <w:t>Revista Contabilidade &amp; Finanças - USP</w:t>
      </w:r>
      <w:r w:rsidRPr="00496229">
        <w:rPr>
          <w:sz w:val="24"/>
        </w:rPr>
        <w:t>, 7-29</w:t>
      </w:r>
      <w:r w:rsidR="002203E4">
        <w:rPr>
          <w:sz w:val="24"/>
        </w:rPr>
        <w:t>.</w:t>
      </w:r>
    </w:p>
    <w:p w14:paraId="5DF9DDC2" w14:textId="77777777" w:rsidR="002203E4" w:rsidRDefault="002203E4" w:rsidP="000F2BCA">
      <w:pPr>
        <w:rPr>
          <w:sz w:val="24"/>
          <w:szCs w:val="24"/>
        </w:rPr>
      </w:pPr>
    </w:p>
    <w:p w14:paraId="7F96BF57" w14:textId="1646588F" w:rsidR="002528B6" w:rsidRDefault="002528B6" w:rsidP="000F2BCA">
      <w:pPr>
        <w:rPr>
          <w:sz w:val="24"/>
          <w:szCs w:val="24"/>
        </w:rPr>
      </w:pPr>
      <w:r w:rsidRPr="00496229">
        <w:rPr>
          <w:sz w:val="24"/>
          <w:szCs w:val="24"/>
        </w:rPr>
        <w:t>C</w:t>
      </w:r>
      <w:r w:rsidR="00D67C69">
        <w:rPr>
          <w:sz w:val="24"/>
          <w:szCs w:val="24"/>
        </w:rPr>
        <w:t>osta,</w:t>
      </w:r>
      <w:r w:rsidRPr="00496229">
        <w:rPr>
          <w:sz w:val="24"/>
          <w:szCs w:val="24"/>
        </w:rPr>
        <w:t xml:space="preserve"> A. F. S.</w:t>
      </w:r>
      <w:r w:rsidR="00D67C69">
        <w:rPr>
          <w:sz w:val="24"/>
          <w:szCs w:val="24"/>
        </w:rPr>
        <w:t>,</w:t>
      </w:r>
      <w:r w:rsidRPr="00496229">
        <w:rPr>
          <w:sz w:val="24"/>
          <w:szCs w:val="24"/>
        </w:rPr>
        <w:t xml:space="preserve"> </w:t>
      </w:r>
      <w:r w:rsidR="00AF61A6">
        <w:rPr>
          <w:sz w:val="24"/>
          <w:szCs w:val="24"/>
        </w:rPr>
        <w:t>&amp;</w:t>
      </w:r>
      <w:r w:rsidRPr="00496229">
        <w:rPr>
          <w:sz w:val="24"/>
          <w:szCs w:val="24"/>
        </w:rPr>
        <w:t xml:space="preserve"> </w:t>
      </w:r>
      <w:proofErr w:type="spellStart"/>
      <w:r w:rsidRPr="00496229">
        <w:rPr>
          <w:sz w:val="24"/>
          <w:szCs w:val="24"/>
        </w:rPr>
        <w:t>Z</w:t>
      </w:r>
      <w:r w:rsidR="00AF61A6">
        <w:rPr>
          <w:sz w:val="24"/>
          <w:szCs w:val="24"/>
        </w:rPr>
        <w:t>otes</w:t>
      </w:r>
      <w:proofErr w:type="spellEnd"/>
      <w:r w:rsidRPr="00496229">
        <w:rPr>
          <w:sz w:val="24"/>
          <w:szCs w:val="24"/>
        </w:rPr>
        <w:t xml:space="preserve">, L. P. </w:t>
      </w:r>
      <w:r w:rsidR="00AF61A6">
        <w:rPr>
          <w:sz w:val="24"/>
          <w:szCs w:val="24"/>
        </w:rPr>
        <w:t xml:space="preserve">(2005). </w:t>
      </w:r>
      <w:r w:rsidRPr="00D71AA4">
        <w:rPr>
          <w:sz w:val="24"/>
          <w:szCs w:val="24"/>
        </w:rPr>
        <w:t>Os Impactos da Privatização sobre o Nível de Emprego no Setor Elétrico Brasileiro.</w:t>
      </w:r>
      <w:r w:rsidRPr="00496229">
        <w:rPr>
          <w:sz w:val="24"/>
          <w:szCs w:val="24"/>
        </w:rPr>
        <w:t xml:space="preserve"> II Simpósio de Excelência em Gestão e Tecnologia. Rio de Janeiro</w:t>
      </w:r>
      <w:r w:rsidR="00AF61A6">
        <w:rPr>
          <w:sz w:val="24"/>
          <w:szCs w:val="24"/>
        </w:rPr>
        <w:t>, RJ.</w:t>
      </w:r>
    </w:p>
    <w:p w14:paraId="51AED016" w14:textId="77777777" w:rsidR="00AF61A6" w:rsidRPr="00496229" w:rsidRDefault="00AF61A6" w:rsidP="000F2BCA">
      <w:pPr>
        <w:rPr>
          <w:sz w:val="24"/>
          <w:szCs w:val="24"/>
        </w:rPr>
      </w:pPr>
    </w:p>
    <w:p w14:paraId="553766D0" w14:textId="35860801" w:rsidR="002528B6" w:rsidRDefault="00AF61A6" w:rsidP="000F2BCA">
      <w:pPr>
        <w:rPr>
          <w:sz w:val="24"/>
          <w:szCs w:val="24"/>
        </w:rPr>
      </w:pPr>
      <w:r w:rsidRPr="00496229">
        <w:rPr>
          <w:sz w:val="24"/>
          <w:szCs w:val="24"/>
        </w:rPr>
        <w:t>C</w:t>
      </w:r>
      <w:r>
        <w:rPr>
          <w:sz w:val="24"/>
          <w:szCs w:val="24"/>
        </w:rPr>
        <w:t>osta,</w:t>
      </w:r>
      <w:r w:rsidRPr="00496229">
        <w:rPr>
          <w:sz w:val="24"/>
          <w:szCs w:val="24"/>
        </w:rPr>
        <w:t xml:space="preserve"> A. F. S.</w:t>
      </w:r>
      <w:r>
        <w:rPr>
          <w:sz w:val="24"/>
          <w:szCs w:val="24"/>
        </w:rPr>
        <w:t>,</w:t>
      </w:r>
      <w:r w:rsidRPr="00496229">
        <w:rPr>
          <w:sz w:val="24"/>
          <w:szCs w:val="24"/>
        </w:rPr>
        <w:t xml:space="preserve"> </w:t>
      </w:r>
      <w:r>
        <w:rPr>
          <w:sz w:val="24"/>
          <w:szCs w:val="24"/>
        </w:rPr>
        <w:t>&amp;</w:t>
      </w:r>
      <w:r w:rsidRPr="00496229">
        <w:rPr>
          <w:sz w:val="24"/>
          <w:szCs w:val="24"/>
        </w:rPr>
        <w:t xml:space="preserve"> </w:t>
      </w:r>
      <w:proofErr w:type="spellStart"/>
      <w:r w:rsidRPr="00496229">
        <w:rPr>
          <w:sz w:val="24"/>
          <w:szCs w:val="24"/>
        </w:rPr>
        <w:t>Z</w:t>
      </w:r>
      <w:r>
        <w:rPr>
          <w:sz w:val="24"/>
          <w:szCs w:val="24"/>
        </w:rPr>
        <w:t>otes</w:t>
      </w:r>
      <w:proofErr w:type="spellEnd"/>
      <w:r w:rsidRPr="00496229">
        <w:rPr>
          <w:sz w:val="24"/>
          <w:szCs w:val="24"/>
        </w:rPr>
        <w:t xml:space="preserve">, L. P. </w:t>
      </w:r>
      <w:r>
        <w:rPr>
          <w:sz w:val="24"/>
          <w:szCs w:val="24"/>
        </w:rPr>
        <w:t xml:space="preserve">(2005). </w:t>
      </w:r>
      <w:r w:rsidR="002528B6" w:rsidRPr="00496229">
        <w:rPr>
          <w:sz w:val="24"/>
          <w:szCs w:val="24"/>
        </w:rPr>
        <w:t xml:space="preserve"> </w:t>
      </w:r>
      <w:r w:rsidR="002528B6" w:rsidRPr="00D71AA4">
        <w:rPr>
          <w:sz w:val="24"/>
          <w:szCs w:val="24"/>
        </w:rPr>
        <w:t>Os Impactos da Privatização sobre a Qualidade dos Serviços: O Caso de uma Distribuidora de Energia Elétrica.</w:t>
      </w:r>
      <w:r w:rsidR="002528B6" w:rsidRPr="00496229">
        <w:rPr>
          <w:sz w:val="24"/>
          <w:szCs w:val="24"/>
        </w:rPr>
        <w:t xml:space="preserve"> II Simpósio de Excelência em Gestão e Tecnologia. Rio de Janeiro</w:t>
      </w:r>
      <w:r>
        <w:rPr>
          <w:sz w:val="24"/>
          <w:szCs w:val="24"/>
        </w:rPr>
        <w:t>, RJ.</w:t>
      </w:r>
    </w:p>
    <w:p w14:paraId="47C9FDC0" w14:textId="77777777" w:rsidR="00AF61A6" w:rsidRPr="00496229" w:rsidRDefault="00AF61A6" w:rsidP="000F2BCA">
      <w:pPr>
        <w:rPr>
          <w:sz w:val="24"/>
          <w:szCs w:val="24"/>
        </w:rPr>
      </w:pPr>
    </w:p>
    <w:p w14:paraId="49701D4B" w14:textId="39A58EA6" w:rsidR="002528B6" w:rsidRDefault="002528B6" w:rsidP="000F2BCA">
      <w:pPr>
        <w:rPr>
          <w:sz w:val="24"/>
        </w:rPr>
      </w:pPr>
      <w:r w:rsidRPr="00496229">
        <w:rPr>
          <w:sz w:val="24"/>
        </w:rPr>
        <w:t>C</w:t>
      </w:r>
      <w:r w:rsidR="005C1E2E">
        <w:rPr>
          <w:sz w:val="24"/>
        </w:rPr>
        <w:t>unha</w:t>
      </w:r>
      <w:r w:rsidRPr="00496229">
        <w:rPr>
          <w:sz w:val="24"/>
        </w:rPr>
        <w:t>, J</w:t>
      </w:r>
      <w:r w:rsidR="005C1E2E">
        <w:rPr>
          <w:sz w:val="24"/>
        </w:rPr>
        <w:t>.</w:t>
      </w:r>
      <w:r w:rsidRPr="00496229">
        <w:rPr>
          <w:sz w:val="24"/>
        </w:rPr>
        <w:t xml:space="preserve"> V</w:t>
      </w:r>
      <w:r w:rsidR="005C1E2E">
        <w:rPr>
          <w:sz w:val="24"/>
        </w:rPr>
        <w:t>.</w:t>
      </w:r>
      <w:r w:rsidRPr="00496229">
        <w:rPr>
          <w:sz w:val="24"/>
        </w:rPr>
        <w:t xml:space="preserve"> A</w:t>
      </w:r>
      <w:r w:rsidR="005C1E2E">
        <w:rPr>
          <w:sz w:val="24"/>
        </w:rPr>
        <w:t>.</w:t>
      </w:r>
      <w:r w:rsidRPr="00496229">
        <w:rPr>
          <w:sz w:val="24"/>
        </w:rPr>
        <w:t xml:space="preserve"> da.</w:t>
      </w:r>
      <w:r w:rsidR="005C1E2E">
        <w:rPr>
          <w:sz w:val="24"/>
        </w:rPr>
        <w:t xml:space="preserve"> (2002).</w:t>
      </w:r>
      <w:r w:rsidRPr="00496229">
        <w:rPr>
          <w:sz w:val="24"/>
        </w:rPr>
        <w:t xml:space="preserve"> </w:t>
      </w:r>
      <w:r w:rsidRPr="00D71AA4">
        <w:rPr>
          <w:sz w:val="24"/>
        </w:rPr>
        <w:t>Demonstração contábil do valor adicionado – DVA – um instrumento de mensuração da distribuição da riqueza das empresas para os funcionários.</w:t>
      </w:r>
      <w:r w:rsidRPr="00496229">
        <w:rPr>
          <w:sz w:val="24"/>
        </w:rPr>
        <w:t xml:space="preserve"> (</w:t>
      </w:r>
      <w:r w:rsidR="005C1E2E">
        <w:rPr>
          <w:sz w:val="24"/>
        </w:rPr>
        <w:t xml:space="preserve">Tese de </w:t>
      </w:r>
      <w:r w:rsidRPr="00496229">
        <w:rPr>
          <w:sz w:val="24"/>
        </w:rPr>
        <w:t>Mestrado</w:t>
      </w:r>
      <w:r w:rsidR="005C1E2E">
        <w:rPr>
          <w:sz w:val="24"/>
        </w:rPr>
        <w:t xml:space="preserve"> não publicada</w:t>
      </w:r>
      <w:r w:rsidRPr="00496229">
        <w:rPr>
          <w:sz w:val="24"/>
        </w:rPr>
        <w:t>)</w:t>
      </w:r>
      <w:r w:rsidR="005C1E2E">
        <w:rPr>
          <w:sz w:val="24"/>
        </w:rPr>
        <w:t>.</w:t>
      </w:r>
      <w:r w:rsidRPr="00496229">
        <w:rPr>
          <w:sz w:val="24"/>
        </w:rPr>
        <w:t xml:space="preserve"> Faculdade de Economia e Contabilidade da Universidade de São Paulo, São Paulo</w:t>
      </w:r>
      <w:r w:rsidR="005C1E2E">
        <w:rPr>
          <w:sz w:val="24"/>
        </w:rPr>
        <w:t>.</w:t>
      </w:r>
    </w:p>
    <w:p w14:paraId="7F44F77A" w14:textId="77777777" w:rsidR="005C1E2E" w:rsidRDefault="005C1E2E" w:rsidP="000F2BCA">
      <w:pPr>
        <w:rPr>
          <w:sz w:val="24"/>
        </w:rPr>
      </w:pPr>
    </w:p>
    <w:p w14:paraId="6D209704" w14:textId="1D074CBD" w:rsidR="002528B6" w:rsidRPr="00F40CD3" w:rsidRDefault="002528B6" w:rsidP="000F2BCA">
      <w:pPr>
        <w:rPr>
          <w:sz w:val="32"/>
          <w:szCs w:val="24"/>
        </w:rPr>
      </w:pPr>
      <w:proofErr w:type="spellStart"/>
      <w:r>
        <w:rPr>
          <w:sz w:val="24"/>
        </w:rPr>
        <w:t>E</w:t>
      </w:r>
      <w:r w:rsidR="005C1E2E">
        <w:rPr>
          <w:sz w:val="24"/>
        </w:rPr>
        <w:t>letrobras</w:t>
      </w:r>
      <w:proofErr w:type="spellEnd"/>
      <w:r w:rsidR="005C1E2E">
        <w:rPr>
          <w:sz w:val="24"/>
        </w:rPr>
        <w:t>. (</w:t>
      </w:r>
      <w:r w:rsidR="003E05FE">
        <w:rPr>
          <w:sz w:val="24"/>
        </w:rPr>
        <w:t>2018</w:t>
      </w:r>
      <w:r w:rsidR="005C1E2E">
        <w:rPr>
          <w:sz w:val="24"/>
        </w:rPr>
        <w:t>)</w:t>
      </w:r>
      <w:r w:rsidR="00A96FE6">
        <w:rPr>
          <w:sz w:val="24"/>
        </w:rPr>
        <w:t>.</w:t>
      </w:r>
      <w:r w:rsidRPr="00496229">
        <w:rPr>
          <w:b/>
          <w:sz w:val="24"/>
        </w:rPr>
        <w:t xml:space="preserve"> </w:t>
      </w:r>
      <w:r w:rsidRPr="00D71AA4">
        <w:rPr>
          <w:sz w:val="24"/>
        </w:rPr>
        <w:t>História.</w:t>
      </w:r>
      <w:r>
        <w:rPr>
          <w:b/>
          <w:sz w:val="24"/>
        </w:rPr>
        <w:t xml:space="preserve"> </w:t>
      </w:r>
      <w:r w:rsidR="00A96FE6">
        <w:rPr>
          <w:sz w:val="24"/>
        </w:rPr>
        <w:t xml:space="preserve">Recuperado </w:t>
      </w:r>
      <w:r w:rsidR="00A03B3B">
        <w:rPr>
          <w:sz w:val="24"/>
        </w:rPr>
        <w:t xml:space="preserve">em 20 de abril, 2018, </w:t>
      </w:r>
      <w:r w:rsidR="00A96FE6">
        <w:rPr>
          <w:sz w:val="24"/>
        </w:rPr>
        <w:t xml:space="preserve">de: </w:t>
      </w:r>
      <w:r w:rsidR="00F40CD3" w:rsidRPr="00FC48B1">
        <w:rPr>
          <w:sz w:val="24"/>
          <w:szCs w:val="24"/>
        </w:rPr>
        <w:t>http://eletrobras.com/pt/Paginas/Historia.aspx</w:t>
      </w:r>
      <w:r w:rsidR="00F40CD3">
        <w:rPr>
          <w:sz w:val="24"/>
          <w:szCs w:val="24"/>
        </w:rPr>
        <w:t xml:space="preserve"> </w:t>
      </w:r>
    </w:p>
    <w:p w14:paraId="349424A9" w14:textId="77777777" w:rsidR="00A96FE6" w:rsidRDefault="00A96FE6" w:rsidP="000F2BCA">
      <w:pPr>
        <w:rPr>
          <w:sz w:val="24"/>
        </w:rPr>
      </w:pPr>
    </w:p>
    <w:p w14:paraId="164E6D51" w14:textId="2E4DF746" w:rsidR="002528B6" w:rsidRDefault="002528B6" w:rsidP="000F2BCA">
      <w:pPr>
        <w:rPr>
          <w:sz w:val="24"/>
        </w:rPr>
      </w:pPr>
      <w:proofErr w:type="spellStart"/>
      <w:r w:rsidRPr="005C22B0">
        <w:rPr>
          <w:sz w:val="24"/>
        </w:rPr>
        <w:t>E</w:t>
      </w:r>
      <w:r w:rsidR="00D64A96">
        <w:rPr>
          <w:sz w:val="24"/>
        </w:rPr>
        <w:t>sposito</w:t>
      </w:r>
      <w:proofErr w:type="spellEnd"/>
      <w:r w:rsidRPr="005C22B0">
        <w:rPr>
          <w:sz w:val="24"/>
        </w:rPr>
        <w:t>, A</w:t>
      </w:r>
      <w:r w:rsidR="00D64A96">
        <w:rPr>
          <w:sz w:val="24"/>
        </w:rPr>
        <w:t>.</w:t>
      </w:r>
      <w:r>
        <w:rPr>
          <w:sz w:val="24"/>
        </w:rPr>
        <w:t xml:space="preserve"> </w:t>
      </w:r>
      <w:r w:rsidRPr="005C22B0">
        <w:rPr>
          <w:sz w:val="24"/>
        </w:rPr>
        <w:t xml:space="preserve">S. </w:t>
      </w:r>
      <w:r w:rsidR="00D64A96">
        <w:rPr>
          <w:sz w:val="24"/>
        </w:rPr>
        <w:t xml:space="preserve">(2012). </w:t>
      </w:r>
      <w:r w:rsidRPr="00D71AA4">
        <w:rPr>
          <w:sz w:val="24"/>
        </w:rPr>
        <w:t>O Setor Elétrico Brasileiro e o BNDES: Reflexões Sobre o Financiamento Aos Investimentos e Perspectivas.</w:t>
      </w:r>
      <w:r w:rsidRPr="005C22B0">
        <w:rPr>
          <w:sz w:val="24"/>
        </w:rPr>
        <w:t xml:space="preserve"> </w:t>
      </w:r>
      <w:r w:rsidRPr="00787446">
        <w:rPr>
          <w:i/>
          <w:sz w:val="24"/>
        </w:rPr>
        <w:t>BNDES 60 anos: Perspectivas Setoriais</w:t>
      </w:r>
      <w:r w:rsidR="00897E3B">
        <w:rPr>
          <w:sz w:val="24"/>
        </w:rPr>
        <w:t>.</w:t>
      </w:r>
    </w:p>
    <w:p w14:paraId="384547AD" w14:textId="77777777" w:rsidR="00D64A96" w:rsidRPr="005C22B0" w:rsidRDefault="00D64A96" w:rsidP="000F2BCA">
      <w:pPr>
        <w:rPr>
          <w:sz w:val="24"/>
        </w:rPr>
      </w:pPr>
    </w:p>
    <w:p w14:paraId="59C46F73" w14:textId="7108A61F" w:rsidR="002528B6" w:rsidRDefault="002528B6" w:rsidP="000F2BCA">
      <w:pPr>
        <w:rPr>
          <w:sz w:val="24"/>
        </w:rPr>
      </w:pPr>
      <w:r w:rsidRPr="00496229">
        <w:rPr>
          <w:sz w:val="24"/>
        </w:rPr>
        <w:t>F</w:t>
      </w:r>
      <w:r w:rsidR="00897E3B">
        <w:rPr>
          <w:sz w:val="24"/>
        </w:rPr>
        <w:t>ávero</w:t>
      </w:r>
      <w:r w:rsidRPr="00496229">
        <w:rPr>
          <w:sz w:val="24"/>
        </w:rPr>
        <w:t>, L</w:t>
      </w:r>
      <w:r w:rsidR="00897E3B">
        <w:rPr>
          <w:sz w:val="24"/>
        </w:rPr>
        <w:t>.</w:t>
      </w:r>
      <w:r w:rsidRPr="00496229">
        <w:rPr>
          <w:sz w:val="24"/>
        </w:rPr>
        <w:t xml:space="preserve"> </w:t>
      </w:r>
      <w:r w:rsidR="00897E3B">
        <w:rPr>
          <w:sz w:val="24"/>
        </w:rPr>
        <w:t xml:space="preserve">P., Silva, F. L. </w:t>
      </w:r>
      <w:proofErr w:type="gramStart"/>
      <w:r w:rsidR="00897E3B">
        <w:rPr>
          <w:sz w:val="24"/>
        </w:rPr>
        <w:t xml:space="preserve">da, </w:t>
      </w:r>
      <w:proofErr w:type="spellStart"/>
      <w:r w:rsidR="00897E3B">
        <w:rPr>
          <w:sz w:val="24"/>
        </w:rPr>
        <w:t>Belfiore</w:t>
      </w:r>
      <w:proofErr w:type="spellEnd"/>
      <w:proofErr w:type="gramEnd"/>
      <w:r w:rsidR="00897E3B">
        <w:rPr>
          <w:sz w:val="24"/>
        </w:rPr>
        <w:t>, P., &amp; Chan, B. (2009).</w:t>
      </w:r>
      <w:r w:rsidRPr="00496229">
        <w:rPr>
          <w:sz w:val="24"/>
        </w:rPr>
        <w:t xml:space="preserve"> </w:t>
      </w:r>
      <w:r w:rsidRPr="00D71AA4">
        <w:rPr>
          <w:sz w:val="24"/>
        </w:rPr>
        <w:t>Análise de Dados – Modelagem Multivariada para Tomada de Decisões.</w:t>
      </w:r>
      <w:r w:rsidRPr="00496229">
        <w:rPr>
          <w:sz w:val="24"/>
        </w:rPr>
        <w:t xml:space="preserve"> Rio de Janeiro</w:t>
      </w:r>
      <w:r w:rsidR="00897E3B">
        <w:rPr>
          <w:sz w:val="24"/>
        </w:rPr>
        <w:t>.</w:t>
      </w:r>
      <w:r w:rsidRPr="00496229">
        <w:rPr>
          <w:sz w:val="24"/>
        </w:rPr>
        <w:t xml:space="preserve"> Elsevier.</w:t>
      </w:r>
    </w:p>
    <w:p w14:paraId="5385B45F" w14:textId="77777777" w:rsidR="00897E3B" w:rsidRDefault="00897E3B" w:rsidP="000F2BCA"/>
    <w:p w14:paraId="5FF4835D" w14:textId="761AB7B0" w:rsidR="002528B6" w:rsidRPr="00F40CD3" w:rsidRDefault="002528B6" w:rsidP="000F2BCA">
      <w:pPr>
        <w:rPr>
          <w:sz w:val="24"/>
          <w:szCs w:val="24"/>
        </w:rPr>
      </w:pPr>
      <w:r w:rsidRPr="00641A8E">
        <w:rPr>
          <w:sz w:val="24"/>
          <w:szCs w:val="24"/>
        </w:rPr>
        <w:t>F</w:t>
      </w:r>
      <w:r w:rsidR="0079043C">
        <w:rPr>
          <w:sz w:val="24"/>
          <w:szCs w:val="24"/>
        </w:rPr>
        <w:t>erreira,</w:t>
      </w:r>
      <w:r w:rsidRPr="00641A8E">
        <w:rPr>
          <w:sz w:val="24"/>
          <w:szCs w:val="24"/>
        </w:rPr>
        <w:t xml:space="preserve"> C</w:t>
      </w:r>
      <w:r w:rsidR="0079043C">
        <w:rPr>
          <w:sz w:val="24"/>
          <w:szCs w:val="24"/>
        </w:rPr>
        <w:t>.</w:t>
      </w:r>
      <w:r w:rsidRPr="00641A8E">
        <w:rPr>
          <w:sz w:val="24"/>
          <w:szCs w:val="24"/>
        </w:rPr>
        <w:t xml:space="preserve"> K</w:t>
      </w:r>
      <w:r w:rsidR="0079043C">
        <w:rPr>
          <w:sz w:val="24"/>
          <w:szCs w:val="24"/>
        </w:rPr>
        <w:t>.</w:t>
      </w:r>
      <w:r w:rsidRPr="00641A8E">
        <w:rPr>
          <w:sz w:val="24"/>
          <w:szCs w:val="24"/>
        </w:rPr>
        <w:t xml:space="preserve"> L</w:t>
      </w:r>
      <w:r w:rsidR="0079043C">
        <w:rPr>
          <w:sz w:val="24"/>
          <w:szCs w:val="24"/>
        </w:rPr>
        <w:t>. (s</w:t>
      </w:r>
      <w:r w:rsidR="00D969F0">
        <w:rPr>
          <w:sz w:val="24"/>
          <w:szCs w:val="24"/>
        </w:rPr>
        <w:t>.</w:t>
      </w:r>
      <w:r w:rsidR="0079043C">
        <w:rPr>
          <w:sz w:val="24"/>
          <w:szCs w:val="24"/>
        </w:rPr>
        <w:t>d</w:t>
      </w:r>
      <w:r w:rsidR="00D969F0">
        <w:rPr>
          <w:sz w:val="24"/>
          <w:szCs w:val="24"/>
        </w:rPr>
        <w:t>.</w:t>
      </w:r>
      <w:r w:rsidR="0079043C">
        <w:rPr>
          <w:sz w:val="24"/>
          <w:szCs w:val="24"/>
        </w:rPr>
        <w:t xml:space="preserve">). </w:t>
      </w:r>
      <w:r w:rsidRPr="00D71AA4">
        <w:rPr>
          <w:sz w:val="24"/>
          <w:szCs w:val="24"/>
        </w:rPr>
        <w:t>Privatização do Setor Elétrico no Brasil</w:t>
      </w:r>
      <w:r w:rsidRPr="0079043C">
        <w:rPr>
          <w:sz w:val="24"/>
          <w:szCs w:val="24"/>
        </w:rPr>
        <w:t>.</w:t>
      </w:r>
      <w:r w:rsidRPr="00641A8E">
        <w:rPr>
          <w:sz w:val="24"/>
          <w:szCs w:val="24"/>
        </w:rPr>
        <w:t xml:space="preserve"> </w:t>
      </w:r>
      <w:r w:rsidR="00D969F0">
        <w:rPr>
          <w:sz w:val="24"/>
          <w:szCs w:val="24"/>
        </w:rPr>
        <w:t xml:space="preserve">Recuperado </w:t>
      </w:r>
      <w:r w:rsidR="00A03B3B">
        <w:rPr>
          <w:sz w:val="24"/>
          <w:szCs w:val="24"/>
        </w:rPr>
        <w:t xml:space="preserve">em 13 de abril, 2018, </w:t>
      </w:r>
      <w:r w:rsidR="00D969F0">
        <w:rPr>
          <w:sz w:val="24"/>
          <w:szCs w:val="24"/>
        </w:rPr>
        <w:t>de</w:t>
      </w:r>
      <w:r w:rsidR="00A03B3B">
        <w:rPr>
          <w:sz w:val="24"/>
          <w:szCs w:val="24"/>
        </w:rPr>
        <w:t xml:space="preserve"> </w:t>
      </w:r>
      <w:r w:rsidR="00A03B3B" w:rsidRPr="00FC48B1">
        <w:rPr>
          <w:sz w:val="24"/>
          <w:szCs w:val="24"/>
        </w:rPr>
        <w:t>http://www.bndes.gov.br/SiteBNDES/export/sites/default/bndes_pt/Galerias/Arquivos/conhecimento/ocde/ocde06.pdf</w:t>
      </w:r>
      <w:r w:rsidR="00F40CD3" w:rsidRPr="00F40CD3">
        <w:rPr>
          <w:sz w:val="24"/>
          <w:szCs w:val="24"/>
        </w:rPr>
        <w:t xml:space="preserve"> </w:t>
      </w:r>
    </w:p>
    <w:p w14:paraId="6D71447B" w14:textId="77777777" w:rsidR="00D969F0" w:rsidRDefault="00D969F0" w:rsidP="000F2BCA">
      <w:pPr>
        <w:rPr>
          <w:sz w:val="24"/>
          <w:szCs w:val="24"/>
        </w:rPr>
      </w:pPr>
    </w:p>
    <w:p w14:paraId="426078E7" w14:textId="67D97A41" w:rsidR="002528B6" w:rsidRDefault="002528B6" w:rsidP="000F2BCA">
      <w:pPr>
        <w:rPr>
          <w:sz w:val="24"/>
          <w:szCs w:val="24"/>
        </w:rPr>
      </w:pPr>
      <w:proofErr w:type="spellStart"/>
      <w:r w:rsidRPr="00D71AA4">
        <w:rPr>
          <w:sz w:val="24"/>
          <w:szCs w:val="24"/>
        </w:rPr>
        <w:t>F</w:t>
      </w:r>
      <w:r w:rsidR="00C147F0" w:rsidRPr="008F6550">
        <w:rPr>
          <w:sz w:val="24"/>
          <w:szCs w:val="24"/>
        </w:rPr>
        <w:t>ollmann</w:t>
      </w:r>
      <w:proofErr w:type="spellEnd"/>
      <w:r w:rsidRPr="00D71AA4">
        <w:rPr>
          <w:sz w:val="24"/>
          <w:szCs w:val="24"/>
        </w:rPr>
        <w:t>, D. A.</w:t>
      </w:r>
      <w:r w:rsidR="008F6550" w:rsidRPr="00D71AA4">
        <w:rPr>
          <w:sz w:val="24"/>
          <w:szCs w:val="24"/>
        </w:rPr>
        <w:t xml:space="preserve">, </w:t>
      </w:r>
      <w:r w:rsidR="008F6550" w:rsidRPr="008F6550">
        <w:rPr>
          <w:sz w:val="24"/>
          <w:szCs w:val="24"/>
        </w:rPr>
        <w:t>Paiva, K.</w:t>
      </w:r>
      <w:r w:rsidR="008F6550" w:rsidRPr="00D71AA4">
        <w:rPr>
          <w:sz w:val="24"/>
          <w:szCs w:val="24"/>
        </w:rPr>
        <w:t xml:space="preserve"> S. E. de</w:t>
      </w:r>
      <w:r w:rsidR="008F6550">
        <w:rPr>
          <w:sz w:val="24"/>
          <w:szCs w:val="24"/>
        </w:rPr>
        <w:t>, &amp; Soares, S. V.</w:t>
      </w:r>
      <w:r w:rsidRPr="00D71AA4">
        <w:rPr>
          <w:sz w:val="24"/>
          <w:szCs w:val="24"/>
        </w:rPr>
        <w:t xml:space="preserve"> </w:t>
      </w:r>
      <w:r w:rsidR="008F6550">
        <w:rPr>
          <w:sz w:val="24"/>
          <w:szCs w:val="24"/>
        </w:rPr>
        <w:t xml:space="preserve">(2011). </w:t>
      </w:r>
      <w:r w:rsidRPr="00D71AA4">
        <w:rPr>
          <w:sz w:val="24"/>
          <w:szCs w:val="24"/>
        </w:rPr>
        <w:t>Distribuição do Valor Adicionado nas Empresas do Novo Mercado: Análise Setorial da Destinação da Riqueza em 2008 e 2009</w:t>
      </w:r>
      <w:r w:rsidRPr="008F6550">
        <w:rPr>
          <w:sz w:val="24"/>
          <w:szCs w:val="24"/>
        </w:rPr>
        <w:t>.</w:t>
      </w:r>
      <w:r w:rsidRPr="00496229">
        <w:rPr>
          <w:sz w:val="24"/>
          <w:szCs w:val="24"/>
        </w:rPr>
        <w:t xml:space="preserve"> </w:t>
      </w:r>
      <w:r w:rsidRPr="00D71AA4">
        <w:rPr>
          <w:i/>
          <w:sz w:val="24"/>
          <w:szCs w:val="24"/>
        </w:rPr>
        <w:t>REUNIR – Revista de Administração, Contabilidade e Sustentabilidade</w:t>
      </w:r>
      <w:r w:rsidR="008F6550">
        <w:rPr>
          <w:sz w:val="24"/>
          <w:szCs w:val="24"/>
        </w:rPr>
        <w:t xml:space="preserve">, </w:t>
      </w:r>
      <w:r w:rsidRPr="00496229">
        <w:rPr>
          <w:sz w:val="24"/>
          <w:szCs w:val="24"/>
        </w:rPr>
        <w:t>101</w:t>
      </w:r>
      <w:r w:rsidR="008F6550">
        <w:rPr>
          <w:sz w:val="24"/>
          <w:szCs w:val="24"/>
        </w:rPr>
        <w:t>-</w:t>
      </w:r>
      <w:r w:rsidRPr="00496229">
        <w:rPr>
          <w:sz w:val="24"/>
          <w:szCs w:val="24"/>
        </w:rPr>
        <w:t>117</w:t>
      </w:r>
      <w:r w:rsidR="008F6550">
        <w:rPr>
          <w:sz w:val="24"/>
          <w:szCs w:val="24"/>
        </w:rPr>
        <w:t>.</w:t>
      </w:r>
    </w:p>
    <w:p w14:paraId="4FE798C6" w14:textId="246BE81B" w:rsidR="008F6550" w:rsidRDefault="008F6550" w:rsidP="000F2BCA">
      <w:pPr>
        <w:rPr>
          <w:sz w:val="24"/>
          <w:szCs w:val="24"/>
        </w:rPr>
      </w:pPr>
    </w:p>
    <w:p w14:paraId="436EBA8D" w14:textId="7832EC9A" w:rsidR="00060AE2" w:rsidRDefault="00060AE2" w:rsidP="000F2BCA">
      <w:pPr>
        <w:rPr>
          <w:sz w:val="24"/>
          <w:szCs w:val="24"/>
        </w:rPr>
      </w:pPr>
      <w:r>
        <w:rPr>
          <w:sz w:val="24"/>
          <w:szCs w:val="24"/>
        </w:rPr>
        <w:t xml:space="preserve">Gil, A. C. (2012). </w:t>
      </w:r>
      <w:r w:rsidRPr="00FE3A5B">
        <w:rPr>
          <w:sz w:val="24"/>
          <w:szCs w:val="24"/>
        </w:rPr>
        <w:t>Como elaborar projetos de pesquisa</w:t>
      </w:r>
      <w:r>
        <w:rPr>
          <w:sz w:val="24"/>
          <w:szCs w:val="24"/>
        </w:rPr>
        <w:t>. Atlas.</w:t>
      </w:r>
    </w:p>
    <w:p w14:paraId="54ABCE93" w14:textId="77777777" w:rsidR="00FE3A5B" w:rsidRDefault="00FE3A5B" w:rsidP="000F2BCA">
      <w:pPr>
        <w:rPr>
          <w:sz w:val="24"/>
          <w:szCs w:val="24"/>
        </w:rPr>
      </w:pPr>
    </w:p>
    <w:p w14:paraId="0A0B01E6" w14:textId="2E986FF1" w:rsidR="002528B6" w:rsidRDefault="002528B6" w:rsidP="000F2BCA">
      <w:pPr>
        <w:rPr>
          <w:sz w:val="24"/>
          <w:szCs w:val="24"/>
        </w:rPr>
      </w:pPr>
      <w:proofErr w:type="spellStart"/>
      <w:r w:rsidRPr="00E70ABF">
        <w:rPr>
          <w:sz w:val="24"/>
          <w:szCs w:val="24"/>
        </w:rPr>
        <w:t>G</w:t>
      </w:r>
      <w:r w:rsidR="008F6550">
        <w:rPr>
          <w:sz w:val="24"/>
          <w:szCs w:val="24"/>
        </w:rPr>
        <w:t>recco</w:t>
      </w:r>
      <w:proofErr w:type="spellEnd"/>
      <w:r w:rsidR="008F6550">
        <w:rPr>
          <w:sz w:val="24"/>
          <w:szCs w:val="24"/>
        </w:rPr>
        <w:t xml:space="preserve">, </w:t>
      </w:r>
      <w:r w:rsidRPr="00E70ABF">
        <w:rPr>
          <w:sz w:val="24"/>
          <w:szCs w:val="24"/>
        </w:rPr>
        <w:t>M. C. P.</w:t>
      </w:r>
      <w:r w:rsidR="008F6550">
        <w:rPr>
          <w:sz w:val="24"/>
          <w:szCs w:val="24"/>
        </w:rPr>
        <w:t>, Cruz, D. A. J., Peres, M. G., &amp; Pereira, T. R. A. (2010).</w:t>
      </w:r>
      <w:r>
        <w:rPr>
          <w:sz w:val="24"/>
          <w:szCs w:val="24"/>
        </w:rPr>
        <w:t xml:space="preserve"> </w:t>
      </w:r>
      <w:r w:rsidRPr="00D71AA4">
        <w:rPr>
          <w:sz w:val="24"/>
          <w:szCs w:val="24"/>
        </w:rPr>
        <w:t>DVA – Demonstração do Valor Adicionado – Uma análise do setor que mais contribui para a distribuição de riqueza</w:t>
      </w:r>
      <w:r w:rsidR="008F6550">
        <w:rPr>
          <w:sz w:val="24"/>
          <w:szCs w:val="24"/>
        </w:rPr>
        <w:t>.</w:t>
      </w:r>
      <w:r w:rsidRPr="00E70ABF">
        <w:rPr>
          <w:sz w:val="24"/>
          <w:szCs w:val="24"/>
        </w:rPr>
        <w:t xml:space="preserve"> </w:t>
      </w:r>
      <w:r w:rsidR="008F6550" w:rsidRPr="00E70ABF">
        <w:rPr>
          <w:sz w:val="24"/>
          <w:szCs w:val="24"/>
        </w:rPr>
        <w:t>17º</w:t>
      </w:r>
      <w:r w:rsidR="008F6550">
        <w:rPr>
          <w:sz w:val="24"/>
          <w:szCs w:val="24"/>
        </w:rPr>
        <w:t xml:space="preserve"> </w:t>
      </w:r>
      <w:r w:rsidRPr="00E70ABF">
        <w:rPr>
          <w:sz w:val="24"/>
          <w:szCs w:val="24"/>
        </w:rPr>
        <w:t>Congresso Brasileiro de Custos - CBC, Belo Horizonte.</w:t>
      </w:r>
    </w:p>
    <w:p w14:paraId="45EFF331" w14:textId="1950288A" w:rsidR="0079513D" w:rsidRDefault="0079513D" w:rsidP="000F2BCA">
      <w:pPr>
        <w:rPr>
          <w:sz w:val="24"/>
          <w:szCs w:val="24"/>
        </w:rPr>
      </w:pPr>
    </w:p>
    <w:p w14:paraId="332FF6B9" w14:textId="4D9C4D02" w:rsidR="0079513D" w:rsidRDefault="0079513D" w:rsidP="000F2BCA">
      <w:pPr>
        <w:rPr>
          <w:sz w:val="24"/>
          <w:szCs w:val="24"/>
        </w:rPr>
      </w:pPr>
      <w:r>
        <w:rPr>
          <w:sz w:val="24"/>
          <w:szCs w:val="24"/>
        </w:rPr>
        <w:lastRenderedPageBreak/>
        <w:t xml:space="preserve">Junior, M. R. G., Araújo, A. R. M. de, &amp; Ferreira, L. F. (2017). </w:t>
      </w:r>
      <w:r w:rsidRPr="00D71AA4">
        <w:rPr>
          <w:sz w:val="24"/>
        </w:rPr>
        <w:t>Distribuição de Riqueza aos Agentes Econômicos da DVA: Um Olhar Sobre o Ranking das “Melhores Empresas Para Trabalhar em 2016”</w:t>
      </w:r>
      <w:r>
        <w:rPr>
          <w:sz w:val="24"/>
        </w:rPr>
        <w:t>. XIV Congresso USP de Iniciação Científica em Contabilidade. São Paulo, SP.</w:t>
      </w:r>
    </w:p>
    <w:p w14:paraId="3BAE7AA3" w14:textId="77777777" w:rsidR="008F6550" w:rsidRDefault="008F6550" w:rsidP="000F2BCA">
      <w:pPr>
        <w:rPr>
          <w:sz w:val="24"/>
          <w:szCs w:val="24"/>
        </w:rPr>
      </w:pPr>
    </w:p>
    <w:p w14:paraId="63548F12" w14:textId="3F352FEA" w:rsidR="002528B6" w:rsidRDefault="002528B6" w:rsidP="000F2BCA">
      <w:pPr>
        <w:rPr>
          <w:sz w:val="24"/>
        </w:rPr>
      </w:pPr>
      <w:r w:rsidRPr="005C22B0">
        <w:rPr>
          <w:sz w:val="24"/>
        </w:rPr>
        <w:t>L</w:t>
      </w:r>
      <w:r w:rsidR="00DE0410">
        <w:rPr>
          <w:sz w:val="24"/>
        </w:rPr>
        <w:t>eite</w:t>
      </w:r>
      <w:r w:rsidRPr="005C22B0">
        <w:rPr>
          <w:sz w:val="24"/>
        </w:rPr>
        <w:t>, A</w:t>
      </w:r>
      <w:r w:rsidR="00DE0410">
        <w:rPr>
          <w:sz w:val="24"/>
        </w:rPr>
        <w:t>.</w:t>
      </w:r>
      <w:r>
        <w:rPr>
          <w:sz w:val="24"/>
        </w:rPr>
        <w:t xml:space="preserve"> </w:t>
      </w:r>
      <w:r w:rsidRPr="005C22B0">
        <w:rPr>
          <w:sz w:val="24"/>
        </w:rPr>
        <w:t>L</w:t>
      </w:r>
      <w:r>
        <w:rPr>
          <w:sz w:val="24"/>
        </w:rPr>
        <w:t>.</w:t>
      </w:r>
      <w:r w:rsidRPr="005C22B0">
        <w:rPr>
          <w:sz w:val="24"/>
        </w:rPr>
        <w:t xml:space="preserve"> </w:t>
      </w:r>
      <w:proofErr w:type="spellStart"/>
      <w:r w:rsidRPr="005C22B0">
        <w:rPr>
          <w:sz w:val="24"/>
        </w:rPr>
        <w:t>da</w:t>
      </w:r>
      <w:proofErr w:type="spellEnd"/>
      <w:r w:rsidRPr="005C22B0">
        <w:rPr>
          <w:sz w:val="24"/>
        </w:rPr>
        <w:t xml:space="preserve"> S</w:t>
      </w:r>
      <w:r>
        <w:rPr>
          <w:sz w:val="24"/>
        </w:rPr>
        <w:t>.</w:t>
      </w:r>
      <w:r w:rsidR="00DE0410">
        <w:rPr>
          <w:sz w:val="24"/>
        </w:rPr>
        <w:t>, &amp;</w:t>
      </w:r>
      <w:r w:rsidRPr="005C22B0">
        <w:rPr>
          <w:sz w:val="24"/>
        </w:rPr>
        <w:t xml:space="preserve"> C</w:t>
      </w:r>
      <w:r w:rsidR="00DE0410">
        <w:rPr>
          <w:sz w:val="24"/>
        </w:rPr>
        <w:t>astro</w:t>
      </w:r>
      <w:r w:rsidRPr="005C22B0">
        <w:rPr>
          <w:sz w:val="24"/>
        </w:rPr>
        <w:t>, N</w:t>
      </w:r>
      <w:r w:rsidR="00DE0410">
        <w:rPr>
          <w:sz w:val="24"/>
        </w:rPr>
        <w:t>.</w:t>
      </w:r>
      <w:r w:rsidRPr="005C22B0">
        <w:rPr>
          <w:sz w:val="24"/>
        </w:rPr>
        <w:t xml:space="preserve"> J</w:t>
      </w:r>
      <w:r>
        <w:rPr>
          <w:sz w:val="24"/>
        </w:rPr>
        <w:t>.</w:t>
      </w:r>
      <w:r w:rsidRPr="005C22B0">
        <w:rPr>
          <w:sz w:val="24"/>
        </w:rPr>
        <w:t xml:space="preserve"> de. </w:t>
      </w:r>
      <w:r w:rsidR="00DE0410">
        <w:rPr>
          <w:sz w:val="24"/>
        </w:rPr>
        <w:t xml:space="preserve">(2014). </w:t>
      </w:r>
      <w:r w:rsidRPr="00D71AA4">
        <w:rPr>
          <w:sz w:val="24"/>
        </w:rPr>
        <w:t>Crescimento e estruturação das firmas: a formação dos conglomerados do setor elétrico brasileiro</w:t>
      </w:r>
      <w:r w:rsidRPr="00DE0410">
        <w:rPr>
          <w:sz w:val="24"/>
        </w:rPr>
        <w:t>.</w:t>
      </w:r>
      <w:r w:rsidRPr="005237B8">
        <w:rPr>
          <w:sz w:val="24"/>
        </w:rPr>
        <w:t xml:space="preserve"> </w:t>
      </w:r>
      <w:r w:rsidRPr="005237B8">
        <w:rPr>
          <w:i/>
          <w:sz w:val="24"/>
        </w:rPr>
        <w:t>Rege</w:t>
      </w:r>
      <w:r w:rsidR="00DE0410">
        <w:rPr>
          <w:sz w:val="24"/>
        </w:rPr>
        <w:t>.</w:t>
      </w:r>
      <w:r w:rsidRPr="005C22B0">
        <w:rPr>
          <w:sz w:val="24"/>
        </w:rPr>
        <w:t xml:space="preserve"> São Paulo</w:t>
      </w:r>
      <w:r w:rsidR="00DE0410">
        <w:rPr>
          <w:sz w:val="24"/>
        </w:rPr>
        <w:t>, SP.</w:t>
      </w:r>
      <w:r w:rsidRPr="005C22B0">
        <w:rPr>
          <w:sz w:val="24"/>
        </w:rPr>
        <w:t xml:space="preserve"> 343-359</w:t>
      </w:r>
      <w:r w:rsidR="00DE0410">
        <w:rPr>
          <w:sz w:val="24"/>
        </w:rPr>
        <w:t>.</w:t>
      </w:r>
    </w:p>
    <w:p w14:paraId="6CB33B4C" w14:textId="77777777" w:rsidR="00DE0410" w:rsidRPr="005C22B0" w:rsidRDefault="00DE0410" w:rsidP="000F2BCA">
      <w:pPr>
        <w:rPr>
          <w:sz w:val="24"/>
        </w:rPr>
      </w:pPr>
    </w:p>
    <w:p w14:paraId="3E01A06C" w14:textId="69E3D66D" w:rsidR="002528B6" w:rsidRDefault="002528B6" w:rsidP="000F2BCA">
      <w:pPr>
        <w:rPr>
          <w:sz w:val="24"/>
        </w:rPr>
      </w:pPr>
      <w:r w:rsidRPr="00496229">
        <w:rPr>
          <w:sz w:val="24"/>
        </w:rPr>
        <w:t>L</w:t>
      </w:r>
      <w:r w:rsidR="00DE0410">
        <w:rPr>
          <w:sz w:val="24"/>
        </w:rPr>
        <w:t>eme</w:t>
      </w:r>
      <w:r w:rsidRPr="00496229">
        <w:rPr>
          <w:sz w:val="24"/>
        </w:rPr>
        <w:t>, A. A.</w:t>
      </w:r>
      <w:r w:rsidR="00DE0410">
        <w:rPr>
          <w:sz w:val="24"/>
        </w:rPr>
        <w:t xml:space="preserve"> (2005).</w:t>
      </w:r>
      <w:r w:rsidRPr="00496229">
        <w:rPr>
          <w:sz w:val="24"/>
        </w:rPr>
        <w:t xml:space="preserve"> </w:t>
      </w:r>
      <w:r w:rsidRPr="00D71AA4">
        <w:rPr>
          <w:sz w:val="24"/>
        </w:rPr>
        <w:t>Globalização e Reformas Liberalizantes: contradições na reestruturação do setor elétrico brasileiro nos anos 90.</w:t>
      </w:r>
      <w:r w:rsidRPr="00496229">
        <w:rPr>
          <w:sz w:val="24"/>
        </w:rPr>
        <w:t xml:space="preserve"> </w:t>
      </w:r>
      <w:r w:rsidRPr="00D71AA4">
        <w:rPr>
          <w:i/>
          <w:sz w:val="24"/>
        </w:rPr>
        <w:t>Revista Sociologia e Política</w:t>
      </w:r>
      <w:r w:rsidR="00DE0410">
        <w:rPr>
          <w:sz w:val="24"/>
        </w:rPr>
        <w:t xml:space="preserve">. </w:t>
      </w:r>
      <w:r w:rsidRPr="00496229">
        <w:rPr>
          <w:sz w:val="24"/>
        </w:rPr>
        <w:t>Curitiba</w:t>
      </w:r>
      <w:r w:rsidR="00DE0410">
        <w:rPr>
          <w:sz w:val="24"/>
        </w:rPr>
        <w:t>.</w:t>
      </w:r>
      <w:r w:rsidRPr="00496229">
        <w:rPr>
          <w:sz w:val="24"/>
        </w:rPr>
        <w:t xml:space="preserve"> 165-186</w:t>
      </w:r>
      <w:r w:rsidR="00DE0410">
        <w:rPr>
          <w:sz w:val="24"/>
        </w:rPr>
        <w:t>.</w:t>
      </w:r>
    </w:p>
    <w:p w14:paraId="64A6033D" w14:textId="4FD72DBA" w:rsidR="00C91F2B" w:rsidRDefault="00C91F2B" w:rsidP="000F2BCA">
      <w:pPr>
        <w:rPr>
          <w:sz w:val="24"/>
        </w:rPr>
      </w:pPr>
    </w:p>
    <w:p w14:paraId="0D0207FF" w14:textId="7996C946" w:rsidR="00C91F2B" w:rsidRDefault="00C91F2B" w:rsidP="000F2BCA">
      <w:pPr>
        <w:rPr>
          <w:sz w:val="24"/>
        </w:rPr>
      </w:pPr>
      <w:r w:rsidRPr="00C91F2B">
        <w:rPr>
          <w:sz w:val="24"/>
        </w:rPr>
        <w:t xml:space="preserve">Lima, M. Y. G., </w:t>
      </w:r>
      <w:proofErr w:type="spellStart"/>
      <w:r w:rsidRPr="00C91F2B">
        <w:rPr>
          <w:sz w:val="24"/>
        </w:rPr>
        <w:t>Borinelli</w:t>
      </w:r>
      <w:proofErr w:type="spellEnd"/>
      <w:r w:rsidRPr="00C91F2B">
        <w:rPr>
          <w:sz w:val="24"/>
        </w:rPr>
        <w:t xml:space="preserve">, B., &amp; Vieira, S. F. A. (2015). Impactos da crise econômica nos programas de responsabilidade socioambiental do setor elétrico brasileiro: Um estudo nas empresas que compõem o ISE/ BM&amp;FBOVESPA. </w:t>
      </w:r>
      <w:r w:rsidRPr="00FE3A5B">
        <w:rPr>
          <w:i/>
          <w:sz w:val="24"/>
        </w:rPr>
        <w:t>Revista Eletrônica Científica do CRA-PR</w:t>
      </w:r>
      <w:r w:rsidRPr="00C91F2B">
        <w:rPr>
          <w:sz w:val="24"/>
        </w:rPr>
        <w:t>, 2(2), 18-30.</w:t>
      </w:r>
    </w:p>
    <w:p w14:paraId="1B8800DA" w14:textId="4B956B7C" w:rsidR="001E47B7" w:rsidRDefault="001E47B7" w:rsidP="000F2BCA">
      <w:pPr>
        <w:rPr>
          <w:sz w:val="24"/>
        </w:rPr>
      </w:pPr>
    </w:p>
    <w:p w14:paraId="3E49480B" w14:textId="3055043F" w:rsidR="001E47B7" w:rsidRDefault="001E47B7" w:rsidP="000F2BCA">
      <w:pPr>
        <w:rPr>
          <w:sz w:val="24"/>
        </w:rPr>
      </w:pPr>
      <w:r w:rsidRPr="001E47B7">
        <w:rPr>
          <w:sz w:val="24"/>
        </w:rPr>
        <w:t>Lima, P. A. M., Góis, A. D., &amp; Luca, M. M. M. (2015). Associação entre a Distribuição do Valor Adicionado e a Identidade do Acionista</w:t>
      </w:r>
      <w:r w:rsidRPr="00FE3A5B">
        <w:rPr>
          <w:i/>
          <w:sz w:val="24"/>
        </w:rPr>
        <w:t>. Contabilidade, Gestão e Governança</w:t>
      </w:r>
      <w:r w:rsidRPr="001E47B7">
        <w:rPr>
          <w:sz w:val="24"/>
        </w:rPr>
        <w:t>, 18(3), 66-84.</w:t>
      </w:r>
    </w:p>
    <w:p w14:paraId="40531AB5" w14:textId="77777777" w:rsidR="00DE0410" w:rsidRDefault="00DE0410" w:rsidP="000F2BCA">
      <w:pPr>
        <w:rPr>
          <w:sz w:val="24"/>
        </w:rPr>
      </w:pPr>
    </w:p>
    <w:p w14:paraId="5F7424E0" w14:textId="7538ADDC" w:rsidR="002528B6" w:rsidRDefault="002528B6" w:rsidP="000F2BCA">
      <w:pPr>
        <w:rPr>
          <w:rFonts w:eastAsia="Verdana"/>
          <w:sz w:val="24"/>
          <w:highlight w:val="white"/>
        </w:rPr>
      </w:pPr>
      <w:r w:rsidRPr="005C22B0">
        <w:rPr>
          <w:rFonts w:eastAsia="Verdana"/>
          <w:sz w:val="24"/>
          <w:highlight w:val="white"/>
        </w:rPr>
        <w:t>L</w:t>
      </w:r>
      <w:r w:rsidR="00E214EA">
        <w:rPr>
          <w:rFonts w:eastAsia="Verdana"/>
          <w:sz w:val="24"/>
          <w:highlight w:val="white"/>
        </w:rPr>
        <w:t>ins</w:t>
      </w:r>
      <w:r w:rsidRPr="005C22B0">
        <w:rPr>
          <w:rFonts w:eastAsia="Verdana"/>
          <w:sz w:val="24"/>
          <w:highlight w:val="white"/>
        </w:rPr>
        <w:t>, C</w:t>
      </w:r>
      <w:r w:rsidR="00E214EA">
        <w:rPr>
          <w:rFonts w:eastAsia="Verdana"/>
          <w:sz w:val="24"/>
          <w:highlight w:val="white"/>
        </w:rPr>
        <w:t>., &amp;</w:t>
      </w:r>
      <w:r w:rsidRPr="005C22B0">
        <w:rPr>
          <w:rFonts w:eastAsia="Verdana"/>
          <w:sz w:val="24"/>
          <w:highlight w:val="white"/>
        </w:rPr>
        <w:t xml:space="preserve"> </w:t>
      </w:r>
      <w:proofErr w:type="spellStart"/>
      <w:r w:rsidRPr="005C22B0">
        <w:rPr>
          <w:rFonts w:eastAsia="Verdana"/>
          <w:sz w:val="24"/>
          <w:highlight w:val="white"/>
        </w:rPr>
        <w:t>O</w:t>
      </w:r>
      <w:r w:rsidR="00E214EA">
        <w:rPr>
          <w:rFonts w:eastAsia="Verdana"/>
          <w:sz w:val="24"/>
          <w:highlight w:val="white"/>
        </w:rPr>
        <w:t>uchi</w:t>
      </w:r>
      <w:proofErr w:type="spellEnd"/>
      <w:r w:rsidRPr="005C22B0">
        <w:rPr>
          <w:rFonts w:eastAsia="Verdana"/>
          <w:sz w:val="24"/>
          <w:highlight w:val="white"/>
        </w:rPr>
        <w:t>, H</w:t>
      </w:r>
      <w:r w:rsidR="00E214EA">
        <w:rPr>
          <w:rFonts w:eastAsia="Verdana"/>
          <w:sz w:val="24"/>
          <w:highlight w:val="white"/>
        </w:rPr>
        <w:t>.</w:t>
      </w:r>
      <w:r w:rsidRPr="005C22B0">
        <w:rPr>
          <w:rFonts w:eastAsia="Verdana"/>
          <w:sz w:val="24"/>
          <w:highlight w:val="white"/>
        </w:rPr>
        <w:t xml:space="preserve"> C.</w:t>
      </w:r>
      <w:r w:rsidR="00E214EA">
        <w:rPr>
          <w:rFonts w:eastAsia="Verdana"/>
          <w:sz w:val="24"/>
          <w:highlight w:val="white"/>
        </w:rPr>
        <w:t xml:space="preserve"> (2007).</w:t>
      </w:r>
      <w:r w:rsidRPr="005C22B0">
        <w:rPr>
          <w:rFonts w:eastAsia="Verdana"/>
          <w:sz w:val="24"/>
          <w:highlight w:val="white"/>
        </w:rPr>
        <w:t xml:space="preserve"> </w:t>
      </w:r>
      <w:r w:rsidRPr="00D71AA4">
        <w:rPr>
          <w:rFonts w:eastAsia="Verdana"/>
          <w:sz w:val="24"/>
          <w:highlight w:val="white"/>
        </w:rPr>
        <w:t>Sustentabilidade Corporativa – Energia Elétrica.</w:t>
      </w:r>
      <w:r w:rsidRPr="005C22B0">
        <w:rPr>
          <w:rFonts w:eastAsia="Verdana"/>
          <w:b/>
          <w:sz w:val="24"/>
          <w:highlight w:val="white"/>
        </w:rPr>
        <w:t xml:space="preserve"> </w:t>
      </w:r>
      <w:r w:rsidRPr="00E214EA">
        <w:rPr>
          <w:rFonts w:eastAsia="Verdana"/>
          <w:i/>
          <w:sz w:val="24"/>
          <w:highlight w:val="white"/>
        </w:rPr>
        <w:t>Fundação Brasileira para o Desenvolvimento Sustentável.</w:t>
      </w:r>
    </w:p>
    <w:p w14:paraId="58BD0E4B" w14:textId="77777777" w:rsidR="0046473F" w:rsidRDefault="0046473F" w:rsidP="000F2BCA">
      <w:pPr>
        <w:rPr>
          <w:rFonts w:eastAsia="Verdana"/>
          <w:sz w:val="24"/>
          <w:highlight w:val="white"/>
        </w:rPr>
      </w:pPr>
    </w:p>
    <w:p w14:paraId="34E6C095" w14:textId="3DA5ECE6" w:rsidR="0025496D" w:rsidRDefault="0025496D" w:rsidP="000F2BCA">
      <w:pPr>
        <w:rPr>
          <w:sz w:val="24"/>
        </w:rPr>
      </w:pPr>
      <w:r w:rsidRPr="0025496D">
        <w:rPr>
          <w:rFonts w:eastAsia="Verdana"/>
          <w:sz w:val="24"/>
        </w:rPr>
        <w:t>Machado,</w:t>
      </w:r>
      <w:r>
        <w:rPr>
          <w:rFonts w:eastAsia="Verdana"/>
          <w:sz w:val="24"/>
        </w:rPr>
        <w:t xml:space="preserve"> E. A. M., </w:t>
      </w:r>
      <w:proofErr w:type="spellStart"/>
      <w:r w:rsidRPr="0025496D">
        <w:rPr>
          <w:rFonts w:eastAsia="Verdana"/>
          <w:sz w:val="24"/>
        </w:rPr>
        <w:t>Morch</w:t>
      </w:r>
      <w:proofErr w:type="spellEnd"/>
      <w:r>
        <w:rPr>
          <w:rFonts w:eastAsia="Verdana"/>
          <w:sz w:val="24"/>
        </w:rPr>
        <w:t>, R. B.</w:t>
      </w:r>
      <w:r w:rsidRPr="0025496D">
        <w:rPr>
          <w:rFonts w:eastAsia="Verdana"/>
          <w:sz w:val="24"/>
        </w:rPr>
        <w:t>, Vianna,</w:t>
      </w:r>
      <w:r>
        <w:rPr>
          <w:rFonts w:eastAsia="Verdana"/>
          <w:sz w:val="24"/>
        </w:rPr>
        <w:t xml:space="preserve"> D. S. de C., </w:t>
      </w:r>
      <w:r w:rsidRPr="0025496D">
        <w:rPr>
          <w:rFonts w:eastAsia="Verdana"/>
          <w:sz w:val="24"/>
        </w:rPr>
        <w:t>Santos</w:t>
      </w:r>
      <w:r w:rsidR="00397617">
        <w:rPr>
          <w:rFonts w:eastAsia="Verdana"/>
          <w:sz w:val="24"/>
        </w:rPr>
        <w:t xml:space="preserve">, R. dos, &amp; </w:t>
      </w:r>
      <w:r w:rsidRPr="0025496D">
        <w:rPr>
          <w:rFonts w:eastAsia="Verdana"/>
          <w:sz w:val="24"/>
        </w:rPr>
        <w:t>Siqueira</w:t>
      </w:r>
      <w:r w:rsidR="00397617">
        <w:rPr>
          <w:rFonts w:eastAsia="Verdana"/>
          <w:sz w:val="24"/>
        </w:rPr>
        <w:t>, J. R. M. de.</w:t>
      </w:r>
      <w:r w:rsidRPr="0025496D">
        <w:rPr>
          <w:rFonts w:eastAsia="Verdana"/>
          <w:sz w:val="24"/>
        </w:rPr>
        <w:t xml:space="preserve"> (2009)</w:t>
      </w:r>
      <w:r w:rsidR="00397617">
        <w:rPr>
          <w:rFonts w:eastAsia="Verdana"/>
          <w:sz w:val="24"/>
        </w:rPr>
        <w:t>.</w:t>
      </w:r>
      <w:r w:rsidR="000C543B" w:rsidRPr="000C543B">
        <w:rPr>
          <w:sz w:val="24"/>
        </w:rPr>
        <w:t xml:space="preserve"> Destinação de riqueza aos empregados no Brasil: comparação entre empresas estatais e privadas do setor elétrico (2004-2007). </w:t>
      </w:r>
      <w:r w:rsidR="000C543B" w:rsidRPr="00D71AA4">
        <w:rPr>
          <w:i/>
          <w:sz w:val="24"/>
        </w:rPr>
        <w:t>Revista Contabilidade &amp; Finanças</w:t>
      </w:r>
      <w:r w:rsidR="00397617">
        <w:rPr>
          <w:sz w:val="24"/>
        </w:rPr>
        <w:t>.</w:t>
      </w:r>
      <w:r w:rsidR="000C543B" w:rsidRPr="000C543B">
        <w:rPr>
          <w:sz w:val="24"/>
        </w:rPr>
        <w:t xml:space="preserve"> São Paulo</w:t>
      </w:r>
      <w:r w:rsidR="00397617">
        <w:rPr>
          <w:sz w:val="24"/>
        </w:rPr>
        <w:t>, SP.</w:t>
      </w:r>
      <w:r w:rsidR="000C543B" w:rsidRPr="000C543B">
        <w:rPr>
          <w:sz w:val="24"/>
        </w:rPr>
        <w:t xml:space="preserve"> 110-122</w:t>
      </w:r>
      <w:r w:rsidR="00397617">
        <w:rPr>
          <w:sz w:val="24"/>
        </w:rPr>
        <w:t>.</w:t>
      </w:r>
    </w:p>
    <w:p w14:paraId="7EC9960B" w14:textId="18B27E53" w:rsidR="00FC2137" w:rsidRDefault="00FC2137" w:rsidP="000F2BCA">
      <w:pPr>
        <w:rPr>
          <w:sz w:val="24"/>
        </w:rPr>
      </w:pPr>
    </w:p>
    <w:p w14:paraId="12A4F2C6" w14:textId="5C27205A" w:rsidR="00141324" w:rsidRDefault="00141324" w:rsidP="000F2BCA">
      <w:pPr>
        <w:rPr>
          <w:sz w:val="24"/>
        </w:rPr>
      </w:pPr>
      <w:r w:rsidRPr="00141324">
        <w:rPr>
          <w:sz w:val="24"/>
        </w:rPr>
        <w:t xml:space="preserve">Martins, A. M., &amp; Silva, A. H. C. (2018). Percepção dos Analistas Financeiros sobre a Relevância da Informação Contábil no Setor Elétrico. </w:t>
      </w:r>
      <w:r w:rsidRPr="00FE3A5B">
        <w:rPr>
          <w:i/>
          <w:sz w:val="24"/>
        </w:rPr>
        <w:t>Revista Catarinense da Ciência Contábil</w:t>
      </w:r>
      <w:r w:rsidRPr="00141324">
        <w:rPr>
          <w:sz w:val="24"/>
        </w:rPr>
        <w:t>, 17(50), 71-88.</w:t>
      </w:r>
    </w:p>
    <w:p w14:paraId="3B794FF2" w14:textId="77777777" w:rsidR="00141324" w:rsidRDefault="00141324" w:rsidP="000F2BCA">
      <w:pPr>
        <w:rPr>
          <w:sz w:val="24"/>
        </w:rPr>
      </w:pPr>
    </w:p>
    <w:p w14:paraId="168E10B8" w14:textId="4D028DD8" w:rsidR="00FC2137" w:rsidRPr="000F2BCA" w:rsidRDefault="00FC2137" w:rsidP="000F2BCA">
      <w:pPr>
        <w:rPr>
          <w:rFonts w:eastAsia="Verdana"/>
          <w:sz w:val="24"/>
          <w:szCs w:val="24"/>
        </w:rPr>
      </w:pPr>
      <w:proofErr w:type="spellStart"/>
      <w:r>
        <w:rPr>
          <w:rFonts w:eastAsia="Verdana"/>
          <w:sz w:val="24"/>
          <w:highlight w:val="white"/>
        </w:rPr>
        <w:t>M</w:t>
      </w:r>
      <w:r w:rsidR="006B79B9">
        <w:rPr>
          <w:rFonts w:eastAsia="Verdana"/>
          <w:sz w:val="24"/>
          <w:highlight w:val="white"/>
        </w:rPr>
        <w:t>azul</w:t>
      </w:r>
      <w:proofErr w:type="spellEnd"/>
      <w:r>
        <w:rPr>
          <w:rFonts w:eastAsia="Verdana"/>
          <w:sz w:val="24"/>
          <w:highlight w:val="white"/>
        </w:rPr>
        <w:t>, G</w:t>
      </w:r>
      <w:r w:rsidR="006B79B9">
        <w:rPr>
          <w:rFonts w:eastAsia="Verdana"/>
          <w:sz w:val="24"/>
          <w:highlight w:val="white"/>
        </w:rPr>
        <w:t xml:space="preserve">. &amp; </w:t>
      </w:r>
      <w:r>
        <w:rPr>
          <w:rFonts w:eastAsia="Verdana"/>
          <w:sz w:val="24"/>
          <w:highlight w:val="white"/>
        </w:rPr>
        <w:t>C</w:t>
      </w:r>
      <w:r w:rsidR="006B79B9">
        <w:rPr>
          <w:rFonts w:eastAsia="Verdana"/>
          <w:sz w:val="24"/>
          <w:highlight w:val="white"/>
        </w:rPr>
        <w:t>astilhos,</w:t>
      </w:r>
      <w:r>
        <w:rPr>
          <w:rFonts w:eastAsia="Verdana"/>
          <w:sz w:val="24"/>
          <w:highlight w:val="white"/>
        </w:rPr>
        <w:t xml:space="preserve"> R</w:t>
      </w:r>
      <w:r w:rsidR="006B79B9">
        <w:rPr>
          <w:rFonts w:eastAsia="Verdana"/>
          <w:sz w:val="24"/>
          <w:highlight w:val="white"/>
        </w:rPr>
        <w:t>.</w:t>
      </w:r>
      <w:r>
        <w:rPr>
          <w:rFonts w:eastAsia="Verdana"/>
          <w:sz w:val="24"/>
          <w:highlight w:val="white"/>
        </w:rPr>
        <w:t xml:space="preserve"> </w:t>
      </w:r>
      <w:r w:rsidR="006B79B9">
        <w:rPr>
          <w:rFonts w:eastAsia="Verdana"/>
          <w:sz w:val="24"/>
          <w:highlight w:val="white"/>
        </w:rPr>
        <w:t xml:space="preserve">(2018). </w:t>
      </w:r>
      <w:r>
        <w:rPr>
          <w:rFonts w:eastAsia="Verdana"/>
          <w:sz w:val="24"/>
          <w:highlight w:val="white"/>
        </w:rPr>
        <w:t>T</w:t>
      </w:r>
      <w:r w:rsidRPr="00FC2137">
        <w:rPr>
          <w:rFonts w:eastAsia="Verdana"/>
          <w:sz w:val="24"/>
        </w:rPr>
        <w:t xml:space="preserve">emer assina decreto que inclui a </w:t>
      </w:r>
      <w:proofErr w:type="spellStart"/>
      <w:r w:rsidRPr="00FC2137">
        <w:rPr>
          <w:rFonts w:eastAsia="Verdana"/>
          <w:sz w:val="24"/>
        </w:rPr>
        <w:t>Eletrobras</w:t>
      </w:r>
      <w:proofErr w:type="spellEnd"/>
      <w:r w:rsidRPr="00FC2137">
        <w:rPr>
          <w:rFonts w:eastAsia="Verdana"/>
          <w:sz w:val="24"/>
        </w:rPr>
        <w:t xml:space="preserve"> no programa de desestatização</w:t>
      </w:r>
      <w:r>
        <w:rPr>
          <w:rFonts w:eastAsia="Verdana"/>
          <w:sz w:val="24"/>
        </w:rPr>
        <w:t xml:space="preserve">. </w:t>
      </w:r>
      <w:r w:rsidR="006B79B9">
        <w:rPr>
          <w:rFonts w:eastAsia="Verdana"/>
          <w:sz w:val="24"/>
        </w:rPr>
        <w:t xml:space="preserve">Recuperado </w:t>
      </w:r>
      <w:r w:rsidR="00A03B3B">
        <w:rPr>
          <w:rFonts w:eastAsia="Verdana"/>
          <w:sz w:val="24"/>
        </w:rPr>
        <w:t xml:space="preserve">em 20 de abril, 2018, </w:t>
      </w:r>
      <w:r w:rsidR="006B79B9">
        <w:rPr>
          <w:rFonts w:eastAsia="Verdana"/>
          <w:sz w:val="24"/>
        </w:rPr>
        <w:t xml:space="preserve">de </w:t>
      </w:r>
      <w:r w:rsidR="000F2BCA" w:rsidRPr="00FC48B1">
        <w:rPr>
          <w:rFonts w:eastAsia="Verdana"/>
          <w:sz w:val="24"/>
          <w:szCs w:val="24"/>
        </w:rPr>
        <w:t>https://g1.globo.com/politica/noticia/temer-assina-decreto-que-inclui-a-eletrobras-no-programa-de-desestatizacao.ghtml</w:t>
      </w:r>
      <w:r w:rsidR="000F2BCA" w:rsidRPr="000F2BCA">
        <w:rPr>
          <w:rFonts w:eastAsia="Verdana"/>
          <w:sz w:val="24"/>
          <w:szCs w:val="24"/>
        </w:rPr>
        <w:t xml:space="preserve"> </w:t>
      </w:r>
      <w:r w:rsidR="00D71AA4" w:rsidRPr="000F2BCA">
        <w:rPr>
          <w:rFonts w:eastAsia="Verdana"/>
          <w:sz w:val="24"/>
          <w:szCs w:val="24"/>
        </w:rPr>
        <w:t xml:space="preserve"> </w:t>
      </w:r>
    </w:p>
    <w:p w14:paraId="379EBB10" w14:textId="304FB241" w:rsidR="0046473F" w:rsidRPr="000F2BCA" w:rsidRDefault="0046473F" w:rsidP="000F2BCA">
      <w:pPr>
        <w:rPr>
          <w:rFonts w:eastAsia="Verdana"/>
          <w:sz w:val="24"/>
          <w:szCs w:val="24"/>
        </w:rPr>
      </w:pPr>
    </w:p>
    <w:p w14:paraId="59F40044" w14:textId="4385B658" w:rsidR="00DB2160" w:rsidRDefault="0046473F" w:rsidP="000F2BCA">
      <w:pPr>
        <w:rPr>
          <w:sz w:val="24"/>
          <w:szCs w:val="24"/>
        </w:rPr>
      </w:pPr>
      <w:r>
        <w:rPr>
          <w:rFonts w:eastAsia="Verdana"/>
          <w:sz w:val="24"/>
        </w:rPr>
        <w:t xml:space="preserve">Melo, F. L. de, Ferreira, L. F., &amp; Ferreira, D. D. M. (2016). </w:t>
      </w:r>
      <w:r w:rsidR="00DB2160" w:rsidRPr="00DB2160">
        <w:rPr>
          <w:rFonts w:eastAsia="Verdana"/>
          <w:sz w:val="24"/>
        </w:rPr>
        <w:t>Demonstração do Valor</w:t>
      </w:r>
      <w:r w:rsidR="00DB2160">
        <w:rPr>
          <w:rFonts w:eastAsia="Verdana"/>
          <w:sz w:val="24"/>
        </w:rPr>
        <w:t xml:space="preserve"> </w:t>
      </w:r>
      <w:r w:rsidR="00DB2160" w:rsidRPr="00DB2160">
        <w:rPr>
          <w:rFonts w:eastAsia="Verdana"/>
          <w:sz w:val="24"/>
        </w:rPr>
        <w:t>Adicionado (DVA): Um Estudo Sobre a Destinação da Riqueza</w:t>
      </w:r>
      <w:r w:rsidR="00DB2160">
        <w:rPr>
          <w:rFonts w:eastAsia="Verdana"/>
          <w:sz w:val="24"/>
        </w:rPr>
        <w:t xml:space="preserve"> </w:t>
      </w:r>
      <w:r w:rsidR="00DB2160" w:rsidRPr="00DB2160">
        <w:rPr>
          <w:rFonts w:eastAsia="Verdana"/>
          <w:sz w:val="24"/>
        </w:rPr>
        <w:t>nas Regiões Brasileiras</w:t>
      </w:r>
      <w:r w:rsidR="00DB2160">
        <w:rPr>
          <w:rFonts w:eastAsia="Verdana"/>
          <w:sz w:val="24"/>
        </w:rPr>
        <w:t xml:space="preserve">. </w:t>
      </w:r>
      <w:r w:rsidR="00DB2160">
        <w:rPr>
          <w:sz w:val="24"/>
        </w:rPr>
        <w:t>XIII Congresso USP de Iniciação Científica em Contabilidade. São Paulo, SP.</w:t>
      </w:r>
    </w:p>
    <w:p w14:paraId="259F1D73" w14:textId="77777777" w:rsidR="00E7047B" w:rsidRPr="005C22B0" w:rsidRDefault="00E7047B" w:rsidP="000F2BCA">
      <w:pPr>
        <w:rPr>
          <w:rFonts w:eastAsia="Verdana"/>
          <w:sz w:val="24"/>
          <w:highlight w:val="white"/>
        </w:rPr>
      </w:pPr>
    </w:p>
    <w:p w14:paraId="63242BE6" w14:textId="3BF8807E" w:rsidR="00FC2137" w:rsidRDefault="00FC2137" w:rsidP="000F2BCA">
      <w:r>
        <w:rPr>
          <w:sz w:val="24"/>
        </w:rPr>
        <w:t>M</w:t>
      </w:r>
      <w:r w:rsidR="006B79B9">
        <w:rPr>
          <w:sz w:val="24"/>
        </w:rPr>
        <w:t>ota</w:t>
      </w:r>
      <w:r>
        <w:rPr>
          <w:sz w:val="24"/>
        </w:rPr>
        <w:t>, C</w:t>
      </w:r>
      <w:r w:rsidR="006B79B9">
        <w:rPr>
          <w:sz w:val="24"/>
        </w:rPr>
        <w:t>.</w:t>
      </w:r>
      <w:r>
        <w:rPr>
          <w:sz w:val="24"/>
        </w:rPr>
        <w:t xml:space="preserve"> V</w:t>
      </w:r>
      <w:r w:rsidR="006B79B9">
        <w:rPr>
          <w:sz w:val="24"/>
        </w:rPr>
        <w:t>. (2018).</w:t>
      </w:r>
      <w:r>
        <w:rPr>
          <w:sz w:val="24"/>
        </w:rPr>
        <w:t xml:space="preserve"> </w:t>
      </w:r>
      <w:r w:rsidRPr="00D71AA4">
        <w:rPr>
          <w:sz w:val="24"/>
        </w:rPr>
        <w:t xml:space="preserve">O que significa privatizar a </w:t>
      </w:r>
      <w:proofErr w:type="spellStart"/>
      <w:r w:rsidRPr="00D71AA4">
        <w:rPr>
          <w:sz w:val="24"/>
        </w:rPr>
        <w:t>Eletrobras</w:t>
      </w:r>
      <w:proofErr w:type="spellEnd"/>
      <w:r w:rsidRPr="00D71AA4">
        <w:rPr>
          <w:sz w:val="24"/>
        </w:rPr>
        <w:t>?</w:t>
      </w:r>
      <w:r>
        <w:rPr>
          <w:b/>
          <w:sz w:val="24"/>
        </w:rPr>
        <w:t xml:space="preserve"> </w:t>
      </w:r>
      <w:r w:rsidR="006B79B9">
        <w:rPr>
          <w:sz w:val="24"/>
        </w:rPr>
        <w:t>Recuperado</w:t>
      </w:r>
      <w:r w:rsidR="00A03B3B">
        <w:rPr>
          <w:sz w:val="24"/>
        </w:rPr>
        <w:t xml:space="preserve"> em 20 de março, 2018,</w:t>
      </w:r>
      <w:r w:rsidR="006B79B9">
        <w:rPr>
          <w:sz w:val="24"/>
        </w:rPr>
        <w:t xml:space="preserve"> de </w:t>
      </w:r>
      <w:r w:rsidR="000F2BCA" w:rsidRPr="00FC48B1">
        <w:rPr>
          <w:sz w:val="24"/>
        </w:rPr>
        <w:t>http://www.bbc.com/portuguese/brasil-41067896</w:t>
      </w:r>
      <w:r w:rsidR="000F2BCA">
        <w:rPr>
          <w:sz w:val="24"/>
        </w:rPr>
        <w:t xml:space="preserve"> </w:t>
      </w:r>
    </w:p>
    <w:p w14:paraId="0BEB0A3C" w14:textId="61A51BC7" w:rsidR="001E47B7" w:rsidRPr="000F2BCA" w:rsidRDefault="001E47B7" w:rsidP="000F2BCA">
      <w:pPr>
        <w:rPr>
          <w:sz w:val="24"/>
          <w:szCs w:val="24"/>
        </w:rPr>
      </w:pPr>
    </w:p>
    <w:p w14:paraId="16278759" w14:textId="186CAC68" w:rsidR="001E47B7" w:rsidRPr="000F2BCA" w:rsidRDefault="001E47B7" w:rsidP="000F2BCA">
      <w:pPr>
        <w:rPr>
          <w:sz w:val="24"/>
        </w:rPr>
      </w:pPr>
      <w:r w:rsidRPr="000F2BCA">
        <w:rPr>
          <w:sz w:val="24"/>
        </w:rPr>
        <w:t xml:space="preserve">Nunes, V. M., &amp; Miranda, G. J. (2016). Geração e Distribuição do Valor Adicionado em 2013: Análise das Companhias Listadas no IBrX-100. </w:t>
      </w:r>
      <w:r w:rsidRPr="000F2BCA">
        <w:rPr>
          <w:i/>
          <w:sz w:val="24"/>
        </w:rPr>
        <w:t>Revista Evidenciação Contábil &amp; Finanças</w:t>
      </w:r>
      <w:r w:rsidRPr="000F2BCA">
        <w:rPr>
          <w:sz w:val="24"/>
        </w:rPr>
        <w:t>, 4(1), 18-32.</w:t>
      </w:r>
    </w:p>
    <w:p w14:paraId="64E90BBF" w14:textId="77777777" w:rsidR="00DB2160" w:rsidRDefault="00DB2160" w:rsidP="000F2BCA">
      <w:pPr>
        <w:rPr>
          <w:sz w:val="24"/>
        </w:rPr>
      </w:pPr>
    </w:p>
    <w:p w14:paraId="6F21A9E9" w14:textId="395738B5" w:rsidR="002528B6" w:rsidRPr="004B7AFB" w:rsidRDefault="00FC2137" w:rsidP="000F2BCA">
      <w:pPr>
        <w:rPr>
          <w:sz w:val="24"/>
          <w:szCs w:val="24"/>
        </w:rPr>
      </w:pPr>
      <w:r>
        <w:rPr>
          <w:sz w:val="24"/>
        </w:rPr>
        <w:lastRenderedPageBreak/>
        <w:t>R</w:t>
      </w:r>
      <w:r w:rsidR="00DF4E74">
        <w:rPr>
          <w:sz w:val="24"/>
        </w:rPr>
        <w:t>euters. (2018).</w:t>
      </w:r>
      <w:r>
        <w:rPr>
          <w:sz w:val="24"/>
        </w:rPr>
        <w:t xml:space="preserve"> </w:t>
      </w:r>
      <w:r w:rsidRPr="00FC2137">
        <w:rPr>
          <w:sz w:val="24"/>
        </w:rPr>
        <w:t xml:space="preserve">MP sobre privatização da </w:t>
      </w:r>
      <w:proofErr w:type="spellStart"/>
      <w:r w:rsidRPr="00FC2137">
        <w:rPr>
          <w:sz w:val="24"/>
        </w:rPr>
        <w:t>Eletrobras</w:t>
      </w:r>
      <w:proofErr w:type="spellEnd"/>
      <w:r w:rsidRPr="00FC2137">
        <w:rPr>
          <w:sz w:val="24"/>
        </w:rPr>
        <w:t xml:space="preserve"> tem vigência prorrogada por 60 dias</w:t>
      </w:r>
      <w:r>
        <w:rPr>
          <w:sz w:val="24"/>
        </w:rPr>
        <w:t xml:space="preserve">. </w:t>
      </w:r>
      <w:r w:rsidR="004B7AFB">
        <w:rPr>
          <w:sz w:val="24"/>
        </w:rPr>
        <w:t xml:space="preserve">Recuperado </w:t>
      </w:r>
      <w:r w:rsidR="00A03B3B">
        <w:rPr>
          <w:sz w:val="24"/>
        </w:rPr>
        <w:t xml:space="preserve">em 23 de abril, 2018, </w:t>
      </w:r>
      <w:r w:rsidR="004B7AFB" w:rsidRPr="00417657">
        <w:rPr>
          <w:sz w:val="24"/>
          <w:szCs w:val="24"/>
        </w:rPr>
        <w:t>de</w:t>
      </w:r>
      <w:r w:rsidRPr="004B7AFB">
        <w:rPr>
          <w:sz w:val="24"/>
          <w:szCs w:val="24"/>
        </w:rPr>
        <w:t xml:space="preserve"> </w:t>
      </w:r>
      <w:r w:rsidR="000F2BCA" w:rsidRPr="00FC48B1">
        <w:rPr>
          <w:sz w:val="24"/>
          <w:szCs w:val="24"/>
        </w:rPr>
        <w:t>https://g1.globo.com/economia/noticia/mp-sobre-privatizacao-da-eletrobras-tem-vigencia-prorrogada-por-60</w:t>
      </w:r>
      <w:bookmarkStart w:id="5" w:name="_GoBack"/>
      <w:bookmarkEnd w:id="5"/>
      <w:r w:rsidR="000F2BCA" w:rsidRPr="00FC48B1">
        <w:rPr>
          <w:sz w:val="24"/>
          <w:szCs w:val="24"/>
        </w:rPr>
        <w:t>-dias.ghtml</w:t>
      </w:r>
      <w:r w:rsidR="000F2BCA">
        <w:rPr>
          <w:sz w:val="24"/>
          <w:szCs w:val="24"/>
        </w:rPr>
        <w:t xml:space="preserve"> </w:t>
      </w:r>
    </w:p>
    <w:p w14:paraId="3525F365" w14:textId="77777777" w:rsidR="0025496D" w:rsidRPr="005C22B0" w:rsidRDefault="0025496D" w:rsidP="000F2BCA">
      <w:pPr>
        <w:rPr>
          <w:sz w:val="24"/>
        </w:rPr>
      </w:pPr>
    </w:p>
    <w:p w14:paraId="7980559D" w14:textId="218AB48C" w:rsidR="002528B6" w:rsidRDefault="002528B6" w:rsidP="000F2BCA">
      <w:pPr>
        <w:rPr>
          <w:rFonts w:eastAsia="Verdana"/>
          <w:sz w:val="24"/>
          <w:highlight w:val="white"/>
        </w:rPr>
      </w:pPr>
      <w:r w:rsidRPr="005C22B0">
        <w:rPr>
          <w:rFonts w:eastAsia="Verdana"/>
          <w:sz w:val="24"/>
          <w:highlight w:val="white"/>
        </w:rPr>
        <w:t>S</w:t>
      </w:r>
      <w:r w:rsidR="00DB2E54">
        <w:rPr>
          <w:rFonts w:eastAsia="Verdana"/>
          <w:sz w:val="24"/>
          <w:highlight w:val="white"/>
        </w:rPr>
        <w:t>antos</w:t>
      </w:r>
      <w:r w:rsidRPr="005C22B0">
        <w:rPr>
          <w:rFonts w:eastAsia="Verdana"/>
          <w:sz w:val="24"/>
          <w:highlight w:val="white"/>
        </w:rPr>
        <w:t>, A</w:t>
      </w:r>
      <w:r w:rsidR="00DB2E54">
        <w:rPr>
          <w:rFonts w:eastAsia="Verdana"/>
          <w:sz w:val="24"/>
          <w:highlight w:val="white"/>
        </w:rPr>
        <w:t>.</w:t>
      </w:r>
      <w:r w:rsidRPr="005C22B0">
        <w:rPr>
          <w:rFonts w:eastAsia="Verdana"/>
          <w:sz w:val="24"/>
          <w:highlight w:val="white"/>
        </w:rPr>
        <w:t xml:space="preserve"> dos. </w:t>
      </w:r>
      <w:r w:rsidR="00DB2E54">
        <w:rPr>
          <w:rFonts w:eastAsia="Verdana"/>
          <w:sz w:val="24"/>
          <w:highlight w:val="white"/>
        </w:rPr>
        <w:t xml:space="preserve">(1999). </w:t>
      </w:r>
      <w:r w:rsidRPr="00D71AA4">
        <w:rPr>
          <w:rFonts w:eastAsia="Verdana"/>
          <w:sz w:val="24"/>
          <w:highlight w:val="white"/>
        </w:rPr>
        <w:t xml:space="preserve">Demonstração contábil do valor adicionado – DVA: </w:t>
      </w:r>
      <w:r w:rsidRPr="00DB2E54">
        <w:rPr>
          <w:rFonts w:eastAsia="Verdana"/>
          <w:sz w:val="24"/>
          <w:highlight w:val="white"/>
        </w:rPr>
        <w:t>um instrumento para medição da geração e distribuição de riqueza das empresas.</w:t>
      </w:r>
      <w:r w:rsidRPr="005C22B0">
        <w:rPr>
          <w:rFonts w:eastAsia="Verdana"/>
          <w:b/>
          <w:sz w:val="24"/>
          <w:highlight w:val="white"/>
        </w:rPr>
        <w:t xml:space="preserve"> </w:t>
      </w:r>
      <w:r w:rsidR="00DB2E54">
        <w:rPr>
          <w:rFonts w:eastAsia="Verdana"/>
          <w:b/>
          <w:sz w:val="24"/>
          <w:highlight w:val="white"/>
        </w:rPr>
        <w:t>(</w:t>
      </w:r>
      <w:r w:rsidRPr="005C22B0">
        <w:rPr>
          <w:rFonts w:eastAsia="Verdana"/>
          <w:sz w:val="24"/>
          <w:highlight w:val="white"/>
        </w:rPr>
        <w:t>Tese de livre docência</w:t>
      </w:r>
      <w:r w:rsidR="00DB2E54">
        <w:rPr>
          <w:rFonts w:eastAsia="Verdana"/>
          <w:sz w:val="24"/>
          <w:highlight w:val="white"/>
        </w:rPr>
        <w:t xml:space="preserve"> não publicada).</w:t>
      </w:r>
      <w:r w:rsidRPr="005C22B0">
        <w:rPr>
          <w:rFonts w:eastAsia="Verdana"/>
          <w:sz w:val="24"/>
          <w:highlight w:val="white"/>
        </w:rPr>
        <w:t xml:space="preserve"> Faculdade de Economia, Administração e Contabilidade da Universida</w:t>
      </w:r>
      <w:r>
        <w:rPr>
          <w:rFonts w:eastAsia="Verdana"/>
          <w:sz w:val="24"/>
          <w:highlight w:val="white"/>
        </w:rPr>
        <w:t>de de São Paulo. São Paulo.</w:t>
      </w:r>
    </w:p>
    <w:p w14:paraId="2562A70D" w14:textId="77777777" w:rsidR="0025496D" w:rsidRPr="005C22B0" w:rsidRDefault="0025496D" w:rsidP="000F2BCA">
      <w:pPr>
        <w:rPr>
          <w:rFonts w:eastAsia="Verdana"/>
          <w:sz w:val="24"/>
          <w:highlight w:val="white"/>
        </w:rPr>
      </w:pPr>
    </w:p>
    <w:p w14:paraId="4B615F8C" w14:textId="45E2DBDE" w:rsidR="002528B6" w:rsidRDefault="002528B6" w:rsidP="000F2BCA">
      <w:pPr>
        <w:rPr>
          <w:sz w:val="24"/>
          <w:szCs w:val="22"/>
        </w:rPr>
      </w:pPr>
      <w:r w:rsidRPr="00496229">
        <w:rPr>
          <w:sz w:val="24"/>
          <w:szCs w:val="22"/>
        </w:rPr>
        <w:t>S</w:t>
      </w:r>
      <w:r w:rsidR="0071531C">
        <w:rPr>
          <w:sz w:val="24"/>
          <w:szCs w:val="22"/>
        </w:rPr>
        <w:t>antos</w:t>
      </w:r>
      <w:r w:rsidRPr="00496229">
        <w:rPr>
          <w:sz w:val="24"/>
          <w:szCs w:val="22"/>
        </w:rPr>
        <w:t>, J</w:t>
      </w:r>
      <w:r w:rsidR="0071531C">
        <w:rPr>
          <w:sz w:val="24"/>
          <w:szCs w:val="22"/>
        </w:rPr>
        <w:t>.</w:t>
      </w:r>
      <w:r w:rsidRPr="00496229">
        <w:rPr>
          <w:sz w:val="24"/>
          <w:szCs w:val="22"/>
        </w:rPr>
        <w:t xml:space="preserve"> </w:t>
      </w:r>
      <w:proofErr w:type="gramStart"/>
      <w:r w:rsidRPr="00496229">
        <w:rPr>
          <w:sz w:val="24"/>
          <w:szCs w:val="22"/>
        </w:rPr>
        <w:t>dos</w:t>
      </w:r>
      <w:r w:rsidR="0071531C">
        <w:rPr>
          <w:sz w:val="24"/>
          <w:szCs w:val="22"/>
        </w:rPr>
        <w:t>,</w:t>
      </w:r>
      <w:r w:rsidRPr="00496229">
        <w:rPr>
          <w:sz w:val="24"/>
          <w:szCs w:val="22"/>
        </w:rPr>
        <w:t xml:space="preserve"> </w:t>
      </w:r>
      <w:proofErr w:type="spellStart"/>
      <w:r w:rsidRPr="00496229">
        <w:rPr>
          <w:sz w:val="24"/>
          <w:szCs w:val="22"/>
        </w:rPr>
        <w:t>S</w:t>
      </w:r>
      <w:r w:rsidR="0071531C">
        <w:rPr>
          <w:sz w:val="24"/>
          <w:szCs w:val="22"/>
        </w:rPr>
        <w:t>chimidt</w:t>
      </w:r>
      <w:proofErr w:type="spellEnd"/>
      <w:proofErr w:type="gramEnd"/>
      <w:r w:rsidRPr="00496229">
        <w:rPr>
          <w:sz w:val="24"/>
          <w:szCs w:val="22"/>
        </w:rPr>
        <w:t>, P</w:t>
      </w:r>
      <w:r w:rsidR="0071531C">
        <w:rPr>
          <w:sz w:val="24"/>
          <w:szCs w:val="22"/>
        </w:rPr>
        <w:t>.</w:t>
      </w:r>
      <w:r w:rsidR="0071531C">
        <w:rPr>
          <w:sz w:val="24"/>
        </w:rPr>
        <w:t>,</w:t>
      </w:r>
      <w:r w:rsidR="006148F0">
        <w:rPr>
          <w:sz w:val="24"/>
        </w:rPr>
        <w:t xml:space="preserve"> &amp;</w:t>
      </w:r>
      <w:r w:rsidRPr="00496229">
        <w:rPr>
          <w:sz w:val="24"/>
          <w:szCs w:val="22"/>
        </w:rPr>
        <w:t xml:space="preserve"> M</w:t>
      </w:r>
      <w:r w:rsidR="0071531C">
        <w:rPr>
          <w:sz w:val="24"/>
          <w:szCs w:val="22"/>
        </w:rPr>
        <w:t>achado</w:t>
      </w:r>
      <w:r w:rsidRPr="00496229">
        <w:rPr>
          <w:sz w:val="24"/>
          <w:szCs w:val="22"/>
        </w:rPr>
        <w:t>, N</w:t>
      </w:r>
      <w:r w:rsidR="0071531C">
        <w:rPr>
          <w:sz w:val="24"/>
          <w:szCs w:val="22"/>
        </w:rPr>
        <w:t>.</w:t>
      </w:r>
      <w:r w:rsidRPr="00496229">
        <w:rPr>
          <w:sz w:val="24"/>
          <w:szCs w:val="22"/>
        </w:rPr>
        <w:t xml:space="preserve"> P</w:t>
      </w:r>
      <w:r w:rsidR="0071531C">
        <w:rPr>
          <w:sz w:val="24"/>
          <w:szCs w:val="22"/>
        </w:rPr>
        <w:t>. (2011).</w:t>
      </w:r>
      <w:r w:rsidRPr="00496229">
        <w:rPr>
          <w:rFonts w:hint="eastAsia"/>
          <w:sz w:val="24"/>
          <w:szCs w:val="22"/>
        </w:rPr>
        <w:t> </w:t>
      </w:r>
      <w:r w:rsidRPr="00D71AA4">
        <w:rPr>
          <w:sz w:val="24"/>
          <w:szCs w:val="22"/>
        </w:rPr>
        <w:t xml:space="preserve">Fundamentos da </w:t>
      </w:r>
      <w:r w:rsidRPr="00D71AA4">
        <w:rPr>
          <w:sz w:val="24"/>
        </w:rPr>
        <w:t>T</w:t>
      </w:r>
      <w:r w:rsidRPr="00D71AA4">
        <w:rPr>
          <w:sz w:val="24"/>
          <w:szCs w:val="22"/>
        </w:rPr>
        <w:t xml:space="preserve">eoria da </w:t>
      </w:r>
      <w:r w:rsidRPr="00D71AA4">
        <w:rPr>
          <w:sz w:val="24"/>
        </w:rPr>
        <w:t>C</w:t>
      </w:r>
      <w:r w:rsidRPr="00D71AA4">
        <w:rPr>
          <w:sz w:val="24"/>
          <w:szCs w:val="22"/>
        </w:rPr>
        <w:t>ontabilidade</w:t>
      </w:r>
      <w:r w:rsidRPr="00D71AA4">
        <w:rPr>
          <w:sz w:val="24"/>
        </w:rPr>
        <w:t>.</w:t>
      </w:r>
      <w:r w:rsidRPr="00B06B19" w:rsidDel="00D23FB5">
        <w:rPr>
          <w:sz w:val="24"/>
        </w:rPr>
        <w:t xml:space="preserve"> </w:t>
      </w:r>
      <w:r w:rsidRPr="00496229">
        <w:rPr>
          <w:sz w:val="24"/>
          <w:szCs w:val="22"/>
        </w:rPr>
        <w:t>Atlas</w:t>
      </w:r>
      <w:r w:rsidR="0071531C">
        <w:rPr>
          <w:sz w:val="24"/>
          <w:szCs w:val="22"/>
        </w:rPr>
        <w:t>.</w:t>
      </w:r>
    </w:p>
    <w:p w14:paraId="65159FD6" w14:textId="77777777" w:rsidR="0025496D" w:rsidRDefault="0025496D" w:rsidP="000F2BCA">
      <w:pPr>
        <w:rPr>
          <w:sz w:val="24"/>
          <w:szCs w:val="22"/>
        </w:rPr>
      </w:pPr>
    </w:p>
    <w:p w14:paraId="05A99822" w14:textId="494B92CA" w:rsidR="006E790D" w:rsidRDefault="006E790D" w:rsidP="000F2BCA">
      <w:pPr>
        <w:rPr>
          <w:sz w:val="24"/>
        </w:rPr>
      </w:pPr>
      <w:r w:rsidRPr="006E790D">
        <w:rPr>
          <w:sz w:val="24"/>
        </w:rPr>
        <w:t>S</w:t>
      </w:r>
      <w:r w:rsidR="0071531C">
        <w:rPr>
          <w:sz w:val="24"/>
        </w:rPr>
        <w:t>antos</w:t>
      </w:r>
      <w:r w:rsidRPr="006E790D">
        <w:rPr>
          <w:sz w:val="24"/>
        </w:rPr>
        <w:t xml:space="preserve">, M. I. </w:t>
      </w:r>
      <w:proofErr w:type="spellStart"/>
      <w:r w:rsidRPr="006E790D">
        <w:rPr>
          <w:sz w:val="24"/>
        </w:rPr>
        <w:t>da</w:t>
      </w:r>
      <w:proofErr w:type="spellEnd"/>
      <w:r w:rsidRPr="006E790D">
        <w:rPr>
          <w:sz w:val="24"/>
        </w:rPr>
        <w:t xml:space="preserve"> C.</w:t>
      </w:r>
      <w:r w:rsidR="0071531C">
        <w:rPr>
          <w:sz w:val="24"/>
        </w:rPr>
        <w:t>,</w:t>
      </w:r>
      <w:r w:rsidRPr="006E790D">
        <w:rPr>
          <w:sz w:val="24"/>
        </w:rPr>
        <w:t xml:space="preserve"> </w:t>
      </w:r>
      <w:r w:rsidR="0071531C">
        <w:rPr>
          <w:sz w:val="24"/>
        </w:rPr>
        <w:t xml:space="preserve">&amp; </w:t>
      </w:r>
      <w:r w:rsidRPr="006E790D">
        <w:rPr>
          <w:sz w:val="24"/>
        </w:rPr>
        <w:t>S</w:t>
      </w:r>
      <w:r w:rsidR="0071531C">
        <w:rPr>
          <w:sz w:val="24"/>
        </w:rPr>
        <w:t>ilva</w:t>
      </w:r>
      <w:r w:rsidRPr="006E790D">
        <w:rPr>
          <w:sz w:val="24"/>
        </w:rPr>
        <w:t>, M. S. da. Utilização da Demonstração do Valor Adicionado –DVA</w:t>
      </w:r>
      <w:r>
        <w:rPr>
          <w:sz w:val="24"/>
        </w:rPr>
        <w:t xml:space="preserve"> </w:t>
      </w:r>
      <w:r w:rsidRPr="006E790D">
        <w:rPr>
          <w:sz w:val="24"/>
        </w:rPr>
        <w:t xml:space="preserve">como ferramenta na medição da riqueza no setor de telefonia no Brasil. </w:t>
      </w:r>
      <w:r w:rsidRPr="00D71AA4">
        <w:rPr>
          <w:i/>
          <w:sz w:val="24"/>
        </w:rPr>
        <w:t>Pensar Contábil</w:t>
      </w:r>
      <w:r w:rsidR="0071531C">
        <w:rPr>
          <w:i/>
          <w:sz w:val="24"/>
        </w:rPr>
        <w:t>.</w:t>
      </w:r>
      <w:r w:rsidRPr="006E790D">
        <w:rPr>
          <w:sz w:val="24"/>
        </w:rPr>
        <w:t xml:space="preserve"> Rio de</w:t>
      </w:r>
      <w:r>
        <w:rPr>
          <w:sz w:val="24"/>
        </w:rPr>
        <w:t xml:space="preserve"> </w:t>
      </w:r>
      <w:r w:rsidRPr="006E790D">
        <w:rPr>
          <w:sz w:val="24"/>
        </w:rPr>
        <w:t>Janeiro,</w:t>
      </w:r>
      <w:r w:rsidR="0071531C">
        <w:rPr>
          <w:sz w:val="24"/>
        </w:rPr>
        <w:t xml:space="preserve"> RJ.</w:t>
      </w:r>
      <w:r w:rsidRPr="006E790D">
        <w:rPr>
          <w:sz w:val="24"/>
        </w:rPr>
        <w:t xml:space="preserve"> 39-45</w:t>
      </w:r>
      <w:r w:rsidR="0071531C">
        <w:rPr>
          <w:sz w:val="24"/>
        </w:rPr>
        <w:t>.</w:t>
      </w:r>
    </w:p>
    <w:p w14:paraId="734B2B9E" w14:textId="25D53D3E" w:rsidR="00CE7932" w:rsidRDefault="00CE7932" w:rsidP="000F2BCA">
      <w:pPr>
        <w:rPr>
          <w:sz w:val="24"/>
        </w:rPr>
      </w:pPr>
    </w:p>
    <w:p w14:paraId="009B3C48" w14:textId="67CD056B" w:rsidR="00CE7932" w:rsidRDefault="00CE7932" w:rsidP="000F2BCA">
      <w:pPr>
        <w:rPr>
          <w:sz w:val="24"/>
        </w:rPr>
      </w:pPr>
      <w:proofErr w:type="spellStart"/>
      <w:r w:rsidRPr="00CE7932">
        <w:rPr>
          <w:sz w:val="24"/>
        </w:rPr>
        <w:t>Schäfer</w:t>
      </w:r>
      <w:proofErr w:type="spellEnd"/>
      <w:r w:rsidRPr="00CE7932">
        <w:rPr>
          <w:sz w:val="24"/>
        </w:rPr>
        <w:t xml:space="preserve">, J. D., </w:t>
      </w:r>
      <w:proofErr w:type="spellStart"/>
      <w:r w:rsidRPr="00CE7932">
        <w:rPr>
          <w:sz w:val="24"/>
        </w:rPr>
        <w:t>Konraht</w:t>
      </w:r>
      <w:proofErr w:type="spellEnd"/>
      <w:r w:rsidRPr="00CE7932">
        <w:rPr>
          <w:sz w:val="24"/>
        </w:rPr>
        <w:t xml:space="preserve">, J. M., &amp; Ferreira, L. F. (2016). O custo tributário nas empresas brasileiras de energia elétrica: uma análise por meio da Demonstração do Valor Adicionado. </w:t>
      </w:r>
      <w:r w:rsidRPr="000F2BCA">
        <w:rPr>
          <w:i/>
          <w:sz w:val="24"/>
        </w:rPr>
        <w:t>Revista Capital Científico - Eletrônica</w:t>
      </w:r>
      <w:r w:rsidRPr="00CE7932">
        <w:rPr>
          <w:sz w:val="24"/>
        </w:rPr>
        <w:t>, 14(3), 84-99.</w:t>
      </w:r>
    </w:p>
    <w:p w14:paraId="1BD2CEDF" w14:textId="77777777" w:rsidR="0025496D" w:rsidRDefault="0025496D" w:rsidP="000F2BCA">
      <w:pPr>
        <w:rPr>
          <w:sz w:val="24"/>
        </w:rPr>
      </w:pPr>
    </w:p>
    <w:bookmarkEnd w:id="4"/>
    <w:p w14:paraId="719B4CE8" w14:textId="796FF8FB" w:rsidR="002528B6" w:rsidRDefault="002528B6" w:rsidP="000F2BCA">
      <w:pPr>
        <w:rPr>
          <w:sz w:val="24"/>
        </w:rPr>
      </w:pPr>
      <w:r w:rsidRPr="00496229">
        <w:rPr>
          <w:sz w:val="24"/>
        </w:rPr>
        <w:t>Silvestre, B. S., Hall, J., Matos, S., &amp; Figueira, L. A. P. A. (2010</w:t>
      </w:r>
      <w:r w:rsidRPr="00CE1BAC">
        <w:rPr>
          <w:sz w:val="24"/>
        </w:rPr>
        <w:t xml:space="preserve">). </w:t>
      </w:r>
      <w:r w:rsidRPr="00D71AA4">
        <w:rPr>
          <w:sz w:val="24"/>
        </w:rPr>
        <w:t>Privatização: bom ou ruim? Lições do setor de distribuição de energia elétrica do nordeste brasileiro.</w:t>
      </w:r>
      <w:r w:rsidRPr="00496229">
        <w:rPr>
          <w:sz w:val="24"/>
        </w:rPr>
        <w:t xml:space="preserve"> </w:t>
      </w:r>
      <w:r w:rsidRPr="00D71AA4">
        <w:rPr>
          <w:i/>
          <w:sz w:val="24"/>
        </w:rPr>
        <w:t>Revista de Administração de Empresas</w:t>
      </w:r>
      <w:r w:rsidR="00CE1BAC">
        <w:rPr>
          <w:sz w:val="24"/>
        </w:rPr>
        <w:t>.</w:t>
      </w:r>
      <w:r w:rsidRPr="00496229">
        <w:rPr>
          <w:sz w:val="24"/>
        </w:rPr>
        <w:t xml:space="preserve"> 94-111</w:t>
      </w:r>
      <w:r w:rsidR="00CE1BAC">
        <w:rPr>
          <w:sz w:val="24"/>
        </w:rPr>
        <w:t>.</w:t>
      </w:r>
    </w:p>
    <w:p w14:paraId="1E7A7CCC" w14:textId="77777777" w:rsidR="0025496D" w:rsidRPr="00496229" w:rsidRDefault="0025496D" w:rsidP="000F2BCA">
      <w:pPr>
        <w:rPr>
          <w:sz w:val="28"/>
        </w:rPr>
      </w:pPr>
    </w:p>
    <w:p w14:paraId="6DE25252" w14:textId="06FFF47B" w:rsidR="002528B6" w:rsidRDefault="002528B6" w:rsidP="000F2BCA">
      <w:pPr>
        <w:rPr>
          <w:sz w:val="24"/>
          <w:szCs w:val="24"/>
        </w:rPr>
      </w:pPr>
      <w:r w:rsidRPr="005F4828">
        <w:rPr>
          <w:sz w:val="24"/>
          <w:szCs w:val="24"/>
        </w:rPr>
        <w:t>T</w:t>
      </w:r>
      <w:r w:rsidR="008F586C">
        <w:rPr>
          <w:sz w:val="24"/>
          <w:szCs w:val="24"/>
        </w:rPr>
        <w:t>enório</w:t>
      </w:r>
      <w:r w:rsidRPr="005F4828">
        <w:rPr>
          <w:sz w:val="24"/>
          <w:szCs w:val="24"/>
        </w:rPr>
        <w:t>, F. G.</w:t>
      </w:r>
      <w:r w:rsidR="004A2285">
        <w:rPr>
          <w:sz w:val="24"/>
          <w:szCs w:val="24"/>
        </w:rPr>
        <w:t xml:space="preserve"> (2006).</w:t>
      </w:r>
      <w:r w:rsidRPr="005F4828">
        <w:rPr>
          <w:sz w:val="24"/>
          <w:szCs w:val="24"/>
        </w:rPr>
        <w:t xml:space="preserve"> </w:t>
      </w:r>
      <w:r w:rsidRPr="00D71AA4">
        <w:rPr>
          <w:sz w:val="24"/>
          <w:szCs w:val="24"/>
        </w:rPr>
        <w:t>Responsabilidade social empresarial: teoria e prática</w:t>
      </w:r>
      <w:r w:rsidRPr="004A2285">
        <w:rPr>
          <w:sz w:val="24"/>
          <w:szCs w:val="24"/>
        </w:rPr>
        <w:t>.</w:t>
      </w:r>
      <w:r w:rsidRPr="005F4828">
        <w:rPr>
          <w:sz w:val="24"/>
          <w:szCs w:val="24"/>
        </w:rPr>
        <w:t xml:space="preserve"> </w:t>
      </w:r>
      <w:r w:rsidR="004A2285">
        <w:rPr>
          <w:sz w:val="24"/>
          <w:szCs w:val="24"/>
        </w:rPr>
        <w:t xml:space="preserve">FGV. </w:t>
      </w:r>
      <w:r w:rsidRPr="005F4828">
        <w:rPr>
          <w:sz w:val="24"/>
          <w:szCs w:val="24"/>
        </w:rPr>
        <w:t>Rio de Janeiro</w:t>
      </w:r>
      <w:r w:rsidR="004A2285">
        <w:rPr>
          <w:sz w:val="24"/>
          <w:szCs w:val="24"/>
        </w:rPr>
        <w:t>, RJ.</w:t>
      </w:r>
    </w:p>
    <w:p w14:paraId="4E48297E" w14:textId="416CA0C3" w:rsidR="00D03C3B" w:rsidRDefault="00D03C3B" w:rsidP="000F2BCA">
      <w:pPr>
        <w:rPr>
          <w:sz w:val="24"/>
          <w:szCs w:val="24"/>
        </w:rPr>
      </w:pPr>
    </w:p>
    <w:p w14:paraId="0B26F9FD" w14:textId="0737F7FD" w:rsidR="00E6136F" w:rsidRDefault="00D03C3B" w:rsidP="000F2BCA">
      <w:r>
        <w:rPr>
          <w:sz w:val="24"/>
          <w:szCs w:val="24"/>
        </w:rPr>
        <w:t xml:space="preserve">Tinoco, P. P., Rossi, G. A. S., &amp; Portugal, G. T. (2015). </w:t>
      </w:r>
      <w:r w:rsidRPr="00D03C3B">
        <w:rPr>
          <w:sz w:val="24"/>
          <w:szCs w:val="24"/>
        </w:rPr>
        <w:t>Remuneração dos Executivos das Companhias Estatais e</w:t>
      </w:r>
      <w:r>
        <w:rPr>
          <w:sz w:val="24"/>
          <w:szCs w:val="24"/>
        </w:rPr>
        <w:t xml:space="preserve"> </w:t>
      </w:r>
      <w:r w:rsidRPr="00D03C3B">
        <w:rPr>
          <w:sz w:val="24"/>
          <w:szCs w:val="24"/>
        </w:rPr>
        <w:t>Privadas de Energia Elétrica com Maiores Ativos</w:t>
      </w:r>
      <w:r>
        <w:rPr>
          <w:sz w:val="24"/>
          <w:szCs w:val="24"/>
        </w:rPr>
        <w:t xml:space="preserve"> </w:t>
      </w:r>
      <w:r w:rsidRPr="00D03C3B">
        <w:rPr>
          <w:sz w:val="24"/>
          <w:szCs w:val="24"/>
        </w:rPr>
        <w:t>Listadas na</w:t>
      </w:r>
      <w:r>
        <w:rPr>
          <w:sz w:val="24"/>
          <w:szCs w:val="24"/>
        </w:rPr>
        <w:t xml:space="preserve"> </w:t>
      </w:r>
      <w:r w:rsidRPr="00D03C3B">
        <w:rPr>
          <w:sz w:val="24"/>
          <w:szCs w:val="24"/>
        </w:rPr>
        <w:t>BM&amp;FBOVESPA</w:t>
      </w:r>
      <w:r>
        <w:rPr>
          <w:sz w:val="24"/>
          <w:szCs w:val="24"/>
        </w:rPr>
        <w:t xml:space="preserve">. </w:t>
      </w:r>
      <w:r w:rsidRPr="00D71AA4">
        <w:rPr>
          <w:i/>
          <w:sz w:val="24"/>
          <w:szCs w:val="24"/>
        </w:rPr>
        <w:t>Revista Contabilidade, Gestão e Governança</w:t>
      </w:r>
      <w:r>
        <w:rPr>
          <w:sz w:val="24"/>
          <w:szCs w:val="24"/>
        </w:rPr>
        <w:t xml:space="preserve">. </w:t>
      </w:r>
      <w:r w:rsidRPr="00D03C3B">
        <w:rPr>
          <w:sz w:val="24"/>
          <w:szCs w:val="24"/>
        </w:rPr>
        <w:t>Brasília</w:t>
      </w:r>
      <w:r>
        <w:rPr>
          <w:sz w:val="24"/>
          <w:szCs w:val="24"/>
        </w:rPr>
        <w:t>, DF. 142-161.</w:t>
      </w:r>
    </w:p>
    <w:sectPr w:rsidR="00E6136F" w:rsidSect="00E361F4">
      <w:headerReference w:type="default" r:id="rId13"/>
      <w:footerReference w:type="default" r:id="rId14"/>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B489B" w14:textId="77777777" w:rsidR="0083581A" w:rsidRDefault="0083581A" w:rsidP="008A5824">
      <w:r>
        <w:separator/>
      </w:r>
    </w:p>
  </w:endnote>
  <w:endnote w:type="continuationSeparator" w:id="0">
    <w:p w14:paraId="31785B0C" w14:textId="77777777" w:rsidR="0083581A" w:rsidRDefault="0083581A"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859393"/>
      <w:docPartObj>
        <w:docPartGallery w:val="Page Numbers (Bottom of Page)"/>
        <w:docPartUnique/>
      </w:docPartObj>
    </w:sdtPr>
    <w:sdtEndPr/>
    <w:sdtContent>
      <w:p w14:paraId="26BA47CC" w14:textId="50C2B9C3" w:rsidR="00F778A8" w:rsidRDefault="00F778A8">
        <w:pPr>
          <w:pStyle w:val="Rodap"/>
          <w:jc w:val="right"/>
        </w:pPr>
        <w:r>
          <w:fldChar w:fldCharType="begin"/>
        </w:r>
        <w:r>
          <w:instrText>PAGE   \* MERGEFORMAT</w:instrText>
        </w:r>
        <w:r>
          <w:fldChar w:fldCharType="separate"/>
        </w:r>
        <w:r>
          <w:t>2</w:t>
        </w:r>
        <w:r>
          <w:fldChar w:fldCharType="end"/>
        </w:r>
      </w:p>
    </w:sdtContent>
  </w:sdt>
  <w:p w14:paraId="1DE39BEB" w14:textId="26C9CC95" w:rsidR="00954E68" w:rsidRDefault="00954E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B91A0" w14:textId="77777777" w:rsidR="0083581A" w:rsidRDefault="0083581A" w:rsidP="008A5824">
      <w:r>
        <w:separator/>
      </w:r>
    </w:p>
  </w:footnote>
  <w:footnote w:type="continuationSeparator" w:id="0">
    <w:p w14:paraId="62D61F7D" w14:textId="77777777" w:rsidR="0083581A" w:rsidRDefault="0083581A"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78CC" w14:textId="293C39C3" w:rsidR="00954E68" w:rsidRPr="00E361F4" w:rsidRDefault="00954E68" w:rsidP="00E361F4">
    <w:pPr>
      <w:pStyle w:val="Cabealho"/>
    </w:pPr>
    <w:r>
      <w:rPr>
        <w:noProof/>
        <w:lang w:val="en-US"/>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6577"/>
    <w:multiLevelType w:val="hybridMultilevel"/>
    <w:tmpl w:val="F02EB9C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900545"/>
    <w:multiLevelType w:val="multilevel"/>
    <w:tmpl w:val="A23A0CC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0B720F"/>
    <w:multiLevelType w:val="hybridMultilevel"/>
    <w:tmpl w:val="B180171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2417A0"/>
    <w:multiLevelType w:val="hybridMultilevel"/>
    <w:tmpl w:val="23AC086A"/>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4D3C24"/>
    <w:multiLevelType w:val="hybridMultilevel"/>
    <w:tmpl w:val="A5761924"/>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AF0BC6"/>
    <w:multiLevelType w:val="hybridMultilevel"/>
    <w:tmpl w:val="3C18F460"/>
    <w:lvl w:ilvl="0" w:tplc="925A349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E893310"/>
    <w:multiLevelType w:val="hybridMultilevel"/>
    <w:tmpl w:val="C09C9F3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AC04CA7"/>
    <w:multiLevelType w:val="hybridMultilevel"/>
    <w:tmpl w:val="5A8AC944"/>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1717347"/>
    <w:multiLevelType w:val="hybridMultilevel"/>
    <w:tmpl w:val="FE9C3D2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47A55F8"/>
    <w:multiLevelType w:val="multilevel"/>
    <w:tmpl w:val="1AC8D51C"/>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A1F551E"/>
    <w:multiLevelType w:val="hybridMultilevel"/>
    <w:tmpl w:val="0C94E1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0"/>
  </w:num>
  <w:num w:numId="3">
    <w:abstractNumId w:val="10"/>
    <w:lvlOverride w:ilvl="0">
      <w:startOverride w:val="4"/>
    </w:lvlOverride>
    <w:lvlOverride w:ilvl="1">
      <w:startOverride w:val="3"/>
    </w:lvlOverride>
  </w:num>
  <w:num w:numId="4">
    <w:abstractNumId w:val="8"/>
  </w:num>
  <w:num w:numId="5">
    <w:abstractNumId w:val="5"/>
  </w:num>
  <w:num w:numId="6">
    <w:abstractNumId w:val="4"/>
  </w:num>
  <w:num w:numId="7">
    <w:abstractNumId w:val="7"/>
  </w:num>
  <w:num w:numId="8">
    <w:abstractNumId w:val="3"/>
  </w:num>
  <w:num w:numId="9">
    <w:abstractNumId w:val="1"/>
  </w:num>
  <w:num w:numId="10">
    <w:abstractNumId w:val="0"/>
  </w:num>
  <w:num w:numId="11">
    <w:abstractNumId w:val="9"/>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24"/>
    <w:rsid w:val="0000040E"/>
    <w:rsid w:val="0000350E"/>
    <w:rsid w:val="00003763"/>
    <w:rsid w:val="00017D01"/>
    <w:rsid w:val="000353EB"/>
    <w:rsid w:val="00041BAE"/>
    <w:rsid w:val="000426D2"/>
    <w:rsid w:val="000432D7"/>
    <w:rsid w:val="00047052"/>
    <w:rsid w:val="00060AE2"/>
    <w:rsid w:val="000632EB"/>
    <w:rsid w:val="00076091"/>
    <w:rsid w:val="00080DC8"/>
    <w:rsid w:val="00081D93"/>
    <w:rsid w:val="00084D26"/>
    <w:rsid w:val="000923A6"/>
    <w:rsid w:val="000961CB"/>
    <w:rsid w:val="00096A5D"/>
    <w:rsid w:val="000A0708"/>
    <w:rsid w:val="000A093C"/>
    <w:rsid w:val="000A1FCE"/>
    <w:rsid w:val="000A5F31"/>
    <w:rsid w:val="000B0021"/>
    <w:rsid w:val="000C132A"/>
    <w:rsid w:val="000C543B"/>
    <w:rsid w:val="000C76D3"/>
    <w:rsid w:val="000D308F"/>
    <w:rsid w:val="000D3B70"/>
    <w:rsid w:val="000D73F7"/>
    <w:rsid w:val="000F2BCA"/>
    <w:rsid w:val="000F48AE"/>
    <w:rsid w:val="000F5FF1"/>
    <w:rsid w:val="00107ED4"/>
    <w:rsid w:val="001208E9"/>
    <w:rsid w:val="00130F6F"/>
    <w:rsid w:val="00132216"/>
    <w:rsid w:val="0014068E"/>
    <w:rsid w:val="00140917"/>
    <w:rsid w:val="00141324"/>
    <w:rsid w:val="00154C1D"/>
    <w:rsid w:val="00161948"/>
    <w:rsid w:val="0016220D"/>
    <w:rsid w:val="00181F04"/>
    <w:rsid w:val="001820BC"/>
    <w:rsid w:val="0018278A"/>
    <w:rsid w:val="00194BA9"/>
    <w:rsid w:val="001A4423"/>
    <w:rsid w:val="001B19A3"/>
    <w:rsid w:val="001B5386"/>
    <w:rsid w:val="001B78E9"/>
    <w:rsid w:val="001C328B"/>
    <w:rsid w:val="001C4E73"/>
    <w:rsid w:val="001C6455"/>
    <w:rsid w:val="001C75D4"/>
    <w:rsid w:val="001E47B7"/>
    <w:rsid w:val="001F071B"/>
    <w:rsid w:val="001F30BE"/>
    <w:rsid w:val="001F5AED"/>
    <w:rsid w:val="001F6A6D"/>
    <w:rsid w:val="0020365C"/>
    <w:rsid w:val="002203E4"/>
    <w:rsid w:val="00226E74"/>
    <w:rsid w:val="00234647"/>
    <w:rsid w:val="00235583"/>
    <w:rsid w:val="002528B6"/>
    <w:rsid w:val="00253A0A"/>
    <w:rsid w:val="00253F23"/>
    <w:rsid w:val="0025496D"/>
    <w:rsid w:val="00257C40"/>
    <w:rsid w:val="00262848"/>
    <w:rsid w:val="00264AC8"/>
    <w:rsid w:val="002750E6"/>
    <w:rsid w:val="002823DE"/>
    <w:rsid w:val="00295746"/>
    <w:rsid w:val="002960FD"/>
    <w:rsid w:val="002A2682"/>
    <w:rsid w:val="002B0015"/>
    <w:rsid w:val="002B2B78"/>
    <w:rsid w:val="002B7B9A"/>
    <w:rsid w:val="002C2AA4"/>
    <w:rsid w:val="002C4AAE"/>
    <w:rsid w:val="002D67E6"/>
    <w:rsid w:val="002F6B09"/>
    <w:rsid w:val="002F70F2"/>
    <w:rsid w:val="002F71C6"/>
    <w:rsid w:val="00300803"/>
    <w:rsid w:val="00302A30"/>
    <w:rsid w:val="00305A33"/>
    <w:rsid w:val="00305D59"/>
    <w:rsid w:val="0032251F"/>
    <w:rsid w:val="00341A1F"/>
    <w:rsid w:val="00343183"/>
    <w:rsid w:val="003437C4"/>
    <w:rsid w:val="00350EB5"/>
    <w:rsid w:val="00352016"/>
    <w:rsid w:val="00354873"/>
    <w:rsid w:val="00354FD7"/>
    <w:rsid w:val="00361E3B"/>
    <w:rsid w:val="00362642"/>
    <w:rsid w:val="00362767"/>
    <w:rsid w:val="0036377D"/>
    <w:rsid w:val="003853CA"/>
    <w:rsid w:val="0038579D"/>
    <w:rsid w:val="003878AC"/>
    <w:rsid w:val="00387E81"/>
    <w:rsid w:val="00397617"/>
    <w:rsid w:val="00397DE0"/>
    <w:rsid w:val="003B58A3"/>
    <w:rsid w:val="003D42B5"/>
    <w:rsid w:val="003E05FE"/>
    <w:rsid w:val="003E0C3D"/>
    <w:rsid w:val="003F5D0D"/>
    <w:rsid w:val="004020EB"/>
    <w:rsid w:val="00407FE8"/>
    <w:rsid w:val="004113CE"/>
    <w:rsid w:val="00417657"/>
    <w:rsid w:val="00417CFF"/>
    <w:rsid w:val="00420D8B"/>
    <w:rsid w:val="0042123D"/>
    <w:rsid w:val="00425B7E"/>
    <w:rsid w:val="0043234C"/>
    <w:rsid w:val="004341C7"/>
    <w:rsid w:val="00443052"/>
    <w:rsid w:val="00443F3B"/>
    <w:rsid w:val="004477D7"/>
    <w:rsid w:val="0045348B"/>
    <w:rsid w:val="0046473F"/>
    <w:rsid w:val="00464D17"/>
    <w:rsid w:val="00471708"/>
    <w:rsid w:val="00473887"/>
    <w:rsid w:val="0048251E"/>
    <w:rsid w:val="004831A5"/>
    <w:rsid w:val="00491708"/>
    <w:rsid w:val="0049458F"/>
    <w:rsid w:val="00497403"/>
    <w:rsid w:val="004A2285"/>
    <w:rsid w:val="004A7847"/>
    <w:rsid w:val="004B0C0C"/>
    <w:rsid w:val="004B3A49"/>
    <w:rsid w:val="004B4B28"/>
    <w:rsid w:val="004B6DD5"/>
    <w:rsid w:val="004B7AFB"/>
    <w:rsid w:val="004C2900"/>
    <w:rsid w:val="004C72A3"/>
    <w:rsid w:val="004C7880"/>
    <w:rsid w:val="004D1C81"/>
    <w:rsid w:val="005027F6"/>
    <w:rsid w:val="00530E32"/>
    <w:rsid w:val="00537704"/>
    <w:rsid w:val="0055370C"/>
    <w:rsid w:val="005605F0"/>
    <w:rsid w:val="00574F7E"/>
    <w:rsid w:val="0058134A"/>
    <w:rsid w:val="00583960"/>
    <w:rsid w:val="00597C3F"/>
    <w:rsid w:val="005A0342"/>
    <w:rsid w:val="005B3808"/>
    <w:rsid w:val="005B3EEA"/>
    <w:rsid w:val="005C0131"/>
    <w:rsid w:val="005C1E2E"/>
    <w:rsid w:val="005D5F19"/>
    <w:rsid w:val="005D6F1E"/>
    <w:rsid w:val="005E0BCC"/>
    <w:rsid w:val="005E14BC"/>
    <w:rsid w:val="005E1ACE"/>
    <w:rsid w:val="005F3083"/>
    <w:rsid w:val="00611620"/>
    <w:rsid w:val="006128EF"/>
    <w:rsid w:val="006148F0"/>
    <w:rsid w:val="00626045"/>
    <w:rsid w:val="00631DCF"/>
    <w:rsid w:val="00644824"/>
    <w:rsid w:val="00651DBF"/>
    <w:rsid w:val="006600FB"/>
    <w:rsid w:val="0066128B"/>
    <w:rsid w:val="00661D46"/>
    <w:rsid w:val="00666059"/>
    <w:rsid w:val="00671388"/>
    <w:rsid w:val="00674FB9"/>
    <w:rsid w:val="0067686C"/>
    <w:rsid w:val="006772C8"/>
    <w:rsid w:val="00686527"/>
    <w:rsid w:val="00686E6A"/>
    <w:rsid w:val="00691FCB"/>
    <w:rsid w:val="0069479A"/>
    <w:rsid w:val="00697917"/>
    <w:rsid w:val="006A1AF9"/>
    <w:rsid w:val="006B79B9"/>
    <w:rsid w:val="006C699E"/>
    <w:rsid w:val="006E238A"/>
    <w:rsid w:val="006E23F6"/>
    <w:rsid w:val="006E2662"/>
    <w:rsid w:val="006E790D"/>
    <w:rsid w:val="006F46AA"/>
    <w:rsid w:val="00701649"/>
    <w:rsid w:val="007046C5"/>
    <w:rsid w:val="00706C61"/>
    <w:rsid w:val="0071336D"/>
    <w:rsid w:val="0071531C"/>
    <w:rsid w:val="00715829"/>
    <w:rsid w:val="00722418"/>
    <w:rsid w:val="0072578D"/>
    <w:rsid w:val="007272BB"/>
    <w:rsid w:val="00741C96"/>
    <w:rsid w:val="00745899"/>
    <w:rsid w:val="00763C5C"/>
    <w:rsid w:val="007641A2"/>
    <w:rsid w:val="007845B1"/>
    <w:rsid w:val="0079043C"/>
    <w:rsid w:val="00791E30"/>
    <w:rsid w:val="0079513D"/>
    <w:rsid w:val="007A06E3"/>
    <w:rsid w:val="007A7E70"/>
    <w:rsid w:val="007D15EA"/>
    <w:rsid w:val="007F1E72"/>
    <w:rsid w:val="00802496"/>
    <w:rsid w:val="00813201"/>
    <w:rsid w:val="00817604"/>
    <w:rsid w:val="00823A96"/>
    <w:rsid w:val="00823F08"/>
    <w:rsid w:val="008250EC"/>
    <w:rsid w:val="00827C13"/>
    <w:rsid w:val="00833E13"/>
    <w:rsid w:val="0083581A"/>
    <w:rsid w:val="008416F0"/>
    <w:rsid w:val="00844D4E"/>
    <w:rsid w:val="00846390"/>
    <w:rsid w:val="00860B20"/>
    <w:rsid w:val="00874C53"/>
    <w:rsid w:val="008824F7"/>
    <w:rsid w:val="00882C6A"/>
    <w:rsid w:val="0088370C"/>
    <w:rsid w:val="008936FC"/>
    <w:rsid w:val="00897E3B"/>
    <w:rsid w:val="008A5824"/>
    <w:rsid w:val="008A6E5F"/>
    <w:rsid w:val="008B5FE7"/>
    <w:rsid w:val="008C59FC"/>
    <w:rsid w:val="008D19AD"/>
    <w:rsid w:val="008D4F05"/>
    <w:rsid w:val="008F0777"/>
    <w:rsid w:val="008F586C"/>
    <w:rsid w:val="008F6550"/>
    <w:rsid w:val="009124AF"/>
    <w:rsid w:val="00913B3E"/>
    <w:rsid w:val="00930E47"/>
    <w:rsid w:val="009315B2"/>
    <w:rsid w:val="009339F7"/>
    <w:rsid w:val="00937039"/>
    <w:rsid w:val="0093797B"/>
    <w:rsid w:val="00943BC9"/>
    <w:rsid w:val="00954E68"/>
    <w:rsid w:val="009609E0"/>
    <w:rsid w:val="0096253D"/>
    <w:rsid w:val="009714C4"/>
    <w:rsid w:val="009833D5"/>
    <w:rsid w:val="00993453"/>
    <w:rsid w:val="009A4586"/>
    <w:rsid w:val="009B684F"/>
    <w:rsid w:val="009C1DCC"/>
    <w:rsid w:val="009D4E62"/>
    <w:rsid w:val="009E5621"/>
    <w:rsid w:val="009F3F12"/>
    <w:rsid w:val="00A03B3B"/>
    <w:rsid w:val="00A04DC2"/>
    <w:rsid w:val="00A071B4"/>
    <w:rsid w:val="00A103BA"/>
    <w:rsid w:val="00A14F3E"/>
    <w:rsid w:val="00A314EB"/>
    <w:rsid w:val="00A31765"/>
    <w:rsid w:val="00A4195B"/>
    <w:rsid w:val="00A465D0"/>
    <w:rsid w:val="00A5067D"/>
    <w:rsid w:val="00A55C43"/>
    <w:rsid w:val="00A63296"/>
    <w:rsid w:val="00A71434"/>
    <w:rsid w:val="00A80E80"/>
    <w:rsid w:val="00A87EF1"/>
    <w:rsid w:val="00A9177F"/>
    <w:rsid w:val="00A96FE6"/>
    <w:rsid w:val="00AC3731"/>
    <w:rsid w:val="00AE26CD"/>
    <w:rsid w:val="00AF3591"/>
    <w:rsid w:val="00AF61A6"/>
    <w:rsid w:val="00B04514"/>
    <w:rsid w:val="00B13A1A"/>
    <w:rsid w:val="00B21A93"/>
    <w:rsid w:val="00B24F8C"/>
    <w:rsid w:val="00B32719"/>
    <w:rsid w:val="00B41503"/>
    <w:rsid w:val="00B41AC1"/>
    <w:rsid w:val="00B41CAF"/>
    <w:rsid w:val="00B54425"/>
    <w:rsid w:val="00B72C2E"/>
    <w:rsid w:val="00B7569A"/>
    <w:rsid w:val="00B80228"/>
    <w:rsid w:val="00B81CC2"/>
    <w:rsid w:val="00B95D5D"/>
    <w:rsid w:val="00BA360C"/>
    <w:rsid w:val="00BA43E8"/>
    <w:rsid w:val="00BB367E"/>
    <w:rsid w:val="00BC72A5"/>
    <w:rsid w:val="00BC7A26"/>
    <w:rsid w:val="00BD0F13"/>
    <w:rsid w:val="00BD5075"/>
    <w:rsid w:val="00BD7C23"/>
    <w:rsid w:val="00BE5B85"/>
    <w:rsid w:val="00BF17E1"/>
    <w:rsid w:val="00C03003"/>
    <w:rsid w:val="00C035A6"/>
    <w:rsid w:val="00C03A86"/>
    <w:rsid w:val="00C12818"/>
    <w:rsid w:val="00C147F0"/>
    <w:rsid w:val="00C23644"/>
    <w:rsid w:val="00C25390"/>
    <w:rsid w:val="00C30374"/>
    <w:rsid w:val="00C3557F"/>
    <w:rsid w:val="00C35B6B"/>
    <w:rsid w:val="00C37153"/>
    <w:rsid w:val="00C47A03"/>
    <w:rsid w:val="00C54BE1"/>
    <w:rsid w:val="00C663B2"/>
    <w:rsid w:val="00C83844"/>
    <w:rsid w:val="00C91F2B"/>
    <w:rsid w:val="00C97E01"/>
    <w:rsid w:val="00CA2367"/>
    <w:rsid w:val="00CA25AA"/>
    <w:rsid w:val="00CA365F"/>
    <w:rsid w:val="00CC2217"/>
    <w:rsid w:val="00CD050D"/>
    <w:rsid w:val="00CE1BAC"/>
    <w:rsid w:val="00CE1FED"/>
    <w:rsid w:val="00CE44DB"/>
    <w:rsid w:val="00CE5296"/>
    <w:rsid w:val="00CE6490"/>
    <w:rsid w:val="00CE67CA"/>
    <w:rsid w:val="00CE7932"/>
    <w:rsid w:val="00CE7D62"/>
    <w:rsid w:val="00CF3998"/>
    <w:rsid w:val="00CF645C"/>
    <w:rsid w:val="00D03C3B"/>
    <w:rsid w:val="00D06E8F"/>
    <w:rsid w:val="00D162D8"/>
    <w:rsid w:val="00D16F55"/>
    <w:rsid w:val="00D3020B"/>
    <w:rsid w:val="00D30926"/>
    <w:rsid w:val="00D36ED5"/>
    <w:rsid w:val="00D37827"/>
    <w:rsid w:val="00D46345"/>
    <w:rsid w:val="00D55D19"/>
    <w:rsid w:val="00D64A96"/>
    <w:rsid w:val="00D67C69"/>
    <w:rsid w:val="00D71AA4"/>
    <w:rsid w:val="00D72A2D"/>
    <w:rsid w:val="00D7307A"/>
    <w:rsid w:val="00D8315F"/>
    <w:rsid w:val="00D845E2"/>
    <w:rsid w:val="00D86B3E"/>
    <w:rsid w:val="00D9298E"/>
    <w:rsid w:val="00D969F0"/>
    <w:rsid w:val="00D976DE"/>
    <w:rsid w:val="00DA3F81"/>
    <w:rsid w:val="00DA7077"/>
    <w:rsid w:val="00DB2160"/>
    <w:rsid w:val="00DB2E54"/>
    <w:rsid w:val="00DC6CC8"/>
    <w:rsid w:val="00DC6EC0"/>
    <w:rsid w:val="00DD0E30"/>
    <w:rsid w:val="00DD133F"/>
    <w:rsid w:val="00DE0410"/>
    <w:rsid w:val="00DF1DFD"/>
    <w:rsid w:val="00DF2AE4"/>
    <w:rsid w:val="00DF4E74"/>
    <w:rsid w:val="00DF7747"/>
    <w:rsid w:val="00E12D6B"/>
    <w:rsid w:val="00E144C9"/>
    <w:rsid w:val="00E20E61"/>
    <w:rsid w:val="00E214EA"/>
    <w:rsid w:val="00E355FA"/>
    <w:rsid w:val="00E361F4"/>
    <w:rsid w:val="00E37410"/>
    <w:rsid w:val="00E4188E"/>
    <w:rsid w:val="00E519EB"/>
    <w:rsid w:val="00E6136F"/>
    <w:rsid w:val="00E64B82"/>
    <w:rsid w:val="00E7047B"/>
    <w:rsid w:val="00E726C5"/>
    <w:rsid w:val="00E755F5"/>
    <w:rsid w:val="00E9100E"/>
    <w:rsid w:val="00EB19CE"/>
    <w:rsid w:val="00EB41D6"/>
    <w:rsid w:val="00EC4B89"/>
    <w:rsid w:val="00ED0E69"/>
    <w:rsid w:val="00ED0FB1"/>
    <w:rsid w:val="00EF3BC1"/>
    <w:rsid w:val="00F03F90"/>
    <w:rsid w:val="00F2389A"/>
    <w:rsid w:val="00F23900"/>
    <w:rsid w:val="00F40CD3"/>
    <w:rsid w:val="00F52A83"/>
    <w:rsid w:val="00F73D82"/>
    <w:rsid w:val="00F74A7D"/>
    <w:rsid w:val="00F76C1F"/>
    <w:rsid w:val="00F778A8"/>
    <w:rsid w:val="00F85FD3"/>
    <w:rsid w:val="00F903D8"/>
    <w:rsid w:val="00F936A8"/>
    <w:rsid w:val="00FA0B19"/>
    <w:rsid w:val="00FA32AD"/>
    <w:rsid w:val="00FA47E1"/>
    <w:rsid w:val="00FA65B0"/>
    <w:rsid w:val="00FB1AA5"/>
    <w:rsid w:val="00FB2A81"/>
    <w:rsid w:val="00FB2AA6"/>
    <w:rsid w:val="00FB4426"/>
    <w:rsid w:val="00FB552A"/>
    <w:rsid w:val="00FB631C"/>
    <w:rsid w:val="00FC2137"/>
    <w:rsid w:val="00FC48B1"/>
    <w:rsid w:val="00FD1238"/>
    <w:rsid w:val="00FD184C"/>
    <w:rsid w:val="00FD5224"/>
    <w:rsid w:val="00FD52A0"/>
    <w:rsid w:val="00FE07D5"/>
    <w:rsid w:val="00FE1CF2"/>
    <w:rsid w:val="00FE2F61"/>
    <w:rsid w:val="00FE3A5B"/>
    <w:rsid w:val="00FE416A"/>
    <w:rsid w:val="00FE46AB"/>
    <w:rsid w:val="00FE63E5"/>
    <w:rsid w:val="00FE6735"/>
    <w:rsid w:val="00FF07B7"/>
    <w:rsid w:val="00FF6018"/>
    <w:rsid w:val="00FF6DA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A64FFDB0-AECB-4A9A-AE05-E982C07B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TtuloABNT"/>
    <w:next w:val="Normal"/>
    <w:link w:val="Ttulo1Char"/>
    <w:uiPriority w:val="9"/>
    <w:qFormat/>
    <w:rsid w:val="009E5621"/>
    <w:pPr>
      <w:numPr>
        <w:numId w:val="2"/>
      </w:numPr>
      <w:tabs>
        <w:tab w:val="num" w:pos="360"/>
      </w:tabs>
      <w:spacing w:before="480"/>
      <w:ind w:left="0" w:firstLine="0"/>
      <w:outlineLvl w:val="0"/>
    </w:pPr>
    <w:rPr>
      <w:rFonts w:cstheme="minorBidi"/>
      <w:b/>
    </w:rPr>
  </w:style>
  <w:style w:type="paragraph" w:styleId="Ttulo2">
    <w:name w:val="heading 2"/>
    <w:basedOn w:val="Normal"/>
    <w:next w:val="Normal"/>
    <w:link w:val="Ttulo2Char"/>
    <w:uiPriority w:val="9"/>
    <w:unhideWhenUsed/>
    <w:qFormat/>
    <w:rsid w:val="009E5621"/>
    <w:pPr>
      <w:suppressAutoHyphens w:val="0"/>
      <w:spacing w:before="600" w:after="360"/>
      <w:jc w:val="both"/>
      <w:outlineLvl w:val="1"/>
    </w:pPr>
    <w:rPr>
      <w:rFonts w:eastAsiaTheme="minorHAnsi" w:cs="Arial"/>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customStyle="1" w:styleId="Ttulo1Char">
    <w:name w:val="Título 1 Char"/>
    <w:basedOn w:val="Fontepargpadro"/>
    <w:link w:val="Ttulo1"/>
    <w:uiPriority w:val="9"/>
    <w:rsid w:val="009E5621"/>
    <w:rPr>
      <w:rFonts w:ascii="Times New Roman" w:hAnsi="Times New Roman"/>
      <w:b/>
      <w:lang w:eastAsia="pt-BR"/>
    </w:rPr>
  </w:style>
  <w:style w:type="character" w:customStyle="1" w:styleId="Ttulo2Char">
    <w:name w:val="Título 2 Char"/>
    <w:basedOn w:val="Fontepargpadro"/>
    <w:link w:val="Ttulo2"/>
    <w:uiPriority w:val="9"/>
    <w:rsid w:val="009E5621"/>
    <w:rPr>
      <w:rFonts w:ascii="Times New Roman" w:hAnsi="Times New Roman" w:cs="Arial"/>
      <w:lang w:eastAsia="pt-BR"/>
    </w:rPr>
  </w:style>
  <w:style w:type="character" w:styleId="Hyperlink">
    <w:name w:val="Hyperlink"/>
    <w:basedOn w:val="Fontepargpadro"/>
    <w:uiPriority w:val="99"/>
    <w:unhideWhenUsed/>
    <w:rsid w:val="009E5621"/>
    <w:rPr>
      <w:color w:val="0563C1" w:themeColor="hyperlink"/>
      <w:u w:val="single"/>
    </w:rPr>
  </w:style>
  <w:style w:type="paragraph" w:customStyle="1" w:styleId="TextoABNT">
    <w:name w:val="Texto ABNT"/>
    <w:basedOn w:val="Normal"/>
    <w:link w:val="TextoABNTChar"/>
    <w:qFormat/>
    <w:rsid w:val="009E5621"/>
    <w:pPr>
      <w:suppressAutoHyphens w:val="0"/>
      <w:spacing w:line="360" w:lineRule="auto"/>
      <w:ind w:firstLine="709"/>
      <w:jc w:val="both"/>
    </w:pPr>
    <w:rPr>
      <w:rFonts w:eastAsiaTheme="minorHAnsi"/>
      <w:sz w:val="24"/>
      <w:szCs w:val="24"/>
    </w:rPr>
  </w:style>
  <w:style w:type="character" w:customStyle="1" w:styleId="TextoABNTChar">
    <w:name w:val="Texto ABNT Char"/>
    <w:basedOn w:val="Fontepargpadro"/>
    <w:link w:val="TextoABNT"/>
    <w:rsid w:val="009E5621"/>
    <w:rPr>
      <w:rFonts w:ascii="Times New Roman" w:hAnsi="Times New Roman" w:cs="Times New Roman"/>
      <w:lang w:eastAsia="pt-BR"/>
    </w:rPr>
  </w:style>
  <w:style w:type="paragraph" w:customStyle="1" w:styleId="TtuloABNT">
    <w:name w:val="Título ABNT"/>
    <w:basedOn w:val="Normal"/>
    <w:link w:val="TtuloABNTChar"/>
    <w:qFormat/>
    <w:rsid w:val="009E5621"/>
    <w:pPr>
      <w:suppressAutoHyphens w:val="0"/>
      <w:spacing w:after="360"/>
      <w:jc w:val="both"/>
    </w:pPr>
    <w:rPr>
      <w:rFonts w:eastAsiaTheme="minorHAnsi"/>
      <w:sz w:val="24"/>
      <w:szCs w:val="24"/>
    </w:rPr>
  </w:style>
  <w:style w:type="character" w:customStyle="1" w:styleId="TtuloABNTChar">
    <w:name w:val="Título ABNT Char"/>
    <w:basedOn w:val="Fontepargpadro"/>
    <w:link w:val="TtuloABNT"/>
    <w:rsid w:val="009E5621"/>
    <w:rPr>
      <w:rFonts w:ascii="Times New Roman" w:hAnsi="Times New Roman" w:cs="Times New Roman"/>
      <w:lang w:eastAsia="pt-BR"/>
    </w:rPr>
  </w:style>
  <w:style w:type="paragraph" w:customStyle="1" w:styleId="Fontedetabelas">
    <w:name w:val="Fonte de tabelas"/>
    <w:basedOn w:val="Normal"/>
    <w:link w:val="FontedetabelasChar"/>
    <w:qFormat/>
    <w:rsid w:val="009E5621"/>
    <w:pPr>
      <w:suppressAutoHyphens w:val="0"/>
      <w:spacing w:after="480"/>
      <w:ind w:left="426"/>
    </w:pPr>
    <w:rPr>
      <w:rFonts w:eastAsiaTheme="minorHAnsi"/>
      <w:szCs w:val="24"/>
    </w:rPr>
  </w:style>
  <w:style w:type="character" w:customStyle="1" w:styleId="FontedetabelasChar">
    <w:name w:val="Fonte de tabelas Char"/>
    <w:basedOn w:val="Fontepargpadro"/>
    <w:link w:val="Fontedetabelas"/>
    <w:rsid w:val="009E5621"/>
    <w:rPr>
      <w:rFonts w:ascii="Times New Roman" w:hAnsi="Times New Roman" w:cs="Times New Roman"/>
      <w:sz w:val="20"/>
      <w:lang w:eastAsia="pt-BR"/>
    </w:rPr>
  </w:style>
  <w:style w:type="paragraph" w:styleId="Legenda">
    <w:name w:val="caption"/>
    <w:basedOn w:val="Normal"/>
    <w:next w:val="Normal"/>
    <w:uiPriority w:val="35"/>
    <w:unhideWhenUsed/>
    <w:qFormat/>
    <w:rsid w:val="009E5621"/>
    <w:pPr>
      <w:keepNext/>
      <w:suppressAutoHyphens w:val="0"/>
      <w:spacing w:after="200"/>
      <w:jc w:val="both"/>
    </w:pPr>
    <w:rPr>
      <w:rFonts w:eastAsiaTheme="minorHAnsi" w:cstheme="minorBidi"/>
      <w:b/>
      <w:bCs/>
      <w:i/>
      <w:sz w:val="18"/>
      <w:szCs w:val="18"/>
    </w:rPr>
  </w:style>
  <w:style w:type="paragraph" w:customStyle="1" w:styleId="TtulodeTabelas">
    <w:name w:val="Título de Tabelas"/>
    <w:basedOn w:val="Normal"/>
    <w:link w:val="TtulodeTabelasChar"/>
    <w:qFormat/>
    <w:rsid w:val="009E5621"/>
    <w:pPr>
      <w:suppressAutoHyphens w:val="0"/>
      <w:spacing w:line="276" w:lineRule="auto"/>
      <w:ind w:hanging="5"/>
      <w:jc w:val="center"/>
    </w:pPr>
    <w:rPr>
      <w:rFonts w:eastAsiaTheme="minorHAnsi"/>
      <w:i/>
      <w:noProof/>
    </w:rPr>
  </w:style>
  <w:style w:type="character" w:customStyle="1" w:styleId="TtulodeTabelasChar">
    <w:name w:val="Título de Tabelas Char"/>
    <w:basedOn w:val="Fontepargpadro"/>
    <w:link w:val="TtulodeTabelas"/>
    <w:rsid w:val="009E5621"/>
    <w:rPr>
      <w:rFonts w:ascii="Times New Roman" w:hAnsi="Times New Roman" w:cs="Times New Roman"/>
      <w:i/>
      <w:noProof/>
      <w:sz w:val="20"/>
      <w:szCs w:val="20"/>
      <w:lang w:eastAsia="pt-BR"/>
    </w:rPr>
  </w:style>
  <w:style w:type="character" w:styleId="Refdecomentrio">
    <w:name w:val="annotation reference"/>
    <w:basedOn w:val="Fontepargpadro"/>
    <w:uiPriority w:val="99"/>
    <w:semiHidden/>
    <w:unhideWhenUsed/>
    <w:rsid w:val="009E5621"/>
    <w:rPr>
      <w:sz w:val="18"/>
      <w:szCs w:val="18"/>
    </w:rPr>
  </w:style>
  <w:style w:type="paragraph" w:styleId="Textodecomentrio">
    <w:name w:val="annotation text"/>
    <w:basedOn w:val="Normal"/>
    <w:link w:val="TextodecomentrioChar"/>
    <w:uiPriority w:val="99"/>
    <w:semiHidden/>
    <w:unhideWhenUsed/>
    <w:rsid w:val="009E5621"/>
    <w:pPr>
      <w:suppressAutoHyphens w:val="0"/>
      <w:spacing w:after="200"/>
    </w:pPr>
    <w:rPr>
      <w:rFonts w:asciiTheme="minorHAnsi" w:eastAsiaTheme="minorHAnsi" w:hAnsiTheme="minorHAnsi" w:cstheme="minorBidi"/>
      <w:sz w:val="24"/>
      <w:szCs w:val="24"/>
    </w:rPr>
  </w:style>
  <w:style w:type="character" w:customStyle="1" w:styleId="TextodecomentrioChar">
    <w:name w:val="Texto de comentário Char"/>
    <w:basedOn w:val="Fontepargpadro"/>
    <w:link w:val="Textodecomentrio"/>
    <w:uiPriority w:val="99"/>
    <w:semiHidden/>
    <w:rsid w:val="009E5621"/>
    <w:rPr>
      <w:lang w:eastAsia="pt-BR"/>
    </w:rPr>
  </w:style>
  <w:style w:type="table" w:styleId="Tabelacomgrade">
    <w:name w:val="Table Grid"/>
    <w:basedOn w:val="Tabelanormal"/>
    <w:uiPriority w:val="39"/>
    <w:rsid w:val="009E5621"/>
    <w:rPr>
      <w:sz w:val="22"/>
      <w:szCs w:val="22"/>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suntodocomentrio">
    <w:name w:val="annotation subject"/>
    <w:basedOn w:val="Textodecomentrio"/>
    <w:next w:val="Textodecomentrio"/>
    <w:link w:val="AssuntodocomentrioChar"/>
    <w:uiPriority w:val="99"/>
    <w:semiHidden/>
    <w:unhideWhenUsed/>
    <w:rsid w:val="005E1ACE"/>
    <w:pPr>
      <w:suppressAutoHyphens/>
      <w:spacing w:after="0"/>
    </w:pPr>
    <w:rPr>
      <w:rFonts w:ascii="Times New Roman" w:eastAsia="Times New Roman" w:hAnsi="Times New Roman" w:cs="Times New Roman"/>
      <w:b/>
      <w:bCs/>
      <w:sz w:val="20"/>
      <w:szCs w:val="20"/>
    </w:rPr>
  </w:style>
  <w:style w:type="character" w:customStyle="1" w:styleId="AssuntodocomentrioChar">
    <w:name w:val="Assunto do comentário Char"/>
    <w:basedOn w:val="TextodecomentrioChar"/>
    <w:link w:val="Assuntodocomentrio"/>
    <w:uiPriority w:val="99"/>
    <w:semiHidden/>
    <w:rsid w:val="005E1ACE"/>
    <w:rPr>
      <w:rFonts w:ascii="Times New Roman" w:eastAsia="Times New Roman" w:hAnsi="Times New Roman" w:cs="Times New Roman"/>
      <w:b/>
      <w:bCs/>
      <w:sz w:val="20"/>
      <w:szCs w:val="20"/>
      <w:lang w:eastAsia="pt-BR"/>
    </w:rPr>
  </w:style>
  <w:style w:type="paragraph" w:styleId="Pr-formataoHTML">
    <w:name w:val="HTML Preformatted"/>
    <w:basedOn w:val="Normal"/>
    <w:link w:val="Pr-formataoHTMLChar"/>
    <w:uiPriority w:val="99"/>
    <w:unhideWhenUsed/>
    <w:rsid w:val="0072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Pr-formataoHTMLChar">
    <w:name w:val="Pré-formatação HTML Char"/>
    <w:basedOn w:val="Fontepargpadro"/>
    <w:link w:val="Pr-formataoHTML"/>
    <w:uiPriority w:val="99"/>
    <w:rsid w:val="007272BB"/>
    <w:rPr>
      <w:rFonts w:ascii="Courier New" w:eastAsia="Times New Roman" w:hAnsi="Courier New" w:cs="Courier New"/>
      <w:sz w:val="20"/>
      <w:szCs w:val="20"/>
      <w:lang w:eastAsia="pt-BR"/>
    </w:rPr>
  </w:style>
  <w:style w:type="character" w:customStyle="1" w:styleId="MenoPendente1">
    <w:name w:val="Menção Pendente1"/>
    <w:basedOn w:val="Fontepargpadro"/>
    <w:uiPriority w:val="99"/>
    <w:semiHidden/>
    <w:unhideWhenUsed/>
    <w:rsid w:val="00874C53"/>
    <w:rPr>
      <w:color w:val="808080"/>
      <w:shd w:val="clear" w:color="auto" w:fill="E6E6E6"/>
    </w:rPr>
  </w:style>
  <w:style w:type="character" w:styleId="HiperlinkVisitado">
    <w:name w:val="FollowedHyperlink"/>
    <w:basedOn w:val="Fontepargpadro"/>
    <w:uiPriority w:val="99"/>
    <w:semiHidden/>
    <w:unhideWhenUsed/>
    <w:rsid w:val="00DF4E74"/>
    <w:rPr>
      <w:color w:val="954F72" w:themeColor="followedHyperlink"/>
      <w:u w:val="single"/>
    </w:rPr>
  </w:style>
  <w:style w:type="character" w:customStyle="1" w:styleId="MenoPendente2">
    <w:name w:val="Menção Pendente2"/>
    <w:basedOn w:val="Fontepargpadro"/>
    <w:uiPriority w:val="99"/>
    <w:semiHidden/>
    <w:unhideWhenUsed/>
    <w:rsid w:val="00D71AA4"/>
    <w:rPr>
      <w:color w:val="808080"/>
      <w:shd w:val="clear" w:color="auto" w:fill="E6E6E6"/>
    </w:rPr>
  </w:style>
  <w:style w:type="character" w:styleId="MenoPendente">
    <w:name w:val="Unresolved Mention"/>
    <w:basedOn w:val="Fontepargpadro"/>
    <w:uiPriority w:val="99"/>
    <w:semiHidden/>
    <w:unhideWhenUsed/>
    <w:rsid w:val="001E47B7"/>
    <w:rPr>
      <w:color w:val="808080"/>
      <w:shd w:val="clear" w:color="auto" w:fill="E6E6E6"/>
    </w:rPr>
  </w:style>
  <w:style w:type="character" w:styleId="nfase">
    <w:name w:val="Emphasis"/>
    <w:basedOn w:val="Fontepargpadro"/>
    <w:uiPriority w:val="20"/>
    <w:qFormat/>
    <w:rsid w:val="005F3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2868">
      <w:bodyDiv w:val="1"/>
      <w:marLeft w:val="0"/>
      <w:marRight w:val="0"/>
      <w:marTop w:val="0"/>
      <w:marBottom w:val="0"/>
      <w:divBdr>
        <w:top w:val="none" w:sz="0" w:space="0" w:color="auto"/>
        <w:left w:val="none" w:sz="0" w:space="0" w:color="auto"/>
        <w:bottom w:val="none" w:sz="0" w:space="0" w:color="auto"/>
        <w:right w:val="none" w:sz="0" w:space="0" w:color="auto"/>
      </w:divBdr>
    </w:div>
    <w:div w:id="149104998">
      <w:bodyDiv w:val="1"/>
      <w:marLeft w:val="0"/>
      <w:marRight w:val="0"/>
      <w:marTop w:val="0"/>
      <w:marBottom w:val="0"/>
      <w:divBdr>
        <w:top w:val="none" w:sz="0" w:space="0" w:color="auto"/>
        <w:left w:val="none" w:sz="0" w:space="0" w:color="auto"/>
        <w:bottom w:val="none" w:sz="0" w:space="0" w:color="auto"/>
        <w:right w:val="none" w:sz="0" w:space="0" w:color="auto"/>
      </w:divBdr>
    </w:div>
    <w:div w:id="150290797">
      <w:bodyDiv w:val="1"/>
      <w:marLeft w:val="0"/>
      <w:marRight w:val="0"/>
      <w:marTop w:val="0"/>
      <w:marBottom w:val="0"/>
      <w:divBdr>
        <w:top w:val="none" w:sz="0" w:space="0" w:color="auto"/>
        <w:left w:val="none" w:sz="0" w:space="0" w:color="auto"/>
        <w:bottom w:val="none" w:sz="0" w:space="0" w:color="auto"/>
        <w:right w:val="none" w:sz="0" w:space="0" w:color="auto"/>
      </w:divBdr>
    </w:div>
    <w:div w:id="319430312">
      <w:bodyDiv w:val="1"/>
      <w:marLeft w:val="0"/>
      <w:marRight w:val="0"/>
      <w:marTop w:val="0"/>
      <w:marBottom w:val="0"/>
      <w:divBdr>
        <w:top w:val="none" w:sz="0" w:space="0" w:color="auto"/>
        <w:left w:val="none" w:sz="0" w:space="0" w:color="auto"/>
        <w:bottom w:val="none" w:sz="0" w:space="0" w:color="auto"/>
        <w:right w:val="none" w:sz="0" w:space="0" w:color="auto"/>
      </w:divBdr>
      <w:divsChild>
        <w:div w:id="1824926002">
          <w:marLeft w:val="0"/>
          <w:marRight w:val="0"/>
          <w:marTop w:val="0"/>
          <w:marBottom w:val="0"/>
          <w:divBdr>
            <w:top w:val="none" w:sz="0" w:space="0" w:color="auto"/>
            <w:left w:val="none" w:sz="0" w:space="0" w:color="auto"/>
            <w:bottom w:val="none" w:sz="0" w:space="0" w:color="auto"/>
            <w:right w:val="none" w:sz="0" w:space="0" w:color="auto"/>
          </w:divBdr>
        </w:div>
        <w:div w:id="135146202">
          <w:marLeft w:val="0"/>
          <w:marRight w:val="0"/>
          <w:marTop w:val="0"/>
          <w:marBottom w:val="0"/>
          <w:divBdr>
            <w:top w:val="none" w:sz="0" w:space="0" w:color="auto"/>
            <w:left w:val="none" w:sz="0" w:space="0" w:color="auto"/>
            <w:bottom w:val="none" w:sz="0" w:space="0" w:color="auto"/>
            <w:right w:val="none" w:sz="0" w:space="0" w:color="auto"/>
          </w:divBdr>
        </w:div>
        <w:div w:id="2072536176">
          <w:marLeft w:val="0"/>
          <w:marRight w:val="0"/>
          <w:marTop w:val="0"/>
          <w:marBottom w:val="0"/>
          <w:divBdr>
            <w:top w:val="none" w:sz="0" w:space="0" w:color="auto"/>
            <w:left w:val="none" w:sz="0" w:space="0" w:color="auto"/>
            <w:bottom w:val="none" w:sz="0" w:space="0" w:color="auto"/>
            <w:right w:val="none" w:sz="0" w:space="0" w:color="auto"/>
          </w:divBdr>
        </w:div>
        <w:div w:id="1201548678">
          <w:marLeft w:val="0"/>
          <w:marRight w:val="0"/>
          <w:marTop w:val="0"/>
          <w:marBottom w:val="0"/>
          <w:divBdr>
            <w:top w:val="none" w:sz="0" w:space="0" w:color="auto"/>
            <w:left w:val="none" w:sz="0" w:space="0" w:color="auto"/>
            <w:bottom w:val="none" w:sz="0" w:space="0" w:color="auto"/>
            <w:right w:val="none" w:sz="0" w:space="0" w:color="auto"/>
          </w:divBdr>
        </w:div>
      </w:divsChild>
    </w:div>
    <w:div w:id="961956256">
      <w:bodyDiv w:val="1"/>
      <w:marLeft w:val="0"/>
      <w:marRight w:val="0"/>
      <w:marTop w:val="0"/>
      <w:marBottom w:val="0"/>
      <w:divBdr>
        <w:top w:val="none" w:sz="0" w:space="0" w:color="auto"/>
        <w:left w:val="none" w:sz="0" w:space="0" w:color="auto"/>
        <w:bottom w:val="none" w:sz="0" w:space="0" w:color="auto"/>
        <w:right w:val="none" w:sz="0" w:space="0" w:color="auto"/>
      </w:divBdr>
    </w:div>
    <w:div w:id="962421008">
      <w:bodyDiv w:val="1"/>
      <w:marLeft w:val="0"/>
      <w:marRight w:val="0"/>
      <w:marTop w:val="0"/>
      <w:marBottom w:val="0"/>
      <w:divBdr>
        <w:top w:val="none" w:sz="0" w:space="0" w:color="auto"/>
        <w:left w:val="none" w:sz="0" w:space="0" w:color="auto"/>
        <w:bottom w:val="none" w:sz="0" w:space="0" w:color="auto"/>
        <w:right w:val="none" w:sz="0" w:space="0" w:color="auto"/>
      </w:divBdr>
    </w:div>
    <w:div w:id="1072047681">
      <w:bodyDiv w:val="1"/>
      <w:marLeft w:val="0"/>
      <w:marRight w:val="0"/>
      <w:marTop w:val="0"/>
      <w:marBottom w:val="0"/>
      <w:divBdr>
        <w:top w:val="none" w:sz="0" w:space="0" w:color="auto"/>
        <w:left w:val="none" w:sz="0" w:space="0" w:color="auto"/>
        <w:bottom w:val="none" w:sz="0" w:space="0" w:color="auto"/>
        <w:right w:val="none" w:sz="0" w:space="0" w:color="auto"/>
      </w:divBdr>
    </w:div>
    <w:div w:id="1233657832">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573808525">
      <w:bodyDiv w:val="1"/>
      <w:marLeft w:val="0"/>
      <w:marRight w:val="0"/>
      <w:marTop w:val="0"/>
      <w:marBottom w:val="0"/>
      <w:divBdr>
        <w:top w:val="none" w:sz="0" w:space="0" w:color="auto"/>
        <w:left w:val="none" w:sz="0" w:space="0" w:color="auto"/>
        <w:bottom w:val="none" w:sz="0" w:space="0" w:color="auto"/>
        <w:right w:val="none" w:sz="0" w:space="0" w:color="auto"/>
      </w:divBdr>
    </w:div>
    <w:div w:id="1720011475">
      <w:bodyDiv w:val="1"/>
      <w:marLeft w:val="0"/>
      <w:marRight w:val="0"/>
      <w:marTop w:val="0"/>
      <w:marBottom w:val="0"/>
      <w:divBdr>
        <w:top w:val="none" w:sz="0" w:space="0" w:color="auto"/>
        <w:left w:val="none" w:sz="0" w:space="0" w:color="auto"/>
        <w:bottom w:val="none" w:sz="0" w:space="0" w:color="auto"/>
        <w:right w:val="none" w:sz="0" w:space="0" w:color="auto"/>
      </w:divBdr>
    </w:div>
    <w:div w:id="1776247330">
      <w:bodyDiv w:val="1"/>
      <w:marLeft w:val="0"/>
      <w:marRight w:val="0"/>
      <w:marTop w:val="0"/>
      <w:marBottom w:val="0"/>
      <w:divBdr>
        <w:top w:val="none" w:sz="0" w:space="0" w:color="auto"/>
        <w:left w:val="none" w:sz="0" w:space="0" w:color="auto"/>
        <w:bottom w:val="none" w:sz="0" w:space="0" w:color="auto"/>
        <w:right w:val="none" w:sz="0" w:space="0" w:color="auto"/>
      </w:divBdr>
    </w:div>
    <w:div w:id="1897933811">
      <w:bodyDiv w:val="1"/>
      <w:marLeft w:val="0"/>
      <w:marRight w:val="0"/>
      <w:marTop w:val="0"/>
      <w:marBottom w:val="0"/>
      <w:divBdr>
        <w:top w:val="none" w:sz="0" w:space="0" w:color="auto"/>
        <w:left w:val="none" w:sz="0" w:space="0" w:color="auto"/>
        <w:bottom w:val="none" w:sz="0" w:space="0" w:color="auto"/>
        <w:right w:val="none" w:sz="0" w:space="0" w:color="auto"/>
      </w:divBdr>
    </w:div>
    <w:div w:id="2041122900">
      <w:bodyDiv w:val="1"/>
      <w:marLeft w:val="0"/>
      <w:marRight w:val="0"/>
      <w:marTop w:val="0"/>
      <w:marBottom w:val="0"/>
      <w:divBdr>
        <w:top w:val="none" w:sz="0" w:space="0" w:color="auto"/>
        <w:left w:val="none" w:sz="0" w:space="0" w:color="auto"/>
        <w:bottom w:val="none" w:sz="0" w:space="0" w:color="auto"/>
        <w:right w:val="none" w:sz="0" w:space="0" w:color="auto"/>
      </w:divBdr>
    </w:div>
    <w:div w:id="2131043822">
      <w:bodyDiv w:val="1"/>
      <w:marLeft w:val="0"/>
      <w:marRight w:val="0"/>
      <w:marTop w:val="0"/>
      <w:marBottom w:val="0"/>
      <w:divBdr>
        <w:top w:val="none" w:sz="0" w:space="0" w:color="auto"/>
        <w:left w:val="none" w:sz="0" w:space="0" w:color="auto"/>
        <w:bottom w:val="none" w:sz="0" w:space="0" w:color="auto"/>
        <w:right w:val="none" w:sz="0" w:space="0" w:color="auto"/>
      </w:divBdr>
    </w:div>
    <w:div w:id="2145614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HP-1\Desktop\ARTIGO%20TCC\Planilha%20sem%20titu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1\Desktop\ARTIGO%20TCC\Planilha%20sem%20titu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P-1\Desktop\ARTIGO%20TCC\Planilha%20sem%20titu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P-1\Desktop\ARTIGO%20TCC\Planilha%20sem%20titu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P-1\Desktop\ARTIGO%20TCC\ELETROBR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'PESSOAL GRAFICO'!$B$1</c:f>
              <c:strCache>
                <c:ptCount val="1"/>
                <c:pt idx="0">
                  <c:v>Públicas</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dLbls>
            <c:spPr>
              <a:noFill/>
              <a:ln>
                <a:noFill/>
              </a:ln>
              <a:effectLst/>
            </c:spPr>
            <c:txPr>
              <a:bodyPr rot="0" vert="horz"/>
              <a:lstStyle/>
              <a:p>
                <a:pPr>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'PESSOAL GRAFICO'!$A$2:$A$7</c:f>
              <c:numCache>
                <c:formatCode>General</c:formatCode>
                <c:ptCount val="6"/>
                <c:pt idx="0">
                  <c:v>2012</c:v>
                </c:pt>
                <c:pt idx="1">
                  <c:v>2013</c:v>
                </c:pt>
                <c:pt idx="2">
                  <c:v>2014</c:v>
                </c:pt>
                <c:pt idx="3">
                  <c:v>2015</c:v>
                </c:pt>
                <c:pt idx="4">
                  <c:v>2016</c:v>
                </c:pt>
                <c:pt idx="5">
                  <c:v>2017</c:v>
                </c:pt>
              </c:numCache>
            </c:numRef>
          </c:cat>
          <c:val>
            <c:numRef>
              <c:f>'PESSOAL GRAFICO'!$B$2:$B$7</c:f>
              <c:numCache>
                <c:formatCode>0.00%</c:formatCode>
                <c:ptCount val="6"/>
                <c:pt idx="0">
                  <c:v>0.289837878307596</c:v>
                </c:pt>
                <c:pt idx="1">
                  <c:v>0.32303293570917702</c:v>
                </c:pt>
                <c:pt idx="2">
                  <c:v>0.22159438832453801</c:v>
                </c:pt>
                <c:pt idx="3">
                  <c:v>0.16063497875357</c:v>
                </c:pt>
                <c:pt idx="4">
                  <c:v>0.13815734949977401</c:v>
                </c:pt>
                <c:pt idx="5">
                  <c:v>0.21662498045103301</c:v>
                </c:pt>
              </c:numCache>
            </c:numRef>
          </c:val>
          <c:smooth val="0"/>
          <c:extLst>
            <c:ext xmlns:c16="http://schemas.microsoft.com/office/drawing/2014/chart" uri="{C3380CC4-5D6E-409C-BE32-E72D297353CC}">
              <c16:uniqueId val="{00000000-8C91-45E5-A656-0DF5C4FFBDDE}"/>
            </c:ext>
          </c:extLst>
        </c:ser>
        <c:ser>
          <c:idx val="1"/>
          <c:order val="1"/>
          <c:tx>
            <c:strRef>
              <c:f>'PESSOAL GRAFICO'!$C$1</c:f>
              <c:strCache>
                <c:ptCount val="1"/>
                <c:pt idx="0">
                  <c:v>Privadas</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dLbls>
            <c:spPr>
              <a:noFill/>
              <a:ln>
                <a:noFill/>
              </a:ln>
              <a:effectLst/>
            </c:spPr>
            <c:txPr>
              <a:bodyPr rot="0" vert="horz"/>
              <a:lstStyle/>
              <a:p>
                <a:pPr>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'PESSOAL GRAFICO'!$A$2:$A$7</c:f>
              <c:numCache>
                <c:formatCode>General</c:formatCode>
                <c:ptCount val="6"/>
                <c:pt idx="0">
                  <c:v>2012</c:v>
                </c:pt>
                <c:pt idx="1">
                  <c:v>2013</c:v>
                </c:pt>
                <c:pt idx="2">
                  <c:v>2014</c:v>
                </c:pt>
                <c:pt idx="3">
                  <c:v>2015</c:v>
                </c:pt>
                <c:pt idx="4">
                  <c:v>2016</c:v>
                </c:pt>
                <c:pt idx="5">
                  <c:v>2017</c:v>
                </c:pt>
              </c:numCache>
            </c:numRef>
          </c:cat>
          <c:val>
            <c:numRef>
              <c:f>'PESSOAL GRAFICO'!$C$2:$C$7</c:f>
              <c:numCache>
                <c:formatCode>0.00%</c:formatCode>
                <c:ptCount val="6"/>
                <c:pt idx="0">
                  <c:v>7.2493772295458295E-2</c:v>
                </c:pt>
                <c:pt idx="1">
                  <c:v>8.7231106158738303E-2</c:v>
                </c:pt>
                <c:pt idx="2">
                  <c:v>9.9980702864837998E-2</c:v>
                </c:pt>
                <c:pt idx="3">
                  <c:v>5.8840513644145602E-2</c:v>
                </c:pt>
                <c:pt idx="4">
                  <c:v>6.8093775888188504E-2</c:v>
                </c:pt>
                <c:pt idx="5">
                  <c:v>8.2394239665993005E-2</c:v>
                </c:pt>
              </c:numCache>
            </c:numRef>
          </c:val>
          <c:smooth val="0"/>
          <c:extLst>
            <c:ext xmlns:c16="http://schemas.microsoft.com/office/drawing/2014/chart" uri="{C3380CC4-5D6E-409C-BE32-E72D297353CC}">
              <c16:uniqueId val="{00000001-8C91-45E5-A656-0DF5C4FFBDDE}"/>
            </c:ext>
          </c:extLst>
        </c:ser>
        <c:dLbls>
          <c:dLblPos val="t"/>
          <c:showLegendKey val="0"/>
          <c:showVal val="1"/>
          <c:showCatName val="0"/>
          <c:showSerName val="0"/>
          <c:showPercent val="0"/>
          <c:showBubbleSize val="0"/>
        </c:dLbls>
        <c:marker val="1"/>
        <c:smooth val="0"/>
        <c:axId val="2098645096"/>
        <c:axId val="-2132788776"/>
      </c:lineChart>
      <c:catAx>
        <c:axId val="2098645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pt-BR"/>
          </a:p>
        </c:txPr>
        <c:crossAx val="-2132788776"/>
        <c:crosses val="autoZero"/>
        <c:auto val="1"/>
        <c:lblAlgn val="ctr"/>
        <c:lblOffset val="100"/>
        <c:noMultiLvlLbl val="0"/>
      </c:catAx>
      <c:valAx>
        <c:axId val="-2132788776"/>
        <c:scaling>
          <c:orientation val="minMax"/>
        </c:scaling>
        <c:delete val="0"/>
        <c:axPos val="l"/>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pt-BR"/>
          </a:p>
        </c:txPr>
        <c:crossAx val="2098645096"/>
        <c:crosses val="autoZero"/>
        <c:crossBetween val="between"/>
      </c:valAx>
      <c:spPr>
        <a:noFill/>
        <a:ln>
          <a:noFill/>
        </a:ln>
        <a:effectLst/>
      </c:spPr>
    </c:plotArea>
    <c:legend>
      <c:legendPos val="t"/>
      <c:overlay val="0"/>
      <c:spPr>
        <a:noFill/>
        <a:ln>
          <a:noFill/>
        </a:ln>
        <a:effectLst/>
      </c:spPr>
      <c:txPr>
        <a:bodyPr rot="0" vert="horz"/>
        <a:lstStyle/>
        <a:p>
          <a:pPr>
            <a:defRPr/>
          </a:pPr>
          <a:endParaRPr lang="pt-BR"/>
        </a:p>
      </c:txPr>
    </c:legend>
    <c:plotVisOnly val="1"/>
    <c:dispBlanksAs val="gap"/>
    <c:showDLblsOverMax val="0"/>
  </c:chart>
  <c:spPr>
    <a:solidFill>
      <a:schemeClr val="lt1"/>
    </a:solidFill>
    <a:ln w="12700" cap="flat" cmpd="sng" algn="ctr">
      <a:solidFill>
        <a:schemeClr val="tx1"/>
      </a:solidFill>
      <a:prstDash val="solid"/>
      <a:miter lim="800000"/>
    </a:ln>
    <a:effectLst/>
  </c:spPr>
  <c:txPr>
    <a:bodyPr/>
    <a:lstStyle/>
    <a:p>
      <a:pPr>
        <a:defRPr>
          <a:solidFill>
            <a:schemeClr val="dk1"/>
          </a:solidFill>
          <a:latin typeface="Times New Roman" panose="02020603050405020304" pitchFamily="18" charset="0"/>
          <a:ea typeface="+mn-ea"/>
          <a:cs typeface="Times New Roman" panose="02020603050405020304" pitchFamily="18" charset="0"/>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'IMPOSTOS GRÁFICO'!$B$1</c:f>
              <c:strCache>
                <c:ptCount val="1"/>
                <c:pt idx="0">
                  <c:v>Públicas</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'IMPOSTOS GRÁFICO'!$A$2:$A$7</c:f>
              <c:numCache>
                <c:formatCode>General</c:formatCode>
                <c:ptCount val="6"/>
                <c:pt idx="0">
                  <c:v>2012</c:v>
                </c:pt>
                <c:pt idx="1">
                  <c:v>2013</c:v>
                </c:pt>
                <c:pt idx="2">
                  <c:v>2014</c:v>
                </c:pt>
                <c:pt idx="3">
                  <c:v>2015</c:v>
                </c:pt>
                <c:pt idx="4">
                  <c:v>2016</c:v>
                </c:pt>
                <c:pt idx="5">
                  <c:v>2017</c:v>
                </c:pt>
              </c:numCache>
            </c:numRef>
          </c:cat>
          <c:val>
            <c:numRef>
              <c:f>'IMPOSTOS GRÁFICO'!$B$2:$B$7</c:f>
              <c:numCache>
                <c:formatCode>0.00%</c:formatCode>
                <c:ptCount val="6"/>
                <c:pt idx="0">
                  <c:v>0.54249612982540996</c:v>
                </c:pt>
                <c:pt idx="1">
                  <c:v>0.54080511342144799</c:v>
                </c:pt>
                <c:pt idx="2">
                  <c:v>0.51467757345743304</c:v>
                </c:pt>
                <c:pt idx="3">
                  <c:v>0.62086044826179099</c:v>
                </c:pt>
                <c:pt idx="4">
                  <c:v>0.50797770681034404</c:v>
                </c:pt>
                <c:pt idx="5">
                  <c:v>0.50565751820982796</c:v>
                </c:pt>
              </c:numCache>
            </c:numRef>
          </c:val>
          <c:smooth val="0"/>
          <c:extLst>
            <c:ext xmlns:c16="http://schemas.microsoft.com/office/drawing/2014/chart" uri="{C3380CC4-5D6E-409C-BE32-E72D297353CC}">
              <c16:uniqueId val="{00000000-4E33-4067-86C6-C3D30BBBE6B5}"/>
            </c:ext>
          </c:extLst>
        </c:ser>
        <c:ser>
          <c:idx val="1"/>
          <c:order val="1"/>
          <c:tx>
            <c:strRef>
              <c:f>'IMPOSTOS GRÁFICO'!$C$1</c:f>
              <c:strCache>
                <c:ptCount val="1"/>
                <c:pt idx="0">
                  <c:v>Privadas</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'IMPOSTOS GRÁFICO'!$A$2:$A$7</c:f>
              <c:numCache>
                <c:formatCode>General</c:formatCode>
                <c:ptCount val="6"/>
                <c:pt idx="0">
                  <c:v>2012</c:v>
                </c:pt>
                <c:pt idx="1">
                  <c:v>2013</c:v>
                </c:pt>
                <c:pt idx="2">
                  <c:v>2014</c:v>
                </c:pt>
                <c:pt idx="3">
                  <c:v>2015</c:v>
                </c:pt>
                <c:pt idx="4">
                  <c:v>2016</c:v>
                </c:pt>
                <c:pt idx="5">
                  <c:v>2017</c:v>
                </c:pt>
              </c:numCache>
            </c:numRef>
          </c:cat>
          <c:val>
            <c:numRef>
              <c:f>'IMPOSTOS GRÁFICO'!$C$2:$C$7</c:f>
              <c:numCache>
                <c:formatCode>0.00%</c:formatCode>
                <c:ptCount val="6"/>
                <c:pt idx="0">
                  <c:v>0.55280373583702902</c:v>
                </c:pt>
                <c:pt idx="1">
                  <c:v>0.49174874892300602</c:v>
                </c:pt>
                <c:pt idx="2">
                  <c:v>0.54974412513476101</c:v>
                </c:pt>
                <c:pt idx="3">
                  <c:v>0.59640963242615797</c:v>
                </c:pt>
                <c:pt idx="4">
                  <c:v>0.58811425842265197</c:v>
                </c:pt>
                <c:pt idx="5">
                  <c:v>0.62832890123569296</c:v>
                </c:pt>
              </c:numCache>
            </c:numRef>
          </c:val>
          <c:smooth val="0"/>
          <c:extLst>
            <c:ext xmlns:c16="http://schemas.microsoft.com/office/drawing/2014/chart" uri="{C3380CC4-5D6E-409C-BE32-E72D297353CC}">
              <c16:uniqueId val="{00000001-4E33-4067-86C6-C3D30BBBE6B5}"/>
            </c:ext>
          </c:extLst>
        </c:ser>
        <c:dLbls>
          <c:showLegendKey val="0"/>
          <c:showVal val="0"/>
          <c:showCatName val="0"/>
          <c:showSerName val="0"/>
          <c:showPercent val="0"/>
          <c:showBubbleSize val="0"/>
        </c:dLbls>
        <c:marker val="1"/>
        <c:smooth val="0"/>
        <c:axId val="-2141735704"/>
        <c:axId val="-2116058904"/>
      </c:lineChart>
      <c:catAx>
        <c:axId val="-2141735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pt-BR"/>
          </a:p>
        </c:txPr>
        <c:crossAx val="-2116058904"/>
        <c:crosses val="autoZero"/>
        <c:auto val="1"/>
        <c:lblAlgn val="ctr"/>
        <c:lblOffset val="100"/>
        <c:noMultiLvlLbl val="0"/>
      </c:catAx>
      <c:valAx>
        <c:axId val="-2116058904"/>
        <c:scaling>
          <c:orientation val="minMax"/>
          <c:min val="0.48"/>
        </c:scaling>
        <c:delete val="0"/>
        <c:axPos val="l"/>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pt-BR"/>
          </a:p>
        </c:txPr>
        <c:crossAx val="-2141735704"/>
        <c:crosses val="autoZero"/>
        <c:crossBetween val="between"/>
      </c:valAx>
      <c:dTable>
        <c:showHorzBorder val="1"/>
        <c:showVertBorder val="1"/>
        <c:showOutline val="1"/>
        <c:showKeys val="1"/>
        <c:spPr>
          <a:noFill/>
          <a:ln w="9525">
            <a:solidFill>
              <a:schemeClr val="tx1">
                <a:lumMod val="15000"/>
                <a:lumOff val="85000"/>
              </a:schemeClr>
            </a:solidFill>
          </a:ln>
          <a:effectLst/>
        </c:spPr>
      </c:dTable>
      <c:spPr>
        <a:noFill/>
        <a:ln>
          <a:noFill/>
        </a:ln>
        <a:effectLst/>
      </c:spPr>
    </c:plotArea>
    <c:legend>
      <c:legendPos val="t"/>
      <c:overlay val="0"/>
      <c:spPr>
        <a:noFill/>
        <a:ln>
          <a:noFill/>
        </a:ln>
        <a:effectLst/>
      </c:spPr>
      <c:txPr>
        <a:bodyPr rot="0" vert="horz"/>
        <a:lstStyle/>
        <a:p>
          <a:pPr>
            <a:defRPr/>
          </a:pPr>
          <a:endParaRPr lang="pt-BR"/>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Times New Roman" panose="02020603050405020304" pitchFamily="18" charset="0"/>
          <a:ea typeface="+mn-ea"/>
          <a:cs typeface="Times New Roman" panose="02020603050405020304" pitchFamily="18" charset="0"/>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'TERCEIROS GRÁFICO'!$B$1</c:f>
              <c:strCache>
                <c:ptCount val="1"/>
                <c:pt idx="0">
                  <c:v>Públicas</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'TERCEIROS GRÁFICO'!$A$2:$A$7</c:f>
              <c:numCache>
                <c:formatCode>General</c:formatCode>
                <c:ptCount val="6"/>
                <c:pt idx="0">
                  <c:v>2012</c:v>
                </c:pt>
                <c:pt idx="1">
                  <c:v>2013</c:v>
                </c:pt>
                <c:pt idx="2">
                  <c:v>2014</c:v>
                </c:pt>
                <c:pt idx="3">
                  <c:v>2015</c:v>
                </c:pt>
                <c:pt idx="4">
                  <c:v>2016</c:v>
                </c:pt>
                <c:pt idx="5">
                  <c:v>2017</c:v>
                </c:pt>
              </c:numCache>
            </c:numRef>
          </c:cat>
          <c:val>
            <c:numRef>
              <c:f>'TERCEIROS GRÁFICO'!$B$2:$B$7</c:f>
              <c:numCache>
                <c:formatCode>0.00%</c:formatCode>
                <c:ptCount val="6"/>
                <c:pt idx="0">
                  <c:v>0.218563213902603</c:v>
                </c:pt>
                <c:pt idx="1">
                  <c:v>0.198992907141154</c:v>
                </c:pt>
                <c:pt idx="2">
                  <c:v>0.20067482204170001</c:v>
                </c:pt>
                <c:pt idx="3">
                  <c:v>0.40356651888261302</c:v>
                </c:pt>
                <c:pt idx="4">
                  <c:v>0.28830714187959899</c:v>
                </c:pt>
                <c:pt idx="5">
                  <c:v>0.29580783427573498</c:v>
                </c:pt>
              </c:numCache>
            </c:numRef>
          </c:val>
          <c:smooth val="0"/>
          <c:extLst>
            <c:ext xmlns:c16="http://schemas.microsoft.com/office/drawing/2014/chart" uri="{C3380CC4-5D6E-409C-BE32-E72D297353CC}">
              <c16:uniqueId val="{00000000-4D9F-4375-9442-ADE1F4851F54}"/>
            </c:ext>
          </c:extLst>
        </c:ser>
        <c:ser>
          <c:idx val="1"/>
          <c:order val="1"/>
          <c:tx>
            <c:strRef>
              <c:f>'TERCEIROS GRÁFICO'!$C$1</c:f>
              <c:strCache>
                <c:ptCount val="1"/>
                <c:pt idx="0">
                  <c:v>Privadas</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'TERCEIROS GRÁFICO'!$A$2:$A$7</c:f>
              <c:numCache>
                <c:formatCode>General</c:formatCode>
                <c:ptCount val="6"/>
                <c:pt idx="0">
                  <c:v>2012</c:v>
                </c:pt>
                <c:pt idx="1">
                  <c:v>2013</c:v>
                </c:pt>
                <c:pt idx="2">
                  <c:v>2014</c:v>
                </c:pt>
                <c:pt idx="3">
                  <c:v>2015</c:v>
                </c:pt>
                <c:pt idx="4">
                  <c:v>2016</c:v>
                </c:pt>
                <c:pt idx="5">
                  <c:v>2017</c:v>
                </c:pt>
              </c:numCache>
            </c:numRef>
          </c:cat>
          <c:val>
            <c:numRef>
              <c:f>'TERCEIROS GRÁFICO'!$C$2:$C$7</c:f>
              <c:numCache>
                <c:formatCode>0.00%</c:formatCode>
                <c:ptCount val="6"/>
                <c:pt idx="0">
                  <c:v>0.16654649761031601</c:v>
                </c:pt>
                <c:pt idx="1">
                  <c:v>0.22332318680589699</c:v>
                </c:pt>
                <c:pt idx="2">
                  <c:v>0.28416598458412501</c:v>
                </c:pt>
                <c:pt idx="3">
                  <c:v>0.27298108976708801</c:v>
                </c:pt>
                <c:pt idx="4">
                  <c:v>0.27376233341214301</c:v>
                </c:pt>
                <c:pt idx="5">
                  <c:v>0.21044613754543701</c:v>
                </c:pt>
              </c:numCache>
            </c:numRef>
          </c:val>
          <c:smooth val="0"/>
          <c:extLst>
            <c:ext xmlns:c16="http://schemas.microsoft.com/office/drawing/2014/chart" uri="{C3380CC4-5D6E-409C-BE32-E72D297353CC}">
              <c16:uniqueId val="{00000001-4D9F-4375-9442-ADE1F4851F54}"/>
            </c:ext>
          </c:extLst>
        </c:ser>
        <c:dLbls>
          <c:showLegendKey val="0"/>
          <c:showVal val="0"/>
          <c:showCatName val="0"/>
          <c:showSerName val="0"/>
          <c:showPercent val="0"/>
          <c:showBubbleSize val="0"/>
        </c:dLbls>
        <c:marker val="1"/>
        <c:smooth val="0"/>
        <c:axId val="-2117068200"/>
        <c:axId val="-2117062616"/>
      </c:lineChart>
      <c:catAx>
        <c:axId val="-2117068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pt-BR"/>
          </a:p>
        </c:txPr>
        <c:crossAx val="-2117062616"/>
        <c:crosses val="autoZero"/>
        <c:auto val="1"/>
        <c:lblAlgn val="ctr"/>
        <c:lblOffset val="100"/>
        <c:noMultiLvlLbl val="0"/>
      </c:catAx>
      <c:valAx>
        <c:axId val="-2117062616"/>
        <c:scaling>
          <c:orientation val="minMax"/>
          <c:max val="0.45"/>
          <c:min val="0.1"/>
        </c:scaling>
        <c:delete val="0"/>
        <c:axPos val="l"/>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pt-BR"/>
          </a:p>
        </c:txPr>
        <c:crossAx val="-2117068200"/>
        <c:crosses val="autoZero"/>
        <c:crossBetween val="between"/>
      </c:valAx>
      <c:dTable>
        <c:showHorzBorder val="1"/>
        <c:showVertBorder val="1"/>
        <c:showOutline val="1"/>
        <c:showKeys val="1"/>
        <c:spPr>
          <a:noFill/>
          <a:ln w="9525">
            <a:solidFill>
              <a:schemeClr val="tx1">
                <a:lumMod val="15000"/>
                <a:lumOff val="85000"/>
              </a:schemeClr>
            </a:solidFill>
          </a:ln>
          <a:effectLst/>
        </c:spPr>
      </c:dTable>
      <c:spPr>
        <a:noFill/>
        <a:ln>
          <a:noFill/>
        </a:ln>
        <a:effectLst/>
      </c:spPr>
    </c:plotArea>
    <c:legend>
      <c:legendPos val="t"/>
      <c:overlay val="0"/>
      <c:spPr>
        <a:noFill/>
        <a:ln>
          <a:noFill/>
        </a:ln>
        <a:effectLst/>
      </c:spPr>
      <c:txPr>
        <a:bodyPr rot="0" vert="horz"/>
        <a:lstStyle/>
        <a:p>
          <a:pPr>
            <a:defRPr/>
          </a:pPr>
          <a:endParaRPr lang="pt-BR"/>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Times New Roman" panose="02020603050405020304" pitchFamily="18" charset="0"/>
          <a:ea typeface="+mn-ea"/>
          <a:cs typeface="Times New Roman" panose="02020603050405020304" pitchFamily="18" charset="0"/>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'PRÓPRIOS GRÁFICO'!$B$1</c:f>
              <c:strCache>
                <c:ptCount val="1"/>
                <c:pt idx="0">
                  <c:v>Públicas</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'PRÓPRIOS GRÁFICO'!$A$2:$A$7</c:f>
              <c:numCache>
                <c:formatCode>General</c:formatCode>
                <c:ptCount val="6"/>
                <c:pt idx="0">
                  <c:v>2012</c:v>
                </c:pt>
                <c:pt idx="1">
                  <c:v>2013</c:v>
                </c:pt>
                <c:pt idx="2">
                  <c:v>2014</c:v>
                </c:pt>
                <c:pt idx="3">
                  <c:v>2015</c:v>
                </c:pt>
                <c:pt idx="4">
                  <c:v>2016</c:v>
                </c:pt>
                <c:pt idx="5">
                  <c:v>2017</c:v>
                </c:pt>
              </c:numCache>
            </c:numRef>
          </c:cat>
          <c:val>
            <c:numRef>
              <c:f>'PRÓPRIOS GRÁFICO'!$B$2:$B$7</c:f>
              <c:numCache>
                <c:formatCode>0.00%</c:formatCode>
                <c:ptCount val="6"/>
                <c:pt idx="0">
                  <c:v>-5.08972220356088E-2</c:v>
                </c:pt>
                <c:pt idx="1">
                  <c:v>-6.2830956271778496E-2</c:v>
                </c:pt>
                <c:pt idx="2">
                  <c:v>6.3053216176328794E-2</c:v>
                </c:pt>
                <c:pt idx="3">
                  <c:v>-0.18506194589797401</c:v>
                </c:pt>
                <c:pt idx="4">
                  <c:v>6.5557801810282507E-2</c:v>
                </c:pt>
                <c:pt idx="5">
                  <c:v>-1.8090332936594899E-2</c:v>
                </c:pt>
              </c:numCache>
            </c:numRef>
          </c:val>
          <c:smooth val="0"/>
          <c:extLst>
            <c:ext xmlns:c16="http://schemas.microsoft.com/office/drawing/2014/chart" uri="{C3380CC4-5D6E-409C-BE32-E72D297353CC}">
              <c16:uniqueId val="{00000000-6325-4BDD-8858-51C07046DCD6}"/>
            </c:ext>
          </c:extLst>
        </c:ser>
        <c:ser>
          <c:idx val="1"/>
          <c:order val="1"/>
          <c:tx>
            <c:strRef>
              <c:f>'PRÓPRIOS GRÁFICO'!$C$1</c:f>
              <c:strCache>
                <c:ptCount val="1"/>
                <c:pt idx="0">
                  <c:v>Privadas</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'PRÓPRIOS GRÁFICO'!$A$2:$A$7</c:f>
              <c:numCache>
                <c:formatCode>General</c:formatCode>
                <c:ptCount val="6"/>
                <c:pt idx="0">
                  <c:v>2012</c:v>
                </c:pt>
                <c:pt idx="1">
                  <c:v>2013</c:v>
                </c:pt>
                <c:pt idx="2">
                  <c:v>2014</c:v>
                </c:pt>
                <c:pt idx="3">
                  <c:v>2015</c:v>
                </c:pt>
                <c:pt idx="4">
                  <c:v>2016</c:v>
                </c:pt>
                <c:pt idx="5">
                  <c:v>2017</c:v>
                </c:pt>
              </c:numCache>
            </c:numRef>
          </c:cat>
          <c:val>
            <c:numRef>
              <c:f>'PRÓPRIOS GRÁFICO'!$C$2:$C$7</c:f>
              <c:numCache>
                <c:formatCode>0.00%</c:formatCode>
                <c:ptCount val="6"/>
                <c:pt idx="0">
                  <c:v>0.19352858097523601</c:v>
                </c:pt>
                <c:pt idx="1">
                  <c:v>0.14614819553880001</c:v>
                </c:pt>
                <c:pt idx="2">
                  <c:v>5.49941371824996E-4</c:v>
                </c:pt>
                <c:pt idx="3">
                  <c:v>4.9694194983132899E-2</c:v>
                </c:pt>
                <c:pt idx="4">
                  <c:v>4.93527133338892E-2</c:v>
                </c:pt>
                <c:pt idx="5">
                  <c:v>6.27808289597869E-2</c:v>
                </c:pt>
              </c:numCache>
            </c:numRef>
          </c:val>
          <c:smooth val="0"/>
          <c:extLst>
            <c:ext xmlns:c16="http://schemas.microsoft.com/office/drawing/2014/chart" uri="{C3380CC4-5D6E-409C-BE32-E72D297353CC}">
              <c16:uniqueId val="{00000001-6325-4BDD-8858-51C07046DCD6}"/>
            </c:ext>
          </c:extLst>
        </c:ser>
        <c:dLbls>
          <c:showLegendKey val="0"/>
          <c:showVal val="0"/>
          <c:showCatName val="0"/>
          <c:showSerName val="0"/>
          <c:showPercent val="0"/>
          <c:showBubbleSize val="0"/>
        </c:dLbls>
        <c:marker val="1"/>
        <c:smooth val="0"/>
        <c:axId val="2106978456"/>
        <c:axId val="-2143750296"/>
      </c:lineChart>
      <c:catAx>
        <c:axId val="2106978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pt-BR"/>
          </a:p>
        </c:txPr>
        <c:crossAx val="-2143750296"/>
        <c:crosses val="autoZero"/>
        <c:auto val="1"/>
        <c:lblAlgn val="ctr"/>
        <c:lblOffset val="100"/>
        <c:noMultiLvlLbl val="0"/>
      </c:catAx>
      <c:valAx>
        <c:axId val="-2143750296"/>
        <c:scaling>
          <c:orientation val="minMax"/>
        </c:scaling>
        <c:delete val="0"/>
        <c:axPos val="l"/>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pt-BR"/>
          </a:p>
        </c:txPr>
        <c:crossAx val="2106978456"/>
        <c:crosses val="autoZero"/>
        <c:crossBetween val="between"/>
      </c:valAx>
      <c:dTable>
        <c:showHorzBorder val="1"/>
        <c:showVertBorder val="1"/>
        <c:showOutline val="1"/>
        <c:showKeys val="1"/>
        <c:spPr>
          <a:noFill/>
          <a:ln w="9525">
            <a:solidFill>
              <a:schemeClr val="tx1">
                <a:lumMod val="15000"/>
                <a:lumOff val="85000"/>
              </a:schemeClr>
            </a:solidFill>
          </a:ln>
          <a:effectLst/>
        </c:spPr>
      </c:dTable>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Times New Roman" panose="02020603050405020304" pitchFamily="18" charset="0"/>
          <a:ea typeface="+mn-ea"/>
          <a:cs typeface="Times New Roman" panose="02020603050405020304" pitchFamily="18" charset="0"/>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Planilha1!$B$1</c:f>
              <c:strCache>
                <c:ptCount val="1"/>
                <c:pt idx="0">
                  <c:v> Valor Adicionado Total a Distribuir </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Planilha1!$A$2:$A$7</c:f>
              <c:numCache>
                <c:formatCode>General</c:formatCode>
                <c:ptCount val="6"/>
                <c:pt idx="0">
                  <c:v>2012</c:v>
                </c:pt>
                <c:pt idx="1">
                  <c:v>2013</c:v>
                </c:pt>
                <c:pt idx="2">
                  <c:v>2014</c:v>
                </c:pt>
                <c:pt idx="3">
                  <c:v>2015</c:v>
                </c:pt>
                <c:pt idx="4">
                  <c:v>2016</c:v>
                </c:pt>
                <c:pt idx="5">
                  <c:v>2017</c:v>
                </c:pt>
              </c:numCache>
            </c:numRef>
          </c:cat>
          <c:val>
            <c:numRef>
              <c:f>Planilha1!$B$2:$B$7</c:f>
              <c:numCache>
                <c:formatCode>_("R$"* #,##0.00_);_("R$"* \(#,##0.00\);_("R$"* "-"??_);_(@_)</c:formatCode>
                <c:ptCount val="6"/>
                <c:pt idx="0">
                  <c:v>6160137</c:v>
                </c:pt>
                <c:pt idx="1">
                  <c:v>8973094</c:v>
                </c:pt>
                <c:pt idx="2">
                  <c:v>13486320</c:v>
                </c:pt>
                <c:pt idx="3">
                  <c:v>19951059</c:v>
                </c:pt>
                <c:pt idx="4">
                  <c:v>43633371</c:v>
                </c:pt>
                <c:pt idx="5">
                  <c:v>24521165</c:v>
                </c:pt>
              </c:numCache>
            </c:numRef>
          </c:val>
          <c:smooth val="0"/>
          <c:extLst>
            <c:ext xmlns:c16="http://schemas.microsoft.com/office/drawing/2014/chart" uri="{C3380CC4-5D6E-409C-BE32-E72D297353CC}">
              <c16:uniqueId val="{00000000-C107-4712-AE42-C00990A3D88E}"/>
            </c:ext>
          </c:extLst>
        </c:ser>
        <c:ser>
          <c:idx val="1"/>
          <c:order val="1"/>
          <c:tx>
            <c:strRef>
              <c:f>Planilha1!$C$1</c:f>
              <c:strCache>
                <c:ptCount val="1"/>
                <c:pt idx="0">
                  <c:v> Pessoal </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Planilha1!$A$2:$A$7</c:f>
              <c:numCache>
                <c:formatCode>General</c:formatCode>
                <c:ptCount val="6"/>
                <c:pt idx="0">
                  <c:v>2012</c:v>
                </c:pt>
                <c:pt idx="1">
                  <c:v>2013</c:v>
                </c:pt>
                <c:pt idx="2">
                  <c:v>2014</c:v>
                </c:pt>
                <c:pt idx="3">
                  <c:v>2015</c:v>
                </c:pt>
                <c:pt idx="4">
                  <c:v>2016</c:v>
                </c:pt>
                <c:pt idx="5">
                  <c:v>2017</c:v>
                </c:pt>
              </c:numCache>
            </c:numRef>
          </c:cat>
          <c:val>
            <c:numRef>
              <c:f>Planilha1!$C$2:$C$7</c:f>
              <c:numCache>
                <c:formatCode>_("R$"* #,##0.00_);_("R$"* \(#,##0.00\);_("R$"* "-"??_);_(@_)</c:formatCode>
                <c:ptCount val="6"/>
                <c:pt idx="0">
                  <c:v>5716768</c:v>
                </c:pt>
                <c:pt idx="1">
                  <c:v>6650154</c:v>
                </c:pt>
                <c:pt idx="2">
                  <c:v>5609320</c:v>
                </c:pt>
                <c:pt idx="3">
                  <c:v>6004845</c:v>
                </c:pt>
                <c:pt idx="4">
                  <c:v>6548572</c:v>
                </c:pt>
                <c:pt idx="5">
                  <c:v>7721938</c:v>
                </c:pt>
              </c:numCache>
            </c:numRef>
          </c:val>
          <c:smooth val="0"/>
          <c:extLst>
            <c:ext xmlns:c16="http://schemas.microsoft.com/office/drawing/2014/chart" uri="{C3380CC4-5D6E-409C-BE32-E72D297353CC}">
              <c16:uniqueId val="{00000001-C107-4712-AE42-C00990A3D88E}"/>
            </c:ext>
          </c:extLst>
        </c:ser>
        <c:ser>
          <c:idx val="2"/>
          <c:order val="2"/>
          <c:tx>
            <c:strRef>
              <c:f>Planilha1!$D$1</c:f>
              <c:strCache>
                <c:ptCount val="1"/>
                <c:pt idx="0">
                  <c:v> Impostos, Taxas e Contribuições </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Planilha1!$A$2:$A$7</c:f>
              <c:numCache>
                <c:formatCode>General</c:formatCode>
                <c:ptCount val="6"/>
                <c:pt idx="0">
                  <c:v>2012</c:v>
                </c:pt>
                <c:pt idx="1">
                  <c:v>2013</c:v>
                </c:pt>
                <c:pt idx="2">
                  <c:v>2014</c:v>
                </c:pt>
                <c:pt idx="3">
                  <c:v>2015</c:v>
                </c:pt>
                <c:pt idx="4">
                  <c:v>2016</c:v>
                </c:pt>
                <c:pt idx="5">
                  <c:v>2017</c:v>
                </c:pt>
              </c:numCache>
            </c:numRef>
          </c:cat>
          <c:val>
            <c:numRef>
              <c:f>Planilha1!$D$2:$D$7</c:f>
              <c:numCache>
                <c:formatCode>_("R$"* #,##0.00_);_("R$"* \(#,##0.00\);_("R$"* "-"??_);_(@_)</c:formatCode>
                <c:ptCount val="6"/>
                <c:pt idx="0">
                  <c:v>3285987</c:v>
                </c:pt>
                <c:pt idx="1">
                  <c:v>4846943</c:v>
                </c:pt>
                <c:pt idx="2">
                  <c:v>6076958</c:v>
                </c:pt>
                <c:pt idx="3">
                  <c:v>9033490</c:v>
                </c:pt>
                <c:pt idx="4">
                  <c:v>16199405</c:v>
                </c:pt>
                <c:pt idx="5">
                  <c:v>7652866</c:v>
                </c:pt>
              </c:numCache>
            </c:numRef>
          </c:val>
          <c:smooth val="0"/>
          <c:extLst>
            <c:ext xmlns:c16="http://schemas.microsoft.com/office/drawing/2014/chart" uri="{C3380CC4-5D6E-409C-BE32-E72D297353CC}">
              <c16:uniqueId val="{00000002-C107-4712-AE42-C00990A3D88E}"/>
            </c:ext>
          </c:extLst>
        </c:ser>
        <c:ser>
          <c:idx val="3"/>
          <c:order val="3"/>
          <c:tx>
            <c:strRef>
              <c:f>Planilha1!$E$1</c:f>
              <c:strCache>
                <c:ptCount val="1"/>
                <c:pt idx="0">
                  <c:v> Remuneração de Capitais de Terceiros </c:v>
                </c:pt>
              </c:strCache>
            </c:strRef>
          </c:tx>
          <c:spPr>
            <a:ln w="22225" cap="rnd">
              <a:solidFill>
                <a:schemeClr val="dk1">
                  <a:tint val="98500"/>
                </a:schemeClr>
              </a:solidFill>
              <a:round/>
            </a:ln>
            <a:effectLst/>
          </c:spPr>
          <c:marker>
            <c:symbol val="x"/>
            <c:size val="6"/>
            <c:spPr>
              <a:noFill/>
              <a:ln w="9525">
                <a:solidFill>
                  <a:schemeClr val="dk1">
                    <a:tint val="98500"/>
                  </a:schemeClr>
                </a:solidFill>
                <a:round/>
              </a:ln>
              <a:effectLst/>
            </c:spPr>
          </c:marker>
          <c:cat>
            <c:numRef>
              <c:f>Planilha1!$A$2:$A$7</c:f>
              <c:numCache>
                <c:formatCode>General</c:formatCode>
                <c:ptCount val="6"/>
                <c:pt idx="0">
                  <c:v>2012</c:v>
                </c:pt>
                <c:pt idx="1">
                  <c:v>2013</c:v>
                </c:pt>
                <c:pt idx="2">
                  <c:v>2014</c:v>
                </c:pt>
                <c:pt idx="3">
                  <c:v>2015</c:v>
                </c:pt>
                <c:pt idx="4">
                  <c:v>2016</c:v>
                </c:pt>
                <c:pt idx="5">
                  <c:v>2017</c:v>
                </c:pt>
              </c:numCache>
            </c:numRef>
          </c:cat>
          <c:val>
            <c:numRef>
              <c:f>Planilha1!$E$2:$E$7</c:f>
              <c:numCache>
                <c:formatCode>_("R$"* #,##0.00_);_("R$"* \(#,##0.00\);_("R$"* "-"??_);_(@_)</c:formatCode>
                <c:ptCount val="6"/>
                <c:pt idx="0">
                  <c:v>4083035</c:v>
                </c:pt>
                <c:pt idx="1">
                  <c:v>3667657</c:v>
                </c:pt>
                <c:pt idx="2">
                  <c:v>4762544</c:v>
                </c:pt>
                <c:pt idx="3">
                  <c:v>19866382</c:v>
                </c:pt>
                <c:pt idx="4">
                  <c:v>17372118</c:v>
                </c:pt>
                <c:pt idx="5">
                  <c:v>10872052</c:v>
                </c:pt>
              </c:numCache>
            </c:numRef>
          </c:val>
          <c:smooth val="0"/>
          <c:extLst>
            <c:ext xmlns:c16="http://schemas.microsoft.com/office/drawing/2014/chart" uri="{C3380CC4-5D6E-409C-BE32-E72D297353CC}">
              <c16:uniqueId val="{00000003-C107-4712-AE42-C00990A3D88E}"/>
            </c:ext>
          </c:extLst>
        </c:ser>
        <c:ser>
          <c:idx val="4"/>
          <c:order val="4"/>
          <c:tx>
            <c:strRef>
              <c:f>Planilha1!$F$1</c:f>
              <c:strCache>
                <c:ptCount val="1"/>
                <c:pt idx="0">
                  <c:v> Remuneração de Capitais Próprios </c:v>
                </c:pt>
              </c:strCache>
            </c:strRef>
          </c:tx>
          <c:spPr>
            <a:ln w="22225" cap="rnd">
              <a:solidFill>
                <a:schemeClr val="dk1">
                  <a:tint val="30000"/>
                </a:schemeClr>
              </a:solidFill>
              <a:round/>
            </a:ln>
            <a:effectLst/>
          </c:spPr>
          <c:marker>
            <c:symbol val="star"/>
            <c:size val="6"/>
            <c:spPr>
              <a:noFill/>
              <a:ln w="9525">
                <a:solidFill>
                  <a:schemeClr val="dk1">
                    <a:tint val="30000"/>
                  </a:schemeClr>
                </a:solidFill>
                <a:round/>
              </a:ln>
              <a:effectLst/>
            </c:spPr>
          </c:marker>
          <c:cat>
            <c:numRef>
              <c:f>Planilha1!$A$2:$A$7</c:f>
              <c:numCache>
                <c:formatCode>General</c:formatCode>
                <c:ptCount val="6"/>
                <c:pt idx="0">
                  <c:v>2012</c:v>
                </c:pt>
                <c:pt idx="1">
                  <c:v>2013</c:v>
                </c:pt>
                <c:pt idx="2">
                  <c:v>2014</c:v>
                </c:pt>
                <c:pt idx="3">
                  <c:v>2015</c:v>
                </c:pt>
                <c:pt idx="4">
                  <c:v>2016</c:v>
                </c:pt>
                <c:pt idx="5">
                  <c:v>2017</c:v>
                </c:pt>
              </c:numCache>
            </c:numRef>
          </c:cat>
          <c:val>
            <c:numRef>
              <c:f>Planilha1!$F$2:$F$7</c:f>
              <c:numCache>
                <c:formatCode>_("R$"* #,##0.00_);_("R$"* \(#,##0.00\);_("R$"* "-"??_);_(@_)</c:formatCode>
                <c:ptCount val="6"/>
                <c:pt idx="0">
                  <c:v>-6925653</c:v>
                </c:pt>
                <c:pt idx="1">
                  <c:v>-6191660</c:v>
                </c:pt>
                <c:pt idx="2">
                  <c:v>-2962502</c:v>
                </c:pt>
                <c:pt idx="3">
                  <c:v>-14953658</c:v>
                </c:pt>
                <c:pt idx="4">
                  <c:v>3513276</c:v>
                </c:pt>
                <c:pt idx="5">
                  <c:v>-1725691</c:v>
                </c:pt>
              </c:numCache>
            </c:numRef>
          </c:val>
          <c:smooth val="0"/>
          <c:extLst>
            <c:ext xmlns:c16="http://schemas.microsoft.com/office/drawing/2014/chart" uri="{C3380CC4-5D6E-409C-BE32-E72D297353CC}">
              <c16:uniqueId val="{00000004-C107-4712-AE42-C00990A3D88E}"/>
            </c:ext>
          </c:extLst>
        </c:ser>
        <c:dLbls>
          <c:showLegendKey val="0"/>
          <c:showVal val="0"/>
          <c:showCatName val="0"/>
          <c:showSerName val="0"/>
          <c:showPercent val="0"/>
          <c:showBubbleSize val="0"/>
        </c:dLbls>
        <c:marker val="1"/>
        <c:smooth val="0"/>
        <c:axId val="2072450440"/>
        <c:axId val="-2137451736"/>
      </c:lineChart>
      <c:catAx>
        <c:axId val="2072450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pt-BR"/>
          </a:p>
        </c:txPr>
        <c:crossAx val="-2137451736"/>
        <c:crosses val="autoZero"/>
        <c:auto val="1"/>
        <c:lblAlgn val="ctr"/>
        <c:lblOffset val="100"/>
        <c:noMultiLvlLbl val="0"/>
      </c:catAx>
      <c:valAx>
        <c:axId val="-2137451736"/>
        <c:scaling>
          <c:orientation val="minMax"/>
        </c:scaling>
        <c:delete val="0"/>
        <c:axPos val="l"/>
        <c:numFmt formatCode="_(&quot;R$&quot;* #,##0.00_);_(&quot;R$&quot;* \(#,##0.00\);_(&quot;R$&quot;* &quot;-&quot;??_);_(@_)" sourceLinked="1"/>
        <c:majorTickMark val="none"/>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pt-BR"/>
          </a:p>
        </c:txPr>
        <c:crossAx val="2072450440"/>
        <c:crosses val="autoZero"/>
        <c:crossBetween val="between"/>
        <c:majorUnit val="5000000"/>
      </c:valAx>
      <c:spPr>
        <a:noFill/>
        <a:ln>
          <a:noFill/>
        </a:ln>
        <a:effectLst/>
      </c:spPr>
    </c:plotArea>
    <c:legend>
      <c:legendPos val="b"/>
      <c:overlay val="0"/>
      <c:spPr>
        <a:noFill/>
        <a:ln>
          <a:noFill/>
        </a:ln>
        <a:effectLst/>
      </c:spPr>
      <c:txPr>
        <a:bodyPr rot="0" vert="horz"/>
        <a:lstStyle/>
        <a:p>
          <a:pPr>
            <a:defRPr/>
          </a:pPr>
          <a:endParaRPr lang="pt-BR"/>
        </a:p>
      </c:txPr>
    </c:legend>
    <c:plotVisOnly val="1"/>
    <c:dispBlanksAs val="gap"/>
    <c:showDLblsOverMax val="0"/>
  </c:chart>
  <c:spPr>
    <a:solidFill>
      <a:schemeClr val="lt1"/>
    </a:solidFill>
    <a:ln w="9525" cap="flat" cmpd="sng" algn="ctr">
      <a:solidFill>
        <a:schemeClr val="tx1"/>
      </a:solidFill>
      <a:round/>
    </a:ln>
    <a:effectLst/>
  </c:spPr>
  <c:txPr>
    <a:bodyPr/>
    <a:lstStyle/>
    <a:p>
      <a:pPr>
        <a:defRPr>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602B-6D11-4432-8519-93518CFC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6766</Words>
  <Characters>36538</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HP-1</cp:lastModifiedBy>
  <cp:revision>35</cp:revision>
  <cp:lastPrinted>2018-05-04T00:15:00Z</cp:lastPrinted>
  <dcterms:created xsi:type="dcterms:W3CDTF">2018-04-30T17:34:00Z</dcterms:created>
  <dcterms:modified xsi:type="dcterms:W3CDTF">2018-05-04T00:15:00Z</dcterms:modified>
</cp:coreProperties>
</file>