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2BD" w:rsidRDefault="00567A86" w:rsidP="00850F71">
      <w:pPr>
        <w:ind w:firstLine="0"/>
        <w:jc w:val="center"/>
        <w:rPr>
          <w:rFonts w:cs="Times New Roman"/>
          <w:b/>
          <w:szCs w:val="24"/>
        </w:rPr>
      </w:pPr>
      <w:r>
        <w:rPr>
          <w:rFonts w:cs="Times New Roman"/>
          <w:b/>
          <w:szCs w:val="24"/>
        </w:rPr>
        <w:t>(</w:t>
      </w:r>
      <w:r w:rsidRPr="005C42BD">
        <w:rPr>
          <w:rFonts w:cs="Times New Roman"/>
          <w:b/>
          <w:szCs w:val="24"/>
        </w:rPr>
        <w:t>Re</w:t>
      </w:r>
      <w:r>
        <w:rPr>
          <w:rFonts w:cs="Times New Roman"/>
          <w:b/>
          <w:szCs w:val="24"/>
        </w:rPr>
        <w:t>)</w:t>
      </w:r>
      <w:r w:rsidRPr="005C42BD">
        <w:rPr>
          <w:rFonts w:cs="Times New Roman"/>
          <w:b/>
          <w:szCs w:val="24"/>
        </w:rPr>
        <w:t xml:space="preserve">Visitando </w:t>
      </w:r>
      <w:r>
        <w:rPr>
          <w:rFonts w:cs="Times New Roman"/>
          <w:b/>
          <w:szCs w:val="24"/>
        </w:rPr>
        <w:t>o</w:t>
      </w:r>
      <w:r w:rsidRPr="005C42BD">
        <w:rPr>
          <w:rFonts w:cs="Times New Roman"/>
          <w:b/>
          <w:szCs w:val="24"/>
        </w:rPr>
        <w:t xml:space="preserve">s Determinantes </w:t>
      </w:r>
      <w:r>
        <w:rPr>
          <w:rFonts w:cs="Times New Roman"/>
          <w:b/>
          <w:szCs w:val="24"/>
        </w:rPr>
        <w:t>da Distribuição de Dividendos – Uma Análise em Empresas Brasileiras</w:t>
      </w:r>
    </w:p>
    <w:p w:rsidR="00E904A2" w:rsidRDefault="00E904A2" w:rsidP="00850F71">
      <w:pPr>
        <w:ind w:firstLine="0"/>
        <w:jc w:val="center"/>
        <w:rPr>
          <w:rFonts w:cs="Times New Roman"/>
          <w:b/>
          <w:szCs w:val="24"/>
        </w:rPr>
      </w:pPr>
    </w:p>
    <w:p w:rsidR="009665D5" w:rsidRDefault="009665D5" w:rsidP="00850F71">
      <w:pPr>
        <w:jc w:val="right"/>
        <w:rPr>
          <w:b/>
          <w:szCs w:val="24"/>
        </w:rPr>
      </w:pPr>
      <w:r>
        <w:rPr>
          <w:b/>
          <w:szCs w:val="24"/>
        </w:rPr>
        <w:t>Maurício leite</w:t>
      </w:r>
    </w:p>
    <w:p w:rsidR="009665D5" w:rsidRDefault="009665D5" w:rsidP="00850F71">
      <w:pPr>
        <w:jc w:val="right"/>
        <w:rPr>
          <w:b/>
          <w:i/>
          <w:szCs w:val="24"/>
        </w:rPr>
      </w:pPr>
      <w:r>
        <w:rPr>
          <w:b/>
          <w:szCs w:val="24"/>
        </w:rPr>
        <w:t>Universidade Regional de Blumenau (FURB)</w:t>
      </w:r>
    </w:p>
    <w:p w:rsidR="009665D5" w:rsidRDefault="009665D5" w:rsidP="00850F71">
      <w:pPr>
        <w:jc w:val="right"/>
        <w:rPr>
          <w:b/>
          <w:szCs w:val="24"/>
        </w:rPr>
      </w:pPr>
      <w:r>
        <w:rPr>
          <w:b/>
          <w:i/>
          <w:szCs w:val="24"/>
        </w:rPr>
        <w:t>E-mail: mauleite@furb.br</w:t>
      </w:r>
    </w:p>
    <w:p w:rsidR="009665D5" w:rsidRDefault="009665D5" w:rsidP="00850F71">
      <w:pPr>
        <w:jc w:val="right"/>
        <w:rPr>
          <w:b/>
          <w:szCs w:val="24"/>
        </w:rPr>
      </w:pPr>
    </w:p>
    <w:p w:rsidR="009665D5" w:rsidRDefault="009665D5" w:rsidP="00850F71">
      <w:pPr>
        <w:jc w:val="right"/>
        <w:rPr>
          <w:b/>
          <w:szCs w:val="24"/>
        </w:rPr>
      </w:pPr>
      <w:r w:rsidRPr="009665D5">
        <w:rPr>
          <w:b/>
          <w:szCs w:val="24"/>
        </w:rPr>
        <w:t>Nadia Mar Bogoni</w:t>
      </w:r>
    </w:p>
    <w:p w:rsidR="009665D5" w:rsidRDefault="009665D5" w:rsidP="00850F71">
      <w:pPr>
        <w:jc w:val="right"/>
        <w:rPr>
          <w:b/>
          <w:i/>
          <w:szCs w:val="24"/>
        </w:rPr>
      </w:pPr>
      <w:r>
        <w:rPr>
          <w:b/>
          <w:szCs w:val="24"/>
        </w:rPr>
        <w:t>Universidade Regional de Blumenau (FURB)</w:t>
      </w:r>
    </w:p>
    <w:p w:rsidR="009665D5" w:rsidRDefault="009665D5" w:rsidP="00850F71">
      <w:pPr>
        <w:widowControl w:val="0"/>
        <w:jc w:val="right"/>
        <w:rPr>
          <w:b/>
          <w:szCs w:val="24"/>
        </w:rPr>
      </w:pPr>
      <w:r>
        <w:rPr>
          <w:b/>
          <w:i/>
          <w:szCs w:val="24"/>
        </w:rPr>
        <w:t>E-mail:</w:t>
      </w:r>
      <w:r w:rsidRPr="00D905B3">
        <w:t xml:space="preserve"> </w:t>
      </w:r>
      <w:r w:rsidRPr="009665D5">
        <w:rPr>
          <w:b/>
          <w:i/>
        </w:rPr>
        <w:t>nadiabogoni@hotmail.com</w:t>
      </w:r>
    </w:p>
    <w:p w:rsidR="009665D5" w:rsidRDefault="009665D5" w:rsidP="00850F71">
      <w:pPr>
        <w:jc w:val="right"/>
        <w:rPr>
          <w:rFonts w:cs="Times New Roman"/>
          <w:bCs/>
          <w:i/>
          <w:szCs w:val="24"/>
        </w:rPr>
      </w:pPr>
    </w:p>
    <w:p w:rsidR="009665D5" w:rsidRDefault="009665D5" w:rsidP="00850F71">
      <w:pPr>
        <w:widowControl w:val="0"/>
        <w:jc w:val="right"/>
        <w:rPr>
          <w:b/>
          <w:szCs w:val="24"/>
        </w:rPr>
      </w:pPr>
      <w:r>
        <w:rPr>
          <w:b/>
          <w:szCs w:val="24"/>
        </w:rPr>
        <w:t>Nelson Hein</w:t>
      </w:r>
    </w:p>
    <w:p w:rsidR="009665D5" w:rsidRDefault="009665D5" w:rsidP="00850F71">
      <w:pPr>
        <w:jc w:val="right"/>
        <w:rPr>
          <w:b/>
          <w:i/>
          <w:szCs w:val="24"/>
        </w:rPr>
      </w:pPr>
      <w:r>
        <w:rPr>
          <w:b/>
          <w:szCs w:val="24"/>
        </w:rPr>
        <w:t>Universidade Regional de Blumenau (FURB)</w:t>
      </w:r>
      <w:bookmarkStart w:id="0" w:name="_GoBack"/>
      <w:bookmarkEnd w:id="0"/>
    </w:p>
    <w:p w:rsidR="009665D5" w:rsidRDefault="009665D5" w:rsidP="00850F71">
      <w:pPr>
        <w:widowControl w:val="0"/>
        <w:jc w:val="right"/>
        <w:rPr>
          <w:rFonts w:cs="Times New Roman"/>
          <w:bCs/>
          <w:i/>
          <w:szCs w:val="24"/>
        </w:rPr>
      </w:pPr>
      <w:r>
        <w:rPr>
          <w:b/>
          <w:i/>
          <w:szCs w:val="24"/>
        </w:rPr>
        <w:t>E-mail:</w:t>
      </w:r>
      <w:r w:rsidRPr="00D905B3">
        <w:t xml:space="preserve"> </w:t>
      </w:r>
      <w:r>
        <w:rPr>
          <w:b/>
          <w:i/>
          <w:szCs w:val="24"/>
        </w:rPr>
        <w:t>hein@furb.br</w:t>
      </w:r>
    </w:p>
    <w:p w:rsidR="009736B1" w:rsidRPr="004B39B7" w:rsidRDefault="009736B1" w:rsidP="00850F71">
      <w:pPr>
        <w:ind w:firstLine="0"/>
        <w:jc w:val="left"/>
        <w:rPr>
          <w:rFonts w:cs="Times New Roman"/>
          <w:bCs/>
          <w:szCs w:val="24"/>
        </w:rPr>
      </w:pPr>
    </w:p>
    <w:p w:rsidR="004E552C" w:rsidRDefault="00CC0D4F" w:rsidP="00850F71">
      <w:pPr>
        <w:pStyle w:val="Ttulo1"/>
        <w:numPr>
          <w:ilvl w:val="0"/>
          <w:numId w:val="0"/>
        </w:numPr>
        <w:spacing w:before="0"/>
        <w:ind w:left="284" w:hanging="284"/>
        <w:rPr>
          <w:rFonts w:cs="Times New Roman"/>
          <w:szCs w:val="24"/>
        </w:rPr>
      </w:pPr>
      <w:r w:rsidRPr="004B39B7">
        <w:rPr>
          <w:rFonts w:cs="Times New Roman"/>
          <w:szCs w:val="24"/>
        </w:rPr>
        <w:t>RESUMO</w:t>
      </w:r>
    </w:p>
    <w:p w:rsidR="005373CB" w:rsidRPr="005373CB" w:rsidRDefault="005373CB" w:rsidP="00850F71">
      <w:pPr>
        <w:ind w:firstLine="0"/>
        <w:contextualSpacing/>
      </w:pPr>
      <w:r>
        <w:t xml:space="preserve">A presente pesquisa teve por objetivo investigar os determinantes da política de dividendos em empresas brasileiras de capital aberto listadas na BM&amp;FBovespa. Para </w:t>
      </w:r>
      <w:r w:rsidR="009665D5">
        <w:t xml:space="preserve">atingir esse objetivo, </w:t>
      </w:r>
      <w:r>
        <w:t>realizou-se uma pesquisa descritiva, com abordagem quantitativa, por meio de pesquisa documental.</w:t>
      </w:r>
      <w:r w:rsidR="009665D5">
        <w:t xml:space="preserve"> </w:t>
      </w:r>
      <w:r>
        <w:t xml:space="preserve">A população da pesquisa compreendeu as empresas de capital aberto ativas em 2017, listadas na BM&amp;FBovespa, tendo como amostra analisada 293 empresas entre os anos de 2010 e 2016, totalizando 1.746 observações. Como variáveis de análise, considerou-se como variável dependente os dividendos (DIV) pagos e como variáveis a rentabilidade (RENT), liquidez (LIQ), endividamento (END), tamanho da empresa (TAM), lucratividade (ROE) e os dividendos pago no exercício anterior (DIVANT). Como forma de responder </w:t>
      </w:r>
      <w:r w:rsidR="00850F71">
        <w:t>à</w:t>
      </w:r>
      <w:r>
        <w:t xml:space="preserve"> questão de pesquisa elaborada por esta pesquisa, conclui-se que os determinantes que apresentaram maior probabilidade de influenciar de forma positiva e significativa na política de dividendos das organizações são a rentabilidade (RENT) e os dividendos pagos no exercício anterior (DIVANT), e de forma negativa o endividamento (END). Os demais fatores, liquidez (LIQ), tamanho (TAM) e endividamento (END) apresentaram baixo poder explicativo da probabilidade de influenciar na política de dividendos.</w:t>
      </w:r>
    </w:p>
    <w:p w:rsidR="00E904A2" w:rsidRDefault="00E904A2" w:rsidP="00850F71">
      <w:pPr>
        <w:ind w:firstLine="0"/>
        <w:rPr>
          <w:rFonts w:cs="Times New Roman"/>
          <w:b/>
          <w:szCs w:val="24"/>
        </w:rPr>
      </w:pPr>
    </w:p>
    <w:p w:rsidR="004E0E24" w:rsidRDefault="00DB392F" w:rsidP="00850F71">
      <w:pPr>
        <w:ind w:firstLine="0"/>
        <w:rPr>
          <w:rFonts w:cs="Times New Roman"/>
          <w:szCs w:val="24"/>
        </w:rPr>
      </w:pPr>
      <w:r w:rsidRPr="004B39B7">
        <w:rPr>
          <w:rFonts w:cs="Times New Roman"/>
          <w:b/>
          <w:szCs w:val="24"/>
        </w:rPr>
        <w:t>Palavras-</w:t>
      </w:r>
      <w:r w:rsidR="00D72304">
        <w:rPr>
          <w:rFonts w:cs="Times New Roman"/>
          <w:b/>
          <w:szCs w:val="24"/>
        </w:rPr>
        <w:t>C</w:t>
      </w:r>
      <w:r w:rsidRPr="004B39B7">
        <w:rPr>
          <w:rFonts w:cs="Times New Roman"/>
          <w:b/>
          <w:szCs w:val="24"/>
        </w:rPr>
        <w:t>have</w:t>
      </w:r>
      <w:r w:rsidR="00CF3670" w:rsidRPr="004B39B7">
        <w:rPr>
          <w:rFonts w:cs="Times New Roman"/>
          <w:b/>
          <w:szCs w:val="24"/>
        </w:rPr>
        <w:t xml:space="preserve">: </w:t>
      </w:r>
      <w:r w:rsidR="004E0E24">
        <w:rPr>
          <w:rFonts w:cs="Times New Roman"/>
          <w:szCs w:val="24"/>
        </w:rPr>
        <w:t xml:space="preserve">Finanças Corporativas. </w:t>
      </w:r>
      <w:r w:rsidR="00D72304">
        <w:rPr>
          <w:rFonts w:cs="Times New Roman"/>
          <w:szCs w:val="24"/>
        </w:rPr>
        <w:t>Dividendos</w:t>
      </w:r>
      <w:r w:rsidR="004E0E24">
        <w:rPr>
          <w:rFonts w:cs="Times New Roman"/>
          <w:szCs w:val="24"/>
        </w:rPr>
        <w:t xml:space="preserve">. Determinantes </w:t>
      </w:r>
      <w:r w:rsidR="00CA617B">
        <w:rPr>
          <w:rFonts w:cs="Times New Roman"/>
          <w:szCs w:val="24"/>
        </w:rPr>
        <w:t xml:space="preserve">dos </w:t>
      </w:r>
      <w:r w:rsidR="004E0E24">
        <w:rPr>
          <w:rFonts w:cs="Times New Roman"/>
          <w:szCs w:val="24"/>
        </w:rPr>
        <w:t>Dividendos.</w:t>
      </w:r>
    </w:p>
    <w:p w:rsidR="00D14181" w:rsidRDefault="00D14181" w:rsidP="00850F71">
      <w:pPr>
        <w:ind w:firstLine="0"/>
        <w:rPr>
          <w:rFonts w:cs="Times New Roman"/>
          <w:szCs w:val="24"/>
        </w:rPr>
      </w:pPr>
    </w:p>
    <w:p w:rsidR="00D14181" w:rsidRPr="00D14181" w:rsidRDefault="00D14181" w:rsidP="00D14181">
      <w:pPr>
        <w:widowControl w:val="0"/>
        <w:ind w:firstLine="0"/>
        <w:rPr>
          <w:szCs w:val="24"/>
        </w:rPr>
      </w:pPr>
      <w:r>
        <w:rPr>
          <w:b/>
          <w:szCs w:val="24"/>
        </w:rPr>
        <w:t>Linha Temática:</w:t>
      </w:r>
      <w:r>
        <w:rPr>
          <w:b/>
          <w:szCs w:val="24"/>
        </w:rPr>
        <w:t xml:space="preserve"> </w:t>
      </w:r>
      <w:r w:rsidRPr="00D14181">
        <w:rPr>
          <w:szCs w:val="24"/>
        </w:rPr>
        <w:t>Finanças Corporativas, de curto e longo prazo</w:t>
      </w:r>
      <w:r>
        <w:rPr>
          <w:szCs w:val="24"/>
        </w:rPr>
        <w:t>.</w:t>
      </w:r>
    </w:p>
    <w:p w:rsidR="00E904A2" w:rsidRDefault="00E904A2" w:rsidP="00850F71">
      <w:pPr>
        <w:ind w:firstLine="0"/>
        <w:rPr>
          <w:rFonts w:cs="Times New Roman"/>
          <w:szCs w:val="24"/>
        </w:rPr>
      </w:pPr>
    </w:p>
    <w:p w:rsidR="00A96F0A" w:rsidRPr="004B39B7" w:rsidRDefault="00A96F0A" w:rsidP="00850F71">
      <w:pPr>
        <w:pStyle w:val="Ttulo1"/>
        <w:spacing w:before="0"/>
        <w:rPr>
          <w:rFonts w:cs="Times New Roman"/>
          <w:szCs w:val="24"/>
        </w:rPr>
      </w:pPr>
      <w:r w:rsidRPr="004B39B7">
        <w:rPr>
          <w:rFonts w:cs="Times New Roman"/>
          <w:szCs w:val="24"/>
        </w:rPr>
        <w:t>INTRODUÇÃO</w:t>
      </w:r>
    </w:p>
    <w:p w:rsidR="00F51B89" w:rsidRDefault="00F51B89" w:rsidP="00850F71">
      <w:pPr>
        <w:rPr>
          <w:rFonts w:cs="Times New Roman"/>
          <w:szCs w:val="24"/>
        </w:rPr>
      </w:pPr>
      <w:r>
        <w:rPr>
          <w:rFonts w:cs="Times New Roman"/>
          <w:szCs w:val="24"/>
        </w:rPr>
        <w:t>As organizações possuem como finalidade econômica a geração e maximização do lucro, sendo que tal lucro possui dois destinos específicos: o reinvestimento nas operações da própria empresa; ou a sua distribuição entre os acionistas, que pode ser pode ser feita por meio de pagamento de dividendos</w:t>
      </w:r>
      <w:r w:rsidR="0019475D">
        <w:rPr>
          <w:rFonts w:cs="Times New Roman"/>
          <w:szCs w:val="24"/>
        </w:rPr>
        <w:t xml:space="preserve"> </w:t>
      </w:r>
      <w:r>
        <w:rPr>
          <w:rFonts w:cs="Times New Roman"/>
          <w:szCs w:val="24"/>
        </w:rPr>
        <w:t>(</w:t>
      </w:r>
      <w:r w:rsidR="00F72F04">
        <w:rPr>
          <w:rFonts w:cs="Times New Roman"/>
          <w:szCs w:val="24"/>
        </w:rPr>
        <w:t>Almeida, Pereira &amp; Tavares</w:t>
      </w:r>
      <w:r>
        <w:rPr>
          <w:rFonts w:cs="Times New Roman"/>
          <w:szCs w:val="24"/>
        </w:rPr>
        <w:t>, 2015).</w:t>
      </w:r>
      <w:r w:rsidR="00C444D5">
        <w:rPr>
          <w:rFonts w:cs="Times New Roman"/>
          <w:szCs w:val="24"/>
        </w:rPr>
        <w:t xml:space="preserve"> O direcionamento do presente trabalho concerne na distribuição dos lucros em forma de dividendos, investigando os determinantes da política de dividendos especificamente em empresas brasileiras.</w:t>
      </w:r>
    </w:p>
    <w:p w:rsidR="00496BD1" w:rsidRDefault="007C6828" w:rsidP="00850F71">
      <w:pPr>
        <w:rPr>
          <w:rFonts w:cs="Times New Roman"/>
          <w:szCs w:val="24"/>
        </w:rPr>
      </w:pPr>
      <w:r>
        <w:rPr>
          <w:rFonts w:cs="Times New Roman"/>
          <w:szCs w:val="24"/>
        </w:rPr>
        <w:t xml:space="preserve">Kania e Bacon (2005) e </w:t>
      </w:r>
      <w:r w:rsidR="00C444D5" w:rsidRPr="00983783">
        <w:rPr>
          <w:rFonts w:cs="Times New Roman"/>
          <w:szCs w:val="24"/>
        </w:rPr>
        <w:t>Hussainey</w:t>
      </w:r>
      <w:r w:rsidR="00C444D5">
        <w:rPr>
          <w:rFonts w:cs="Times New Roman"/>
          <w:szCs w:val="24"/>
        </w:rPr>
        <w:t>, M</w:t>
      </w:r>
      <w:r w:rsidR="00C444D5" w:rsidRPr="00983783">
        <w:rPr>
          <w:rFonts w:cs="Times New Roman"/>
          <w:szCs w:val="24"/>
        </w:rPr>
        <w:t>gbame</w:t>
      </w:r>
      <w:r w:rsidR="00C444D5">
        <w:rPr>
          <w:rFonts w:cs="Times New Roman"/>
          <w:szCs w:val="24"/>
        </w:rPr>
        <w:t xml:space="preserve"> e C</w:t>
      </w:r>
      <w:r w:rsidR="00C444D5" w:rsidRPr="00983783">
        <w:rPr>
          <w:rFonts w:cs="Times New Roman"/>
          <w:szCs w:val="24"/>
        </w:rPr>
        <w:t>hijoke-</w:t>
      </w:r>
      <w:r w:rsidR="00C444D5">
        <w:rPr>
          <w:rFonts w:cs="Times New Roman"/>
          <w:szCs w:val="24"/>
        </w:rPr>
        <w:t>M</w:t>
      </w:r>
      <w:r w:rsidR="00C444D5" w:rsidRPr="00983783">
        <w:rPr>
          <w:rFonts w:cs="Times New Roman"/>
          <w:szCs w:val="24"/>
        </w:rPr>
        <w:t>gbame</w:t>
      </w:r>
      <w:r w:rsidR="00C444D5">
        <w:rPr>
          <w:rFonts w:cs="Times New Roman"/>
          <w:szCs w:val="24"/>
        </w:rPr>
        <w:t xml:space="preserve"> (2011) apontam que a </w:t>
      </w:r>
      <w:r w:rsidR="007A2DF3">
        <w:rPr>
          <w:rFonts w:cs="Times New Roman"/>
          <w:szCs w:val="24"/>
        </w:rPr>
        <w:t xml:space="preserve">política de dividendos </w:t>
      </w:r>
      <w:r w:rsidR="00850F71">
        <w:rPr>
          <w:rFonts w:cs="Times New Roman"/>
          <w:szCs w:val="24"/>
        </w:rPr>
        <w:t>se refere</w:t>
      </w:r>
      <w:r w:rsidR="007A2DF3">
        <w:rPr>
          <w:rFonts w:cs="Times New Roman"/>
          <w:szCs w:val="24"/>
        </w:rPr>
        <w:t xml:space="preserve"> à política da empresa em distribuir parte dos seus lucros em detrimento de manter tais lucros para reinvestimento, sendo esta política parte fundamental das estratégias</w:t>
      </w:r>
      <w:r w:rsidR="006F019D">
        <w:rPr>
          <w:rFonts w:cs="Times New Roman"/>
          <w:szCs w:val="24"/>
        </w:rPr>
        <w:t xml:space="preserve"> de financiamento de longo prazo das organizações</w:t>
      </w:r>
      <w:r w:rsidR="001E04DE">
        <w:rPr>
          <w:rFonts w:cs="Times New Roman"/>
          <w:szCs w:val="24"/>
        </w:rPr>
        <w:t>.</w:t>
      </w:r>
    </w:p>
    <w:p w:rsidR="00D3584F" w:rsidRDefault="00496BD1" w:rsidP="00850F71">
      <w:pPr>
        <w:rPr>
          <w:rFonts w:cs="Times New Roman"/>
          <w:szCs w:val="24"/>
        </w:rPr>
      </w:pPr>
      <w:r>
        <w:rPr>
          <w:rFonts w:cs="Times New Roman"/>
          <w:szCs w:val="24"/>
        </w:rPr>
        <w:lastRenderedPageBreak/>
        <w:t>A</w:t>
      </w:r>
      <w:r w:rsidR="006F019D">
        <w:rPr>
          <w:rFonts w:cs="Times New Roman"/>
          <w:szCs w:val="24"/>
        </w:rPr>
        <w:t xml:space="preserve"> política de dividendos é parte importante do conjunto de decisões financeiras das organizações</w:t>
      </w:r>
      <w:r w:rsidR="00C444D5">
        <w:rPr>
          <w:rFonts w:cs="Times New Roman"/>
          <w:szCs w:val="24"/>
        </w:rPr>
        <w:t>.</w:t>
      </w:r>
      <w:r>
        <w:rPr>
          <w:rFonts w:cs="Times New Roman"/>
          <w:szCs w:val="24"/>
        </w:rPr>
        <w:t xml:space="preserve"> </w:t>
      </w:r>
      <w:r w:rsidR="0019475D">
        <w:rPr>
          <w:rFonts w:cs="Times New Roman"/>
          <w:szCs w:val="24"/>
        </w:rPr>
        <w:t>E</w:t>
      </w:r>
      <w:r>
        <w:rPr>
          <w:rFonts w:cs="Times New Roman"/>
          <w:szCs w:val="24"/>
        </w:rPr>
        <w:t xml:space="preserve">la </w:t>
      </w:r>
      <w:r w:rsidR="00C444D5">
        <w:rPr>
          <w:rFonts w:cs="Times New Roman"/>
          <w:szCs w:val="24"/>
        </w:rPr>
        <w:t xml:space="preserve">impacta </w:t>
      </w:r>
      <w:r>
        <w:rPr>
          <w:rFonts w:cs="Times New Roman"/>
          <w:szCs w:val="24"/>
        </w:rPr>
        <w:t xml:space="preserve">diretamente </w:t>
      </w:r>
      <w:r w:rsidR="006F019D">
        <w:rPr>
          <w:rFonts w:cs="Times New Roman"/>
          <w:szCs w:val="24"/>
        </w:rPr>
        <w:t>no fluxo de caixa da empresa,</w:t>
      </w:r>
      <w:r w:rsidR="00C444D5">
        <w:rPr>
          <w:rFonts w:cs="Times New Roman"/>
          <w:szCs w:val="24"/>
        </w:rPr>
        <w:t xml:space="preserve"> modifica </w:t>
      </w:r>
      <w:r>
        <w:rPr>
          <w:rFonts w:cs="Times New Roman"/>
          <w:szCs w:val="24"/>
        </w:rPr>
        <w:t xml:space="preserve">de forma efetiva </w:t>
      </w:r>
      <w:r w:rsidR="00C444D5">
        <w:rPr>
          <w:rFonts w:cs="Times New Roman"/>
          <w:szCs w:val="24"/>
        </w:rPr>
        <w:t xml:space="preserve">como as empresas montam suas políticas </w:t>
      </w:r>
      <w:r>
        <w:rPr>
          <w:rFonts w:cs="Times New Roman"/>
          <w:szCs w:val="24"/>
        </w:rPr>
        <w:t xml:space="preserve">e estratégias </w:t>
      </w:r>
      <w:r w:rsidR="00C444D5">
        <w:rPr>
          <w:rFonts w:cs="Times New Roman"/>
          <w:szCs w:val="24"/>
        </w:rPr>
        <w:t>de financiamento e investimento</w:t>
      </w:r>
      <w:r>
        <w:rPr>
          <w:rFonts w:cs="Times New Roman"/>
          <w:szCs w:val="24"/>
        </w:rPr>
        <w:t xml:space="preserve"> e</w:t>
      </w:r>
      <w:r w:rsidR="00C444D5">
        <w:rPr>
          <w:rFonts w:cs="Times New Roman"/>
          <w:szCs w:val="24"/>
        </w:rPr>
        <w:t xml:space="preserve">, </w:t>
      </w:r>
      <w:r>
        <w:rPr>
          <w:rFonts w:cs="Times New Roman"/>
          <w:szCs w:val="24"/>
        </w:rPr>
        <w:t>p</w:t>
      </w:r>
      <w:r w:rsidR="00C444D5">
        <w:rPr>
          <w:rFonts w:cs="Times New Roman"/>
          <w:szCs w:val="24"/>
        </w:rPr>
        <w:t>or conseguinte</w:t>
      </w:r>
      <w:r>
        <w:rPr>
          <w:rFonts w:cs="Times New Roman"/>
          <w:szCs w:val="24"/>
        </w:rPr>
        <w:t>,</w:t>
      </w:r>
      <w:r w:rsidR="00C444D5">
        <w:rPr>
          <w:rFonts w:cs="Times New Roman"/>
          <w:szCs w:val="24"/>
        </w:rPr>
        <w:t xml:space="preserve"> impacta significativamente no desempenho econômico e financeiro das organizações</w:t>
      </w:r>
      <w:r>
        <w:rPr>
          <w:rFonts w:cs="Times New Roman"/>
          <w:szCs w:val="24"/>
        </w:rPr>
        <w:t xml:space="preserve"> (</w:t>
      </w:r>
      <w:r w:rsidR="00F72F04">
        <w:rPr>
          <w:rFonts w:cs="Times New Roman"/>
          <w:szCs w:val="24"/>
        </w:rPr>
        <w:t xml:space="preserve">Almeida </w:t>
      </w:r>
      <w:r w:rsidR="00F72F04" w:rsidRPr="00F72F04">
        <w:rPr>
          <w:rFonts w:cs="Times New Roman"/>
          <w:i/>
          <w:szCs w:val="24"/>
        </w:rPr>
        <w:t>et al</w:t>
      </w:r>
      <w:r w:rsidR="00F72F04">
        <w:rPr>
          <w:rFonts w:cs="Times New Roman"/>
          <w:szCs w:val="24"/>
        </w:rPr>
        <w:t>., 2015</w:t>
      </w:r>
      <w:r>
        <w:rPr>
          <w:rFonts w:cs="Times New Roman"/>
          <w:szCs w:val="24"/>
        </w:rPr>
        <w:t>).</w:t>
      </w:r>
    </w:p>
    <w:p w:rsidR="00AD7D9A" w:rsidRDefault="00050EF0" w:rsidP="00850F71">
      <w:pPr>
        <w:contextualSpacing/>
        <w:rPr>
          <w:rFonts w:cs="Times New Roman"/>
          <w:szCs w:val="24"/>
        </w:rPr>
      </w:pPr>
      <w:r>
        <w:t>A distribuição dos lucros da empresa em forma de pagamento de dividendos aos acionistas está ligada com os problemas relacionados à decisão de manter os recursos para a reinvestimento, cujo intuito é promover o crescimento da empresa</w:t>
      </w:r>
      <w:r w:rsidR="000E775A">
        <w:t xml:space="preserve"> (</w:t>
      </w:r>
      <w:r w:rsidR="000E775A" w:rsidRPr="000E775A">
        <w:rPr>
          <w:rFonts w:cs="Times New Roman"/>
          <w:szCs w:val="24"/>
          <w:shd w:val="clear" w:color="auto" w:fill="FFFFFF"/>
          <w:lang w:val="en-US"/>
        </w:rPr>
        <w:t>Mubin,</w:t>
      </w:r>
      <w:r w:rsidR="000E775A">
        <w:rPr>
          <w:rFonts w:cs="Times New Roman"/>
          <w:szCs w:val="24"/>
          <w:shd w:val="clear" w:color="auto" w:fill="FFFFFF"/>
          <w:lang w:val="en-US"/>
        </w:rPr>
        <w:t xml:space="preserve"> Ahmed, Farrukh, Lal &amp; Hussain, </w:t>
      </w:r>
      <w:r w:rsidR="00622035">
        <w:rPr>
          <w:rFonts w:cs="Times New Roman"/>
          <w:szCs w:val="24"/>
        </w:rPr>
        <w:t>2014).</w:t>
      </w:r>
      <w:r w:rsidR="00761A56">
        <w:rPr>
          <w:rFonts w:cs="Times New Roman"/>
          <w:szCs w:val="24"/>
        </w:rPr>
        <w:t xml:space="preserve"> </w:t>
      </w:r>
      <w:r w:rsidR="00622035">
        <w:rPr>
          <w:rFonts w:cs="Times New Roman"/>
          <w:szCs w:val="24"/>
        </w:rPr>
        <w:t xml:space="preserve">Tal discussão despertou interesse por </w:t>
      </w:r>
      <w:r w:rsidR="00775A9B">
        <w:rPr>
          <w:rFonts w:cs="Times New Roman"/>
          <w:szCs w:val="24"/>
        </w:rPr>
        <w:t xml:space="preserve">parte de </w:t>
      </w:r>
      <w:r w:rsidR="00622035">
        <w:rPr>
          <w:rFonts w:cs="Times New Roman"/>
          <w:szCs w:val="24"/>
        </w:rPr>
        <w:t xml:space="preserve">diversos pesquisadores, tais como Lintner (1956, 1962), </w:t>
      </w:r>
      <w:r w:rsidR="000F36DC">
        <w:rPr>
          <w:rFonts w:cs="Times New Roman"/>
          <w:szCs w:val="24"/>
        </w:rPr>
        <w:t xml:space="preserve">Gordon (1959), </w:t>
      </w:r>
      <w:r w:rsidR="00622035">
        <w:rPr>
          <w:rFonts w:cs="Times New Roman"/>
          <w:szCs w:val="24"/>
        </w:rPr>
        <w:t xml:space="preserve">Miller e Modigliani (1961), </w:t>
      </w:r>
      <w:r w:rsidR="00775A9B">
        <w:rPr>
          <w:rFonts w:cs="Times New Roman"/>
          <w:szCs w:val="24"/>
        </w:rPr>
        <w:t xml:space="preserve">Jensen e </w:t>
      </w:r>
      <w:r w:rsidR="00775A9B" w:rsidRPr="00775A9B">
        <w:rPr>
          <w:rFonts w:cs="Times New Roman"/>
          <w:szCs w:val="24"/>
        </w:rPr>
        <w:t>Meckling</w:t>
      </w:r>
      <w:r w:rsidR="00775A9B">
        <w:rPr>
          <w:rFonts w:cs="Times New Roman"/>
          <w:szCs w:val="24"/>
        </w:rPr>
        <w:t xml:space="preserve"> (1976), </w:t>
      </w:r>
      <w:r w:rsidR="00622035">
        <w:rPr>
          <w:rFonts w:cs="Times New Roman"/>
          <w:szCs w:val="24"/>
        </w:rPr>
        <w:t>Myers e Majluf (1984), Miller e Rock (1985), Jensen (1986)</w:t>
      </w:r>
      <w:r w:rsidR="00775A9B">
        <w:rPr>
          <w:rFonts w:cs="Times New Roman"/>
          <w:szCs w:val="24"/>
        </w:rPr>
        <w:t xml:space="preserve">, Baker e </w:t>
      </w:r>
      <w:r w:rsidR="00775A9B" w:rsidRPr="00775A9B">
        <w:rPr>
          <w:rFonts w:cs="Times New Roman"/>
          <w:szCs w:val="24"/>
        </w:rPr>
        <w:t>Wurgler</w:t>
      </w:r>
      <w:r w:rsidR="00775A9B">
        <w:rPr>
          <w:rFonts w:cs="Times New Roman"/>
          <w:szCs w:val="24"/>
        </w:rPr>
        <w:t xml:space="preserve"> (2004), dentre outros, os quais </w:t>
      </w:r>
      <w:r w:rsidR="00D3584F">
        <w:rPr>
          <w:rFonts w:cs="Times New Roman"/>
          <w:szCs w:val="24"/>
        </w:rPr>
        <w:t xml:space="preserve">apresentam </w:t>
      </w:r>
      <w:r>
        <w:rPr>
          <w:rFonts w:cs="Times New Roman"/>
          <w:szCs w:val="24"/>
        </w:rPr>
        <w:t>evidências empíricas apoiadas por diferentes teorias a fim de fornecer um direcionamento aos gestores das organizações</w:t>
      </w:r>
      <w:r w:rsidR="00D3584F">
        <w:rPr>
          <w:rFonts w:cs="Times New Roman"/>
          <w:szCs w:val="24"/>
        </w:rPr>
        <w:t>.</w:t>
      </w:r>
    </w:p>
    <w:p w:rsidR="0055231F" w:rsidRDefault="0055231F" w:rsidP="00850F71">
      <w:pPr>
        <w:rPr>
          <w:rFonts w:cs="Times New Roman"/>
          <w:szCs w:val="24"/>
        </w:rPr>
      </w:pPr>
      <w:r>
        <w:rPr>
          <w:rFonts w:cs="Times New Roman"/>
          <w:szCs w:val="24"/>
        </w:rPr>
        <w:t>O desenvolvimento de diversas teorias lançou luz sobre as questões chaves sobre a política de dividendos e, apesar das intensas investigações até a atualidade, a temática ainda produz grande controvérsia, não encontrando consenso sobre o seu impacto no valor das organizações e seu impacto na geração de riqueza aos acio</w:t>
      </w:r>
      <w:r w:rsidR="001E04DE">
        <w:rPr>
          <w:rFonts w:cs="Times New Roman"/>
          <w:szCs w:val="24"/>
        </w:rPr>
        <w:t>nistas (</w:t>
      </w:r>
      <w:r w:rsidR="000E775A">
        <w:rPr>
          <w:rFonts w:cs="Times New Roman"/>
          <w:szCs w:val="24"/>
        </w:rPr>
        <w:t>Pereira &amp; Vieira</w:t>
      </w:r>
      <w:r w:rsidR="001E04DE">
        <w:rPr>
          <w:rFonts w:cs="Times New Roman"/>
          <w:szCs w:val="24"/>
        </w:rPr>
        <w:t>, 2016).</w:t>
      </w:r>
    </w:p>
    <w:p w:rsidR="0055231F" w:rsidRDefault="0055231F" w:rsidP="00850F71">
      <w:pPr>
        <w:rPr>
          <w:rFonts w:cs="Times New Roman"/>
          <w:szCs w:val="24"/>
        </w:rPr>
      </w:pPr>
      <w:r>
        <w:rPr>
          <w:rFonts w:cs="Times New Roman"/>
          <w:szCs w:val="24"/>
        </w:rPr>
        <w:t>Tal perspectiva é corroborada por Montalvan</w:t>
      </w:r>
      <w:r w:rsidR="000E775A">
        <w:rPr>
          <w:rFonts w:cs="Times New Roman"/>
          <w:szCs w:val="24"/>
        </w:rPr>
        <w:t xml:space="preserve">, Barilla, Ruiz e Figuerosa </w:t>
      </w:r>
      <w:r>
        <w:rPr>
          <w:rFonts w:cs="Times New Roman"/>
          <w:szCs w:val="24"/>
        </w:rPr>
        <w:t xml:space="preserve">(2017) que acrescentam que embora diversos pesquisadores tenham desenvolvido teorias e fornecido evidências empíricas, ainda há falta de </w:t>
      </w:r>
      <w:r w:rsidR="00850F71">
        <w:rPr>
          <w:rFonts w:cs="Times New Roman"/>
          <w:szCs w:val="24"/>
        </w:rPr>
        <w:t>consenso</w:t>
      </w:r>
      <w:r>
        <w:rPr>
          <w:rFonts w:cs="Times New Roman"/>
          <w:szCs w:val="24"/>
        </w:rPr>
        <w:t>, justificando por que a política de dividendos tem sido um dos tópicos mais debatidos na literatura financeira.</w:t>
      </w:r>
    </w:p>
    <w:p w:rsidR="00557745" w:rsidRDefault="00557745" w:rsidP="00850F71">
      <w:pPr>
        <w:rPr>
          <w:rFonts w:cs="Times New Roman"/>
          <w:szCs w:val="24"/>
        </w:rPr>
      </w:pPr>
      <w:r>
        <w:rPr>
          <w:rFonts w:cs="Times New Roman"/>
          <w:szCs w:val="24"/>
        </w:rPr>
        <w:t xml:space="preserve">Mubin </w:t>
      </w:r>
      <w:r w:rsidRPr="00557745">
        <w:rPr>
          <w:rFonts w:cs="Times New Roman"/>
          <w:i/>
          <w:szCs w:val="24"/>
        </w:rPr>
        <w:t>et al</w:t>
      </w:r>
      <w:r>
        <w:rPr>
          <w:rFonts w:cs="Times New Roman"/>
          <w:szCs w:val="24"/>
        </w:rPr>
        <w:t>. (2014) destaca</w:t>
      </w:r>
      <w:r w:rsidR="0019475D">
        <w:rPr>
          <w:rFonts w:cs="Times New Roman"/>
          <w:szCs w:val="24"/>
        </w:rPr>
        <w:t>m</w:t>
      </w:r>
      <w:r>
        <w:rPr>
          <w:rFonts w:cs="Times New Roman"/>
          <w:szCs w:val="24"/>
        </w:rPr>
        <w:t xml:space="preserve"> que as organizações </w:t>
      </w:r>
      <w:r w:rsidR="0019475D">
        <w:rPr>
          <w:rFonts w:cs="Times New Roman"/>
          <w:szCs w:val="24"/>
        </w:rPr>
        <w:t>percebem</w:t>
      </w:r>
      <w:r>
        <w:rPr>
          <w:rFonts w:cs="Times New Roman"/>
          <w:szCs w:val="24"/>
        </w:rPr>
        <w:t xml:space="preserve"> que os investidores prestam atenção ao retorno dos dividendos </w:t>
      </w:r>
      <w:r w:rsidR="0019475D">
        <w:rPr>
          <w:rFonts w:cs="Times New Roman"/>
          <w:szCs w:val="24"/>
        </w:rPr>
        <w:t xml:space="preserve">e </w:t>
      </w:r>
      <w:r>
        <w:rPr>
          <w:rFonts w:cs="Times New Roman"/>
          <w:szCs w:val="24"/>
        </w:rPr>
        <w:t>ao risco que seus investimentos</w:t>
      </w:r>
      <w:r w:rsidR="0019475D">
        <w:rPr>
          <w:rFonts w:cs="Times New Roman"/>
          <w:szCs w:val="24"/>
        </w:rPr>
        <w:t xml:space="preserve"> que, de certa forma, impactam </w:t>
      </w:r>
      <w:r>
        <w:rPr>
          <w:rFonts w:cs="Times New Roman"/>
          <w:szCs w:val="24"/>
        </w:rPr>
        <w:t xml:space="preserve">a avaliação das ações no longo prazo. Nesta concepção, </w:t>
      </w:r>
      <w:r w:rsidR="0019475D">
        <w:rPr>
          <w:rFonts w:cs="Times New Roman"/>
          <w:szCs w:val="24"/>
        </w:rPr>
        <w:t xml:space="preserve">entende-se que </w:t>
      </w:r>
      <w:r>
        <w:rPr>
          <w:rFonts w:cs="Times New Roman"/>
          <w:szCs w:val="24"/>
        </w:rPr>
        <w:t xml:space="preserve">a política de dividendos tem </w:t>
      </w:r>
      <w:r w:rsidR="0019475D">
        <w:rPr>
          <w:rFonts w:cs="Times New Roman"/>
          <w:szCs w:val="24"/>
        </w:rPr>
        <w:t>apresentado</w:t>
      </w:r>
      <w:r>
        <w:rPr>
          <w:rFonts w:cs="Times New Roman"/>
          <w:szCs w:val="24"/>
        </w:rPr>
        <w:t xml:space="preserve"> relação com a movimentação dos preços das ações.</w:t>
      </w:r>
    </w:p>
    <w:p w:rsidR="002B60CE" w:rsidRDefault="004737EB" w:rsidP="00850F71">
      <w:pPr>
        <w:rPr>
          <w:rFonts w:cs="Times New Roman"/>
          <w:szCs w:val="24"/>
        </w:rPr>
      </w:pPr>
      <w:r>
        <w:rPr>
          <w:rFonts w:cs="Times New Roman"/>
          <w:szCs w:val="24"/>
        </w:rPr>
        <w:t xml:space="preserve">Segundo Assaf Neto e Lima (2017), é essencial que as organizações estabeleçam uma política de dividendos ótima, ou seja, aquela que promova a valorização do valor de mercado da ação. Nesse contexto, a partir da </w:t>
      </w:r>
      <w:r w:rsidR="00557745">
        <w:rPr>
          <w:rFonts w:cs="Times New Roman"/>
          <w:szCs w:val="24"/>
        </w:rPr>
        <w:t xml:space="preserve">literatura revisitada </w:t>
      </w:r>
      <w:r w:rsidR="002B60CE">
        <w:rPr>
          <w:rFonts w:cs="Times New Roman"/>
          <w:szCs w:val="24"/>
        </w:rPr>
        <w:t xml:space="preserve">por esta pesquisa acerca da </w:t>
      </w:r>
      <w:r w:rsidR="00557745">
        <w:rPr>
          <w:rFonts w:cs="Times New Roman"/>
          <w:szCs w:val="24"/>
        </w:rPr>
        <w:t xml:space="preserve">temática política de dividendos, tem-se observado que </w:t>
      </w:r>
      <w:r w:rsidR="002B60CE">
        <w:rPr>
          <w:rFonts w:cs="Times New Roman"/>
          <w:szCs w:val="24"/>
        </w:rPr>
        <w:t>os estudos têm procurado</w:t>
      </w:r>
      <w:r w:rsidR="00557745">
        <w:rPr>
          <w:rFonts w:cs="Times New Roman"/>
          <w:szCs w:val="24"/>
        </w:rPr>
        <w:t xml:space="preserve"> </w:t>
      </w:r>
      <w:r w:rsidR="002B60CE">
        <w:rPr>
          <w:rFonts w:cs="Times New Roman"/>
          <w:szCs w:val="24"/>
        </w:rPr>
        <w:t xml:space="preserve">desenvolver </w:t>
      </w:r>
      <w:r w:rsidR="00557745">
        <w:rPr>
          <w:rFonts w:cs="Times New Roman"/>
          <w:szCs w:val="24"/>
        </w:rPr>
        <w:t>teorias</w:t>
      </w:r>
      <w:r w:rsidR="002B60CE">
        <w:rPr>
          <w:rFonts w:cs="Times New Roman"/>
          <w:szCs w:val="24"/>
        </w:rPr>
        <w:t xml:space="preserve"> bem como investigar os determinantes </w:t>
      </w:r>
      <w:r w:rsidR="00557745">
        <w:rPr>
          <w:rFonts w:cs="Times New Roman"/>
          <w:szCs w:val="24"/>
        </w:rPr>
        <w:t>que justifi</w:t>
      </w:r>
      <w:r w:rsidR="002B60CE">
        <w:rPr>
          <w:rFonts w:cs="Times New Roman"/>
          <w:szCs w:val="24"/>
        </w:rPr>
        <w:t xml:space="preserve">quem o </w:t>
      </w:r>
      <w:r w:rsidR="00557745">
        <w:rPr>
          <w:rFonts w:cs="Times New Roman"/>
          <w:szCs w:val="24"/>
        </w:rPr>
        <w:t xml:space="preserve">direcionamento </w:t>
      </w:r>
      <w:r w:rsidR="002B60CE">
        <w:rPr>
          <w:rFonts w:cs="Times New Roman"/>
          <w:szCs w:val="24"/>
        </w:rPr>
        <w:t>das estratégias adotadas, ou a serem adotadas pelos gestores das organizações.</w:t>
      </w:r>
    </w:p>
    <w:p w:rsidR="004737EB" w:rsidRDefault="002B60CE" w:rsidP="00850F71">
      <w:pPr>
        <w:rPr>
          <w:rFonts w:cs="Times New Roman"/>
          <w:szCs w:val="24"/>
        </w:rPr>
      </w:pPr>
      <w:r>
        <w:rPr>
          <w:rFonts w:cs="Times New Roman"/>
          <w:szCs w:val="24"/>
        </w:rPr>
        <w:t>Diante do exposto, a presente pesquisa propõe</w:t>
      </w:r>
      <w:r w:rsidR="002E7BD0">
        <w:rPr>
          <w:rFonts w:cs="Times New Roman"/>
          <w:szCs w:val="24"/>
        </w:rPr>
        <w:t xml:space="preserve"> a</w:t>
      </w:r>
      <w:r>
        <w:rPr>
          <w:rFonts w:cs="Times New Roman"/>
          <w:szCs w:val="24"/>
        </w:rPr>
        <w:t xml:space="preserve"> responder o seguinte problema de pesquisa: quais os determinantes da política de dividendos em empresas brasileiras.</w:t>
      </w:r>
      <w:r w:rsidR="002E7BD0">
        <w:rPr>
          <w:rFonts w:cs="Times New Roman"/>
          <w:szCs w:val="24"/>
        </w:rPr>
        <w:t xml:space="preserve"> Dessa forma, o estudo tem por objetivo investigar </w:t>
      </w:r>
      <w:r w:rsidR="004737EB">
        <w:rPr>
          <w:rFonts w:cs="Times New Roman"/>
          <w:szCs w:val="24"/>
        </w:rPr>
        <w:t>os determinantes da política de dividendos em empresas brasileiras de capital aberto listadas na BM&amp;FBovespa.</w:t>
      </w:r>
    </w:p>
    <w:p w:rsidR="00E904A2" w:rsidRDefault="004737EB" w:rsidP="00850F71">
      <w:pPr>
        <w:rPr>
          <w:rFonts w:cs="Times New Roman"/>
          <w:szCs w:val="24"/>
        </w:rPr>
      </w:pPr>
      <w:r w:rsidRPr="00582D38">
        <w:rPr>
          <w:rFonts w:cs="Times New Roman"/>
          <w:szCs w:val="24"/>
        </w:rPr>
        <w:t xml:space="preserve"> </w:t>
      </w:r>
      <w:r w:rsidR="00115BD9" w:rsidRPr="00582D38">
        <w:rPr>
          <w:rFonts w:cs="Times New Roman"/>
          <w:szCs w:val="24"/>
        </w:rPr>
        <w:t xml:space="preserve">O foco do artigo é </w:t>
      </w:r>
      <w:r w:rsidR="00115BD9">
        <w:rPr>
          <w:rFonts w:cs="Times New Roman"/>
          <w:szCs w:val="24"/>
        </w:rPr>
        <w:t xml:space="preserve">investigar os determinantes da política de dividendos em empresas </w:t>
      </w:r>
      <w:r w:rsidR="00680D13">
        <w:rPr>
          <w:rFonts w:cs="Times New Roman"/>
          <w:szCs w:val="24"/>
        </w:rPr>
        <w:t xml:space="preserve">em um mercado em </w:t>
      </w:r>
      <w:r w:rsidR="00115BD9" w:rsidRPr="00582D38">
        <w:rPr>
          <w:rFonts w:cs="Times New Roman"/>
          <w:szCs w:val="24"/>
        </w:rPr>
        <w:t>emergente</w:t>
      </w:r>
      <w:r w:rsidR="00680D13">
        <w:rPr>
          <w:rFonts w:cs="Times New Roman"/>
          <w:szCs w:val="24"/>
        </w:rPr>
        <w:t>, como o caso brasileiro</w:t>
      </w:r>
      <w:r w:rsidR="00115BD9" w:rsidRPr="00582D38">
        <w:rPr>
          <w:rFonts w:cs="Times New Roman"/>
          <w:szCs w:val="24"/>
        </w:rPr>
        <w:t>.</w:t>
      </w:r>
      <w:r w:rsidR="00E904A2">
        <w:rPr>
          <w:rFonts w:cs="Times New Roman"/>
          <w:szCs w:val="24"/>
        </w:rPr>
        <w:t xml:space="preserve"> A</w:t>
      </w:r>
      <w:r w:rsidR="00E904A2" w:rsidRPr="0077697E">
        <w:rPr>
          <w:rFonts w:cs="Times New Roman"/>
          <w:szCs w:val="24"/>
        </w:rPr>
        <w:t xml:space="preserve"> principal contribuição desta pesquisa é estabelecer</w:t>
      </w:r>
      <w:r w:rsidR="00E904A2">
        <w:rPr>
          <w:rFonts w:cs="Times New Roman"/>
          <w:szCs w:val="24"/>
        </w:rPr>
        <w:t xml:space="preserve"> um </w:t>
      </w:r>
      <w:r w:rsidR="00E904A2" w:rsidRPr="005103E8">
        <w:rPr>
          <w:rFonts w:cs="Times New Roman"/>
          <w:i/>
          <w:szCs w:val="24"/>
        </w:rPr>
        <w:t>link</w:t>
      </w:r>
      <w:r w:rsidR="00E904A2">
        <w:rPr>
          <w:rFonts w:cs="Times New Roman"/>
          <w:szCs w:val="24"/>
        </w:rPr>
        <w:t xml:space="preserve"> entre os determinantes da política de dividendos </w:t>
      </w:r>
      <w:r>
        <w:rPr>
          <w:rFonts w:cs="Times New Roman"/>
          <w:szCs w:val="24"/>
        </w:rPr>
        <w:t xml:space="preserve">e as teorias explicativas para as políticas de dividendos adotadas por </w:t>
      </w:r>
      <w:r w:rsidR="00E904A2">
        <w:rPr>
          <w:rFonts w:cs="Times New Roman"/>
          <w:szCs w:val="24"/>
        </w:rPr>
        <w:t xml:space="preserve">empresas </w:t>
      </w:r>
      <w:r>
        <w:rPr>
          <w:rFonts w:cs="Times New Roman"/>
          <w:szCs w:val="24"/>
        </w:rPr>
        <w:t>que operam no Brasil. Apesar de ser uma das maiores economias da América Latina, o Brasil possui um mercado de capitais pouco desenvolvidos, como opções limitadas de crédito e altas taxas de juros, o que estimula no</w:t>
      </w:r>
      <w:r w:rsidR="006B7A94">
        <w:rPr>
          <w:rFonts w:cs="Times New Roman"/>
          <w:szCs w:val="24"/>
        </w:rPr>
        <w:t>vas pesquisas em tal ambiente.</w:t>
      </w:r>
    </w:p>
    <w:p w:rsidR="007C6828" w:rsidRDefault="007C6828" w:rsidP="00850F71">
      <w:pPr>
        <w:rPr>
          <w:rFonts w:cs="Times New Roman"/>
          <w:szCs w:val="24"/>
        </w:rPr>
      </w:pPr>
      <w:r>
        <w:rPr>
          <w:rFonts w:cs="Times New Roman"/>
          <w:szCs w:val="24"/>
        </w:rPr>
        <w:t>Fort</w:t>
      </w:r>
      <w:r w:rsidR="000B681D">
        <w:rPr>
          <w:rFonts w:cs="Times New Roman"/>
          <w:szCs w:val="24"/>
        </w:rPr>
        <w:t>i</w:t>
      </w:r>
      <w:r>
        <w:rPr>
          <w:rFonts w:cs="Times New Roman"/>
          <w:szCs w:val="24"/>
        </w:rPr>
        <w:t>, Peixoto e Alves (2015) destacam que a</w:t>
      </w:r>
      <w:r w:rsidRPr="007C6828">
        <w:rPr>
          <w:rFonts w:cs="Times New Roman"/>
          <w:szCs w:val="24"/>
        </w:rPr>
        <w:t xml:space="preserve"> política de dividendos varia entre empresas</w:t>
      </w:r>
      <w:r>
        <w:rPr>
          <w:rFonts w:cs="Times New Roman"/>
          <w:szCs w:val="24"/>
        </w:rPr>
        <w:t xml:space="preserve"> </w:t>
      </w:r>
      <w:r w:rsidRPr="007C6828">
        <w:rPr>
          <w:rFonts w:cs="Times New Roman"/>
          <w:szCs w:val="24"/>
        </w:rPr>
        <w:t>e setores</w:t>
      </w:r>
      <w:r>
        <w:rPr>
          <w:rFonts w:cs="Times New Roman"/>
          <w:szCs w:val="24"/>
        </w:rPr>
        <w:t xml:space="preserve">, </w:t>
      </w:r>
      <w:r w:rsidRPr="007C6828">
        <w:rPr>
          <w:rFonts w:cs="Times New Roman"/>
          <w:szCs w:val="24"/>
        </w:rPr>
        <w:t>e seu efeito sobre o valor das empresas</w:t>
      </w:r>
      <w:r>
        <w:rPr>
          <w:rFonts w:cs="Times New Roman"/>
          <w:szCs w:val="24"/>
        </w:rPr>
        <w:t xml:space="preserve"> </w:t>
      </w:r>
      <w:r w:rsidRPr="007C6828">
        <w:rPr>
          <w:rFonts w:cs="Times New Roman"/>
          <w:szCs w:val="24"/>
        </w:rPr>
        <w:t xml:space="preserve">permanece controverso para os pesquisadores de finanças. </w:t>
      </w:r>
      <w:r>
        <w:rPr>
          <w:rFonts w:cs="Times New Roman"/>
          <w:szCs w:val="24"/>
        </w:rPr>
        <w:t>Dessa forma, e</w:t>
      </w:r>
      <w:r w:rsidRPr="007C6828">
        <w:rPr>
          <w:rFonts w:cs="Times New Roman"/>
          <w:szCs w:val="24"/>
        </w:rPr>
        <w:t xml:space="preserve">ntender </w:t>
      </w:r>
      <w:r>
        <w:rPr>
          <w:rFonts w:cs="Times New Roman"/>
          <w:szCs w:val="24"/>
        </w:rPr>
        <w:t xml:space="preserve">os </w:t>
      </w:r>
      <w:r w:rsidRPr="007C6828">
        <w:rPr>
          <w:rFonts w:cs="Times New Roman"/>
          <w:szCs w:val="24"/>
        </w:rPr>
        <w:t>fatores</w:t>
      </w:r>
      <w:r>
        <w:rPr>
          <w:rFonts w:cs="Times New Roman"/>
          <w:szCs w:val="24"/>
        </w:rPr>
        <w:t xml:space="preserve"> que</w:t>
      </w:r>
      <w:r w:rsidRPr="007C6828">
        <w:rPr>
          <w:rFonts w:cs="Times New Roman"/>
          <w:szCs w:val="24"/>
        </w:rPr>
        <w:t xml:space="preserve"> influenciam as empresas</w:t>
      </w:r>
      <w:r>
        <w:rPr>
          <w:rFonts w:cs="Times New Roman"/>
          <w:szCs w:val="24"/>
        </w:rPr>
        <w:t xml:space="preserve"> </w:t>
      </w:r>
      <w:r w:rsidRPr="007C6828">
        <w:rPr>
          <w:rFonts w:cs="Times New Roman"/>
          <w:szCs w:val="24"/>
        </w:rPr>
        <w:t>em suas decisões de distribuição e retenção de caixa é</w:t>
      </w:r>
      <w:r>
        <w:rPr>
          <w:rFonts w:cs="Times New Roman"/>
          <w:szCs w:val="24"/>
        </w:rPr>
        <w:t xml:space="preserve"> </w:t>
      </w:r>
      <w:r w:rsidRPr="007C6828">
        <w:rPr>
          <w:rFonts w:cs="Times New Roman"/>
          <w:szCs w:val="24"/>
        </w:rPr>
        <w:t>importante para gestores financeiros, investidores e para os</w:t>
      </w:r>
      <w:r>
        <w:rPr>
          <w:rFonts w:cs="Times New Roman"/>
          <w:szCs w:val="24"/>
        </w:rPr>
        <w:t xml:space="preserve"> </w:t>
      </w:r>
      <w:r w:rsidRPr="007C6828">
        <w:rPr>
          <w:rFonts w:cs="Times New Roman"/>
          <w:szCs w:val="24"/>
        </w:rPr>
        <w:t>órgãos reguladores de mercado.</w:t>
      </w:r>
    </w:p>
    <w:p w:rsidR="002E7BD0" w:rsidRDefault="00E904A2" w:rsidP="00850F71">
      <w:pPr>
        <w:rPr>
          <w:rFonts w:cs="Times New Roman"/>
          <w:szCs w:val="24"/>
        </w:rPr>
      </w:pPr>
      <w:r>
        <w:rPr>
          <w:rFonts w:cs="Times New Roman"/>
          <w:szCs w:val="24"/>
        </w:rPr>
        <w:lastRenderedPageBreak/>
        <w:t>Dessa forma, busca-se contribuir para com a literatura de finanças acerca desta temática, sendo esta de maior relevância, não somente para o meio acadêmico, mas também empresarial.</w:t>
      </w:r>
      <w:r w:rsidR="00F72A6A">
        <w:rPr>
          <w:rFonts w:cs="Times New Roman"/>
          <w:szCs w:val="24"/>
        </w:rPr>
        <w:t xml:space="preserve"> </w:t>
      </w:r>
      <w:r>
        <w:rPr>
          <w:rFonts w:cs="Times New Roman"/>
          <w:szCs w:val="24"/>
        </w:rPr>
        <w:t xml:space="preserve">Contudo, espera-se que este estudo auxilie </w:t>
      </w:r>
      <w:r w:rsidR="00783B29">
        <w:rPr>
          <w:rFonts w:cs="Times New Roman"/>
          <w:szCs w:val="24"/>
        </w:rPr>
        <w:t>as</w:t>
      </w:r>
      <w:r>
        <w:rPr>
          <w:rFonts w:cs="Times New Roman"/>
          <w:szCs w:val="24"/>
        </w:rPr>
        <w:t xml:space="preserve"> organizações no que concerne ao estabelecimento de suas estratégias de política de dividendos, já que as organizações, por meio destas políticas podem enviar sinais ao mercado, o que</w:t>
      </w:r>
      <w:r w:rsidR="00783B29">
        <w:rPr>
          <w:rFonts w:cs="Times New Roman"/>
          <w:szCs w:val="24"/>
        </w:rPr>
        <w:t>, por conseguinte</w:t>
      </w:r>
      <w:r>
        <w:rPr>
          <w:rFonts w:cs="Times New Roman"/>
          <w:szCs w:val="24"/>
        </w:rPr>
        <w:t>, impactar nas decisões de investimos por parte dos investidores.</w:t>
      </w:r>
    </w:p>
    <w:p w:rsidR="0066701D" w:rsidRDefault="00E904A2" w:rsidP="00850F71">
      <w:pPr>
        <w:rPr>
          <w:rFonts w:cs="Times New Roman"/>
          <w:szCs w:val="24"/>
        </w:rPr>
      </w:pPr>
      <w:r>
        <w:rPr>
          <w:rFonts w:cs="Times New Roman"/>
          <w:szCs w:val="24"/>
        </w:rPr>
        <w:t xml:space="preserve">Destaca-se ainda </w:t>
      </w:r>
      <w:r w:rsidR="00F72A6A">
        <w:rPr>
          <w:rFonts w:cs="Times New Roman"/>
          <w:szCs w:val="24"/>
        </w:rPr>
        <w:t xml:space="preserve">que </w:t>
      </w:r>
      <w:r>
        <w:rPr>
          <w:rFonts w:cs="Times New Roman"/>
          <w:szCs w:val="24"/>
        </w:rPr>
        <w:t xml:space="preserve">este estudo </w:t>
      </w:r>
      <w:r w:rsidR="00115BD9">
        <w:rPr>
          <w:rFonts w:cs="Times New Roman"/>
          <w:szCs w:val="24"/>
        </w:rPr>
        <w:t xml:space="preserve">compartilha do entendimento de Vancin e Procianoy </w:t>
      </w:r>
      <w:r w:rsidR="000E775A">
        <w:rPr>
          <w:rFonts w:cs="Times New Roman"/>
          <w:szCs w:val="24"/>
        </w:rPr>
        <w:t>(2014) e de Viana Júnior e Ponte</w:t>
      </w:r>
      <w:r w:rsidR="00115BD9">
        <w:rPr>
          <w:rFonts w:cs="Times New Roman"/>
          <w:szCs w:val="24"/>
        </w:rPr>
        <w:t>s (2016) de que os fatores determinantes da política de dividendos das empresas investigadas variam de país para país, e de que fatores tais como legislação e tributação influenciam nas estratégias de política de dividendo por parte das organizações, tais pressupostos não foram destacados na investigação, atendo-se somente aos determinantes de desempenho econômico e de mercado.</w:t>
      </w:r>
    </w:p>
    <w:p w:rsidR="00290AD8" w:rsidRDefault="0066701D" w:rsidP="00850F71">
      <w:pPr>
        <w:contextualSpacing/>
        <w:rPr>
          <w:rFonts w:cs="Times New Roman"/>
          <w:szCs w:val="24"/>
        </w:rPr>
      </w:pPr>
      <w:r>
        <w:rPr>
          <w:rFonts w:cs="Times New Roman"/>
          <w:szCs w:val="24"/>
        </w:rPr>
        <w:t>A presente pesquisa está estruturada</w:t>
      </w:r>
      <w:r w:rsidRPr="0066701D">
        <w:rPr>
          <w:rFonts w:cs="Times New Roman"/>
          <w:szCs w:val="24"/>
        </w:rPr>
        <w:t xml:space="preserve"> em cinco </w:t>
      </w:r>
      <w:r w:rsidR="00290AD8">
        <w:rPr>
          <w:rFonts w:cs="Times New Roman"/>
          <w:szCs w:val="24"/>
        </w:rPr>
        <w:t>capítulos</w:t>
      </w:r>
      <w:r w:rsidRPr="0066701D">
        <w:rPr>
          <w:rFonts w:cs="Times New Roman"/>
          <w:szCs w:val="24"/>
        </w:rPr>
        <w:t xml:space="preserve">, incluindo esta introdução. </w:t>
      </w:r>
      <w:r w:rsidR="00290AD8">
        <w:rPr>
          <w:rFonts w:cs="Times New Roman"/>
          <w:szCs w:val="24"/>
        </w:rPr>
        <w:t xml:space="preserve">O capítulo </w:t>
      </w:r>
      <w:r w:rsidRPr="0066701D">
        <w:rPr>
          <w:rFonts w:cs="Times New Roman"/>
          <w:szCs w:val="24"/>
        </w:rPr>
        <w:t xml:space="preserve">dois </w:t>
      </w:r>
      <w:r>
        <w:rPr>
          <w:rFonts w:cs="Times New Roman"/>
          <w:szCs w:val="24"/>
        </w:rPr>
        <w:t xml:space="preserve">apresenta o referencial teórico o qual aborda os </w:t>
      </w:r>
      <w:r w:rsidR="00290AD8">
        <w:rPr>
          <w:rFonts w:cs="Times New Roman"/>
          <w:szCs w:val="24"/>
        </w:rPr>
        <w:t xml:space="preserve">temas política de </w:t>
      </w:r>
      <w:r>
        <w:rPr>
          <w:rFonts w:cs="Times New Roman"/>
          <w:szCs w:val="24"/>
        </w:rPr>
        <w:t>dividendos e</w:t>
      </w:r>
      <w:r w:rsidR="00290AD8">
        <w:rPr>
          <w:rFonts w:cs="Times New Roman"/>
          <w:szCs w:val="24"/>
        </w:rPr>
        <w:t xml:space="preserve"> os determinantes da distribuição de dividendos. No capítulo </w:t>
      </w:r>
      <w:r w:rsidRPr="0066701D">
        <w:rPr>
          <w:rFonts w:cs="Times New Roman"/>
          <w:szCs w:val="24"/>
        </w:rPr>
        <w:t xml:space="preserve">três </w:t>
      </w:r>
      <w:r>
        <w:rPr>
          <w:rFonts w:cs="Times New Roman"/>
          <w:szCs w:val="24"/>
        </w:rPr>
        <w:t xml:space="preserve">são apresentados </w:t>
      </w:r>
      <w:r w:rsidRPr="0066701D">
        <w:rPr>
          <w:rFonts w:cs="Times New Roman"/>
          <w:szCs w:val="24"/>
        </w:rPr>
        <w:t xml:space="preserve">os procedimentos metodológicos </w:t>
      </w:r>
      <w:r>
        <w:rPr>
          <w:rFonts w:cs="Times New Roman"/>
          <w:szCs w:val="24"/>
        </w:rPr>
        <w:t xml:space="preserve">para a coleta e análise dos dados utilizados no estudo. As discussões dos </w:t>
      </w:r>
      <w:r w:rsidRPr="0066701D">
        <w:rPr>
          <w:rFonts w:cs="Times New Roman"/>
          <w:szCs w:val="24"/>
        </w:rPr>
        <w:t xml:space="preserve">resultados obtidos </w:t>
      </w:r>
      <w:r>
        <w:rPr>
          <w:rFonts w:cs="Times New Roman"/>
          <w:szCs w:val="24"/>
        </w:rPr>
        <w:t xml:space="preserve">na pesquisa </w:t>
      </w:r>
      <w:r w:rsidRPr="0066701D">
        <w:rPr>
          <w:rFonts w:cs="Times New Roman"/>
          <w:szCs w:val="24"/>
        </w:rPr>
        <w:t>estão expostas</w:t>
      </w:r>
      <w:r w:rsidR="00290AD8">
        <w:rPr>
          <w:rFonts w:cs="Times New Roman"/>
          <w:szCs w:val="24"/>
        </w:rPr>
        <w:t xml:space="preserve"> no quarto capítulo </w:t>
      </w:r>
      <w:r>
        <w:rPr>
          <w:rFonts w:cs="Times New Roman"/>
          <w:szCs w:val="24"/>
        </w:rPr>
        <w:t>e, n</w:t>
      </w:r>
      <w:r w:rsidR="00290AD8">
        <w:rPr>
          <w:rFonts w:cs="Times New Roman"/>
          <w:szCs w:val="24"/>
        </w:rPr>
        <w:t xml:space="preserve">o quinto, </w:t>
      </w:r>
      <w:r w:rsidRPr="0066701D">
        <w:rPr>
          <w:rFonts w:cs="Times New Roman"/>
          <w:szCs w:val="24"/>
        </w:rPr>
        <w:t>apresenta</w:t>
      </w:r>
      <w:r>
        <w:rPr>
          <w:rFonts w:cs="Times New Roman"/>
          <w:szCs w:val="24"/>
        </w:rPr>
        <w:t>m-se</w:t>
      </w:r>
      <w:r w:rsidRPr="0066701D">
        <w:rPr>
          <w:rFonts w:cs="Times New Roman"/>
          <w:szCs w:val="24"/>
        </w:rPr>
        <w:t xml:space="preserve"> as considerações</w:t>
      </w:r>
      <w:r>
        <w:rPr>
          <w:rFonts w:cs="Times New Roman"/>
          <w:szCs w:val="24"/>
        </w:rPr>
        <w:t xml:space="preserve"> </w:t>
      </w:r>
      <w:r w:rsidRPr="0066701D">
        <w:rPr>
          <w:rFonts w:cs="Times New Roman"/>
          <w:szCs w:val="24"/>
        </w:rPr>
        <w:t xml:space="preserve">finais </w:t>
      </w:r>
      <w:r w:rsidR="00290AD8">
        <w:rPr>
          <w:rFonts w:cs="Times New Roman"/>
          <w:szCs w:val="24"/>
        </w:rPr>
        <w:t xml:space="preserve">acerca </w:t>
      </w:r>
      <w:r w:rsidRPr="0066701D">
        <w:rPr>
          <w:rFonts w:cs="Times New Roman"/>
          <w:szCs w:val="24"/>
        </w:rPr>
        <w:t>do estudo</w:t>
      </w:r>
      <w:r w:rsidR="00290AD8">
        <w:rPr>
          <w:rFonts w:cs="Times New Roman"/>
          <w:szCs w:val="24"/>
        </w:rPr>
        <w:t xml:space="preserve"> incluindo as perspectivas para pesquisas futuras</w:t>
      </w:r>
      <w:r w:rsidRPr="0066701D">
        <w:rPr>
          <w:rFonts w:cs="Times New Roman"/>
          <w:szCs w:val="24"/>
        </w:rPr>
        <w:t>. Por fim, as referências bibliográficas que foram utilizadas</w:t>
      </w:r>
      <w:r w:rsidR="00290AD8">
        <w:rPr>
          <w:rFonts w:cs="Times New Roman"/>
          <w:szCs w:val="24"/>
        </w:rPr>
        <w:t>.</w:t>
      </w:r>
    </w:p>
    <w:p w:rsidR="001E04DE" w:rsidRDefault="001E04DE" w:rsidP="00850F71">
      <w:pPr>
        <w:contextualSpacing/>
        <w:rPr>
          <w:rFonts w:cs="Times New Roman"/>
          <w:szCs w:val="24"/>
        </w:rPr>
      </w:pPr>
    </w:p>
    <w:p w:rsidR="004174D7" w:rsidRPr="004B39B7" w:rsidRDefault="00EE43F3" w:rsidP="00850F71">
      <w:pPr>
        <w:pStyle w:val="Ttulo1"/>
        <w:spacing w:before="0"/>
        <w:contextualSpacing/>
        <w:rPr>
          <w:rFonts w:cs="Times New Roman"/>
          <w:szCs w:val="24"/>
        </w:rPr>
      </w:pPr>
      <w:r w:rsidRPr="004B39B7">
        <w:rPr>
          <w:rFonts w:cs="Times New Roman"/>
          <w:szCs w:val="24"/>
        </w:rPr>
        <w:t>REFERE</w:t>
      </w:r>
      <w:r w:rsidR="00CA7696" w:rsidRPr="004B39B7">
        <w:rPr>
          <w:rFonts w:cs="Times New Roman"/>
          <w:szCs w:val="24"/>
        </w:rPr>
        <w:t>NCIAL TEÓRICO</w:t>
      </w:r>
    </w:p>
    <w:p w:rsidR="001E04DE" w:rsidRDefault="004174D7" w:rsidP="00850F71">
      <w:pPr>
        <w:autoSpaceDE w:val="0"/>
        <w:autoSpaceDN w:val="0"/>
        <w:adjustRightInd w:val="0"/>
        <w:contextualSpacing/>
        <w:rPr>
          <w:rFonts w:cs="Times New Roman"/>
          <w:szCs w:val="24"/>
        </w:rPr>
      </w:pPr>
      <w:r w:rsidRPr="004B39B7">
        <w:rPr>
          <w:rFonts w:cs="Times New Roman"/>
          <w:szCs w:val="24"/>
        </w:rPr>
        <w:t xml:space="preserve">No capítulo destinado a revisão da literatura, apresenta-se a discussão teórica </w:t>
      </w:r>
      <w:r w:rsidR="00290AD8" w:rsidRPr="004B39B7">
        <w:rPr>
          <w:rFonts w:cs="Times New Roman"/>
          <w:szCs w:val="24"/>
        </w:rPr>
        <w:t>cujo objetivo é suportar o constructo utilizado na pesquisa e à análise dos resultados.</w:t>
      </w:r>
      <w:r w:rsidR="00290AD8">
        <w:rPr>
          <w:rFonts w:cs="Times New Roman"/>
          <w:szCs w:val="24"/>
        </w:rPr>
        <w:t xml:space="preserve"> Dessa forma, este capítulo </w:t>
      </w:r>
      <w:r w:rsidRPr="004B39B7">
        <w:rPr>
          <w:rFonts w:cs="Times New Roman"/>
          <w:szCs w:val="24"/>
        </w:rPr>
        <w:t xml:space="preserve">está dividido em </w:t>
      </w:r>
      <w:r w:rsidR="00290AD8">
        <w:rPr>
          <w:rFonts w:cs="Times New Roman"/>
          <w:szCs w:val="24"/>
        </w:rPr>
        <w:t xml:space="preserve">duas </w:t>
      </w:r>
      <w:r w:rsidRPr="004B39B7">
        <w:rPr>
          <w:rFonts w:cs="Times New Roman"/>
          <w:szCs w:val="24"/>
        </w:rPr>
        <w:t>seções</w:t>
      </w:r>
      <w:r w:rsidR="00290AD8">
        <w:rPr>
          <w:rFonts w:cs="Times New Roman"/>
          <w:szCs w:val="24"/>
        </w:rPr>
        <w:t xml:space="preserve"> </w:t>
      </w:r>
      <w:r w:rsidRPr="004B39B7">
        <w:rPr>
          <w:rFonts w:cs="Times New Roman"/>
          <w:szCs w:val="24"/>
        </w:rPr>
        <w:t xml:space="preserve">que tratam </w:t>
      </w:r>
      <w:r w:rsidR="00290AD8">
        <w:rPr>
          <w:rFonts w:cs="Times New Roman"/>
          <w:szCs w:val="24"/>
        </w:rPr>
        <w:t xml:space="preserve">respectivamente </w:t>
      </w:r>
      <w:r w:rsidRPr="004B39B7">
        <w:rPr>
          <w:rFonts w:cs="Times New Roman"/>
          <w:szCs w:val="24"/>
        </w:rPr>
        <w:t xml:space="preserve">dos temas política </w:t>
      </w:r>
      <w:r w:rsidR="00290AD8">
        <w:rPr>
          <w:rFonts w:cs="Times New Roman"/>
          <w:szCs w:val="24"/>
        </w:rPr>
        <w:t xml:space="preserve">de </w:t>
      </w:r>
      <w:r w:rsidRPr="004B39B7">
        <w:rPr>
          <w:rFonts w:cs="Times New Roman"/>
          <w:szCs w:val="24"/>
        </w:rPr>
        <w:t>dividendos</w:t>
      </w:r>
      <w:r w:rsidR="00290AD8">
        <w:rPr>
          <w:rFonts w:cs="Times New Roman"/>
          <w:szCs w:val="24"/>
        </w:rPr>
        <w:t xml:space="preserve"> e determinantes da distribuição de dividendos.</w:t>
      </w:r>
    </w:p>
    <w:p w:rsidR="004B39B7" w:rsidRDefault="004B39B7" w:rsidP="00850F71">
      <w:pPr>
        <w:autoSpaceDE w:val="0"/>
        <w:autoSpaceDN w:val="0"/>
        <w:adjustRightInd w:val="0"/>
        <w:ind w:firstLine="0"/>
        <w:contextualSpacing/>
        <w:rPr>
          <w:rFonts w:cs="Times New Roman"/>
          <w:szCs w:val="24"/>
        </w:rPr>
      </w:pPr>
    </w:p>
    <w:p w:rsidR="00825B9A" w:rsidRDefault="00456B28" w:rsidP="00850F71">
      <w:pPr>
        <w:pStyle w:val="Ttulo2"/>
        <w:tabs>
          <w:tab w:val="left" w:pos="709"/>
        </w:tabs>
        <w:spacing w:before="0"/>
        <w:contextualSpacing/>
        <w:rPr>
          <w:rFonts w:cs="Times New Roman"/>
          <w:szCs w:val="24"/>
        </w:rPr>
      </w:pPr>
      <w:r w:rsidRPr="004B39B7">
        <w:rPr>
          <w:rFonts w:cs="Times New Roman"/>
          <w:szCs w:val="24"/>
        </w:rPr>
        <w:t xml:space="preserve">Política de </w:t>
      </w:r>
      <w:r w:rsidR="00307A96" w:rsidRPr="004B39B7">
        <w:rPr>
          <w:rFonts w:cs="Times New Roman"/>
          <w:szCs w:val="24"/>
        </w:rPr>
        <w:t>Dividendos</w:t>
      </w:r>
    </w:p>
    <w:p w:rsidR="007C6828" w:rsidRDefault="00842635" w:rsidP="00850F71">
      <w:pPr>
        <w:contextualSpacing/>
        <w:rPr>
          <w:rFonts w:cs="Times New Roman"/>
          <w:szCs w:val="24"/>
        </w:rPr>
      </w:pPr>
      <w:r>
        <w:rPr>
          <w:rFonts w:cs="Times New Roman"/>
          <w:szCs w:val="24"/>
        </w:rPr>
        <w:t xml:space="preserve">Em uma economia preponderantemente capitalista, </w:t>
      </w:r>
      <w:r w:rsidR="00850F71">
        <w:rPr>
          <w:rFonts w:cs="Times New Roman"/>
          <w:szCs w:val="24"/>
        </w:rPr>
        <w:t>uma crescente</w:t>
      </w:r>
      <w:r>
        <w:rPr>
          <w:rFonts w:cs="Times New Roman"/>
          <w:szCs w:val="24"/>
        </w:rPr>
        <w:t xml:space="preserve"> procura de investimentos externos por parte das empresas, bem como o próprio desenvolvimento do mercado de capitais é </w:t>
      </w:r>
      <w:r w:rsidR="00850F71">
        <w:rPr>
          <w:rFonts w:cs="Times New Roman"/>
          <w:szCs w:val="24"/>
        </w:rPr>
        <w:t>personificada</w:t>
      </w:r>
      <w:r>
        <w:rPr>
          <w:rFonts w:cs="Times New Roman"/>
          <w:szCs w:val="24"/>
        </w:rPr>
        <w:t xml:space="preserve"> na política de dividendos (Almeida, Tavares &amp; Pereira, 2016). </w:t>
      </w:r>
      <w:r w:rsidR="00AF7A0C">
        <w:rPr>
          <w:rFonts w:cs="Times New Roman"/>
          <w:szCs w:val="24"/>
        </w:rPr>
        <w:t xml:space="preserve">Dividendo é parte do lucro das organizações paga aos investidores como forma de remuneração do </w:t>
      </w:r>
      <w:r w:rsidR="00AC453E">
        <w:rPr>
          <w:rFonts w:cs="Times New Roman"/>
          <w:szCs w:val="24"/>
        </w:rPr>
        <w:t xml:space="preserve">seu </w:t>
      </w:r>
      <w:r w:rsidR="00AF7A0C">
        <w:rPr>
          <w:rFonts w:cs="Times New Roman"/>
          <w:szCs w:val="24"/>
        </w:rPr>
        <w:t>capita</w:t>
      </w:r>
      <w:r w:rsidR="00AC453E">
        <w:rPr>
          <w:rFonts w:cs="Times New Roman"/>
          <w:szCs w:val="24"/>
        </w:rPr>
        <w:t xml:space="preserve">l </w:t>
      </w:r>
      <w:r w:rsidR="00AF7A0C">
        <w:rPr>
          <w:rFonts w:cs="Times New Roman"/>
          <w:szCs w:val="24"/>
        </w:rPr>
        <w:t>inves</w:t>
      </w:r>
      <w:r w:rsidR="00AC453E">
        <w:rPr>
          <w:rFonts w:cs="Times New Roman"/>
          <w:szCs w:val="24"/>
        </w:rPr>
        <w:t>tido (</w:t>
      </w:r>
      <w:r w:rsidR="007C6828">
        <w:rPr>
          <w:rFonts w:cs="Times New Roman"/>
          <w:szCs w:val="24"/>
        </w:rPr>
        <w:t xml:space="preserve">Kania &amp; Bacon, 2005; </w:t>
      </w:r>
      <w:r w:rsidR="000E775A">
        <w:rPr>
          <w:rFonts w:cs="Times New Roman"/>
          <w:szCs w:val="24"/>
        </w:rPr>
        <w:t>Vancin &amp; Procianoy</w:t>
      </w:r>
      <w:r w:rsidR="000829C5">
        <w:rPr>
          <w:rFonts w:cs="Times New Roman"/>
          <w:szCs w:val="24"/>
        </w:rPr>
        <w:t>, 2016).</w:t>
      </w:r>
    </w:p>
    <w:p w:rsidR="00045DFE" w:rsidRDefault="006E3D7C" w:rsidP="00850F71">
      <w:pPr>
        <w:rPr>
          <w:rFonts w:cs="Times New Roman"/>
          <w:szCs w:val="24"/>
        </w:rPr>
      </w:pPr>
      <w:r>
        <w:rPr>
          <w:rFonts w:cs="Times New Roman"/>
          <w:szCs w:val="24"/>
        </w:rPr>
        <w:t xml:space="preserve">Assaf Neto e Lima (2017, p. 273) entendem dividendos como sendo “a parcela do lucro líquido de uma empresa que é distribuída aos seus acionistas mediante geralmente pagamento em dinheiro”. </w:t>
      </w:r>
      <w:r w:rsidR="00AC453E">
        <w:rPr>
          <w:rFonts w:cs="Times New Roman"/>
          <w:szCs w:val="24"/>
        </w:rPr>
        <w:t>Destacam-se como outras formas de remuneração os juros sobre o capital e a bonificação em ações</w:t>
      </w:r>
      <w:r>
        <w:rPr>
          <w:rFonts w:cs="Times New Roman"/>
          <w:szCs w:val="24"/>
        </w:rPr>
        <w:t xml:space="preserve">, </w:t>
      </w:r>
      <w:r w:rsidR="00F72A6A">
        <w:rPr>
          <w:rFonts w:cs="Times New Roman"/>
          <w:szCs w:val="24"/>
        </w:rPr>
        <w:t xml:space="preserve">no qual </w:t>
      </w:r>
      <w:r w:rsidR="00AC453E">
        <w:rPr>
          <w:rFonts w:cs="Times New Roman"/>
          <w:szCs w:val="24"/>
        </w:rPr>
        <w:t>os acionistas podem obter ganhos na venda de suas ações (</w:t>
      </w:r>
      <w:r w:rsidR="000E775A">
        <w:rPr>
          <w:rFonts w:cs="Times New Roman"/>
          <w:szCs w:val="24"/>
        </w:rPr>
        <w:t>Viana Júnior &amp; Pontes</w:t>
      </w:r>
      <w:r w:rsidR="00AC453E">
        <w:rPr>
          <w:rFonts w:cs="Times New Roman"/>
          <w:szCs w:val="24"/>
        </w:rPr>
        <w:t>, 2016).</w:t>
      </w:r>
    </w:p>
    <w:p w:rsidR="00AC453E" w:rsidRDefault="00045DFE" w:rsidP="00850F71">
      <w:pPr>
        <w:rPr>
          <w:rFonts w:cs="Times New Roman"/>
          <w:szCs w:val="24"/>
        </w:rPr>
      </w:pPr>
      <w:r>
        <w:rPr>
          <w:rFonts w:cs="Times New Roman"/>
          <w:szCs w:val="24"/>
        </w:rPr>
        <w:t xml:space="preserve">Cabe destacar que a decisão de reter ou distribuir parte dos lucros associam-se respectivamente aos pressupostos de crescimento da empresa e de devolução de recursos para os acionistas que, por conseguinte impacta diretamente nas decisões estratégicas de financiamento </w:t>
      </w:r>
      <w:r w:rsidRPr="00DA6516">
        <w:rPr>
          <w:rFonts w:cs="Times New Roman"/>
          <w:szCs w:val="24"/>
        </w:rPr>
        <w:t>das empresas (</w:t>
      </w:r>
      <w:r w:rsidR="000E775A" w:rsidRPr="00DA6516">
        <w:rPr>
          <w:rFonts w:cs="Times New Roman"/>
          <w:szCs w:val="24"/>
        </w:rPr>
        <w:t>Fonteles, Peixoto Júnior, Vancocelos &amp; De Luca,</w:t>
      </w:r>
      <w:r w:rsidRPr="00DA6516">
        <w:rPr>
          <w:rFonts w:cs="Times New Roman"/>
          <w:szCs w:val="24"/>
        </w:rPr>
        <w:t xml:space="preserve"> 2013).</w:t>
      </w:r>
      <w:r w:rsidR="00AC453E">
        <w:rPr>
          <w:rFonts w:cs="Times New Roman"/>
          <w:szCs w:val="24"/>
        </w:rPr>
        <w:t xml:space="preserve"> </w:t>
      </w:r>
      <w:r w:rsidR="006E3D7C">
        <w:rPr>
          <w:rFonts w:cs="Times New Roman"/>
          <w:szCs w:val="24"/>
        </w:rPr>
        <w:t>Dessa forma, a empresa pode restringir o pagamento de dividendos no presente sob a expectativa de maiores distribuições no futuro; ou então, pode decidir pagar altos valores em dividendos no presente e adiar seus investimentos para o futuro (</w:t>
      </w:r>
      <w:r w:rsidR="00F72A6A">
        <w:rPr>
          <w:rFonts w:cs="Times New Roman"/>
          <w:szCs w:val="24"/>
        </w:rPr>
        <w:t>Assaf Neto &amp; Lima</w:t>
      </w:r>
      <w:r w:rsidR="006E3D7C">
        <w:rPr>
          <w:rFonts w:cs="Times New Roman"/>
          <w:szCs w:val="24"/>
        </w:rPr>
        <w:t>, 2017)</w:t>
      </w:r>
      <w:r w:rsidR="007C6828">
        <w:rPr>
          <w:rFonts w:cs="Times New Roman"/>
          <w:szCs w:val="24"/>
        </w:rPr>
        <w:t>.</w:t>
      </w:r>
    </w:p>
    <w:p w:rsidR="005422E4" w:rsidRDefault="00AC453E" w:rsidP="00850F71">
      <w:pPr>
        <w:rPr>
          <w:rFonts w:cs="Times New Roman"/>
          <w:szCs w:val="24"/>
        </w:rPr>
      </w:pPr>
      <w:r>
        <w:rPr>
          <w:rFonts w:cs="Times New Roman"/>
          <w:szCs w:val="24"/>
        </w:rPr>
        <w:t xml:space="preserve">Nesse contexto, </w:t>
      </w:r>
      <w:r w:rsidR="00AF7A0C">
        <w:rPr>
          <w:rFonts w:cs="Times New Roman"/>
          <w:szCs w:val="24"/>
        </w:rPr>
        <w:t xml:space="preserve">a </w:t>
      </w:r>
      <w:r w:rsidR="00BA5F62">
        <w:rPr>
          <w:rFonts w:cs="Times New Roman"/>
          <w:szCs w:val="24"/>
        </w:rPr>
        <w:t>política de dividendos consiste na forma</w:t>
      </w:r>
      <w:r w:rsidR="00AF7A0C">
        <w:rPr>
          <w:rFonts w:cs="Times New Roman"/>
          <w:szCs w:val="24"/>
        </w:rPr>
        <w:t xml:space="preserve"> </w:t>
      </w:r>
      <w:r w:rsidR="004A0DE4">
        <w:rPr>
          <w:rFonts w:cs="Times New Roman"/>
          <w:szCs w:val="24"/>
        </w:rPr>
        <w:t xml:space="preserve">ou estratégia </w:t>
      </w:r>
      <w:r w:rsidR="00BA5F62">
        <w:rPr>
          <w:rFonts w:cs="Times New Roman"/>
          <w:szCs w:val="24"/>
        </w:rPr>
        <w:t>adotada pelas organizações na alocação dos lucros auferidos</w:t>
      </w:r>
      <w:r w:rsidR="00AF7A0C">
        <w:rPr>
          <w:rFonts w:cs="Times New Roman"/>
          <w:szCs w:val="24"/>
        </w:rPr>
        <w:t xml:space="preserve"> em determinado </w:t>
      </w:r>
      <w:r w:rsidR="00850F71">
        <w:rPr>
          <w:rFonts w:cs="Times New Roman"/>
          <w:szCs w:val="24"/>
        </w:rPr>
        <w:t>período</w:t>
      </w:r>
      <w:r w:rsidR="004A0DE4">
        <w:rPr>
          <w:rFonts w:cs="Times New Roman"/>
          <w:szCs w:val="24"/>
        </w:rPr>
        <w:t xml:space="preserve">. As organizações podem adotar como estratégia o reinvestimento do lucro na própria organização, </w:t>
      </w:r>
      <w:r w:rsidR="00AF7A0C">
        <w:rPr>
          <w:rFonts w:cs="Times New Roman"/>
          <w:szCs w:val="24"/>
        </w:rPr>
        <w:t xml:space="preserve">a </w:t>
      </w:r>
      <w:r w:rsidR="00BA5F62">
        <w:rPr>
          <w:rFonts w:cs="Times New Roman"/>
          <w:szCs w:val="24"/>
        </w:rPr>
        <w:t xml:space="preserve">distribuição </w:t>
      </w:r>
      <w:r w:rsidR="00BA5F62">
        <w:rPr>
          <w:rFonts w:cs="Times New Roman"/>
          <w:szCs w:val="24"/>
        </w:rPr>
        <w:lastRenderedPageBreak/>
        <w:t>entre os seus acionistas, ou ainda em forma de conjugação destas (</w:t>
      </w:r>
      <w:r w:rsidR="00DA6516">
        <w:rPr>
          <w:rFonts w:cs="Times New Roman"/>
          <w:szCs w:val="24"/>
        </w:rPr>
        <w:t>Lintner, 1956; Gordon</w:t>
      </w:r>
      <w:r w:rsidR="00BA5F62">
        <w:rPr>
          <w:rFonts w:cs="Times New Roman"/>
          <w:szCs w:val="24"/>
        </w:rPr>
        <w:t>, 1959)</w:t>
      </w:r>
      <w:r w:rsidR="00AF7A0C">
        <w:rPr>
          <w:rFonts w:cs="Times New Roman"/>
          <w:szCs w:val="24"/>
        </w:rPr>
        <w:t>.</w:t>
      </w:r>
      <w:r w:rsidR="005422E4">
        <w:rPr>
          <w:rFonts w:cs="Times New Roman"/>
          <w:szCs w:val="24"/>
        </w:rPr>
        <w:t xml:space="preserve"> </w:t>
      </w:r>
      <w:r w:rsidR="00AF7A0C">
        <w:rPr>
          <w:rFonts w:cs="Times New Roman"/>
          <w:szCs w:val="24"/>
        </w:rPr>
        <w:t>Groppelli e Nikbakht (</w:t>
      </w:r>
      <w:r w:rsidR="00704484">
        <w:rPr>
          <w:rFonts w:cs="Times New Roman"/>
          <w:szCs w:val="24"/>
        </w:rPr>
        <w:t xml:space="preserve">2010) destacam que a política de dividendos </w:t>
      </w:r>
      <w:r w:rsidR="00F73967">
        <w:rPr>
          <w:rFonts w:cs="Times New Roman"/>
          <w:szCs w:val="24"/>
        </w:rPr>
        <w:t xml:space="preserve">é de suma importância </w:t>
      </w:r>
      <w:r w:rsidR="00704484">
        <w:rPr>
          <w:rFonts w:cs="Times New Roman"/>
          <w:szCs w:val="24"/>
        </w:rPr>
        <w:t xml:space="preserve">na determinação do valor de uma </w:t>
      </w:r>
      <w:r w:rsidR="00F73967">
        <w:rPr>
          <w:rFonts w:cs="Times New Roman"/>
          <w:szCs w:val="24"/>
        </w:rPr>
        <w:t xml:space="preserve">organização, além disso, os </w:t>
      </w:r>
      <w:r w:rsidR="00704484">
        <w:rPr>
          <w:rFonts w:cs="Times New Roman"/>
          <w:szCs w:val="24"/>
        </w:rPr>
        <w:t xml:space="preserve">acionistas </w:t>
      </w:r>
      <w:r w:rsidR="00F73967">
        <w:rPr>
          <w:rFonts w:cs="Times New Roman"/>
          <w:szCs w:val="24"/>
        </w:rPr>
        <w:t xml:space="preserve">percebem </w:t>
      </w:r>
      <w:r w:rsidR="00704484">
        <w:rPr>
          <w:rFonts w:cs="Times New Roman"/>
          <w:szCs w:val="24"/>
        </w:rPr>
        <w:t>os dividendos como um sinal da capacidade da empresa de gerar lucros.</w:t>
      </w:r>
    </w:p>
    <w:p w:rsidR="00F73967" w:rsidRDefault="005422E4" w:rsidP="00850F71">
      <w:pPr>
        <w:rPr>
          <w:rFonts w:cs="Times New Roman"/>
          <w:szCs w:val="24"/>
        </w:rPr>
      </w:pPr>
      <w:r>
        <w:rPr>
          <w:rFonts w:cs="Times New Roman"/>
          <w:szCs w:val="24"/>
        </w:rPr>
        <w:t xml:space="preserve">Vancin e Procianoy (2016) enfatizam que a política de dividendos, como parte importante das estratégias das organizações, </w:t>
      </w:r>
      <w:r>
        <w:t xml:space="preserve">são decisões complexas, o que tem gerado inúmeras pesquisas. </w:t>
      </w:r>
      <w:r>
        <w:rPr>
          <w:rFonts w:cs="Times New Roman"/>
          <w:szCs w:val="24"/>
        </w:rPr>
        <w:t xml:space="preserve">Assaf Neto e Lima (2017, p. 273) sinalizam que “a decisão de pagar lucros pode servir de financiamento aos acionistas, de sinalização positiva ao mercado sobre o desempenho da empresa </w:t>
      </w:r>
      <w:r w:rsidR="00850F71">
        <w:rPr>
          <w:rFonts w:cs="Times New Roman"/>
          <w:szCs w:val="24"/>
        </w:rPr>
        <w:t>e</w:t>
      </w:r>
      <w:r>
        <w:rPr>
          <w:rFonts w:cs="Times New Roman"/>
          <w:szCs w:val="24"/>
        </w:rPr>
        <w:t xml:space="preserve"> para ajustar a sua estrutura de capital”.</w:t>
      </w:r>
    </w:p>
    <w:p w:rsidR="00E06111" w:rsidRDefault="00704484" w:rsidP="00850F71">
      <w:pPr>
        <w:rPr>
          <w:rFonts w:cs="Times New Roman"/>
          <w:szCs w:val="24"/>
        </w:rPr>
      </w:pPr>
      <w:r>
        <w:rPr>
          <w:rFonts w:cs="Times New Roman"/>
          <w:szCs w:val="24"/>
        </w:rPr>
        <w:t xml:space="preserve"> </w:t>
      </w:r>
      <w:r w:rsidR="00622C51">
        <w:rPr>
          <w:rFonts w:cs="Times New Roman"/>
          <w:szCs w:val="24"/>
        </w:rPr>
        <w:t xml:space="preserve">As primeiras abordagens acerca </w:t>
      </w:r>
      <w:r w:rsidR="00E34F63">
        <w:rPr>
          <w:rFonts w:cs="Times New Roman"/>
          <w:szCs w:val="24"/>
        </w:rPr>
        <w:t xml:space="preserve">da política de dividendos </w:t>
      </w:r>
      <w:r w:rsidR="00622C51">
        <w:rPr>
          <w:rFonts w:cs="Times New Roman"/>
          <w:szCs w:val="24"/>
        </w:rPr>
        <w:t xml:space="preserve">surgiram no final da década de 1930, mais precisamente no ano de 1938 quando o economista John Burr Williams estabeleceu uma relação entre valor da empresa e dividendos, no entanto, </w:t>
      </w:r>
      <w:r w:rsidR="00023613">
        <w:rPr>
          <w:rFonts w:cs="Times New Roman"/>
          <w:szCs w:val="24"/>
        </w:rPr>
        <w:t xml:space="preserve">foi apenas no final </w:t>
      </w:r>
      <w:r w:rsidR="00622C51">
        <w:rPr>
          <w:rFonts w:cs="Times New Roman"/>
          <w:szCs w:val="24"/>
        </w:rPr>
        <w:t>da década de 1950 que essa temática ganhou maior ênfase</w:t>
      </w:r>
      <w:r w:rsidR="00E06111">
        <w:rPr>
          <w:rFonts w:cs="Times New Roman"/>
          <w:szCs w:val="24"/>
        </w:rPr>
        <w:t xml:space="preserve"> (</w:t>
      </w:r>
      <w:r w:rsidR="00DA6516">
        <w:rPr>
          <w:rFonts w:cs="Times New Roman"/>
          <w:szCs w:val="24"/>
        </w:rPr>
        <w:t xml:space="preserve">Almeida </w:t>
      </w:r>
      <w:r w:rsidR="00DA6516" w:rsidRPr="00DA6516">
        <w:rPr>
          <w:rFonts w:cs="Times New Roman"/>
          <w:i/>
          <w:szCs w:val="24"/>
        </w:rPr>
        <w:t>et al.</w:t>
      </w:r>
      <w:r w:rsidR="00E06111">
        <w:rPr>
          <w:rFonts w:cs="Times New Roman"/>
          <w:szCs w:val="24"/>
        </w:rPr>
        <w:t>, 2016)</w:t>
      </w:r>
      <w:r w:rsidR="00F72A6A">
        <w:rPr>
          <w:rFonts w:cs="Times New Roman"/>
          <w:szCs w:val="24"/>
        </w:rPr>
        <w:t>, mais especificamente com os estudos de Gordon e Shapiro (1956), Lintner (1956)</w:t>
      </w:r>
      <w:r w:rsidR="00EE1444">
        <w:rPr>
          <w:rFonts w:cs="Times New Roman"/>
          <w:szCs w:val="24"/>
        </w:rPr>
        <w:t xml:space="preserve">, </w:t>
      </w:r>
      <w:r w:rsidR="00F72A6A">
        <w:rPr>
          <w:rFonts w:cs="Times New Roman"/>
          <w:szCs w:val="24"/>
        </w:rPr>
        <w:t>Gordon (1959)</w:t>
      </w:r>
      <w:r w:rsidR="00EE1444">
        <w:rPr>
          <w:rFonts w:cs="Times New Roman"/>
          <w:szCs w:val="24"/>
        </w:rPr>
        <w:t xml:space="preserve"> e Miller e Modigliani (1961)</w:t>
      </w:r>
      <w:r w:rsidR="00E06111">
        <w:rPr>
          <w:rFonts w:cs="Times New Roman"/>
          <w:szCs w:val="24"/>
        </w:rPr>
        <w:t xml:space="preserve">. </w:t>
      </w:r>
      <w:r w:rsidR="00023613">
        <w:rPr>
          <w:rFonts w:cs="Times New Roman"/>
          <w:szCs w:val="24"/>
        </w:rPr>
        <w:t>T</w:t>
      </w:r>
      <w:r w:rsidR="00E06111">
        <w:rPr>
          <w:rFonts w:cs="Times New Roman"/>
          <w:szCs w:val="24"/>
        </w:rPr>
        <w:t xml:space="preserve">ais discussões têm sido mais recentes no Brasil, </w:t>
      </w:r>
      <w:r w:rsidR="00EE1444">
        <w:rPr>
          <w:rFonts w:cs="Times New Roman"/>
          <w:szCs w:val="24"/>
        </w:rPr>
        <w:t xml:space="preserve">especificamente </w:t>
      </w:r>
      <w:r w:rsidR="00E06111">
        <w:rPr>
          <w:rFonts w:cs="Times New Roman"/>
          <w:szCs w:val="24"/>
        </w:rPr>
        <w:t>a partir da década de 1990 em função da estabilidade monetária (</w:t>
      </w:r>
      <w:r w:rsidR="00DA6516">
        <w:rPr>
          <w:rFonts w:cs="Times New Roman"/>
          <w:szCs w:val="24"/>
        </w:rPr>
        <w:t>Martins &amp; Famá</w:t>
      </w:r>
      <w:r w:rsidR="00E06111">
        <w:rPr>
          <w:rFonts w:cs="Times New Roman"/>
          <w:szCs w:val="24"/>
        </w:rPr>
        <w:t>, 2012)</w:t>
      </w:r>
      <w:r w:rsidR="005035B7">
        <w:rPr>
          <w:rFonts w:cs="Times New Roman"/>
          <w:szCs w:val="24"/>
        </w:rPr>
        <w:t>.</w:t>
      </w:r>
    </w:p>
    <w:p w:rsidR="003F1A68" w:rsidRDefault="00622C51" w:rsidP="00850F71">
      <w:pPr>
        <w:rPr>
          <w:rFonts w:cs="Times New Roman"/>
          <w:szCs w:val="24"/>
        </w:rPr>
      </w:pPr>
      <w:r>
        <w:rPr>
          <w:rFonts w:cs="Times New Roman"/>
          <w:szCs w:val="24"/>
        </w:rPr>
        <w:t xml:space="preserve">A importância às estratégias adotadas em relação </w:t>
      </w:r>
      <w:r w:rsidR="00D1685C">
        <w:rPr>
          <w:rFonts w:cs="Times New Roman"/>
          <w:szCs w:val="24"/>
        </w:rPr>
        <w:t>à</w:t>
      </w:r>
      <w:r>
        <w:rPr>
          <w:rFonts w:cs="Times New Roman"/>
          <w:szCs w:val="24"/>
        </w:rPr>
        <w:t xml:space="preserve"> política de dividendos tem servido de cenários </w:t>
      </w:r>
      <w:r w:rsidRPr="00E54CF5">
        <w:rPr>
          <w:rFonts w:cs="Times New Roman"/>
          <w:szCs w:val="24"/>
        </w:rPr>
        <w:t>a vasta investigação teórica e</w:t>
      </w:r>
      <w:r>
        <w:rPr>
          <w:rFonts w:cs="Times New Roman"/>
          <w:szCs w:val="24"/>
        </w:rPr>
        <w:t xml:space="preserve"> </w:t>
      </w:r>
      <w:r w:rsidRPr="00E54CF5">
        <w:rPr>
          <w:rFonts w:cs="Times New Roman"/>
          <w:szCs w:val="24"/>
        </w:rPr>
        <w:t>empírica</w:t>
      </w:r>
      <w:r>
        <w:rPr>
          <w:rFonts w:cs="Times New Roman"/>
          <w:szCs w:val="24"/>
        </w:rPr>
        <w:t xml:space="preserve"> em finanças, c</w:t>
      </w:r>
      <w:r w:rsidRPr="00E54CF5">
        <w:rPr>
          <w:rFonts w:cs="Times New Roman"/>
          <w:szCs w:val="24"/>
        </w:rPr>
        <w:t>ontudo, os resultados empíricos e formulações</w:t>
      </w:r>
      <w:r>
        <w:rPr>
          <w:rFonts w:cs="Times New Roman"/>
          <w:szCs w:val="24"/>
        </w:rPr>
        <w:t xml:space="preserve"> </w:t>
      </w:r>
      <w:r w:rsidRPr="00E54CF5">
        <w:rPr>
          <w:rFonts w:cs="Times New Roman"/>
          <w:szCs w:val="24"/>
        </w:rPr>
        <w:t>teóricas não são consensuais na escolha</w:t>
      </w:r>
      <w:r>
        <w:rPr>
          <w:rFonts w:cs="Times New Roman"/>
          <w:szCs w:val="24"/>
        </w:rPr>
        <w:t xml:space="preserve"> </w:t>
      </w:r>
      <w:r w:rsidRPr="00E54CF5">
        <w:rPr>
          <w:rFonts w:cs="Times New Roman"/>
          <w:szCs w:val="24"/>
        </w:rPr>
        <w:t>dos determinantes mais significativos</w:t>
      </w:r>
      <w:r>
        <w:rPr>
          <w:rFonts w:cs="Times New Roman"/>
          <w:szCs w:val="24"/>
        </w:rPr>
        <w:t xml:space="preserve"> </w:t>
      </w:r>
      <w:r w:rsidRPr="00E54CF5">
        <w:rPr>
          <w:rFonts w:cs="Times New Roman"/>
          <w:szCs w:val="24"/>
        </w:rPr>
        <w:t>da política de dividendos para as empresas</w:t>
      </w:r>
      <w:r>
        <w:rPr>
          <w:rFonts w:cs="Times New Roman"/>
          <w:szCs w:val="24"/>
        </w:rPr>
        <w:t xml:space="preserve"> </w:t>
      </w:r>
      <w:r w:rsidRPr="00E54CF5">
        <w:rPr>
          <w:rFonts w:cs="Times New Roman"/>
          <w:szCs w:val="24"/>
        </w:rPr>
        <w:t>nos diversos mercados de capitais</w:t>
      </w:r>
      <w:r w:rsidR="00DA6516">
        <w:rPr>
          <w:rFonts w:cs="Times New Roman"/>
          <w:szCs w:val="24"/>
        </w:rPr>
        <w:t xml:space="preserve"> (Almeida </w:t>
      </w:r>
      <w:r w:rsidR="00DA6516" w:rsidRPr="00DA6516">
        <w:rPr>
          <w:rFonts w:cs="Times New Roman"/>
          <w:i/>
          <w:szCs w:val="24"/>
        </w:rPr>
        <w:t>et al.</w:t>
      </w:r>
      <w:r w:rsidR="00DA6516">
        <w:rPr>
          <w:rFonts w:cs="Times New Roman"/>
          <w:szCs w:val="24"/>
        </w:rPr>
        <w:t>, 2016)</w:t>
      </w:r>
      <w:r>
        <w:rPr>
          <w:rFonts w:cs="Times New Roman"/>
          <w:szCs w:val="24"/>
        </w:rPr>
        <w:t>.</w:t>
      </w:r>
      <w:r w:rsidR="00EE1444">
        <w:rPr>
          <w:rFonts w:cs="Times New Roman"/>
          <w:szCs w:val="24"/>
        </w:rPr>
        <w:t xml:space="preserve"> Em</w:t>
      </w:r>
      <w:r w:rsidR="00023613">
        <w:rPr>
          <w:rFonts w:cs="Times New Roman"/>
          <w:szCs w:val="24"/>
        </w:rPr>
        <w:t xml:space="preserve"> finanças, desdobramentos teóricos tentam explicar a dinâmica das decisões estratégicas acerca da política de dividendos</w:t>
      </w:r>
      <w:r w:rsidR="005422E4">
        <w:rPr>
          <w:rFonts w:cs="Times New Roman"/>
          <w:szCs w:val="24"/>
        </w:rPr>
        <w:t>.</w:t>
      </w:r>
    </w:p>
    <w:p w:rsidR="00023613" w:rsidRDefault="00EE1444" w:rsidP="00850F71">
      <w:pPr>
        <w:contextualSpacing/>
        <w:rPr>
          <w:rFonts w:cs="Times New Roman"/>
          <w:szCs w:val="24"/>
        </w:rPr>
      </w:pPr>
      <w:r>
        <w:rPr>
          <w:rFonts w:cs="Times New Roman"/>
          <w:szCs w:val="24"/>
        </w:rPr>
        <w:t xml:space="preserve">A esse respeito, </w:t>
      </w:r>
      <w:r w:rsidR="003F1A68">
        <w:rPr>
          <w:rFonts w:cs="Times New Roman"/>
          <w:szCs w:val="24"/>
        </w:rPr>
        <w:t>Assaf Neto e Lima (2017)</w:t>
      </w:r>
      <w:r>
        <w:rPr>
          <w:rFonts w:cs="Times New Roman"/>
          <w:szCs w:val="24"/>
        </w:rPr>
        <w:t xml:space="preserve"> explicam que </w:t>
      </w:r>
      <w:r w:rsidR="003F1A68">
        <w:rPr>
          <w:rFonts w:cs="Times New Roman"/>
          <w:szCs w:val="24"/>
        </w:rPr>
        <w:t>em Finanças Corporativas há duas correntes bem distintas, e bastante controversas acerca da relevância ou não da política de dividendos para os acionistas, ou seja, se a fixação de uma determinada política de dividendos exerce ou não influência sobre o preço de mercado de uma ação.</w:t>
      </w:r>
    </w:p>
    <w:p w:rsidR="00EE1444" w:rsidRDefault="008E1A94" w:rsidP="00850F71">
      <w:pPr>
        <w:contextualSpacing/>
        <w:rPr>
          <w:rFonts w:cs="Times New Roman"/>
          <w:szCs w:val="24"/>
        </w:rPr>
      </w:pPr>
      <w:r w:rsidRPr="0040573D">
        <w:rPr>
          <w:rFonts w:cs="Times New Roman"/>
          <w:szCs w:val="24"/>
        </w:rPr>
        <w:t>Lintner (1956) ao estudar 28 empresas entre os anos de 1947 e 1953 e, Gordon (1959) 164 empresas entre os anos de 1951 e 1954, apontam para a existência de uma relação entre o valor pago como forma de dividendos</w:t>
      </w:r>
      <w:r>
        <w:rPr>
          <w:rFonts w:cs="Times New Roman"/>
          <w:szCs w:val="24"/>
        </w:rPr>
        <w:t xml:space="preserve">, o </w:t>
      </w:r>
      <w:r w:rsidR="00EE1444">
        <w:rPr>
          <w:rFonts w:cs="Times New Roman"/>
          <w:szCs w:val="24"/>
        </w:rPr>
        <w:t>valor</w:t>
      </w:r>
      <w:r>
        <w:rPr>
          <w:rFonts w:cs="Times New Roman"/>
          <w:szCs w:val="24"/>
        </w:rPr>
        <w:t xml:space="preserve"> </w:t>
      </w:r>
      <w:r w:rsidRPr="0040573D">
        <w:rPr>
          <w:rFonts w:cs="Times New Roman"/>
          <w:szCs w:val="24"/>
        </w:rPr>
        <w:t>d</w:t>
      </w:r>
      <w:r>
        <w:rPr>
          <w:rFonts w:cs="Times New Roman"/>
          <w:szCs w:val="24"/>
        </w:rPr>
        <w:t xml:space="preserve">as </w:t>
      </w:r>
      <w:r w:rsidRPr="0040573D">
        <w:rPr>
          <w:rFonts w:cs="Times New Roman"/>
          <w:szCs w:val="24"/>
        </w:rPr>
        <w:t>aç</w:t>
      </w:r>
      <w:r>
        <w:rPr>
          <w:rFonts w:cs="Times New Roman"/>
          <w:szCs w:val="24"/>
        </w:rPr>
        <w:t xml:space="preserve">ões e o valor da empresa, </w:t>
      </w:r>
      <w:r w:rsidRPr="0040573D">
        <w:rPr>
          <w:rFonts w:cs="Times New Roman"/>
          <w:szCs w:val="24"/>
        </w:rPr>
        <w:t>especificamente influenciados pelo lucro líquido gerado pelas organizações. Estas indicações são reportadas pela literatura como Teoria da Relevância dos Dividendos.</w:t>
      </w:r>
    </w:p>
    <w:p w:rsidR="003F1A68" w:rsidRDefault="003F1A68" w:rsidP="00850F71">
      <w:pPr>
        <w:contextualSpacing/>
        <w:rPr>
          <w:rFonts w:cs="Times New Roman"/>
          <w:szCs w:val="24"/>
        </w:rPr>
      </w:pPr>
      <w:r>
        <w:rPr>
          <w:rFonts w:cs="Times New Roman"/>
          <w:szCs w:val="24"/>
        </w:rPr>
        <w:t>Segundo Lintner (1956), com a redução de fontes de financiamentos externos no período pós Segunda Guerra Mundial, as empresas analisadas não reduziram suas taxas de distribuição, indicando assim certa estabilidade no pagamento de dividendos aos acionistas.</w:t>
      </w:r>
    </w:p>
    <w:p w:rsidR="003F1A68" w:rsidRDefault="003F1A68" w:rsidP="00850F71">
      <w:pPr>
        <w:contextualSpacing/>
        <w:rPr>
          <w:rFonts w:cs="Times New Roman"/>
          <w:szCs w:val="24"/>
        </w:rPr>
      </w:pPr>
      <w:r>
        <w:rPr>
          <w:rFonts w:cs="Times New Roman"/>
          <w:szCs w:val="24"/>
        </w:rPr>
        <w:t>Assaf Neto e Lima (2017) destacam que o enforque nesta abordagem pressupõe que os acionistas se preocupam com a forma pela qual os resultados da organização são distribuídos e que tal decisão afeta o preço de mercado de suas ações.</w:t>
      </w:r>
    </w:p>
    <w:p w:rsidR="003F1A68" w:rsidRDefault="003F1A68" w:rsidP="00850F71">
      <w:pPr>
        <w:contextualSpacing/>
        <w:rPr>
          <w:rFonts w:cs="Times New Roman"/>
          <w:szCs w:val="24"/>
        </w:rPr>
      </w:pPr>
      <w:r>
        <w:rPr>
          <w:rFonts w:cs="Times New Roman"/>
          <w:szCs w:val="24"/>
        </w:rPr>
        <w:t>Já sobre a Teoria da Irrelevância dos dividendos preconizados por Miller e Modigliani (1961), expuseram que os dividendos não influenciam no valor das organizações. Os adeptos dessa corrente propõem que a riqueza da empresa é uma função do seu potencial econômico de gerar lucro e não da forma como os resultados são divid</w:t>
      </w:r>
      <w:r w:rsidR="005035B7">
        <w:rPr>
          <w:rFonts w:cs="Times New Roman"/>
          <w:szCs w:val="24"/>
        </w:rPr>
        <w:t>idos (Assaf Neto &amp; Lima, 2017).</w:t>
      </w:r>
    </w:p>
    <w:p w:rsidR="003F1A68" w:rsidRDefault="003F1A68" w:rsidP="00850F71">
      <w:pPr>
        <w:contextualSpacing/>
        <w:rPr>
          <w:rFonts w:cs="Times New Roman"/>
          <w:szCs w:val="24"/>
        </w:rPr>
      </w:pPr>
      <w:r>
        <w:rPr>
          <w:rFonts w:cs="Times New Roman"/>
          <w:szCs w:val="24"/>
        </w:rPr>
        <w:t xml:space="preserve">No entanto, para suportar tais pressupostos, seria necessária a existência de um mercado perfeito, ou seja, a inexistência de impostos, inexistência de custos de transação, ou mesmo da ausência de assimetria da informação, dentre outras imperfeitos do mercado de capitais. Se tais pressupostos fossem dados como verdadeiros, então </w:t>
      </w:r>
      <w:r w:rsidRPr="001C023A">
        <w:rPr>
          <w:rFonts w:cs="Times New Roman"/>
          <w:szCs w:val="24"/>
        </w:rPr>
        <w:t>o valor da empresa</w:t>
      </w:r>
      <w:r>
        <w:rPr>
          <w:rFonts w:cs="Times New Roman"/>
          <w:szCs w:val="24"/>
        </w:rPr>
        <w:t xml:space="preserve"> seria determinado especialmente </w:t>
      </w:r>
      <w:r w:rsidRPr="001C023A">
        <w:rPr>
          <w:rFonts w:cs="Times New Roman"/>
          <w:szCs w:val="24"/>
        </w:rPr>
        <w:t xml:space="preserve">pela capacidade </w:t>
      </w:r>
      <w:r>
        <w:rPr>
          <w:rFonts w:cs="Times New Roman"/>
          <w:szCs w:val="24"/>
        </w:rPr>
        <w:t xml:space="preserve">das organizações </w:t>
      </w:r>
      <w:r w:rsidRPr="001C023A">
        <w:rPr>
          <w:rFonts w:cs="Times New Roman"/>
          <w:szCs w:val="24"/>
        </w:rPr>
        <w:t>em gerar lucro.</w:t>
      </w:r>
    </w:p>
    <w:p w:rsidR="00E11B6B" w:rsidRDefault="00087354" w:rsidP="00850F71">
      <w:pPr>
        <w:contextualSpacing/>
        <w:rPr>
          <w:rFonts w:cs="Times New Roman"/>
          <w:szCs w:val="24"/>
        </w:rPr>
      </w:pPr>
      <w:r>
        <w:rPr>
          <w:rFonts w:cs="Times New Roman"/>
          <w:szCs w:val="24"/>
        </w:rPr>
        <w:lastRenderedPageBreak/>
        <w:t xml:space="preserve">Outra questão importante da política de dividendos é se a distribuição influencia o preço das ações. </w:t>
      </w:r>
      <w:r w:rsidR="004D1258">
        <w:rPr>
          <w:rFonts w:cs="Times New Roman"/>
          <w:szCs w:val="24"/>
        </w:rPr>
        <w:t xml:space="preserve">O posicionamento teórico desenvolvido por </w:t>
      </w:r>
      <w:r w:rsidR="004D1258" w:rsidRPr="00117A6D">
        <w:rPr>
          <w:rFonts w:cs="Times New Roman"/>
          <w:szCs w:val="24"/>
        </w:rPr>
        <w:t>Gordon e Shapiro</w:t>
      </w:r>
      <w:r w:rsidR="004D1258">
        <w:rPr>
          <w:rFonts w:cs="Times New Roman"/>
          <w:szCs w:val="24"/>
        </w:rPr>
        <w:t xml:space="preserve"> </w:t>
      </w:r>
      <w:r w:rsidR="004D1258" w:rsidRPr="00117A6D">
        <w:rPr>
          <w:rFonts w:cs="Times New Roman"/>
          <w:szCs w:val="24"/>
        </w:rPr>
        <w:t>(1956)</w:t>
      </w:r>
      <w:r w:rsidR="004D1258">
        <w:rPr>
          <w:rFonts w:cs="Times New Roman"/>
          <w:szCs w:val="24"/>
        </w:rPr>
        <w:t xml:space="preserve"> acerca da precificação das ações das organizações indica que está diretamente relacionada na medida em que o lucro e os dividendos por ação aumentem, ou então em função da expectativa futura do mercado de que isso ocorra.  Em função de que os dividendos são considerados como dinheiro na mão, e os rendimentos são apenas potenciais, esta relação é descrita na literatura em finanças corporativas como </w:t>
      </w:r>
      <w:r w:rsidR="004D1258" w:rsidRPr="005422E4">
        <w:rPr>
          <w:rFonts w:cs="Times New Roman"/>
          <w:i/>
          <w:szCs w:val="24"/>
        </w:rPr>
        <w:t>Bird in the Hand Theory</w:t>
      </w:r>
      <w:r w:rsidR="004D1258">
        <w:rPr>
          <w:rFonts w:cs="Times New Roman"/>
          <w:szCs w:val="24"/>
        </w:rPr>
        <w:t xml:space="preserve">, ou na tradução literal, Teoria do Pássaro na Mão (Almeida </w:t>
      </w:r>
      <w:r w:rsidR="004D1258" w:rsidRPr="007C5EAD">
        <w:rPr>
          <w:rFonts w:cs="Times New Roman"/>
          <w:i/>
          <w:szCs w:val="24"/>
        </w:rPr>
        <w:t>et al</w:t>
      </w:r>
      <w:r w:rsidR="004D1258">
        <w:rPr>
          <w:rFonts w:cs="Times New Roman"/>
          <w:szCs w:val="24"/>
        </w:rPr>
        <w:t>., 2015)</w:t>
      </w:r>
      <w:r w:rsidR="00F50CAA">
        <w:rPr>
          <w:rFonts w:cs="Times New Roman"/>
          <w:szCs w:val="24"/>
        </w:rPr>
        <w:t>.</w:t>
      </w:r>
    </w:p>
    <w:p w:rsidR="004B5BD0" w:rsidRDefault="00E11B6B" w:rsidP="00850F71">
      <w:pPr>
        <w:contextualSpacing/>
        <w:rPr>
          <w:rFonts w:cs="Times New Roman"/>
          <w:szCs w:val="24"/>
        </w:rPr>
      </w:pPr>
      <w:r>
        <w:rPr>
          <w:rFonts w:cs="Times New Roman"/>
          <w:szCs w:val="24"/>
        </w:rPr>
        <w:t xml:space="preserve">Conforme Almeida </w:t>
      </w:r>
      <w:r w:rsidRPr="00E11B6B">
        <w:rPr>
          <w:rFonts w:cs="Times New Roman"/>
          <w:i/>
          <w:szCs w:val="24"/>
        </w:rPr>
        <w:t>et al</w:t>
      </w:r>
      <w:r>
        <w:rPr>
          <w:rFonts w:cs="Times New Roman"/>
          <w:szCs w:val="24"/>
        </w:rPr>
        <w:t xml:space="preserve">. (2015), durante a década de </w:t>
      </w:r>
      <w:r w:rsidRPr="00E11B6B">
        <w:rPr>
          <w:rFonts w:cs="Times New Roman"/>
          <w:szCs w:val="24"/>
        </w:rPr>
        <w:t>1970</w:t>
      </w:r>
      <w:r>
        <w:rPr>
          <w:rFonts w:cs="Times New Roman"/>
          <w:szCs w:val="24"/>
        </w:rPr>
        <w:t xml:space="preserve"> foi acrescentado às discussões acerca da política de dividendos os </w:t>
      </w:r>
      <w:r w:rsidRPr="00E11B6B">
        <w:rPr>
          <w:rFonts w:cs="Times New Roman"/>
          <w:szCs w:val="24"/>
        </w:rPr>
        <w:t>efeito</w:t>
      </w:r>
      <w:r>
        <w:rPr>
          <w:rFonts w:cs="Times New Roman"/>
          <w:szCs w:val="24"/>
        </w:rPr>
        <w:t>s</w:t>
      </w:r>
      <w:r w:rsidRPr="00E11B6B">
        <w:rPr>
          <w:rFonts w:cs="Times New Roman"/>
          <w:szCs w:val="24"/>
        </w:rPr>
        <w:t xml:space="preserve"> dos impostos</w:t>
      </w:r>
      <w:r w:rsidR="00FA0A51">
        <w:rPr>
          <w:rFonts w:cs="Times New Roman"/>
          <w:szCs w:val="24"/>
        </w:rPr>
        <w:t xml:space="preserve"> pois os dividendos criam uma desvantagem fiscal para os investidores devido a uma maior tributação em relação aos ganhos de capital, reduzindo assim a taxa de retorno líquida.</w:t>
      </w:r>
      <w:r w:rsidR="004B5BD0">
        <w:rPr>
          <w:rFonts w:cs="Times New Roman"/>
          <w:szCs w:val="24"/>
        </w:rPr>
        <w:t xml:space="preserve"> Esta abordagem foi credenciada inicialmente à Modigliani e Miller (1991) </w:t>
      </w:r>
      <w:r w:rsidR="004B5BD0" w:rsidRPr="00E11B6B">
        <w:rPr>
          <w:rFonts w:cs="Times New Roman"/>
          <w:szCs w:val="24"/>
        </w:rPr>
        <w:t>suger</w:t>
      </w:r>
      <w:r w:rsidR="004B5BD0">
        <w:rPr>
          <w:rFonts w:cs="Times New Roman"/>
          <w:szCs w:val="24"/>
        </w:rPr>
        <w:t>indo que, por meio da política de dividendos, as empresas atraem para si sua própria clientela, pois os investidores escolhem a empresa que irão investir sob o ponto de vista de melhor atenderem s</w:t>
      </w:r>
      <w:r w:rsidR="005035B7">
        <w:rPr>
          <w:rFonts w:cs="Times New Roman"/>
          <w:szCs w:val="24"/>
        </w:rPr>
        <w:t>uas expectativas.</w:t>
      </w:r>
    </w:p>
    <w:p w:rsidR="004B5BD0" w:rsidRDefault="00FA0A51" w:rsidP="00850F71">
      <w:pPr>
        <w:contextualSpacing/>
        <w:rPr>
          <w:rFonts w:cs="Times New Roman"/>
          <w:szCs w:val="24"/>
        </w:rPr>
      </w:pPr>
      <w:r>
        <w:rPr>
          <w:rFonts w:cs="Times New Roman"/>
          <w:szCs w:val="24"/>
        </w:rPr>
        <w:t>Tal abordagem é relatada pela literatura como Efeito Clientela</w:t>
      </w:r>
      <w:r w:rsidR="00EE1444">
        <w:rPr>
          <w:rFonts w:cs="Times New Roman"/>
          <w:szCs w:val="24"/>
        </w:rPr>
        <w:t xml:space="preserve">, </w:t>
      </w:r>
      <w:r w:rsidR="004B5BD0">
        <w:rPr>
          <w:rFonts w:cs="Times New Roman"/>
          <w:szCs w:val="24"/>
        </w:rPr>
        <w:t xml:space="preserve">evidenciado quando a </w:t>
      </w:r>
      <w:r w:rsidR="00850F71">
        <w:rPr>
          <w:rFonts w:cs="Times New Roman"/>
          <w:szCs w:val="24"/>
        </w:rPr>
        <w:t>frequência</w:t>
      </w:r>
      <w:r w:rsidR="004B5BD0">
        <w:rPr>
          <w:rFonts w:cs="Times New Roman"/>
          <w:szCs w:val="24"/>
        </w:rPr>
        <w:t xml:space="preserve"> na distribuição dos resultados corresponde às expectativas dos investidores (clientes) de tal forma que as empresas conseguem cativar para si determinados investido</w:t>
      </w:r>
      <w:r w:rsidR="00604F0D">
        <w:rPr>
          <w:rFonts w:cs="Times New Roman"/>
          <w:szCs w:val="24"/>
        </w:rPr>
        <w:t>re</w:t>
      </w:r>
      <w:r w:rsidR="004B5BD0">
        <w:rPr>
          <w:rFonts w:cs="Times New Roman"/>
          <w:szCs w:val="24"/>
        </w:rPr>
        <w:t>s que preferem um nível de dividendos que foram transmitidos pelas empresas ao mercado no passado (Pereira &amp; Vieira, 2016).</w:t>
      </w:r>
    </w:p>
    <w:p w:rsidR="007D67C0" w:rsidRDefault="00EE1444" w:rsidP="00850F71">
      <w:pPr>
        <w:contextualSpacing/>
        <w:rPr>
          <w:rFonts w:cs="Times New Roman"/>
          <w:szCs w:val="24"/>
        </w:rPr>
      </w:pPr>
      <w:r>
        <w:rPr>
          <w:rFonts w:cs="Times New Roman"/>
          <w:szCs w:val="24"/>
        </w:rPr>
        <w:t xml:space="preserve">Outra temática relacionada à Política de Dividendos é a </w:t>
      </w:r>
      <w:r w:rsidR="002A2B76" w:rsidRPr="002A2B76">
        <w:rPr>
          <w:rFonts w:cs="Times New Roman"/>
          <w:szCs w:val="24"/>
        </w:rPr>
        <w:t>Teoria de Agência</w:t>
      </w:r>
      <w:r w:rsidR="00FA0A51">
        <w:rPr>
          <w:rFonts w:cs="Times New Roman"/>
          <w:szCs w:val="24"/>
        </w:rPr>
        <w:t xml:space="preserve">, </w:t>
      </w:r>
      <w:r>
        <w:rPr>
          <w:rFonts w:cs="Times New Roman"/>
          <w:szCs w:val="24"/>
        </w:rPr>
        <w:t>a</w:t>
      </w:r>
      <w:r w:rsidR="002A2B76" w:rsidRPr="002A2B76">
        <w:rPr>
          <w:rFonts w:cs="Times New Roman"/>
          <w:szCs w:val="24"/>
        </w:rPr>
        <w:t>presentada pela primeira vez de forma mais abrangente por Je</w:t>
      </w:r>
      <w:r w:rsidR="00BD14CB">
        <w:rPr>
          <w:rFonts w:cs="Times New Roman"/>
          <w:szCs w:val="24"/>
        </w:rPr>
        <w:t>nsen e Meckling (1976) que fazendo</w:t>
      </w:r>
      <w:r w:rsidR="002A2B76" w:rsidRPr="002A2B76">
        <w:rPr>
          <w:rFonts w:cs="Times New Roman"/>
          <w:szCs w:val="24"/>
        </w:rPr>
        <w:t xml:space="preserve"> referência aos problemas de agência provenientes do conflito de i</w:t>
      </w:r>
      <w:r w:rsidR="002A2B76">
        <w:rPr>
          <w:rFonts w:cs="Times New Roman"/>
          <w:szCs w:val="24"/>
        </w:rPr>
        <w:t xml:space="preserve">nteresses entre os indivíduos. </w:t>
      </w:r>
      <w:r w:rsidR="007D67C0">
        <w:rPr>
          <w:rFonts w:cs="Times New Roman"/>
          <w:szCs w:val="24"/>
        </w:rPr>
        <w:t>O</w:t>
      </w:r>
      <w:r w:rsidR="007D67C0" w:rsidRPr="007D67C0">
        <w:rPr>
          <w:rFonts w:cs="Times New Roman"/>
          <w:szCs w:val="24"/>
        </w:rPr>
        <w:t xml:space="preserve"> problema central da Teoria da Agência é a possibilidade </w:t>
      </w:r>
      <w:r w:rsidR="00850F71" w:rsidRPr="007D67C0">
        <w:rPr>
          <w:rFonts w:cs="Times New Roman"/>
          <w:szCs w:val="24"/>
        </w:rPr>
        <w:t>de o</w:t>
      </w:r>
      <w:r w:rsidR="007D67C0" w:rsidRPr="007D67C0">
        <w:rPr>
          <w:rFonts w:cs="Times New Roman"/>
          <w:szCs w:val="24"/>
        </w:rPr>
        <w:t xml:space="preserve"> </w:t>
      </w:r>
      <w:r w:rsidR="007D67C0">
        <w:rPr>
          <w:rFonts w:cs="Times New Roman"/>
          <w:szCs w:val="24"/>
        </w:rPr>
        <w:t xml:space="preserve">gestor </w:t>
      </w:r>
      <w:r w:rsidR="007D67C0" w:rsidRPr="007D67C0">
        <w:rPr>
          <w:rFonts w:cs="Times New Roman"/>
          <w:szCs w:val="24"/>
        </w:rPr>
        <w:t>assumir um comportamento oportunista no tocante as suas ações e omissões, visando aumentar a sua satisfação pessoal. Nesse contexto, busca</w:t>
      </w:r>
      <w:r w:rsidR="007D67C0">
        <w:rPr>
          <w:rFonts w:cs="Times New Roman"/>
          <w:szCs w:val="24"/>
        </w:rPr>
        <w:t xml:space="preserve">-se definir </w:t>
      </w:r>
      <w:r w:rsidR="007D67C0" w:rsidRPr="007D67C0">
        <w:rPr>
          <w:rFonts w:cs="Times New Roman"/>
          <w:szCs w:val="24"/>
        </w:rPr>
        <w:t>incentivos que levam o agente a realizar o trabalho para o qual foi contratado, sem deixar de atender aos anseios do principal</w:t>
      </w:r>
      <w:r w:rsidR="00E11B6B">
        <w:rPr>
          <w:rFonts w:cs="Times New Roman"/>
          <w:szCs w:val="24"/>
        </w:rPr>
        <w:t>.</w:t>
      </w:r>
    </w:p>
    <w:p w:rsidR="00EB4DAF" w:rsidRDefault="007D67C0" w:rsidP="00850F71">
      <w:pPr>
        <w:contextualSpacing/>
        <w:rPr>
          <w:rFonts w:cs="Times New Roman"/>
          <w:szCs w:val="24"/>
        </w:rPr>
      </w:pPr>
      <w:r>
        <w:rPr>
          <w:rFonts w:cs="Times New Roman"/>
          <w:szCs w:val="24"/>
        </w:rPr>
        <w:t>Nessa perspectiva Jensen e Meckling (1976) defendem o aumento da dependência do salário dos gestores como uma função direta dos resultados alcançados pela empresa. Além disso, os autores indicam que a distribuição de dividendos também serve como controle sobre os gestores, pois diminuem a margem de manobra dos gestores</w:t>
      </w:r>
      <w:r w:rsidR="00246839">
        <w:rPr>
          <w:rFonts w:cs="Times New Roman"/>
          <w:szCs w:val="24"/>
        </w:rPr>
        <w:t>. Sendo assim, q</w:t>
      </w:r>
      <w:r w:rsidR="00246839" w:rsidRPr="00246839">
        <w:rPr>
          <w:rFonts w:cs="Times New Roman"/>
          <w:szCs w:val="24"/>
        </w:rPr>
        <w:t>uanto maiores os custos de agência, maiores devem ser os pagamentos de dividendos para</w:t>
      </w:r>
      <w:r w:rsidR="00246839">
        <w:rPr>
          <w:rFonts w:cs="Times New Roman"/>
          <w:szCs w:val="24"/>
        </w:rPr>
        <w:t xml:space="preserve"> </w:t>
      </w:r>
      <w:r w:rsidR="00246839" w:rsidRPr="00246839">
        <w:rPr>
          <w:rFonts w:cs="Times New Roman"/>
          <w:szCs w:val="24"/>
        </w:rPr>
        <w:t>redução de</w:t>
      </w:r>
      <w:r w:rsidR="00246839">
        <w:rPr>
          <w:rFonts w:cs="Times New Roman"/>
          <w:szCs w:val="24"/>
        </w:rPr>
        <w:t xml:space="preserve"> </w:t>
      </w:r>
      <w:r w:rsidR="00246839" w:rsidRPr="00246839">
        <w:rPr>
          <w:rFonts w:cs="Times New Roman"/>
          <w:szCs w:val="24"/>
        </w:rPr>
        <w:t>conflitos</w:t>
      </w:r>
      <w:r w:rsidR="00246839">
        <w:rPr>
          <w:rFonts w:cs="Times New Roman"/>
          <w:szCs w:val="24"/>
        </w:rPr>
        <w:t xml:space="preserve"> (Jensen &amp; Meckling, 1976; Rozeff, 1982)</w:t>
      </w:r>
      <w:r>
        <w:rPr>
          <w:rFonts w:cs="Times New Roman"/>
          <w:szCs w:val="24"/>
        </w:rPr>
        <w:t>.</w:t>
      </w:r>
    </w:p>
    <w:p w:rsidR="00EB4DAF" w:rsidRDefault="00EB4DAF" w:rsidP="00850F71">
      <w:pPr>
        <w:contextualSpacing/>
        <w:rPr>
          <w:rFonts w:cs="Times New Roman"/>
          <w:szCs w:val="24"/>
        </w:rPr>
      </w:pPr>
      <w:r w:rsidRPr="002D13BC">
        <w:rPr>
          <w:rFonts w:cs="Times New Roman"/>
          <w:szCs w:val="24"/>
        </w:rPr>
        <w:t>Pautada nos pressupostos da assimetria da informação, o qual gestores possuem mais informações sobre o futuro da empresa em relação ao mercado, podem utilizar tal fator para sinalizar expectativas futuras, a Teoria da Sinalização, preconizada por Miller e Rock (1985) parte da abordagem de expectativas racionais que, tanto os anúncios de dividendos quanto de financiamento das organizações fornecem informações ao mercado.</w:t>
      </w:r>
    </w:p>
    <w:p w:rsidR="00EB4DAF" w:rsidRDefault="00EB4DAF" w:rsidP="00850F71">
      <w:pPr>
        <w:contextualSpacing/>
        <w:rPr>
          <w:rFonts w:cs="Times New Roman"/>
          <w:szCs w:val="24"/>
        </w:rPr>
      </w:pPr>
      <w:r>
        <w:rPr>
          <w:rFonts w:cs="Times New Roman"/>
          <w:szCs w:val="24"/>
        </w:rPr>
        <w:t>Sob esta perspectiva, s</w:t>
      </w:r>
      <w:r w:rsidRPr="004139E8">
        <w:rPr>
          <w:rFonts w:cs="Times New Roman"/>
          <w:szCs w:val="24"/>
        </w:rPr>
        <w:t xml:space="preserve">e o montante do investimento e do financiamento externo for mantido fixo, o dividendo </w:t>
      </w:r>
      <w:r>
        <w:rPr>
          <w:rFonts w:cs="Times New Roman"/>
          <w:szCs w:val="24"/>
        </w:rPr>
        <w:t xml:space="preserve">pago em </w:t>
      </w:r>
      <w:r w:rsidRPr="004139E8">
        <w:rPr>
          <w:rFonts w:cs="Times New Roman"/>
          <w:szCs w:val="24"/>
        </w:rPr>
        <w:t>dinheiro pela empresa revela</w:t>
      </w:r>
      <w:r>
        <w:rPr>
          <w:rFonts w:cs="Times New Roman"/>
          <w:szCs w:val="24"/>
        </w:rPr>
        <w:t xml:space="preserve"> seu fluxo de caixa operacional, assim </w:t>
      </w:r>
      <w:r w:rsidRPr="004139E8">
        <w:rPr>
          <w:rFonts w:cs="Times New Roman"/>
          <w:szCs w:val="24"/>
        </w:rPr>
        <w:t xml:space="preserve">um dividendo maior do que o esperado revela um fluxo de caixa </w:t>
      </w:r>
      <w:r w:rsidR="00BD14CB">
        <w:rPr>
          <w:rFonts w:cs="Times New Roman"/>
          <w:szCs w:val="24"/>
        </w:rPr>
        <w:t xml:space="preserve">também </w:t>
      </w:r>
      <w:r w:rsidRPr="004139E8">
        <w:rPr>
          <w:rFonts w:cs="Times New Roman"/>
          <w:szCs w:val="24"/>
        </w:rPr>
        <w:t>maior do que o esperado</w:t>
      </w:r>
      <w:r w:rsidR="00BD14CB">
        <w:rPr>
          <w:rFonts w:cs="Times New Roman"/>
          <w:szCs w:val="24"/>
        </w:rPr>
        <w:t>,</w:t>
      </w:r>
      <w:r w:rsidRPr="004139E8">
        <w:rPr>
          <w:rFonts w:cs="Times New Roman"/>
          <w:szCs w:val="24"/>
        </w:rPr>
        <w:t xml:space="preserve"> </w:t>
      </w:r>
      <w:r>
        <w:rPr>
          <w:rFonts w:cs="Times New Roman"/>
          <w:szCs w:val="24"/>
        </w:rPr>
        <w:t xml:space="preserve">refletindo em um </w:t>
      </w:r>
      <w:r w:rsidRPr="004139E8">
        <w:rPr>
          <w:rFonts w:cs="Times New Roman"/>
          <w:szCs w:val="24"/>
        </w:rPr>
        <w:t>aumento</w:t>
      </w:r>
      <w:r>
        <w:rPr>
          <w:rFonts w:cs="Times New Roman"/>
          <w:szCs w:val="24"/>
        </w:rPr>
        <w:t xml:space="preserve"> no preço das </w:t>
      </w:r>
      <w:r w:rsidRPr="004139E8">
        <w:rPr>
          <w:rFonts w:cs="Times New Roman"/>
          <w:szCs w:val="24"/>
        </w:rPr>
        <w:t xml:space="preserve">ações. </w:t>
      </w:r>
      <w:r>
        <w:rPr>
          <w:rFonts w:cs="Times New Roman"/>
          <w:szCs w:val="24"/>
        </w:rPr>
        <w:t xml:space="preserve">Em </w:t>
      </w:r>
      <w:r w:rsidR="00850F71">
        <w:rPr>
          <w:rFonts w:cs="Times New Roman"/>
          <w:szCs w:val="24"/>
        </w:rPr>
        <w:t>contrapartida</w:t>
      </w:r>
      <w:r>
        <w:rPr>
          <w:rFonts w:cs="Times New Roman"/>
          <w:szCs w:val="24"/>
        </w:rPr>
        <w:t>, u</w:t>
      </w:r>
      <w:r w:rsidRPr="004139E8">
        <w:rPr>
          <w:rFonts w:cs="Times New Roman"/>
          <w:szCs w:val="24"/>
        </w:rPr>
        <w:t>m financiamento externo maior do que o esperado revela um fluxo de caixa inferior ao esperado, o que é uma má notícia para os investidores.</w:t>
      </w:r>
    </w:p>
    <w:p w:rsidR="00023613" w:rsidRDefault="00494E92" w:rsidP="00850F71">
      <w:pPr>
        <w:contextualSpacing/>
        <w:rPr>
          <w:rFonts w:cs="Times New Roman"/>
          <w:szCs w:val="24"/>
        </w:rPr>
      </w:pPr>
      <w:r>
        <w:rPr>
          <w:rFonts w:cs="Times New Roman"/>
          <w:szCs w:val="24"/>
        </w:rPr>
        <w:t xml:space="preserve">Outra abordagem dada à política de dividendos </w:t>
      </w:r>
      <w:r w:rsidR="00EB4DAF">
        <w:rPr>
          <w:rFonts w:cs="Times New Roman"/>
          <w:szCs w:val="24"/>
        </w:rPr>
        <w:t>est</w:t>
      </w:r>
      <w:r>
        <w:rPr>
          <w:rFonts w:cs="Times New Roman"/>
          <w:szCs w:val="24"/>
        </w:rPr>
        <w:t xml:space="preserve">á ancorada na teoria dada </w:t>
      </w:r>
      <w:r w:rsidR="00EB4DAF">
        <w:rPr>
          <w:rFonts w:cs="Times New Roman"/>
          <w:szCs w:val="24"/>
        </w:rPr>
        <w:t xml:space="preserve">hierarquização das fontes de financiamento das organizações evidenciada pela </w:t>
      </w:r>
      <w:r w:rsidR="00EB4DAF" w:rsidRPr="00EB4DAF">
        <w:rPr>
          <w:rFonts w:cs="Times New Roman"/>
          <w:i/>
          <w:szCs w:val="24"/>
        </w:rPr>
        <w:t>Pecking Order Theory</w:t>
      </w:r>
      <w:r w:rsidR="00EB4DAF">
        <w:rPr>
          <w:rFonts w:cs="Times New Roman"/>
          <w:szCs w:val="24"/>
        </w:rPr>
        <w:t xml:space="preserve"> (Myers e Majluf, 1984)</w:t>
      </w:r>
      <w:r>
        <w:rPr>
          <w:rFonts w:cs="Times New Roman"/>
          <w:szCs w:val="24"/>
        </w:rPr>
        <w:t xml:space="preserve">, o qual indica que </w:t>
      </w:r>
      <w:r w:rsidRPr="00494E92">
        <w:rPr>
          <w:rFonts w:cs="Times New Roman"/>
          <w:szCs w:val="24"/>
        </w:rPr>
        <w:t xml:space="preserve">as empresas tendem a consumir </w:t>
      </w:r>
      <w:r>
        <w:rPr>
          <w:rFonts w:cs="Times New Roman"/>
          <w:szCs w:val="24"/>
        </w:rPr>
        <w:t xml:space="preserve">a </w:t>
      </w:r>
      <w:r w:rsidRPr="00494E92">
        <w:rPr>
          <w:rFonts w:cs="Times New Roman"/>
          <w:szCs w:val="24"/>
        </w:rPr>
        <w:t xml:space="preserve">folga </w:t>
      </w:r>
      <w:r w:rsidRPr="00494E92">
        <w:rPr>
          <w:rFonts w:cs="Times New Roman"/>
          <w:szCs w:val="24"/>
        </w:rPr>
        <w:lastRenderedPageBreak/>
        <w:t>financeira antes de recorrer à alavancagem financeira por meio de empréstimos de dinheiro ou ainda por meio da emissão de novas ações</w:t>
      </w:r>
      <w:r w:rsidR="00EB4DAF">
        <w:rPr>
          <w:rFonts w:cs="Times New Roman"/>
          <w:szCs w:val="24"/>
        </w:rPr>
        <w:t xml:space="preserve">. Sob esta perspectiva, </w:t>
      </w:r>
      <w:r>
        <w:rPr>
          <w:rFonts w:cs="Times New Roman"/>
          <w:szCs w:val="24"/>
        </w:rPr>
        <w:t>os autores indicam que</w:t>
      </w:r>
      <w:r w:rsidR="00EB4DAF">
        <w:rPr>
          <w:rFonts w:cs="Times New Roman"/>
          <w:szCs w:val="24"/>
        </w:rPr>
        <w:t xml:space="preserve"> as empresas podem aumentar a folga financeira restringindo a distribuição de dividendos. Dessa forma, o valor que seria destinado à distribuição aos acionistas dará suporte às necessidades de financiamento e investimentos da organização.</w:t>
      </w:r>
    </w:p>
    <w:p w:rsidR="00EB4DAF" w:rsidRDefault="00EB4DAF" w:rsidP="00850F71">
      <w:pPr>
        <w:contextualSpacing/>
        <w:rPr>
          <w:rFonts w:cs="Times New Roman"/>
          <w:szCs w:val="24"/>
        </w:rPr>
      </w:pPr>
      <w:r>
        <w:rPr>
          <w:rFonts w:cs="Times New Roman"/>
          <w:szCs w:val="24"/>
        </w:rPr>
        <w:t>Por fim, a Teoria Residual propõe que os dividendos devem ser tratados como um resíduo, ou seja, deve ser distribuído aos seus acionistas somente após todas as alternativas de investimentos terem sido implementadas (Assaf Neto &amp; Lima, 2017)</w:t>
      </w:r>
      <w:r w:rsidR="00BD14CB">
        <w:rPr>
          <w:rFonts w:cs="Times New Roman"/>
          <w:szCs w:val="24"/>
        </w:rPr>
        <w:t>, pois</w:t>
      </w:r>
      <w:r>
        <w:rPr>
          <w:rFonts w:cs="Times New Roman"/>
          <w:szCs w:val="24"/>
        </w:rPr>
        <w:t xml:space="preserve"> e</w:t>
      </w:r>
      <w:r w:rsidRPr="00087354">
        <w:rPr>
          <w:rFonts w:cs="Times New Roman"/>
          <w:szCs w:val="24"/>
        </w:rPr>
        <w:t>sta distribuição diminui</w:t>
      </w:r>
      <w:r>
        <w:rPr>
          <w:rFonts w:cs="Times New Roman"/>
          <w:szCs w:val="24"/>
        </w:rPr>
        <w:t xml:space="preserve"> o volume de recursos disponíveis para os possíveis investimentos e farão com que as organizações captem recursos de fontes externas, sejam eles por meio do aumento no nível de endividamento ou por meio de emissão de novas ações (Almeida </w:t>
      </w:r>
      <w:r w:rsidRPr="007C5EAD">
        <w:rPr>
          <w:rFonts w:cs="Times New Roman"/>
          <w:i/>
          <w:szCs w:val="24"/>
        </w:rPr>
        <w:t>et al</w:t>
      </w:r>
      <w:r>
        <w:rPr>
          <w:rFonts w:cs="Times New Roman"/>
          <w:szCs w:val="24"/>
        </w:rPr>
        <w:t>., 2015).</w:t>
      </w:r>
    </w:p>
    <w:p w:rsidR="00FD6CED" w:rsidRDefault="00FD6CED" w:rsidP="00850F71">
      <w:pPr>
        <w:contextualSpacing/>
        <w:rPr>
          <w:rFonts w:cs="Times New Roman"/>
          <w:szCs w:val="24"/>
        </w:rPr>
      </w:pPr>
      <w:r>
        <w:rPr>
          <w:rFonts w:cs="Times New Roman"/>
          <w:szCs w:val="24"/>
        </w:rPr>
        <w:t>Em um contexto geral, Assaf Neto e Lima (2017) apontam que a definição de uma política de dividendos está relacionada diretamente com a maximização da riqueza de seus acionistas. Nesta concepção, para os autores a decisão de reter parte do lucro deve ser tomada quando as oportunidades de investimentos forem economicamente mais atraentes, caso contrário, serão considerados ociosos, e devem ser distribuídos aos acionistas.</w:t>
      </w:r>
    </w:p>
    <w:p w:rsidR="00825B9A" w:rsidRDefault="00FD6CED" w:rsidP="00850F71">
      <w:pPr>
        <w:rPr>
          <w:rFonts w:eastAsiaTheme="majorEastAsia"/>
        </w:rPr>
      </w:pPr>
      <w:r>
        <w:rPr>
          <w:rFonts w:cs="Times New Roman"/>
          <w:szCs w:val="24"/>
        </w:rPr>
        <w:t xml:space="preserve">Percebe-se pela literatura revisitada, uma diversificada gama de teorias que tentam explicar de forma prática as estratégias adotadas pelas organizações em relação </w:t>
      </w:r>
      <w:r w:rsidR="00BD14CB">
        <w:rPr>
          <w:rFonts w:cs="Times New Roman"/>
          <w:szCs w:val="24"/>
        </w:rPr>
        <w:t>às</w:t>
      </w:r>
      <w:r>
        <w:rPr>
          <w:rFonts w:cs="Times New Roman"/>
          <w:szCs w:val="24"/>
        </w:rPr>
        <w:t xml:space="preserve"> políticas de dividendos bem como seus respectivos efeitos</w:t>
      </w:r>
      <w:r w:rsidR="00BD14CB">
        <w:rPr>
          <w:rFonts w:cs="Times New Roman"/>
          <w:szCs w:val="24"/>
        </w:rPr>
        <w:t xml:space="preserve">. Isto </w:t>
      </w:r>
      <w:r w:rsidR="00DF3F7C">
        <w:rPr>
          <w:rFonts w:cs="Times New Roman"/>
          <w:szCs w:val="24"/>
        </w:rPr>
        <w:t xml:space="preserve">tem transformado o tema em um dos mais controversos em finanças corporativas, pois nenhuma das formulações tem sido capaz de estabelecer determinantes comuns entre as empresas quanto à deliberação de suas políticas. </w:t>
      </w:r>
      <w:r>
        <w:rPr>
          <w:rFonts w:cs="Times New Roman"/>
          <w:szCs w:val="24"/>
        </w:rPr>
        <w:t>Como desdobramento destas teorias</w:t>
      </w:r>
      <w:r w:rsidR="004B5BD0">
        <w:rPr>
          <w:rFonts w:cs="Times New Roman"/>
          <w:szCs w:val="24"/>
        </w:rPr>
        <w:t>, outros aspectos podem exercer influência sobre a política de dividendos das organizações, que serão discutidos a seguir.</w:t>
      </w:r>
    </w:p>
    <w:p w:rsidR="0019186C" w:rsidRPr="004B39B7" w:rsidRDefault="0019186C" w:rsidP="00850F71">
      <w:pPr>
        <w:ind w:firstLine="0"/>
        <w:rPr>
          <w:rStyle w:val="fontstyle01"/>
          <w:rFonts w:ascii="Times New Roman" w:hAnsi="Times New Roman" w:cs="Times New Roman"/>
          <w:color w:val="auto"/>
          <w:sz w:val="24"/>
          <w:szCs w:val="24"/>
        </w:rPr>
      </w:pPr>
    </w:p>
    <w:p w:rsidR="00D24D70" w:rsidRDefault="0008780A" w:rsidP="00850F71">
      <w:pPr>
        <w:ind w:firstLine="0"/>
        <w:rPr>
          <w:rFonts w:cs="Times New Roman"/>
          <w:szCs w:val="24"/>
        </w:rPr>
      </w:pPr>
      <w:r w:rsidRPr="004B39B7">
        <w:rPr>
          <w:rFonts w:cs="Times New Roman"/>
          <w:b/>
          <w:szCs w:val="24"/>
        </w:rPr>
        <w:t xml:space="preserve">2.2 </w:t>
      </w:r>
      <w:r w:rsidR="00825B9A">
        <w:rPr>
          <w:rFonts w:cs="Times New Roman"/>
          <w:b/>
          <w:szCs w:val="24"/>
        </w:rPr>
        <w:t>Determinantes da distribuição de dividendos</w:t>
      </w:r>
    </w:p>
    <w:p w:rsidR="004B3DED" w:rsidRDefault="004B3DED" w:rsidP="00850F71">
      <w:pPr>
        <w:rPr>
          <w:rFonts w:cs="Times New Roman"/>
          <w:szCs w:val="24"/>
        </w:rPr>
      </w:pPr>
      <w:r>
        <w:rPr>
          <w:rFonts w:cs="Times New Roman"/>
          <w:szCs w:val="24"/>
        </w:rPr>
        <w:t>Conforme destacado por Fort</w:t>
      </w:r>
      <w:r w:rsidR="001D10D0">
        <w:rPr>
          <w:rFonts w:cs="Times New Roman"/>
          <w:szCs w:val="24"/>
        </w:rPr>
        <w:t>i</w:t>
      </w:r>
      <w:r>
        <w:rPr>
          <w:rFonts w:cs="Times New Roman"/>
          <w:szCs w:val="24"/>
        </w:rPr>
        <w:t xml:space="preserve"> </w:t>
      </w:r>
      <w:r w:rsidRPr="004B3DED">
        <w:rPr>
          <w:rFonts w:cs="Times New Roman"/>
          <w:i/>
          <w:szCs w:val="24"/>
        </w:rPr>
        <w:t>et al</w:t>
      </w:r>
      <w:r>
        <w:rPr>
          <w:rFonts w:cs="Times New Roman"/>
          <w:szCs w:val="24"/>
        </w:rPr>
        <w:t xml:space="preserve">. (2015), </w:t>
      </w:r>
      <w:r w:rsidR="00850F71">
        <w:rPr>
          <w:rFonts w:cs="Times New Roman"/>
          <w:szCs w:val="24"/>
        </w:rPr>
        <w:t>os fatores que direcionam os gestores quanto à escolha de uma política de dividendos permanecem</w:t>
      </w:r>
      <w:r>
        <w:rPr>
          <w:rFonts w:cs="Times New Roman"/>
          <w:szCs w:val="24"/>
        </w:rPr>
        <w:t xml:space="preserve"> um tema inda em aberto. Neste sentido, a revisitação tanto da literatura nacional quanto internacional permite apresentar, de uma forma sintética, os fatores que podem contribuir para a definição de uma política de dividendo por parte das organizações.</w:t>
      </w:r>
    </w:p>
    <w:p w:rsidR="004D3F18" w:rsidRDefault="00F54652" w:rsidP="00850F71">
      <w:pPr>
        <w:rPr>
          <w:rFonts w:cs="Times New Roman"/>
          <w:szCs w:val="24"/>
        </w:rPr>
      </w:pPr>
      <w:r w:rsidRPr="00F54652">
        <w:rPr>
          <w:rFonts w:cs="Times New Roman"/>
          <w:szCs w:val="24"/>
        </w:rPr>
        <w:t xml:space="preserve">A literatura oferece </w:t>
      </w:r>
      <w:r>
        <w:rPr>
          <w:rFonts w:cs="Times New Roman"/>
          <w:szCs w:val="24"/>
        </w:rPr>
        <w:t xml:space="preserve">diversas alternativas para </w:t>
      </w:r>
      <w:r w:rsidR="00A27E14">
        <w:rPr>
          <w:rFonts w:cs="Times New Roman"/>
          <w:szCs w:val="24"/>
        </w:rPr>
        <w:t>normalização d</w:t>
      </w:r>
      <w:r>
        <w:rPr>
          <w:rFonts w:cs="Times New Roman"/>
          <w:szCs w:val="24"/>
        </w:rPr>
        <w:t xml:space="preserve">os dividendos, </w:t>
      </w:r>
      <w:r w:rsidRPr="00F54652">
        <w:rPr>
          <w:rFonts w:cs="Times New Roman"/>
          <w:szCs w:val="24"/>
        </w:rPr>
        <w:t>tais como dividendos sobre fluxos de caixa, dividendos sobre vendas e dividendos sobre o lucro líquido</w:t>
      </w:r>
      <w:r>
        <w:rPr>
          <w:rFonts w:cs="Times New Roman"/>
          <w:szCs w:val="24"/>
        </w:rPr>
        <w:t xml:space="preserve"> (</w:t>
      </w:r>
      <w:r w:rsidR="004D3F18" w:rsidRPr="00907AF0">
        <w:rPr>
          <w:rFonts w:cs="Times New Roman"/>
          <w:szCs w:val="24"/>
        </w:rPr>
        <w:t>Iquiapaza; Lamounier &amp; Amaral</w:t>
      </w:r>
      <w:r w:rsidR="004D3F18">
        <w:rPr>
          <w:rFonts w:cs="Times New Roman"/>
          <w:szCs w:val="24"/>
        </w:rPr>
        <w:t xml:space="preserve">, </w:t>
      </w:r>
      <w:r w:rsidR="004D3F18" w:rsidRPr="00907AF0">
        <w:rPr>
          <w:rFonts w:cs="Times New Roman"/>
          <w:szCs w:val="24"/>
        </w:rPr>
        <w:t>2008</w:t>
      </w:r>
      <w:r w:rsidR="004D3F18">
        <w:rPr>
          <w:rFonts w:cs="Times New Roman"/>
          <w:szCs w:val="24"/>
        </w:rPr>
        <w:t xml:space="preserve">; </w:t>
      </w:r>
      <w:r w:rsidR="004D3F18" w:rsidRPr="00494A2A">
        <w:rPr>
          <w:rFonts w:cs="Times New Roman"/>
          <w:szCs w:val="24"/>
        </w:rPr>
        <w:t>Vancin</w:t>
      </w:r>
      <w:r w:rsidR="004D3F18">
        <w:rPr>
          <w:rFonts w:cs="Times New Roman"/>
          <w:szCs w:val="24"/>
        </w:rPr>
        <w:t xml:space="preserve"> </w:t>
      </w:r>
      <w:r w:rsidR="004D3F18" w:rsidRPr="00494A2A">
        <w:rPr>
          <w:rFonts w:cs="Times New Roman"/>
          <w:szCs w:val="24"/>
        </w:rPr>
        <w:t>&amp; Procianoy, 2016</w:t>
      </w:r>
      <w:r w:rsidR="004D3F18">
        <w:rPr>
          <w:rFonts w:cs="Times New Roman"/>
          <w:szCs w:val="24"/>
        </w:rPr>
        <w:t xml:space="preserve">; </w:t>
      </w:r>
      <w:r w:rsidRPr="00F54652">
        <w:rPr>
          <w:rFonts w:cs="Times New Roman"/>
          <w:szCs w:val="24"/>
        </w:rPr>
        <w:t>Montalvan</w:t>
      </w:r>
      <w:r>
        <w:rPr>
          <w:rFonts w:cs="Times New Roman"/>
          <w:szCs w:val="24"/>
        </w:rPr>
        <w:t xml:space="preserve"> </w:t>
      </w:r>
      <w:r w:rsidRPr="00F54652">
        <w:rPr>
          <w:rFonts w:cs="Times New Roman"/>
          <w:i/>
          <w:szCs w:val="24"/>
        </w:rPr>
        <w:t>et al</w:t>
      </w:r>
      <w:r>
        <w:rPr>
          <w:rFonts w:cs="Times New Roman"/>
          <w:szCs w:val="24"/>
        </w:rPr>
        <w:t>., 2017)</w:t>
      </w:r>
      <w:r w:rsidRPr="00F54652">
        <w:rPr>
          <w:rFonts w:cs="Times New Roman"/>
          <w:szCs w:val="24"/>
        </w:rPr>
        <w:t>.</w:t>
      </w:r>
      <w:r>
        <w:rPr>
          <w:rFonts w:cs="Times New Roman"/>
          <w:szCs w:val="24"/>
        </w:rPr>
        <w:t xml:space="preserve"> </w:t>
      </w:r>
      <w:r w:rsidR="002A21C9">
        <w:rPr>
          <w:rFonts w:cs="Times New Roman"/>
          <w:szCs w:val="24"/>
        </w:rPr>
        <w:t>A variável dependente utilizada neste estudo foi mensurada pel</w:t>
      </w:r>
      <w:r w:rsidR="00907AF0">
        <w:rPr>
          <w:rFonts w:cs="Times New Roman"/>
          <w:szCs w:val="24"/>
        </w:rPr>
        <w:t xml:space="preserve">a soma dos </w:t>
      </w:r>
      <w:r w:rsidR="002A21C9">
        <w:rPr>
          <w:rFonts w:cs="Times New Roman"/>
          <w:szCs w:val="24"/>
        </w:rPr>
        <w:t>dividendos</w:t>
      </w:r>
      <w:r w:rsidR="00907AF0">
        <w:rPr>
          <w:rFonts w:cs="Times New Roman"/>
          <w:szCs w:val="24"/>
        </w:rPr>
        <w:t xml:space="preserve"> e dos juros sobre o capital próprio escalonado pelo </w:t>
      </w:r>
      <w:r w:rsidR="004D3F18">
        <w:rPr>
          <w:rFonts w:cs="Times New Roman"/>
          <w:szCs w:val="24"/>
        </w:rPr>
        <w:t>ativo total.</w:t>
      </w:r>
    </w:p>
    <w:p w:rsidR="00757FC9" w:rsidRDefault="00757FC9" w:rsidP="00850F71">
      <w:pPr>
        <w:rPr>
          <w:rFonts w:cs="Times New Roman"/>
          <w:szCs w:val="24"/>
        </w:rPr>
      </w:pPr>
      <w:r>
        <w:rPr>
          <w:rFonts w:cs="Times New Roman"/>
          <w:szCs w:val="24"/>
        </w:rPr>
        <w:t>Os determinantes da política de dividendos estabelecidos por esta pesquisa foram elencados a partir da revisitação tanto da literatura nacional quanto internacional. Sendo assim, como variáveis independentes, foram selecionados aqueles que vinculados ao desempenho econômico financeiro das organizações.</w:t>
      </w:r>
    </w:p>
    <w:p w:rsidR="00F54652" w:rsidRDefault="00F54652" w:rsidP="00850F71">
      <w:pPr>
        <w:rPr>
          <w:rFonts w:cs="Times New Roman"/>
          <w:szCs w:val="24"/>
        </w:rPr>
      </w:pPr>
      <w:r>
        <w:rPr>
          <w:rFonts w:cs="Times New Roman"/>
          <w:szCs w:val="24"/>
        </w:rPr>
        <w:t>Um dos fatores determinantes para a determinação da política de dividendos neste estudo foi a Rentabilidade, mensurado pel</w:t>
      </w:r>
      <w:r w:rsidR="0086490E">
        <w:rPr>
          <w:rFonts w:cs="Times New Roman"/>
          <w:szCs w:val="24"/>
        </w:rPr>
        <w:t>a Receita Operacional (</w:t>
      </w:r>
      <w:r>
        <w:rPr>
          <w:rFonts w:cs="Times New Roman"/>
          <w:szCs w:val="24"/>
        </w:rPr>
        <w:t>EBIT</w:t>
      </w:r>
      <w:r w:rsidR="0086490E">
        <w:rPr>
          <w:rFonts w:cs="Times New Roman"/>
          <w:szCs w:val="24"/>
        </w:rPr>
        <w:t xml:space="preserve"> - </w:t>
      </w:r>
      <w:r w:rsidRPr="00F54652">
        <w:rPr>
          <w:rFonts w:cs="Times New Roman"/>
          <w:i/>
          <w:szCs w:val="24"/>
        </w:rPr>
        <w:t>Earnings Before Interest and Taxes</w:t>
      </w:r>
      <w:r>
        <w:rPr>
          <w:rFonts w:cs="Times New Roman"/>
          <w:szCs w:val="24"/>
        </w:rPr>
        <w:t>) escalonado pelo Ativo Total.</w:t>
      </w:r>
      <w:r w:rsidR="0086490E">
        <w:rPr>
          <w:rFonts w:cs="Times New Roman"/>
          <w:szCs w:val="24"/>
        </w:rPr>
        <w:t xml:space="preserve"> A receita operacional reflete a disponibilidade de recursos </w:t>
      </w:r>
      <w:r w:rsidR="00757FC9">
        <w:rPr>
          <w:rFonts w:cs="Times New Roman"/>
          <w:szCs w:val="24"/>
        </w:rPr>
        <w:t xml:space="preserve">passíveis de alocação </w:t>
      </w:r>
      <w:r w:rsidR="0086490E">
        <w:rPr>
          <w:rFonts w:cs="Times New Roman"/>
          <w:szCs w:val="24"/>
        </w:rPr>
        <w:t xml:space="preserve">a novos investimentos. </w:t>
      </w:r>
      <w:r w:rsidR="00757FC9">
        <w:rPr>
          <w:rFonts w:cs="Times New Roman"/>
          <w:szCs w:val="24"/>
        </w:rPr>
        <w:t>Sendo a</w:t>
      </w:r>
      <w:r w:rsidRPr="00F54652">
        <w:rPr>
          <w:rFonts w:cs="Times New Roman"/>
          <w:szCs w:val="24"/>
        </w:rPr>
        <w:t>ssim, o aumento da eficiência operacional da empresa, medido através do EBIT, representa um aumento nos fluxos de caixa livres disponíveis, o que pode levar a um maior pagamento de dividendos, pelo que a relação esperada entre ambos é positiva</w:t>
      </w:r>
      <w:r w:rsidR="00D77208">
        <w:rPr>
          <w:rFonts w:cs="Times New Roman"/>
          <w:szCs w:val="24"/>
        </w:rPr>
        <w:t xml:space="preserve"> (</w:t>
      </w:r>
      <w:r w:rsidR="00D615BB">
        <w:rPr>
          <w:rFonts w:cs="Times New Roman"/>
          <w:szCs w:val="24"/>
        </w:rPr>
        <w:t xml:space="preserve">Fernandes &amp; Ribeiro, 2013; </w:t>
      </w:r>
      <w:r w:rsidR="00D77208">
        <w:rPr>
          <w:rFonts w:cs="Times New Roman"/>
          <w:szCs w:val="24"/>
        </w:rPr>
        <w:t xml:space="preserve">Almeida </w:t>
      </w:r>
      <w:r w:rsidR="00D77208" w:rsidRPr="00D615BB">
        <w:rPr>
          <w:rFonts w:cs="Times New Roman"/>
          <w:i/>
          <w:szCs w:val="24"/>
        </w:rPr>
        <w:t>et al</w:t>
      </w:r>
      <w:r w:rsidR="00D77208">
        <w:rPr>
          <w:rFonts w:cs="Times New Roman"/>
          <w:szCs w:val="24"/>
        </w:rPr>
        <w:t>., 2015;</w:t>
      </w:r>
      <w:r w:rsidR="00D77208" w:rsidRPr="00D77208">
        <w:rPr>
          <w:rFonts w:cs="Times New Roman"/>
          <w:szCs w:val="24"/>
          <w:shd w:val="clear" w:color="auto" w:fill="FFFFFF"/>
          <w:lang w:val="en-US"/>
        </w:rPr>
        <w:t xml:space="preserve"> </w:t>
      </w:r>
      <w:r w:rsidR="00D77208" w:rsidRPr="00100E66">
        <w:rPr>
          <w:rFonts w:cs="Times New Roman"/>
          <w:szCs w:val="24"/>
          <w:shd w:val="clear" w:color="auto" w:fill="FFFFFF"/>
          <w:lang w:val="en-US"/>
        </w:rPr>
        <w:t>Montalvan</w:t>
      </w:r>
      <w:r w:rsidR="00D77208">
        <w:rPr>
          <w:rFonts w:cs="Times New Roman"/>
          <w:szCs w:val="24"/>
          <w:shd w:val="clear" w:color="auto" w:fill="FFFFFF"/>
          <w:lang w:val="en-US"/>
        </w:rPr>
        <w:t xml:space="preserve"> </w:t>
      </w:r>
      <w:r w:rsidR="00D77208" w:rsidRPr="00D615BB">
        <w:rPr>
          <w:rFonts w:cs="Times New Roman"/>
          <w:i/>
          <w:szCs w:val="24"/>
          <w:shd w:val="clear" w:color="auto" w:fill="FFFFFF"/>
          <w:lang w:val="en-US"/>
        </w:rPr>
        <w:t>et al</w:t>
      </w:r>
      <w:r w:rsidR="00D77208" w:rsidRPr="00D24D70">
        <w:rPr>
          <w:rFonts w:cs="Times New Roman"/>
          <w:i/>
          <w:szCs w:val="24"/>
          <w:shd w:val="clear" w:color="auto" w:fill="FFFFFF"/>
          <w:lang w:val="en-US"/>
        </w:rPr>
        <w:t>.</w:t>
      </w:r>
      <w:r w:rsidR="00D77208">
        <w:rPr>
          <w:rFonts w:cs="Times New Roman"/>
          <w:szCs w:val="24"/>
          <w:shd w:val="clear" w:color="auto" w:fill="FFFFFF"/>
          <w:lang w:val="en-US"/>
        </w:rPr>
        <w:t xml:space="preserve"> 2017</w:t>
      </w:r>
      <w:r w:rsidR="00D77208">
        <w:rPr>
          <w:rFonts w:cs="Times New Roman"/>
          <w:szCs w:val="24"/>
        </w:rPr>
        <w:t>).</w:t>
      </w:r>
    </w:p>
    <w:p w:rsidR="00730297" w:rsidRDefault="003D1C30" w:rsidP="00850F71">
      <w:pPr>
        <w:rPr>
          <w:rFonts w:cs="Times New Roman"/>
          <w:szCs w:val="24"/>
        </w:rPr>
      </w:pPr>
      <w:r>
        <w:rPr>
          <w:rFonts w:cs="Times New Roman"/>
          <w:szCs w:val="24"/>
        </w:rPr>
        <w:lastRenderedPageBreak/>
        <w:t xml:space="preserve">Conforme Gupta e Banga (2010), uma empresa com alto índice de financiamento externo exigiria as disponibilidades de fluxo de caixa, ou seja, haveria uma forte posição de liquidez para atender às suas obrigações financeiras. Dessa forma, para aumentar a liquidez, espera-se que a empresa reduza seu pagamento de dividendos. Nesse contexto, espera-se uma relação positiva entre a liquidez da organização e a distribuição de dividendos (Gupta &amp; Banga, 2010; Forti </w:t>
      </w:r>
      <w:r w:rsidRPr="003D1C30">
        <w:rPr>
          <w:rFonts w:cs="Times New Roman"/>
          <w:i/>
          <w:szCs w:val="24"/>
        </w:rPr>
        <w:t>et al</w:t>
      </w:r>
      <w:r>
        <w:rPr>
          <w:rFonts w:cs="Times New Roman"/>
          <w:szCs w:val="24"/>
        </w:rPr>
        <w:t xml:space="preserve">., 2015; </w:t>
      </w:r>
      <w:r w:rsidRPr="003D1C30">
        <w:rPr>
          <w:rFonts w:cs="Times New Roman"/>
          <w:szCs w:val="24"/>
        </w:rPr>
        <w:t>Vancin</w:t>
      </w:r>
      <w:r>
        <w:rPr>
          <w:rFonts w:cs="Times New Roman"/>
          <w:szCs w:val="24"/>
        </w:rPr>
        <w:t xml:space="preserve"> &amp; </w:t>
      </w:r>
      <w:r w:rsidRPr="003D1C30">
        <w:rPr>
          <w:rFonts w:cs="Times New Roman"/>
          <w:szCs w:val="24"/>
        </w:rPr>
        <w:t>Procianoy</w:t>
      </w:r>
      <w:r>
        <w:rPr>
          <w:rFonts w:cs="Times New Roman"/>
          <w:szCs w:val="24"/>
        </w:rPr>
        <w:t>, 2016)</w:t>
      </w:r>
      <w:r w:rsidR="00964858">
        <w:rPr>
          <w:rFonts w:cs="Times New Roman"/>
          <w:szCs w:val="24"/>
        </w:rPr>
        <w:t>.</w:t>
      </w:r>
    </w:p>
    <w:p w:rsidR="009C7E80" w:rsidRDefault="001D10D0" w:rsidP="00850F71">
      <w:pPr>
        <w:rPr>
          <w:rFonts w:cs="Times New Roman"/>
          <w:szCs w:val="24"/>
        </w:rPr>
      </w:pPr>
      <w:r>
        <w:rPr>
          <w:rFonts w:cs="Times New Roman"/>
          <w:szCs w:val="24"/>
        </w:rPr>
        <w:t xml:space="preserve">O próximo destaque como determinante da política de pagamento de dividendos é o nível de endividamento. Conforme Montalvan </w:t>
      </w:r>
      <w:r w:rsidRPr="001D10D0">
        <w:rPr>
          <w:rFonts w:cs="Times New Roman"/>
          <w:i/>
          <w:szCs w:val="24"/>
        </w:rPr>
        <w:t>et al</w:t>
      </w:r>
      <w:r>
        <w:rPr>
          <w:rFonts w:cs="Times New Roman"/>
          <w:szCs w:val="24"/>
        </w:rPr>
        <w:t>. (2017), um alto nível de endividamento implica em um menor pagamento de dividendo devido ao fato de que o fluxo e caixa livre deve ser usado na liquidação das dívidas. Dessa forma, é de se esperar uma relação negativa entre o nível de endividamento da empresa e o pagamento de dividendos</w:t>
      </w:r>
      <w:r w:rsidR="00732C09">
        <w:rPr>
          <w:rFonts w:cs="Times New Roman"/>
          <w:szCs w:val="24"/>
        </w:rPr>
        <w:t xml:space="preserve"> (Gupta &amp; Banga, 2010; Forti </w:t>
      </w:r>
      <w:r w:rsidR="00732C09" w:rsidRPr="00732C09">
        <w:rPr>
          <w:rFonts w:cs="Times New Roman"/>
          <w:i/>
          <w:szCs w:val="24"/>
        </w:rPr>
        <w:t>et al</w:t>
      </w:r>
      <w:r w:rsidR="00732C09">
        <w:rPr>
          <w:rFonts w:cs="Times New Roman"/>
          <w:szCs w:val="24"/>
        </w:rPr>
        <w:t>., 2015)</w:t>
      </w:r>
      <w:r>
        <w:rPr>
          <w:rFonts w:cs="Times New Roman"/>
          <w:szCs w:val="24"/>
        </w:rPr>
        <w:t>.</w:t>
      </w:r>
      <w:r w:rsidR="00732C09">
        <w:rPr>
          <w:rFonts w:cs="Times New Roman"/>
          <w:szCs w:val="24"/>
        </w:rPr>
        <w:t xml:space="preserve"> </w:t>
      </w:r>
      <w:r w:rsidR="009C7E80" w:rsidRPr="009C7E80">
        <w:rPr>
          <w:rFonts w:cs="Times New Roman"/>
          <w:szCs w:val="24"/>
        </w:rPr>
        <w:t>Procianoy e Vancin (2014) destacam que, no Brasil, empresas endividadas tendem a pagar somente o mínimo obrigatório (legal) já que utilizam seus fluxos de caixa livre para o pagamento de suas dívidas.</w:t>
      </w:r>
    </w:p>
    <w:p w:rsidR="00907AF0" w:rsidRDefault="00F63322" w:rsidP="00850F71">
      <w:pPr>
        <w:rPr>
          <w:rFonts w:cs="Times New Roman"/>
          <w:szCs w:val="24"/>
        </w:rPr>
      </w:pPr>
      <w:r w:rsidRPr="00F63322">
        <w:rPr>
          <w:rFonts w:cs="Times New Roman"/>
          <w:szCs w:val="24"/>
        </w:rPr>
        <w:t xml:space="preserve">Iquiapaza </w:t>
      </w:r>
      <w:r w:rsidRPr="00F63322">
        <w:rPr>
          <w:rFonts w:cs="Times New Roman"/>
          <w:i/>
          <w:szCs w:val="24"/>
        </w:rPr>
        <w:t>et al</w:t>
      </w:r>
      <w:r w:rsidRPr="00F63322">
        <w:rPr>
          <w:rFonts w:cs="Times New Roman"/>
          <w:szCs w:val="24"/>
        </w:rPr>
        <w:t xml:space="preserve">. (2008) Montalvan </w:t>
      </w:r>
      <w:r w:rsidRPr="00F63322">
        <w:rPr>
          <w:rFonts w:cs="Times New Roman"/>
          <w:i/>
          <w:szCs w:val="24"/>
        </w:rPr>
        <w:t>et al</w:t>
      </w:r>
      <w:r w:rsidRPr="00F63322">
        <w:rPr>
          <w:rFonts w:cs="Times New Roman"/>
          <w:szCs w:val="24"/>
        </w:rPr>
        <w:t>. (2017) destacam que o tamanho tem um efeito positivo no pagamento de dividendos.</w:t>
      </w:r>
      <w:r>
        <w:rPr>
          <w:rFonts w:cs="Times New Roman"/>
          <w:szCs w:val="24"/>
        </w:rPr>
        <w:t xml:space="preserve"> Salsa (2010) destaca que a relação positiva entre o tamanho da empresa e o nível de dividendos distribuído pela mesma pode ser explicado aos custos de emissão de novas ações, dessa forma, empresas maiores tendem a uma política de dividendos mais generosos.</w:t>
      </w:r>
      <w:r w:rsidR="006B5AC0">
        <w:rPr>
          <w:rFonts w:cs="Times New Roman"/>
          <w:szCs w:val="24"/>
        </w:rPr>
        <w:t xml:space="preserve"> Nesse sentido espera-se uma relação positiva entre o tamanho da empresa e a distribuição de dividendos (Holanda &amp; Coelho, 2012; Forti </w:t>
      </w:r>
      <w:r w:rsidR="006B5AC0" w:rsidRPr="006B5AC0">
        <w:rPr>
          <w:rFonts w:cs="Times New Roman"/>
          <w:i/>
          <w:szCs w:val="24"/>
        </w:rPr>
        <w:t>et al</w:t>
      </w:r>
      <w:r w:rsidR="006B5AC0">
        <w:rPr>
          <w:rFonts w:cs="Times New Roman"/>
          <w:szCs w:val="24"/>
        </w:rPr>
        <w:t>., 2015).</w:t>
      </w:r>
    </w:p>
    <w:p w:rsidR="000B681D" w:rsidRDefault="00F63322" w:rsidP="00850F71">
      <w:r>
        <w:rPr>
          <w:rFonts w:cs="Times New Roman"/>
          <w:szCs w:val="24"/>
        </w:rPr>
        <w:t xml:space="preserve">No presente estudo, a variável tamanho foi mensurado pelo logaritmo neperiano (ln) do ativo total conforme pressupostos de </w:t>
      </w:r>
      <w:r w:rsidR="006B5AC0" w:rsidRPr="006D18A3">
        <w:t>Vancin</w:t>
      </w:r>
      <w:r w:rsidR="006B5AC0">
        <w:t xml:space="preserve"> e </w:t>
      </w:r>
      <w:r w:rsidR="006B5AC0" w:rsidRPr="006D18A3">
        <w:t>Procianoy</w:t>
      </w:r>
      <w:r w:rsidR="006B5AC0">
        <w:t xml:space="preserve"> (2016). Os autores recomendam a transformação desta variável em logaritmo para corrigir os efeitos de escala, tornando a variável homogênea.</w:t>
      </w:r>
    </w:p>
    <w:p w:rsidR="006A0410" w:rsidRDefault="000B681D" w:rsidP="00850F71">
      <w:r w:rsidRPr="000B681D">
        <w:t xml:space="preserve">Rerefente a variável que indica a lucratividade das empresas, utilizou-se neste estudo o Retorno sobre o Patrimônio Líquido (ROE – </w:t>
      </w:r>
      <w:r w:rsidRPr="006A0410">
        <w:rPr>
          <w:i/>
        </w:rPr>
        <w:t>Return on Equity</w:t>
      </w:r>
      <w:r w:rsidRPr="000B681D">
        <w:t>). Esse indicador financeiro representa quanto uma empresa consegue gerar de lucro em relação ao capital investido.</w:t>
      </w:r>
      <w:r w:rsidR="006A0410">
        <w:t xml:space="preserve"> Nesse sentido, espera-se uma relação positiva entre o ROE e o pagamento de dividendos. Tal relação está pautada nas observações de Vancin e Procianoy (2016) e Viana Júnior e Ponte (2016) de que empresas com maiores margens de lucratividade estão dispostas a distribuir </w:t>
      </w:r>
      <w:r w:rsidR="00757FC9">
        <w:t xml:space="preserve">um maior nível de </w:t>
      </w:r>
      <w:r w:rsidR="006A0410">
        <w:t>dividendos</w:t>
      </w:r>
      <w:r w:rsidR="00757FC9">
        <w:t xml:space="preserve"> aos seus acionistas</w:t>
      </w:r>
      <w:r w:rsidR="006A0410">
        <w:t>.</w:t>
      </w:r>
    </w:p>
    <w:p w:rsidR="00092B26" w:rsidRDefault="00757FC9" w:rsidP="00850F71">
      <w:pPr>
        <w:rPr>
          <w:rFonts w:cs="Times New Roman"/>
          <w:szCs w:val="24"/>
        </w:rPr>
      </w:pPr>
      <w:r>
        <w:rPr>
          <w:rFonts w:cs="Times New Roman"/>
          <w:szCs w:val="24"/>
        </w:rPr>
        <w:t>A</w:t>
      </w:r>
      <w:r w:rsidR="00092B26">
        <w:rPr>
          <w:rFonts w:cs="Times New Roman"/>
          <w:szCs w:val="24"/>
        </w:rPr>
        <w:t xml:space="preserve"> fim de analisar a constância na distribuição de dividendos, utilizou-se a distribuição de dividendos do exercício anterior conforme os pressupostos de Fernandes e Ribeiro (2013), Almeida </w:t>
      </w:r>
      <w:r w:rsidR="00092B26" w:rsidRPr="004626DE">
        <w:rPr>
          <w:rFonts w:cs="Times New Roman"/>
          <w:i/>
          <w:szCs w:val="24"/>
        </w:rPr>
        <w:t>et al</w:t>
      </w:r>
      <w:r w:rsidR="00092B26">
        <w:rPr>
          <w:rFonts w:cs="Times New Roman"/>
          <w:szCs w:val="24"/>
        </w:rPr>
        <w:t>. (2015) e Vancin e Procianoy (2016). Precursor nesta linha de investigação, Lintner (1956) apresentou em seu modelo a correlação entre o pagamento de dividendo passado e o pagamento de dividendo presente. Segundo este modelo, os gestores tendem a manter taxas constantes de pagamento de dividendos a fim de sinalizar ao mercado sua crença no desem</w:t>
      </w:r>
      <w:r w:rsidR="005035B7">
        <w:rPr>
          <w:rFonts w:cs="Times New Roman"/>
          <w:szCs w:val="24"/>
        </w:rPr>
        <w:t>penho favorável da organização.</w:t>
      </w:r>
    </w:p>
    <w:p w:rsidR="00092B26" w:rsidRDefault="00092B26" w:rsidP="00850F71">
      <w:pPr>
        <w:rPr>
          <w:rFonts w:cs="Times New Roman"/>
          <w:szCs w:val="24"/>
        </w:rPr>
      </w:pPr>
      <w:r>
        <w:rPr>
          <w:rFonts w:cs="Times New Roman"/>
          <w:szCs w:val="24"/>
        </w:rPr>
        <w:t xml:space="preserve">Vancin e Procianoy (2016) explicam que tal comportamento </w:t>
      </w:r>
      <w:r w:rsidR="00850F71">
        <w:rPr>
          <w:rFonts w:cs="Times New Roman"/>
          <w:szCs w:val="24"/>
        </w:rPr>
        <w:t>se deve</w:t>
      </w:r>
      <w:r w:rsidR="004E0C7F">
        <w:rPr>
          <w:rFonts w:cs="Times New Roman"/>
          <w:szCs w:val="24"/>
        </w:rPr>
        <w:t xml:space="preserve"> a implicação da hipótese de que o</w:t>
      </w:r>
      <w:r>
        <w:rPr>
          <w:rFonts w:cs="Times New Roman"/>
          <w:szCs w:val="24"/>
        </w:rPr>
        <w:t xml:space="preserve"> anuncio do pagamento e/ou alteração na política de dividendos </w:t>
      </w:r>
      <w:r w:rsidR="004E0C7F">
        <w:rPr>
          <w:rFonts w:cs="Times New Roman"/>
          <w:szCs w:val="24"/>
        </w:rPr>
        <w:t xml:space="preserve">por parte das organizações </w:t>
      </w:r>
      <w:r>
        <w:rPr>
          <w:rFonts w:cs="Times New Roman"/>
          <w:szCs w:val="24"/>
        </w:rPr>
        <w:t xml:space="preserve">pode causar uma reação no comportamento dos investidores, sendo assim, </w:t>
      </w:r>
      <w:r w:rsidRPr="00A27E14">
        <w:rPr>
          <w:rFonts w:cs="Times New Roman"/>
          <w:szCs w:val="24"/>
        </w:rPr>
        <w:t>gestores teriam incentivos a manter constantes os pagamentos de dividendos.</w:t>
      </w:r>
      <w:r>
        <w:rPr>
          <w:rFonts w:cs="Times New Roman"/>
          <w:szCs w:val="24"/>
        </w:rPr>
        <w:t xml:space="preserve"> Dessa forma, espera-se uma relação positiva entre os dividendos pagos no exercício anterior e o pagamento de dividendos no exercício presente (Fernandes &amp; Ribeiro, 2013; Vancin &amp; Procianoy, 2016)</w:t>
      </w:r>
      <w:r w:rsidR="00B41E4A">
        <w:rPr>
          <w:rFonts w:cs="Times New Roman"/>
          <w:szCs w:val="24"/>
        </w:rPr>
        <w:t>.</w:t>
      </w:r>
    </w:p>
    <w:p w:rsidR="00825B9A" w:rsidRDefault="00783B29" w:rsidP="00850F71">
      <w:r>
        <w:t>Diante das proposições observadas na literatura re</w:t>
      </w:r>
      <w:r w:rsidR="004E0C7F">
        <w:t>visitada, percebe-se que diversa</w:t>
      </w:r>
      <w:r>
        <w:t xml:space="preserve">s são </w:t>
      </w:r>
      <w:r w:rsidR="004E0C7F">
        <w:t>as teorias e f</w:t>
      </w:r>
      <w:r>
        <w:t xml:space="preserve">atores </w:t>
      </w:r>
      <w:r w:rsidR="004E0C7F">
        <w:t xml:space="preserve">que </w:t>
      </w:r>
      <w:r>
        <w:t xml:space="preserve">influenciam na política de dividendos das organizações. Nesse sentido, </w:t>
      </w:r>
      <w:r w:rsidR="004E0C7F">
        <w:lastRenderedPageBreak/>
        <w:t xml:space="preserve">espera-se com este estudo </w:t>
      </w:r>
      <w:r>
        <w:t>adicionar evidências acerca desta temática à literatura. Na próxima seção será apresento os procedimentos metodológicos.</w:t>
      </w:r>
    </w:p>
    <w:p w:rsidR="00023CAA" w:rsidRDefault="00023CAA" w:rsidP="00850F71">
      <w:pPr>
        <w:rPr>
          <w:rFonts w:cs="Times New Roman"/>
          <w:b/>
          <w:szCs w:val="24"/>
        </w:rPr>
      </w:pPr>
    </w:p>
    <w:p w:rsidR="00093BA6" w:rsidRDefault="003B059C" w:rsidP="00850F71">
      <w:pPr>
        <w:pStyle w:val="Ttulo1"/>
        <w:spacing w:before="0"/>
        <w:rPr>
          <w:rFonts w:cs="Times New Roman"/>
          <w:szCs w:val="24"/>
        </w:rPr>
      </w:pPr>
      <w:r w:rsidRPr="00430ED0">
        <w:rPr>
          <w:rFonts w:cs="Times New Roman"/>
          <w:szCs w:val="24"/>
        </w:rPr>
        <w:t>PROCEDIMENTOS METODOLÓ</w:t>
      </w:r>
      <w:r w:rsidR="00897ADF" w:rsidRPr="00430ED0">
        <w:rPr>
          <w:rFonts w:cs="Times New Roman"/>
          <w:szCs w:val="24"/>
        </w:rPr>
        <w:t>GI</w:t>
      </w:r>
      <w:r w:rsidRPr="00430ED0">
        <w:rPr>
          <w:rFonts w:cs="Times New Roman"/>
          <w:szCs w:val="24"/>
        </w:rPr>
        <w:t>COS</w:t>
      </w:r>
    </w:p>
    <w:p w:rsidR="001D530D" w:rsidRDefault="001C2446" w:rsidP="00850F71">
      <w:pPr>
        <w:rPr>
          <w:szCs w:val="24"/>
        </w:rPr>
      </w:pPr>
      <w:r w:rsidRPr="00C31AC4">
        <w:rPr>
          <w:szCs w:val="24"/>
        </w:rPr>
        <w:t xml:space="preserve">A fim de </w:t>
      </w:r>
      <w:r w:rsidR="001D530D">
        <w:rPr>
          <w:rFonts w:cs="Times New Roman"/>
          <w:szCs w:val="24"/>
        </w:rPr>
        <w:t xml:space="preserve">investigar os determinantes da política de dividendos em empresas brasileiras </w:t>
      </w:r>
      <w:r w:rsidRPr="001C2446">
        <w:rPr>
          <w:szCs w:val="24"/>
        </w:rPr>
        <w:t>realizou-se uma pesquisa descritiva, com</w:t>
      </w:r>
      <w:r>
        <w:rPr>
          <w:szCs w:val="24"/>
        </w:rPr>
        <w:t xml:space="preserve"> </w:t>
      </w:r>
      <w:r w:rsidRPr="001C2446">
        <w:rPr>
          <w:szCs w:val="24"/>
        </w:rPr>
        <w:t>abordagem quantitativa, por meio de pesquisa documental.</w:t>
      </w:r>
      <w:r w:rsidR="001D530D">
        <w:rPr>
          <w:szCs w:val="24"/>
        </w:rPr>
        <w:t xml:space="preserve"> </w:t>
      </w:r>
      <w:r w:rsidRPr="008366F6">
        <w:rPr>
          <w:szCs w:val="24"/>
        </w:rPr>
        <w:t xml:space="preserve">A população da pesquisa foi composta </w:t>
      </w:r>
      <w:r>
        <w:rPr>
          <w:szCs w:val="24"/>
        </w:rPr>
        <w:t>pela</w:t>
      </w:r>
      <w:r w:rsidR="001D530D">
        <w:rPr>
          <w:szCs w:val="24"/>
        </w:rPr>
        <w:t>s</w:t>
      </w:r>
      <w:r>
        <w:rPr>
          <w:szCs w:val="24"/>
        </w:rPr>
        <w:t xml:space="preserve"> </w:t>
      </w:r>
      <w:r w:rsidRPr="008366F6">
        <w:rPr>
          <w:szCs w:val="24"/>
        </w:rPr>
        <w:t xml:space="preserve">empresas de capital aberto </w:t>
      </w:r>
      <w:r>
        <w:rPr>
          <w:szCs w:val="24"/>
        </w:rPr>
        <w:t xml:space="preserve">ativas </w:t>
      </w:r>
      <w:r w:rsidR="00023CAA">
        <w:rPr>
          <w:szCs w:val="24"/>
        </w:rPr>
        <w:t xml:space="preserve">em </w:t>
      </w:r>
      <w:r>
        <w:rPr>
          <w:szCs w:val="24"/>
        </w:rPr>
        <w:t>2017</w:t>
      </w:r>
      <w:r w:rsidR="00023CAA">
        <w:rPr>
          <w:szCs w:val="24"/>
        </w:rPr>
        <w:t>,</w:t>
      </w:r>
      <w:r>
        <w:rPr>
          <w:szCs w:val="24"/>
        </w:rPr>
        <w:t xml:space="preserve"> </w:t>
      </w:r>
      <w:r w:rsidRPr="008366F6">
        <w:rPr>
          <w:szCs w:val="24"/>
        </w:rPr>
        <w:t>listadas na</w:t>
      </w:r>
      <w:r>
        <w:rPr>
          <w:szCs w:val="24"/>
        </w:rPr>
        <w:t xml:space="preserve"> </w:t>
      </w:r>
      <w:r w:rsidR="001D530D">
        <w:rPr>
          <w:szCs w:val="24"/>
        </w:rPr>
        <w:t xml:space="preserve">BM&amp;FBovespa. </w:t>
      </w:r>
      <w:r w:rsidRPr="008366F6">
        <w:rPr>
          <w:szCs w:val="24"/>
        </w:rPr>
        <w:t xml:space="preserve">Para </w:t>
      </w:r>
      <w:r>
        <w:rPr>
          <w:szCs w:val="24"/>
        </w:rPr>
        <w:t>compor a amostra</w:t>
      </w:r>
      <w:r w:rsidRPr="008366F6">
        <w:rPr>
          <w:szCs w:val="24"/>
        </w:rPr>
        <w:t>, foram excluídas as empresas qu</w:t>
      </w:r>
      <w:r>
        <w:rPr>
          <w:szCs w:val="24"/>
        </w:rPr>
        <w:t xml:space="preserve">e atuam no segmento financeiro </w:t>
      </w:r>
      <w:r w:rsidRPr="008366F6">
        <w:rPr>
          <w:szCs w:val="24"/>
        </w:rPr>
        <w:t xml:space="preserve">por apresentarem características particulares, </w:t>
      </w:r>
      <w:r w:rsidR="00B1142A">
        <w:rPr>
          <w:szCs w:val="24"/>
        </w:rPr>
        <w:t xml:space="preserve">as empresas que apresentaram Patrimônio Líquido (PL) negativo, pois impacta na composição do índice de rentabilidade, </w:t>
      </w:r>
      <w:r w:rsidRPr="008366F6">
        <w:rPr>
          <w:szCs w:val="24"/>
        </w:rPr>
        <w:t xml:space="preserve">bem como aquelas que não dispunham de informações </w:t>
      </w:r>
      <w:r w:rsidR="00023CAA">
        <w:rPr>
          <w:szCs w:val="24"/>
        </w:rPr>
        <w:t xml:space="preserve">na base de dados </w:t>
      </w:r>
      <w:r w:rsidR="001D530D">
        <w:rPr>
          <w:szCs w:val="24"/>
        </w:rPr>
        <w:t>Economática</w:t>
      </w:r>
      <w:r w:rsidR="00023CAA" w:rsidRPr="00023CAA">
        <w:rPr>
          <w:szCs w:val="24"/>
          <w:vertAlign w:val="superscript"/>
        </w:rPr>
        <w:t>®</w:t>
      </w:r>
      <w:r w:rsidR="00023CAA">
        <w:rPr>
          <w:szCs w:val="24"/>
        </w:rPr>
        <w:t xml:space="preserve"> </w:t>
      </w:r>
      <w:r w:rsidRPr="008366F6">
        <w:rPr>
          <w:szCs w:val="24"/>
        </w:rPr>
        <w:t xml:space="preserve">para cálculo </w:t>
      </w:r>
      <w:r>
        <w:rPr>
          <w:szCs w:val="24"/>
        </w:rPr>
        <w:t>d</w:t>
      </w:r>
      <w:r w:rsidRPr="008366F6">
        <w:rPr>
          <w:szCs w:val="24"/>
        </w:rPr>
        <w:t xml:space="preserve">as variáveis </w:t>
      </w:r>
      <w:r>
        <w:rPr>
          <w:szCs w:val="24"/>
        </w:rPr>
        <w:t xml:space="preserve">ao longo de todo </w:t>
      </w:r>
      <w:r w:rsidR="00023CAA">
        <w:rPr>
          <w:szCs w:val="24"/>
        </w:rPr>
        <w:t>o período estudado, compreendido entre os anos de 20</w:t>
      </w:r>
      <w:r w:rsidR="001D530D">
        <w:rPr>
          <w:szCs w:val="24"/>
        </w:rPr>
        <w:t>10</w:t>
      </w:r>
      <w:r w:rsidR="00023CAA">
        <w:rPr>
          <w:szCs w:val="24"/>
        </w:rPr>
        <w:t xml:space="preserve"> a 2016</w:t>
      </w:r>
      <w:r>
        <w:rPr>
          <w:szCs w:val="24"/>
        </w:rPr>
        <w:t>.</w:t>
      </w:r>
      <w:r w:rsidR="001D530D">
        <w:rPr>
          <w:szCs w:val="24"/>
        </w:rPr>
        <w:t xml:space="preserve"> A Tabela 1 apresenta a síntese da amostra do estudo.</w:t>
      </w:r>
    </w:p>
    <w:p w:rsidR="005C64D5" w:rsidRDefault="005C64D5" w:rsidP="00850F71">
      <w:pPr>
        <w:rPr>
          <w:szCs w:val="24"/>
        </w:rPr>
      </w:pPr>
    </w:p>
    <w:p w:rsidR="005C64D5" w:rsidRPr="00B1142A" w:rsidRDefault="00B1142A" w:rsidP="00850F71">
      <w:pPr>
        <w:ind w:firstLine="0"/>
        <w:rPr>
          <w:b/>
          <w:szCs w:val="24"/>
        </w:rPr>
      </w:pPr>
      <w:r w:rsidRPr="00B1142A">
        <w:rPr>
          <w:b/>
          <w:szCs w:val="24"/>
        </w:rPr>
        <w:t>Tabela 1 – Amostra da pesquisa</w:t>
      </w:r>
    </w:p>
    <w:tbl>
      <w:tblPr>
        <w:tblStyle w:val="Tabelacomgrade"/>
        <w:tblW w:w="4961" w:type="pct"/>
        <w:tblBorders>
          <w:insideH w:val="single" w:sz="4" w:space="0" w:color="auto"/>
          <w:insideV w:val="single" w:sz="4" w:space="0" w:color="auto"/>
        </w:tblBorders>
        <w:tblLook w:val="04A0" w:firstRow="1" w:lastRow="0" w:firstColumn="1" w:lastColumn="0" w:noHBand="0" w:noVBand="1"/>
      </w:tblPr>
      <w:tblGrid>
        <w:gridCol w:w="1637"/>
        <w:gridCol w:w="818"/>
        <w:gridCol w:w="818"/>
        <w:gridCol w:w="818"/>
        <w:gridCol w:w="817"/>
        <w:gridCol w:w="815"/>
        <w:gridCol w:w="815"/>
        <w:gridCol w:w="815"/>
        <w:gridCol w:w="1647"/>
      </w:tblGrid>
      <w:tr w:rsidR="00B1142A" w:rsidRPr="00B1142A" w:rsidTr="00850F71">
        <w:trPr>
          <w:trHeight w:val="20"/>
        </w:trPr>
        <w:tc>
          <w:tcPr>
            <w:tcW w:w="909" w:type="pct"/>
            <w:vAlign w:val="center"/>
          </w:tcPr>
          <w:p w:rsidR="005C64D5" w:rsidRPr="00B1142A" w:rsidRDefault="005C64D5" w:rsidP="00850F71">
            <w:pPr>
              <w:ind w:firstLine="0"/>
              <w:jc w:val="center"/>
              <w:rPr>
                <w:rFonts w:cs="Times New Roman"/>
                <w:b/>
                <w:sz w:val="20"/>
                <w:szCs w:val="20"/>
              </w:rPr>
            </w:pPr>
            <w:r w:rsidRPr="00B1142A">
              <w:rPr>
                <w:rFonts w:cs="Times New Roman"/>
                <w:b/>
                <w:sz w:val="20"/>
                <w:szCs w:val="20"/>
              </w:rPr>
              <w:t>Descrição</w:t>
            </w:r>
          </w:p>
        </w:tc>
        <w:tc>
          <w:tcPr>
            <w:tcW w:w="454" w:type="pct"/>
            <w:vAlign w:val="center"/>
          </w:tcPr>
          <w:p w:rsidR="005C64D5" w:rsidRPr="00B1142A" w:rsidRDefault="005C64D5" w:rsidP="00850F71">
            <w:pPr>
              <w:ind w:firstLine="0"/>
              <w:jc w:val="center"/>
              <w:rPr>
                <w:rFonts w:cs="Times New Roman"/>
                <w:b/>
                <w:sz w:val="20"/>
                <w:szCs w:val="20"/>
              </w:rPr>
            </w:pPr>
            <w:r w:rsidRPr="00B1142A">
              <w:rPr>
                <w:rFonts w:cs="Times New Roman"/>
                <w:b/>
                <w:sz w:val="20"/>
                <w:szCs w:val="20"/>
              </w:rPr>
              <w:t>2010</w:t>
            </w:r>
          </w:p>
        </w:tc>
        <w:tc>
          <w:tcPr>
            <w:tcW w:w="454" w:type="pct"/>
            <w:vAlign w:val="center"/>
          </w:tcPr>
          <w:p w:rsidR="005C64D5" w:rsidRPr="00B1142A" w:rsidRDefault="005C64D5" w:rsidP="00850F71">
            <w:pPr>
              <w:ind w:firstLine="0"/>
              <w:jc w:val="center"/>
              <w:rPr>
                <w:rFonts w:cs="Times New Roman"/>
                <w:b/>
                <w:sz w:val="20"/>
                <w:szCs w:val="20"/>
              </w:rPr>
            </w:pPr>
            <w:r w:rsidRPr="00B1142A">
              <w:rPr>
                <w:rFonts w:cs="Times New Roman"/>
                <w:b/>
                <w:sz w:val="20"/>
                <w:szCs w:val="20"/>
              </w:rPr>
              <w:t>2011</w:t>
            </w:r>
          </w:p>
        </w:tc>
        <w:tc>
          <w:tcPr>
            <w:tcW w:w="454" w:type="pct"/>
            <w:vAlign w:val="center"/>
          </w:tcPr>
          <w:p w:rsidR="005C64D5" w:rsidRPr="00B1142A" w:rsidRDefault="005C64D5" w:rsidP="00850F71">
            <w:pPr>
              <w:ind w:firstLine="0"/>
              <w:jc w:val="center"/>
              <w:rPr>
                <w:rFonts w:cs="Times New Roman"/>
                <w:b/>
                <w:sz w:val="20"/>
                <w:szCs w:val="20"/>
              </w:rPr>
            </w:pPr>
            <w:r w:rsidRPr="00B1142A">
              <w:rPr>
                <w:rFonts w:cs="Times New Roman"/>
                <w:b/>
                <w:sz w:val="20"/>
                <w:szCs w:val="20"/>
              </w:rPr>
              <w:t>2012</w:t>
            </w:r>
          </w:p>
        </w:tc>
        <w:tc>
          <w:tcPr>
            <w:tcW w:w="454" w:type="pct"/>
            <w:vAlign w:val="center"/>
          </w:tcPr>
          <w:p w:rsidR="005C64D5" w:rsidRPr="00B1142A" w:rsidRDefault="005C64D5" w:rsidP="00850F71">
            <w:pPr>
              <w:ind w:firstLine="0"/>
              <w:jc w:val="center"/>
              <w:rPr>
                <w:rFonts w:cs="Times New Roman"/>
                <w:b/>
                <w:sz w:val="20"/>
                <w:szCs w:val="20"/>
              </w:rPr>
            </w:pPr>
            <w:r w:rsidRPr="00B1142A">
              <w:rPr>
                <w:rFonts w:cs="Times New Roman"/>
                <w:b/>
                <w:sz w:val="20"/>
                <w:szCs w:val="20"/>
              </w:rPr>
              <w:t>2013</w:t>
            </w:r>
          </w:p>
        </w:tc>
        <w:tc>
          <w:tcPr>
            <w:tcW w:w="453" w:type="pct"/>
            <w:vAlign w:val="center"/>
          </w:tcPr>
          <w:p w:rsidR="005C64D5" w:rsidRPr="00B1142A" w:rsidRDefault="005C64D5" w:rsidP="00850F71">
            <w:pPr>
              <w:ind w:firstLine="0"/>
              <w:jc w:val="center"/>
              <w:rPr>
                <w:rFonts w:cs="Times New Roman"/>
                <w:b/>
                <w:sz w:val="20"/>
                <w:szCs w:val="20"/>
              </w:rPr>
            </w:pPr>
            <w:r w:rsidRPr="00B1142A">
              <w:rPr>
                <w:rFonts w:cs="Times New Roman"/>
                <w:b/>
                <w:sz w:val="20"/>
                <w:szCs w:val="20"/>
              </w:rPr>
              <w:t>2014</w:t>
            </w:r>
          </w:p>
        </w:tc>
        <w:tc>
          <w:tcPr>
            <w:tcW w:w="453" w:type="pct"/>
            <w:vAlign w:val="center"/>
          </w:tcPr>
          <w:p w:rsidR="005C64D5" w:rsidRPr="00B1142A" w:rsidRDefault="005C64D5" w:rsidP="00850F71">
            <w:pPr>
              <w:ind w:firstLine="0"/>
              <w:jc w:val="center"/>
              <w:rPr>
                <w:rFonts w:cs="Times New Roman"/>
                <w:b/>
                <w:sz w:val="20"/>
                <w:szCs w:val="20"/>
              </w:rPr>
            </w:pPr>
            <w:r w:rsidRPr="00B1142A">
              <w:rPr>
                <w:rFonts w:cs="Times New Roman"/>
                <w:b/>
                <w:sz w:val="20"/>
                <w:szCs w:val="20"/>
              </w:rPr>
              <w:t>2015</w:t>
            </w:r>
          </w:p>
        </w:tc>
        <w:tc>
          <w:tcPr>
            <w:tcW w:w="453" w:type="pct"/>
            <w:vAlign w:val="center"/>
          </w:tcPr>
          <w:p w:rsidR="005C64D5" w:rsidRPr="00B1142A" w:rsidRDefault="005C64D5" w:rsidP="00850F71">
            <w:pPr>
              <w:ind w:firstLine="0"/>
              <w:jc w:val="center"/>
              <w:rPr>
                <w:rFonts w:cs="Times New Roman"/>
                <w:b/>
                <w:sz w:val="20"/>
                <w:szCs w:val="20"/>
              </w:rPr>
            </w:pPr>
            <w:r w:rsidRPr="00B1142A">
              <w:rPr>
                <w:rFonts w:cs="Times New Roman"/>
                <w:b/>
                <w:sz w:val="20"/>
                <w:szCs w:val="20"/>
              </w:rPr>
              <w:t>2016</w:t>
            </w:r>
          </w:p>
        </w:tc>
        <w:tc>
          <w:tcPr>
            <w:tcW w:w="915" w:type="pct"/>
            <w:vAlign w:val="center"/>
          </w:tcPr>
          <w:p w:rsidR="005C64D5" w:rsidRPr="00B1142A" w:rsidRDefault="005C64D5" w:rsidP="00850F71">
            <w:pPr>
              <w:ind w:firstLine="0"/>
              <w:jc w:val="center"/>
              <w:rPr>
                <w:rFonts w:cs="Times New Roman"/>
                <w:b/>
                <w:sz w:val="20"/>
                <w:szCs w:val="20"/>
              </w:rPr>
            </w:pPr>
            <w:r w:rsidRPr="00B1142A">
              <w:rPr>
                <w:rFonts w:cs="Times New Roman"/>
                <w:b/>
                <w:sz w:val="20"/>
                <w:szCs w:val="20"/>
              </w:rPr>
              <w:t>Observações</w:t>
            </w:r>
          </w:p>
        </w:tc>
      </w:tr>
      <w:tr w:rsidR="00B1142A" w:rsidRPr="00B1142A" w:rsidTr="00850F71">
        <w:trPr>
          <w:trHeight w:val="20"/>
        </w:trPr>
        <w:tc>
          <w:tcPr>
            <w:tcW w:w="909" w:type="pct"/>
            <w:vAlign w:val="center"/>
          </w:tcPr>
          <w:p w:rsidR="005C64D5" w:rsidRPr="00B1142A" w:rsidRDefault="005C64D5" w:rsidP="00850F71">
            <w:pPr>
              <w:ind w:firstLine="0"/>
              <w:jc w:val="center"/>
              <w:rPr>
                <w:rFonts w:cs="Times New Roman"/>
                <w:sz w:val="20"/>
                <w:szCs w:val="20"/>
              </w:rPr>
            </w:pPr>
            <w:r w:rsidRPr="00B1142A">
              <w:rPr>
                <w:rFonts w:cs="Times New Roman"/>
                <w:sz w:val="20"/>
                <w:szCs w:val="20"/>
              </w:rPr>
              <w:t>População</w:t>
            </w:r>
          </w:p>
        </w:tc>
        <w:tc>
          <w:tcPr>
            <w:tcW w:w="454" w:type="pct"/>
            <w:vAlign w:val="center"/>
          </w:tcPr>
          <w:p w:rsidR="005C64D5" w:rsidRPr="00B1142A" w:rsidRDefault="005C64D5" w:rsidP="00850F71">
            <w:pPr>
              <w:ind w:firstLine="0"/>
              <w:jc w:val="center"/>
              <w:rPr>
                <w:rFonts w:cs="Times New Roman"/>
                <w:sz w:val="20"/>
                <w:szCs w:val="20"/>
              </w:rPr>
            </w:pPr>
            <w:r w:rsidRPr="00B1142A">
              <w:rPr>
                <w:rFonts w:cs="Times New Roman"/>
                <w:sz w:val="20"/>
                <w:szCs w:val="20"/>
              </w:rPr>
              <w:t>458</w:t>
            </w:r>
          </w:p>
        </w:tc>
        <w:tc>
          <w:tcPr>
            <w:tcW w:w="454" w:type="pct"/>
            <w:vAlign w:val="center"/>
          </w:tcPr>
          <w:p w:rsidR="005C64D5" w:rsidRPr="00B1142A" w:rsidRDefault="005C64D5" w:rsidP="00850F71">
            <w:pPr>
              <w:ind w:firstLine="0"/>
              <w:jc w:val="center"/>
              <w:rPr>
                <w:rFonts w:cs="Times New Roman"/>
                <w:sz w:val="20"/>
                <w:szCs w:val="20"/>
              </w:rPr>
            </w:pPr>
            <w:r w:rsidRPr="00B1142A">
              <w:rPr>
                <w:rFonts w:cs="Times New Roman"/>
                <w:sz w:val="20"/>
                <w:szCs w:val="20"/>
              </w:rPr>
              <w:t>458</w:t>
            </w:r>
          </w:p>
        </w:tc>
        <w:tc>
          <w:tcPr>
            <w:tcW w:w="454" w:type="pct"/>
            <w:vAlign w:val="center"/>
          </w:tcPr>
          <w:p w:rsidR="005C64D5" w:rsidRPr="00B1142A" w:rsidRDefault="005C64D5" w:rsidP="00850F71">
            <w:pPr>
              <w:ind w:firstLine="0"/>
              <w:jc w:val="center"/>
              <w:rPr>
                <w:rFonts w:cs="Times New Roman"/>
                <w:sz w:val="20"/>
                <w:szCs w:val="20"/>
              </w:rPr>
            </w:pPr>
            <w:r w:rsidRPr="00B1142A">
              <w:rPr>
                <w:rFonts w:cs="Times New Roman"/>
                <w:sz w:val="20"/>
                <w:szCs w:val="20"/>
              </w:rPr>
              <w:t>458</w:t>
            </w:r>
          </w:p>
        </w:tc>
        <w:tc>
          <w:tcPr>
            <w:tcW w:w="454" w:type="pct"/>
            <w:vAlign w:val="center"/>
          </w:tcPr>
          <w:p w:rsidR="005C64D5" w:rsidRPr="00B1142A" w:rsidRDefault="005C64D5" w:rsidP="00850F71">
            <w:pPr>
              <w:ind w:firstLine="0"/>
              <w:jc w:val="center"/>
              <w:rPr>
                <w:rFonts w:cs="Times New Roman"/>
                <w:sz w:val="20"/>
                <w:szCs w:val="20"/>
              </w:rPr>
            </w:pPr>
            <w:r w:rsidRPr="00B1142A">
              <w:rPr>
                <w:rFonts w:cs="Times New Roman"/>
                <w:sz w:val="20"/>
                <w:szCs w:val="20"/>
              </w:rPr>
              <w:t>458</w:t>
            </w:r>
          </w:p>
        </w:tc>
        <w:tc>
          <w:tcPr>
            <w:tcW w:w="453" w:type="pct"/>
            <w:vAlign w:val="center"/>
          </w:tcPr>
          <w:p w:rsidR="005C64D5" w:rsidRPr="00B1142A" w:rsidRDefault="005C64D5" w:rsidP="00850F71">
            <w:pPr>
              <w:ind w:firstLine="0"/>
              <w:jc w:val="center"/>
              <w:rPr>
                <w:rFonts w:cs="Times New Roman"/>
                <w:sz w:val="20"/>
                <w:szCs w:val="20"/>
              </w:rPr>
            </w:pPr>
            <w:r w:rsidRPr="00B1142A">
              <w:rPr>
                <w:rFonts w:cs="Times New Roman"/>
                <w:sz w:val="20"/>
                <w:szCs w:val="20"/>
              </w:rPr>
              <w:t>458</w:t>
            </w:r>
          </w:p>
        </w:tc>
        <w:tc>
          <w:tcPr>
            <w:tcW w:w="453" w:type="pct"/>
            <w:vAlign w:val="center"/>
          </w:tcPr>
          <w:p w:rsidR="005C64D5" w:rsidRPr="00B1142A" w:rsidRDefault="005C64D5" w:rsidP="00850F71">
            <w:pPr>
              <w:ind w:firstLine="0"/>
              <w:jc w:val="center"/>
              <w:rPr>
                <w:rFonts w:cs="Times New Roman"/>
                <w:sz w:val="20"/>
                <w:szCs w:val="20"/>
              </w:rPr>
            </w:pPr>
            <w:r w:rsidRPr="00B1142A">
              <w:rPr>
                <w:rFonts w:cs="Times New Roman"/>
                <w:sz w:val="20"/>
                <w:szCs w:val="20"/>
              </w:rPr>
              <w:t>458</w:t>
            </w:r>
          </w:p>
        </w:tc>
        <w:tc>
          <w:tcPr>
            <w:tcW w:w="453" w:type="pct"/>
            <w:vAlign w:val="center"/>
          </w:tcPr>
          <w:p w:rsidR="005C64D5" w:rsidRPr="00B1142A" w:rsidRDefault="005C64D5" w:rsidP="00850F71">
            <w:pPr>
              <w:ind w:firstLine="0"/>
              <w:jc w:val="center"/>
              <w:rPr>
                <w:rFonts w:cs="Times New Roman"/>
                <w:sz w:val="20"/>
                <w:szCs w:val="20"/>
              </w:rPr>
            </w:pPr>
            <w:r w:rsidRPr="00B1142A">
              <w:rPr>
                <w:rFonts w:cs="Times New Roman"/>
                <w:sz w:val="20"/>
                <w:szCs w:val="20"/>
              </w:rPr>
              <w:t>458</w:t>
            </w:r>
          </w:p>
        </w:tc>
        <w:tc>
          <w:tcPr>
            <w:tcW w:w="915" w:type="pct"/>
            <w:vAlign w:val="center"/>
          </w:tcPr>
          <w:p w:rsidR="005C64D5" w:rsidRPr="00B1142A" w:rsidRDefault="00B1142A" w:rsidP="00850F71">
            <w:pPr>
              <w:ind w:firstLine="0"/>
              <w:jc w:val="center"/>
              <w:rPr>
                <w:rFonts w:cs="Times New Roman"/>
                <w:sz w:val="20"/>
                <w:szCs w:val="20"/>
              </w:rPr>
            </w:pPr>
            <w:r w:rsidRPr="00B1142A">
              <w:rPr>
                <w:rFonts w:cs="Times New Roman"/>
                <w:sz w:val="20"/>
                <w:szCs w:val="20"/>
              </w:rPr>
              <w:t>3.206</w:t>
            </w:r>
          </w:p>
        </w:tc>
      </w:tr>
      <w:tr w:rsidR="00B1142A" w:rsidRPr="00B1142A" w:rsidTr="00850F71">
        <w:trPr>
          <w:trHeight w:val="20"/>
        </w:trPr>
        <w:tc>
          <w:tcPr>
            <w:tcW w:w="909" w:type="pct"/>
            <w:vAlign w:val="center"/>
          </w:tcPr>
          <w:p w:rsidR="005C64D5" w:rsidRPr="00B1142A" w:rsidRDefault="00B1142A" w:rsidP="00850F71">
            <w:pPr>
              <w:ind w:firstLine="0"/>
              <w:jc w:val="center"/>
              <w:rPr>
                <w:rFonts w:cs="Times New Roman"/>
                <w:sz w:val="20"/>
                <w:szCs w:val="20"/>
              </w:rPr>
            </w:pPr>
            <w:r>
              <w:rPr>
                <w:rFonts w:cs="Times New Roman"/>
                <w:sz w:val="20"/>
                <w:szCs w:val="20"/>
              </w:rPr>
              <w:t>Financeiras</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78</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78</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78</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78</w:t>
            </w:r>
          </w:p>
        </w:tc>
        <w:tc>
          <w:tcPr>
            <w:tcW w:w="453" w:type="pct"/>
            <w:vAlign w:val="center"/>
          </w:tcPr>
          <w:p w:rsidR="005C64D5" w:rsidRPr="00B1142A" w:rsidRDefault="00B1142A" w:rsidP="00850F71">
            <w:pPr>
              <w:ind w:firstLine="0"/>
              <w:jc w:val="center"/>
              <w:rPr>
                <w:rFonts w:cs="Times New Roman"/>
                <w:sz w:val="20"/>
                <w:szCs w:val="20"/>
              </w:rPr>
            </w:pPr>
            <w:r>
              <w:rPr>
                <w:rFonts w:cs="Times New Roman"/>
                <w:sz w:val="20"/>
                <w:szCs w:val="20"/>
              </w:rPr>
              <w:t>78</w:t>
            </w:r>
          </w:p>
        </w:tc>
        <w:tc>
          <w:tcPr>
            <w:tcW w:w="453" w:type="pct"/>
            <w:vAlign w:val="center"/>
          </w:tcPr>
          <w:p w:rsidR="005C64D5" w:rsidRPr="00B1142A" w:rsidRDefault="00B1142A" w:rsidP="00850F71">
            <w:pPr>
              <w:ind w:firstLine="0"/>
              <w:jc w:val="center"/>
              <w:rPr>
                <w:rFonts w:cs="Times New Roman"/>
                <w:sz w:val="20"/>
                <w:szCs w:val="20"/>
              </w:rPr>
            </w:pPr>
            <w:r>
              <w:rPr>
                <w:rFonts w:cs="Times New Roman"/>
                <w:sz w:val="20"/>
                <w:szCs w:val="20"/>
              </w:rPr>
              <w:t>78</w:t>
            </w:r>
          </w:p>
        </w:tc>
        <w:tc>
          <w:tcPr>
            <w:tcW w:w="453" w:type="pct"/>
            <w:vAlign w:val="center"/>
          </w:tcPr>
          <w:p w:rsidR="005C64D5" w:rsidRPr="00B1142A" w:rsidRDefault="00B1142A" w:rsidP="00850F71">
            <w:pPr>
              <w:ind w:firstLine="0"/>
              <w:jc w:val="center"/>
              <w:rPr>
                <w:rFonts w:cs="Times New Roman"/>
                <w:sz w:val="20"/>
                <w:szCs w:val="20"/>
              </w:rPr>
            </w:pPr>
            <w:r>
              <w:rPr>
                <w:rFonts w:cs="Times New Roman"/>
                <w:sz w:val="20"/>
                <w:szCs w:val="20"/>
              </w:rPr>
              <w:t>78</w:t>
            </w:r>
          </w:p>
        </w:tc>
        <w:tc>
          <w:tcPr>
            <w:tcW w:w="915" w:type="pct"/>
            <w:vAlign w:val="center"/>
          </w:tcPr>
          <w:p w:rsidR="005C64D5" w:rsidRPr="00B1142A" w:rsidRDefault="00B1142A" w:rsidP="00850F71">
            <w:pPr>
              <w:ind w:firstLine="0"/>
              <w:jc w:val="center"/>
              <w:rPr>
                <w:rFonts w:cs="Times New Roman"/>
                <w:sz w:val="20"/>
                <w:szCs w:val="20"/>
              </w:rPr>
            </w:pPr>
            <w:r>
              <w:rPr>
                <w:rFonts w:cs="Times New Roman"/>
                <w:sz w:val="20"/>
                <w:szCs w:val="20"/>
              </w:rPr>
              <w:t>546</w:t>
            </w:r>
          </w:p>
        </w:tc>
      </w:tr>
      <w:tr w:rsidR="00B1142A" w:rsidRPr="00B1142A" w:rsidTr="00850F71">
        <w:trPr>
          <w:trHeight w:val="20"/>
        </w:trPr>
        <w:tc>
          <w:tcPr>
            <w:tcW w:w="909" w:type="pct"/>
            <w:vAlign w:val="center"/>
          </w:tcPr>
          <w:p w:rsidR="005C64D5" w:rsidRPr="00B1142A" w:rsidRDefault="00B1142A" w:rsidP="00850F71">
            <w:pPr>
              <w:ind w:firstLine="0"/>
              <w:jc w:val="center"/>
              <w:rPr>
                <w:rFonts w:cs="Times New Roman"/>
                <w:sz w:val="20"/>
                <w:szCs w:val="20"/>
              </w:rPr>
            </w:pPr>
            <w:r>
              <w:rPr>
                <w:rFonts w:cs="Times New Roman"/>
                <w:sz w:val="20"/>
                <w:szCs w:val="20"/>
              </w:rPr>
              <w:t>PL Negativo</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73</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73</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73</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73</w:t>
            </w:r>
          </w:p>
        </w:tc>
        <w:tc>
          <w:tcPr>
            <w:tcW w:w="453" w:type="pct"/>
            <w:vAlign w:val="center"/>
          </w:tcPr>
          <w:p w:rsidR="005C64D5" w:rsidRPr="00B1142A" w:rsidRDefault="00B1142A" w:rsidP="00850F71">
            <w:pPr>
              <w:ind w:firstLine="0"/>
              <w:jc w:val="center"/>
              <w:rPr>
                <w:rFonts w:cs="Times New Roman"/>
                <w:sz w:val="20"/>
                <w:szCs w:val="20"/>
              </w:rPr>
            </w:pPr>
            <w:r>
              <w:rPr>
                <w:rFonts w:cs="Times New Roman"/>
                <w:sz w:val="20"/>
                <w:szCs w:val="20"/>
              </w:rPr>
              <w:t>73</w:t>
            </w:r>
          </w:p>
        </w:tc>
        <w:tc>
          <w:tcPr>
            <w:tcW w:w="453" w:type="pct"/>
            <w:vAlign w:val="center"/>
          </w:tcPr>
          <w:p w:rsidR="005C64D5" w:rsidRPr="00B1142A" w:rsidRDefault="00B1142A" w:rsidP="00850F71">
            <w:pPr>
              <w:ind w:firstLine="0"/>
              <w:jc w:val="center"/>
              <w:rPr>
                <w:rFonts w:cs="Times New Roman"/>
                <w:sz w:val="20"/>
                <w:szCs w:val="20"/>
              </w:rPr>
            </w:pPr>
            <w:r>
              <w:rPr>
                <w:rFonts w:cs="Times New Roman"/>
                <w:sz w:val="20"/>
                <w:szCs w:val="20"/>
              </w:rPr>
              <w:t>73</w:t>
            </w:r>
          </w:p>
        </w:tc>
        <w:tc>
          <w:tcPr>
            <w:tcW w:w="453" w:type="pct"/>
            <w:vAlign w:val="center"/>
          </w:tcPr>
          <w:p w:rsidR="005C64D5" w:rsidRPr="00B1142A" w:rsidRDefault="00B1142A" w:rsidP="00850F71">
            <w:pPr>
              <w:ind w:firstLine="0"/>
              <w:jc w:val="center"/>
              <w:rPr>
                <w:rFonts w:cs="Times New Roman"/>
                <w:sz w:val="20"/>
                <w:szCs w:val="20"/>
              </w:rPr>
            </w:pPr>
            <w:r>
              <w:rPr>
                <w:rFonts w:cs="Times New Roman"/>
                <w:sz w:val="20"/>
                <w:szCs w:val="20"/>
              </w:rPr>
              <w:t>73</w:t>
            </w:r>
          </w:p>
        </w:tc>
        <w:tc>
          <w:tcPr>
            <w:tcW w:w="915" w:type="pct"/>
            <w:vAlign w:val="center"/>
          </w:tcPr>
          <w:p w:rsidR="005C64D5" w:rsidRPr="00B1142A" w:rsidRDefault="00B1142A" w:rsidP="00850F71">
            <w:pPr>
              <w:ind w:firstLine="0"/>
              <w:jc w:val="center"/>
              <w:rPr>
                <w:rFonts w:cs="Times New Roman"/>
                <w:sz w:val="20"/>
                <w:szCs w:val="20"/>
              </w:rPr>
            </w:pPr>
            <w:r>
              <w:rPr>
                <w:rFonts w:cs="Times New Roman"/>
                <w:sz w:val="20"/>
                <w:szCs w:val="20"/>
              </w:rPr>
              <w:t>511</w:t>
            </w:r>
          </w:p>
        </w:tc>
      </w:tr>
      <w:tr w:rsidR="00B1142A" w:rsidRPr="00B1142A" w:rsidTr="00850F71">
        <w:trPr>
          <w:trHeight w:val="20"/>
        </w:trPr>
        <w:tc>
          <w:tcPr>
            <w:tcW w:w="909" w:type="pct"/>
            <w:vAlign w:val="center"/>
          </w:tcPr>
          <w:p w:rsidR="005C64D5" w:rsidRPr="00B1142A" w:rsidRDefault="00B1142A" w:rsidP="00850F71">
            <w:pPr>
              <w:ind w:firstLine="0"/>
              <w:jc w:val="center"/>
              <w:rPr>
                <w:rFonts w:cs="Times New Roman"/>
                <w:sz w:val="20"/>
                <w:szCs w:val="20"/>
              </w:rPr>
            </w:pPr>
            <w:r>
              <w:rPr>
                <w:rFonts w:cs="Times New Roman"/>
                <w:sz w:val="20"/>
                <w:szCs w:val="20"/>
              </w:rPr>
              <w:t>Sem Dados</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94</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80</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66</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57</w:t>
            </w:r>
          </w:p>
        </w:tc>
        <w:tc>
          <w:tcPr>
            <w:tcW w:w="453" w:type="pct"/>
            <w:vAlign w:val="center"/>
          </w:tcPr>
          <w:p w:rsidR="005C64D5" w:rsidRPr="00B1142A" w:rsidRDefault="00B1142A" w:rsidP="00850F71">
            <w:pPr>
              <w:ind w:firstLine="0"/>
              <w:jc w:val="center"/>
              <w:rPr>
                <w:rFonts w:cs="Times New Roman"/>
                <w:sz w:val="20"/>
                <w:szCs w:val="20"/>
              </w:rPr>
            </w:pPr>
            <w:r>
              <w:rPr>
                <w:rFonts w:cs="Times New Roman"/>
                <w:sz w:val="20"/>
                <w:szCs w:val="20"/>
              </w:rPr>
              <w:t>49</w:t>
            </w:r>
          </w:p>
        </w:tc>
        <w:tc>
          <w:tcPr>
            <w:tcW w:w="453" w:type="pct"/>
            <w:vAlign w:val="center"/>
          </w:tcPr>
          <w:p w:rsidR="005C64D5" w:rsidRPr="00B1142A" w:rsidRDefault="00B1142A" w:rsidP="00850F71">
            <w:pPr>
              <w:ind w:firstLine="0"/>
              <w:jc w:val="center"/>
              <w:rPr>
                <w:rFonts w:cs="Times New Roman"/>
                <w:sz w:val="20"/>
                <w:szCs w:val="20"/>
              </w:rPr>
            </w:pPr>
            <w:r>
              <w:rPr>
                <w:rFonts w:cs="Times New Roman"/>
                <w:sz w:val="20"/>
                <w:szCs w:val="20"/>
              </w:rPr>
              <w:t>31</w:t>
            </w:r>
          </w:p>
        </w:tc>
        <w:tc>
          <w:tcPr>
            <w:tcW w:w="453" w:type="pct"/>
            <w:vAlign w:val="center"/>
          </w:tcPr>
          <w:p w:rsidR="005C64D5" w:rsidRPr="00B1142A" w:rsidRDefault="00B1142A" w:rsidP="00850F71">
            <w:pPr>
              <w:ind w:firstLine="0"/>
              <w:jc w:val="center"/>
              <w:rPr>
                <w:rFonts w:cs="Times New Roman"/>
                <w:sz w:val="20"/>
                <w:szCs w:val="20"/>
              </w:rPr>
            </w:pPr>
            <w:r>
              <w:rPr>
                <w:rFonts w:cs="Times New Roman"/>
                <w:sz w:val="20"/>
                <w:szCs w:val="20"/>
              </w:rPr>
              <w:t>26</w:t>
            </w:r>
          </w:p>
        </w:tc>
        <w:tc>
          <w:tcPr>
            <w:tcW w:w="915" w:type="pct"/>
            <w:vAlign w:val="center"/>
          </w:tcPr>
          <w:p w:rsidR="005C64D5" w:rsidRPr="00B1142A" w:rsidRDefault="00B1142A" w:rsidP="00850F71">
            <w:pPr>
              <w:ind w:firstLine="0"/>
              <w:jc w:val="center"/>
              <w:rPr>
                <w:rFonts w:cs="Times New Roman"/>
                <w:sz w:val="20"/>
                <w:szCs w:val="20"/>
              </w:rPr>
            </w:pPr>
            <w:r>
              <w:rPr>
                <w:rFonts w:cs="Times New Roman"/>
                <w:sz w:val="20"/>
                <w:szCs w:val="20"/>
              </w:rPr>
              <w:t>403</w:t>
            </w:r>
          </w:p>
        </w:tc>
      </w:tr>
      <w:tr w:rsidR="00B1142A" w:rsidRPr="00B1142A" w:rsidTr="00850F71">
        <w:trPr>
          <w:trHeight w:val="20"/>
        </w:trPr>
        <w:tc>
          <w:tcPr>
            <w:tcW w:w="909" w:type="pct"/>
            <w:vAlign w:val="center"/>
          </w:tcPr>
          <w:p w:rsidR="005C64D5" w:rsidRPr="00B1142A" w:rsidRDefault="00B1142A" w:rsidP="00850F71">
            <w:pPr>
              <w:ind w:firstLine="0"/>
              <w:jc w:val="center"/>
              <w:rPr>
                <w:rFonts w:cs="Times New Roman"/>
                <w:sz w:val="20"/>
                <w:szCs w:val="20"/>
              </w:rPr>
            </w:pPr>
            <w:r>
              <w:rPr>
                <w:rFonts w:cs="Times New Roman"/>
                <w:sz w:val="20"/>
                <w:szCs w:val="20"/>
              </w:rPr>
              <w:t>Amostra</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213</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227</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241</w:t>
            </w:r>
          </w:p>
        </w:tc>
        <w:tc>
          <w:tcPr>
            <w:tcW w:w="454" w:type="pct"/>
            <w:vAlign w:val="center"/>
          </w:tcPr>
          <w:p w:rsidR="005C64D5" w:rsidRPr="00B1142A" w:rsidRDefault="00B1142A" w:rsidP="00850F71">
            <w:pPr>
              <w:ind w:firstLine="0"/>
              <w:jc w:val="center"/>
              <w:rPr>
                <w:rFonts w:cs="Times New Roman"/>
                <w:sz w:val="20"/>
                <w:szCs w:val="20"/>
              </w:rPr>
            </w:pPr>
            <w:r>
              <w:rPr>
                <w:rFonts w:cs="Times New Roman"/>
                <w:sz w:val="20"/>
                <w:szCs w:val="20"/>
              </w:rPr>
              <w:t>250</w:t>
            </w:r>
          </w:p>
        </w:tc>
        <w:tc>
          <w:tcPr>
            <w:tcW w:w="453" w:type="pct"/>
            <w:vAlign w:val="center"/>
          </w:tcPr>
          <w:p w:rsidR="005C64D5" w:rsidRPr="00B1142A" w:rsidRDefault="00B1142A" w:rsidP="00850F71">
            <w:pPr>
              <w:ind w:firstLine="0"/>
              <w:jc w:val="center"/>
              <w:rPr>
                <w:rFonts w:cs="Times New Roman"/>
                <w:sz w:val="20"/>
                <w:szCs w:val="20"/>
              </w:rPr>
            </w:pPr>
            <w:r>
              <w:rPr>
                <w:rFonts w:cs="Times New Roman"/>
                <w:sz w:val="20"/>
                <w:szCs w:val="20"/>
              </w:rPr>
              <w:t>258</w:t>
            </w:r>
          </w:p>
        </w:tc>
        <w:tc>
          <w:tcPr>
            <w:tcW w:w="453" w:type="pct"/>
            <w:vAlign w:val="center"/>
          </w:tcPr>
          <w:p w:rsidR="005C64D5" w:rsidRPr="00B1142A" w:rsidRDefault="00B1142A" w:rsidP="00850F71">
            <w:pPr>
              <w:ind w:firstLine="0"/>
              <w:jc w:val="center"/>
              <w:rPr>
                <w:rFonts w:cs="Times New Roman"/>
                <w:sz w:val="20"/>
                <w:szCs w:val="20"/>
              </w:rPr>
            </w:pPr>
            <w:r>
              <w:rPr>
                <w:rFonts w:cs="Times New Roman"/>
                <w:sz w:val="20"/>
                <w:szCs w:val="20"/>
              </w:rPr>
              <w:t>276</w:t>
            </w:r>
          </w:p>
        </w:tc>
        <w:tc>
          <w:tcPr>
            <w:tcW w:w="453" w:type="pct"/>
            <w:vAlign w:val="center"/>
          </w:tcPr>
          <w:p w:rsidR="005C64D5" w:rsidRPr="00B1142A" w:rsidRDefault="00B1142A" w:rsidP="00850F71">
            <w:pPr>
              <w:ind w:firstLine="0"/>
              <w:jc w:val="center"/>
              <w:rPr>
                <w:rFonts w:cs="Times New Roman"/>
                <w:sz w:val="20"/>
                <w:szCs w:val="20"/>
              </w:rPr>
            </w:pPr>
            <w:r>
              <w:rPr>
                <w:rFonts w:cs="Times New Roman"/>
                <w:sz w:val="20"/>
                <w:szCs w:val="20"/>
              </w:rPr>
              <w:t>281</w:t>
            </w:r>
          </w:p>
        </w:tc>
        <w:tc>
          <w:tcPr>
            <w:tcW w:w="915" w:type="pct"/>
            <w:vAlign w:val="center"/>
          </w:tcPr>
          <w:p w:rsidR="005C64D5" w:rsidRPr="00B1142A" w:rsidRDefault="00B1142A" w:rsidP="00850F71">
            <w:pPr>
              <w:ind w:firstLine="0"/>
              <w:jc w:val="center"/>
              <w:rPr>
                <w:rFonts w:cs="Times New Roman"/>
                <w:sz w:val="20"/>
                <w:szCs w:val="20"/>
              </w:rPr>
            </w:pPr>
            <w:r>
              <w:rPr>
                <w:rFonts w:cs="Times New Roman"/>
                <w:sz w:val="20"/>
                <w:szCs w:val="20"/>
              </w:rPr>
              <w:t>1.746</w:t>
            </w:r>
          </w:p>
        </w:tc>
      </w:tr>
    </w:tbl>
    <w:p w:rsidR="005C64D5" w:rsidRPr="00B1142A" w:rsidRDefault="00B1142A" w:rsidP="00850F71">
      <w:pPr>
        <w:ind w:firstLine="0"/>
        <w:rPr>
          <w:sz w:val="20"/>
          <w:szCs w:val="20"/>
        </w:rPr>
      </w:pPr>
      <w:r w:rsidRPr="00B1142A">
        <w:rPr>
          <w:b/>
          <w:sz w:val="20"/>
          <w:szCs w:val="20"/>
        </w:rPr>
        <w:t>Fonte:</w:t>
      </w:r>
      <w:r w:rsidRPr="00B1142A">
        <w:rPr>
          <w:sz w:val="20"/>
          <w:szCs w:val="20"/>
        </w:rPr>
        <w:t xml:space="preserve"> dados da pesquisa.</w:t>
      </w:r>
    </w:p>
    <w:p w:rsidR="005C64D5" w:rsidRDefault="005C64D5" w:rsidP="00850F71">
      <w:pPr>
        <w:rPr>
          <w:szCs w:val="24"/>
        </w:rPr>
      </w:pPr>
    </w:p>
    <w:p w:rsidR="005373CB" w:rsidRDefault="008B3E58" w:rsidP="00850F71">
      <w:pPr>
        <w:rPr>
          <w:szCs w:val="24"/>
        </w:rPr>
      </w:pPr>
      <w:r>
        <w:rPr>
          <w:szCs w:val="24"/>
        </w:rPr>
        <w:t>Como se pode observar</w:t>
      </w:r>
      <w:r w:rsidR="00935377">
        <w:rPr>
          <w:szCs w:val="24"/>
        </w:rPr>
        <w:t xml:space="preserve">, </w:t>
      </w:r>
      <w:r>
        <w:rPr>
          <w:szCs w:val="24"/>
        </w:rPr>
        <w:t>a Tabela 1</w:t>
      </w:r>
      <w:r w:rsidR="00935377">
        <w:rPr>
          <w:szCs w:val="24"/>
        </w:rPr>
        <w:t xml:space="preserve"> apresenta da distribuição do número de empresas por ano. Como os dados da pesquisa são não balanceados, a pesquisa analisou no total </w:t>
      </w:r>
      <w:r w:rsidR="00B1142A">
        <w:rPr>
          <w:szCs w:val="24"/>
        </w:rPr>
        <w:t>293</w:t>
      </w:r>
      <w:r w:rsidR="00935377">
        <w:rPr>
          <w:szCs w:val="24"/>
        </w:rPr>
        <w:t xml:space="preserve"> diferentes </w:t>
      </w:r>
      <w:r w:rsidR="001C2446" w:rsidRPr="005C64D5">
        <w:rPr>
          <w:szCs w:val="24"/>
        </w:rPr>
        <w:t>empresas</w:t>
      </w:r>
      <w:r w:rsidR="00935377">
        <w:rPr>
          <w:szCs w:val="24"/>
        </w:rPr>
        <w:t xml:space="preserve"> </w:t>
      </w:r>
      <w:r w:rsidR="001C2446" w:rsidRPr="005C64D5">
        <w:rPr>
          <w:szCs w:val="24"/>
        </w:rPr>
        <w:t>entre os anos de 20</w:t>
      </w:r>
      <w:r w:rsidR="00A64FC8" w:rsidRPr="005C64D5">
        <w:rPr>
          <w:szCs w:val="24"/>
        </w:rPr>
        <w:t>10</w:t>
      </w:r>
      <w:r w:rsidR="001C2446" w:rsidRPr="005C64D5">
        <w:rPr>
          <w:szCs w:val="24"/>
        </w:rPr>
        <w:t xml:space="preserve"> e 2016</w:t>
      </w:r>
      <w:r w:rsidR="00A64FC8" w:rsidRPr="005C64D5">
        <w:rPr>
          <w:szCs w:val="24"/>
        </w:rPr>
        <w:t xml:space="preserve">, totalizando </w:t>
      </w:r>
      <w:r>
        <w:rPr>
          <w:szCs w:val="24"/>
        </w:rPr>
        <w:t xml:space="preserve">1.746 </w:t>
      </w:r>
      <w:r w:rsidR="00A64FC8" w:rsidRPr="005C64D5">
        <w:rPr>
          <w:szCs w:val="24"/>
        </w:rPr>
        <w:t>observações</w:t>
      </w:r>
      <w:r w:rsidR="001C2446" w:rsidRPr="005C64D5">
        <w:rPr>
          <w:szCs w:val="24"/>
        </w:rPr>
        <w:t>.</w:t>
      </w:r>
      <w:r w:rsidR="00A64FC8" w:rsidRPr="005C64D5">
        <w:rPr>
          <w:szCs w:val="24"/>
        </w:rPr>
        <w:t xml:space="preserve"> </w:t>
      </w:r>
      <w:r w:rsidR="009665D5">
        <w:rPr>
          <w:szCs w:val="24"/>
        </w:rPr>
        <w:t xml:space="preserve">A Tabela 2 </w:t>
      </w:r>
      <w:r w:rsidR="00023CAA" w:rsidRPr="005C64D5">
        <w:rPr>
          <w:szCs w:val="24"/>
        </w:rPr>
        <w:t>apresenta o constructo dos determinantes que, segundo a literatura revisitada, podem influenciar na determinação da política de dividendos, e que foram analisadas por este estudo.</w:t>
      </w:r>
    </w:p>
    <w:p w:rsidR="008B3E58" w:rsidRDefault="008B3E58" w:rsidP="00850F71">
      <w:pPr>
        <w:rPr>
          <w:szCs w:val="24"/>
        </w:rPr>
      </w:pPr>
    </w:p>
    <w:p w:rsidR="00023CAA" w:rsidRPr="00023CAA" w:rsidRDefault="009665D5" w:rsidP="00850F71">
      <w:pPr>
        <w:ind w:firstLine="0"/>
        <w:rPr>
          <w:b/>
        </w:rPr>
      </w:pPr>
      <w:r>
        <w:rPr>
          <w:b/>
        </w:rPr>
        <w:t>Tabela 2</w:t>
      </w:r>
      <w:r w:rsidR="00023CAA" w:rsidRPr="00023CAA">
        <w:rPr>
          <w:b/>
        </w:rPr>
        <w:t xml:space="preserve"> – Determinantes da política de dividendos</w:t>
      </w:r>
    </w:p>
    <w:tbl>
      <w:tblPr>
        <w:tblW w:w="5000" w:type="pct"/>
        <w:tblBorders>
          <w:top w:val="single" w:sz="12" w:space="0" w:color="auto"/>
          <w:bottom w:val="single" w:sz="12" w:space="0" w:color="auto"/>
          <w:insideH w:val="single" w:sz="2" w:space="0" w:color="auto"/>
        </w:tblBorders>
        <w:tblLook w:val="04A0" w:firstRow="1" w:lastRow="0" w:firstColumn="1" w:lastColumn="0" w:noHBand="0" w:noVBand="1"/>
      </w:tblPr>
      <w:tblGrid>
        <w:gridCol w:w="1061"/>
        <w:gridCol w:w="1694"/>
        <w:gridCol w:w="3013"/>
        <w:gridCol w:w="1168"/>
        <w:gridCol w:w="2105"/>
      </w:tblGrid>
      <w:tr w:rsidR="00706EAB" w:rsidRPr="00023CAA" w:rsidTr="00706EAB">
        <w:trPr>
          <w:trHeight w:val="20"/>
        </w:trPr>
        <w:tc>
          <w:tcPr>
            <w:tcW w:w="587" w:type="pct"/>
            <w:tcBorders>
              <w:top w:val="single" w:sz="12" w:space="0" w:color="auto"/>
              <w:left w:val="single" w:sz="12" w:space="0" w:color="auto"/>
              <w:bottom w:val="single" w:sz="12" w:space="0" w:color="auto"/>
              <w:right w:val="single" w:sz="4" w:space="0" w:color="000000" w:themeColor="text1"/>
            </w:tcBorders>
            <w:vAlign w:val="center"/>
          </w:tcPr>
          <w:p w:rsidR="00A64FC8" w:rsidRPr="00023CAA" w:rsidRDefault="00A64FC8" w:rsidP="00850F71">
            <w:pPr>
              <w:ind w:firstLine="0"/>
              <w:jc w:val="center"/>
              <w:rPr>
                <w:rFonts w:cs="Times New Roman"/>
                <w:b/>
                <w:sz w:val="20"/>
                <w:szCs w:val="20"/>
              </w:rPr>
            </w:pPr>
            <w:r w:rsidRPr="00023CAA">
              <w:rPr>
                <w:rFonts w:cs="Times New Roman"/>
                <w:b/>
                <w:sz w:val="20"/>
                <w:szCs w:val="20"/>
              </w:rPr>
              <w:t>Dimensão</w:t>
            </w:r>
          </w:p>
        </w:tc>
        <w:tc>
          <w:tcPr>
            <w:tcW w:w="2480" w:type="pct"/>
            <w:gridSpan w:val="2"/>
            <w:tcBorders>
              <w:top w:val="single" w:sz="12" w:space="0" w:color="auto"/>
              <w:left w:val="single" w:sz="4" w:space="0" w:color="000000" w:themeColor="text1"/>
              <w:bottom w:val="single" w:sz="12" w:space="0" w:color="auto"/>
              <w:right w:val="single" w:sz="4" w:space="0" w:color="000000" w:themeColor="text1"/>
            </w:tcBorders>
            <w:vAlign w:val="center"/>
          </w:tcPr>
          <w:p w:rsidR="00A64FC8" w:rsidRPr="00023CAA" w:rsidRDefault="00A64FC8" w:rsidP="00850F71">
            <w:pPr>
              <w:ind w:firstLine="0"/>
              <w:jc w:val="center"/>
              <w:rPr>
                <w:rFonts w:cs="Times New Roman"/>
                <w:b/>
                <w:sz w:val="20"/>
                <w:szCs w:val="20"/>
              </w:rPr>
            </w:pPr>
            <w:r w:rsidRPr="00023CAA">
              <w:rPr>
                <w:rFonts w:cs="Times New Roman"/>
                <w:b/>
                <w:sz w:val="20"/>
                <w:szCs w:val="20"/>
              </w:rPr>
              <w:t>Fórmula</w:t>
            </w:r>
          </w:p>
        </w:tc>
        <w:tc>
          <w:tcPr>
            <w:tcW w:w="707" w:type="pct"/>
            <w:tcBorders>
              <w:top w:val="single" w:sz="12" w:space="0" w:color="auto"/>
              <w:left w:val="single" w:sz="4" w:space="0" w:color="000000" w:themeColor="text1"/>
              <w:bottom w:val="single" w:sz="12" w:space="0" w:color="auto"/>
              <w:right w:val="single" w:sz="4" w:space="0" w:color="000000" w:themeColor="text1"/>
            </w:tcBorders>
            <w:vAlign w:val="center"/>
          </w:tcPr>
          <w:p w:rsidR="00A64FC8" w:rsidRPr="00023CAA" w:rsidRDefault="00A64FC8" w:rsidP="00850F71">
            <w:pPr>
              <w:ind w:firstLine="0"/>
              <w:jc w:val="center"/>
              <w:rPr>
                <w:rFonts w:cs="Times New Roman"/>
                <w:b/>
                <w:sz w:val="20"/>
                <w:szCs w:val="20"/>
              </w:rPr>
            </w:pPr>
            <w:r w:rsidRPr="00023CAA">
              <w:rPr>
                <w:rFonts w:cs="Times New Roman"/>
                <w:b/>
                <w:sz w:val="20"/>
                <w:szCs w:val="20"/>
              </w:rPr>
              <w:t>Relação Esperada</w:t>
            </w:r>
          </w:p>
        </w:tc>
        <w:tc>
          <w:tcPr>
            <w:tcW w:w="1226" w:type="pct"/>
            <w:tcBorders>
              <w:top w:val="single" w:sz="12" w:space="0" w:color="auto"/>
              <w:left w:val="single" w:sz="4" w:space="0" w:color="000000" w:themeColor="text1"/>
              <w:bottom w:val="single" w:sz="12" w:space="0" w:color="auto"/>
              <w:right w:val="single" w:sz="12" w:space="0" w:color="auto"/>
            </w:tcBorders>
            <w:vAlign w:val="center"/>
          </w:tcPr>
          <w:p w:rsidR="00A64FC8" w:rsidRPr="00023CAA" w:rsidRDefault="00A64FC8" w:rsidP="00850F71">
            <w:pPr>
              <w:ind w:firstLine="34"/>
              <w:jc w:val="center"/>
              <w:rPr>
                <w:rFonts w:cs="Times New Roman"/>
                <w:b/>
                <w:sz w:val="20"/>
                <w:szCs w:val="20"/>
              </w:rPr>
            </w:pPr>
            <w:r w:rsidRPr="00023CAA">
              <w:rPr>
                <w:rFonts w:cs="Times New Roman"/>
                <w:b/>
                <w:sz w:val="20"/>
                <w:szCs w:val="20"/>
              </w:rPr>
              <w:t>Autores</w:t>
            </w:r>
          </w:p>
        </w:tc>
      </w:tr>
      <w:tr w:rsidR="00706EAB" w:rsidRPr="00023CAA" w:rsidTr="00706EAB">
        <w:trPr>
          <w:cantSplit/>
          <w:trHeight w:val="1225"/>
        </w:trPr>
        <w:tc>
          <w:tcPr>
            <w:tcW w:w="587" w:type="pct"/>
            <w:tcBorders>
              <w:top w:val="single" w:sz="12" w:space="0" w:color="auto"/>
              <w:left w:val="single" w:sz="12" w:space="0" w:color="auto"/>
              <w:bottom w:val="single" w:sz="12" w:space="0" w:color="auto"/>
              <w:right w:val="single" w:sz="4" w:space="0" w:color="000000" w:themeColor="text1"/>
            </w:tcBorders>
            <w:textDirection w:val="btLr"/>
            <w:vAlign w:val="center"/>
          </w:tcPr>
          <w:p w:rsidR="00A64FC8" w:rsidRPr="00023CAA" w:rsidRDefault="00A64FC8" w:rsidP="00850F71">
            <w:pPr>
              <w:ind w:left="113" w:right="113" w:firstLine="0"/>
              <w:jc w:val="center"/>
              <w:rPr>
                <w:rFonts w:cs="Times New Roman"/>
                <w:sz w:val="20"/>
                <w:szCs w:val="20"/>
              </w:rPr>
            </w:pPr>
            <w:r w:rsidRPr="00023CAA">
              <w:rPr>
                <w:rFonts w:cs="Times New Roman"/>
                <w:sz w:val="20"/>
                <w:szCs w:val="20"/>
              </w:rPr>
              <w:t>Dependente</w:t>
            </w:r>
          </w:p>
        </w:tc>
        <w:tc>
          <w:tcPr>
            <w:tcW w:w="998" w:type="pct"/>
            <w:tcBorders>
              <w:top w:val="single" w:sz="12" w:space="0" w:color="auto"/>
              <w:left w:val="single" w:sz="4" w:space="0" w:color="000000" w:themeColor="text1"/>
              <w:bottom w:val="single" w:sz="12" w:space="0" w:color="auto"/>
              <w:right w:val="single" w:sz="4" w:space="0" w:color="000000" w:themeColor="text1"/>
            </w:tcBorders>
            <w:vAlign w:val="center"/>
          </w:tcPr>
          <w:p w:rsidR="00A64FC8" w:rsidRDefault="00A64FC8" w:rsidP="00850F71">
            <w:pPr>
              <w:ind w:firstLine="0"/>
              <w:jc w:val="center"/>
              <w:rPr>
                <w:rFonts w:cs="Times New Roman"/>
                <w:sz w:val="20"/>
                <w:szCs w:val="20"/>
              </w:rPr>
            </w:pPr>
            <w:r>
              <w:rPr>
                <w:rFonts w:cs="Times New Roman"/>
                <w:sz w:val="20"/>
                <w:szCs w:val="20"/>
              </w:rPr>
              <w:t>Dividendos</w:t>
            </w:r>
          </w:p>
          <w:p w:rsidR="00A64FC8" w:rsidRPr="00023CAA" w:rsidRDefault="00A64FC8" w:rsidP="00850F71">
            <w:pPr>
              <w:ind w:firstLine="0"/>
              <w:jc w:val="center"/>
              <w:rPr>
                <w:rFonts w:cs="Times New Roman"/>
                <w:sz w:val="20"/>
                <w:szCs w:val="20"/>
              </w:rPr>
            </w:pPr>
            <w:r>
              <w:rPr>
                <w:rFonts w:cs="Times New Roman"/>
                <w:sz w:val="20"/>
                <w:szCs w:val="20"/>
              </w:rPr>
              <w:t>(DIV)</w:t>
            </w:r>
          </w:p>
        </w:tc>
        <w:tc>
          <w:tcPr>
            <w:tcW w:w="1483" w:type="pct"/>
            <w:tcBorders>
              <w:top w:val="single" w:sz="12" w:space="0" w:color="auto"/>
              <w:left w:val="single" w:sz="4" w:space="0" w:color="000000" w:themeColor="text1"/>
              <w:bottom w:val="single" w:sz="12" w:space="0" w:color="auto"/>
              <w:right w:val="single" w:sz="4" w:space="0" w:color="000000" w:themeColor="text1"/>
            </w:tcBorders>
            <w:vAlign w:val="center"/>
          </w:tcPr>
          <w:p w:rsidR="00A64FC8" w:rsidRPr="00023CAA" w:rsidRDefault="00935377" w:rsidP="00850F71">
            <w:pPr>
              <w:ind w:firstLine="0"/>
              <w:jc w:val="center"/>
              <w:rPr>
                <w:rFonts w:cs="Times New Roman"/>
                <w:sz w:val="20"/>
                <w:szCs w:val="20"/>
              </w:rPr>
            </w:pPr>
            <w:r w:rsidRPr="00935377">
              <w:rPr>
                <w:rFonts w:cs="Times New Roman"/>
                <w:sz w:val="20"/>
                <w:szCs w:val="20"/>
              </w:rPr>
              <w:t>Variável Dicotômica – Empresas que não pagaram dividendos no período = 0; Empresas que pagaram dividendos no período = 1</w:t>
            </w:r>
          </w:p>
        </w:tc>
        <w:tc>
          <w:tcPr>
            <w:tcW w:w="707" w:type="pct"/>
            <w:tcBorders>
              <w:top w:val="single" w:sz="12" w:space="0" w:color="auto"/>
              <w:left w:val="single" w:sz="4" w:space="0" w:color="000000" w:themeColor="text1"/>
              <w:bottom w:val="single" w:sz="12" w:space="0" w:color="auto"/>
              <w:right w:val="single" w:sz="4" w:space="0" w:color="FFFFFF" w:themeColor="background1"/>
            </w:tcBorders>
            <w:vAlign w:val="center"/>
          </w:tcPr>
          <w:p w:rsidR="00A64FC8" w:rsidRPr="00023CAA" w:rsidRDefault="00A64FC8" w:rsidP="00850F71">
            <w:pPr>
              <w:ind w:firstLine="0"/>
              <w:jc w:val="center"/>
              <w:rPr>
                <w:rFonts w:cs="Times New Roman"/>
                <w:sz w:val="20"/>
                <w:szCs w:val="20"/>
              </w:rPr>
            </w:pPr>
            <w:r w:rsidRPr="00023CAA">
              <w:rPr>
                <w:rFonts w:cs="Times New Roman"/>
                <w:sz w:val="20"/>
                <w:szCs w:val="20"/>
              </w:rPr>
              <w:t xml:space="preserve">Não </w:t>
            </w:r>
            <w:r w:rsidR="00850F71" w:rsidRPr="00023CAA">
              <w:rPr>
                <w:rFonts w:cs="Times New Roman"/>
                <w:sz w:val="20"/>
                <w:szCs w:val="20"/>
              </w:rPr>
              <w:t>se aplica</w:t>
            </w:r>
          </w:p>
        </w:tc>
        <w:tc>
          <w:tcPr>
            <w:tcW w:w="1226" w:type="pct"/>
            <w:tcBorders>
              <w:top w:val="single" w:sz="12" w:space="0" w:color="auto"/>
              <w:left w:val="single" w:sz="4" w:space="0" w:color="000000" w:themeColor="text1"/>
              <w:bottom w:val="single" w:sz="12" w:space="0" w:color="auto"/>
              <w:right w:val="single" w:sz="12" w:space="0" w:color="auto"/>
            </w:tcBorders>
            <w:vAlign w:val="center"/>
          </w:tcPr>
          <w:p w:rsidR="00A64FC8" w:rsidRPr="00023CAA" w:rsidRDefault="00A64FC8" w:rsidP="00850F71">
            <w:pPr>
              <w:ind w:left="-85" w:right="-106" w:hanging="23"/>
              <w:jc w:val="center"/>
              <w:rPr>
                <w:rFonts w:cs="Times New Roman"/>
                <w:sz w:val="20"/>
                <w:szCs w:val="20"/>
              </w:rPr>
            </w:pPr>
            <w:r w:rsidRPr="00023CAA">
              <w:rPr>
                <w:rFonts w:cs="Times New Roman"/>
                <w:sz w:val="20"/>
                <w:szCs w:val="20"/>
              </w:rPr>
              <w:t xml:space="preserve">Iquiapaza </w:t>
            </w:r>
            <w:r w:rsidRPr="00023CAA">
              <w:rPr>
                <w:rFonts w:cs="Times New Roman"/>
                <w:i/>
                <w:sz w:val="20"/>
                <w:szCs w:val="20"/>
              </w:rPr>
              <w:t>et al</w:t>
            </w:r>
            <w:r w:rsidRPr="00023CAA">
              <w:rPr>
                <w:rFonts w:cs="Times New Roman"/>
                <w:sz w:val="20"/>
                <w:szCs w:val="20"/>
              </w:rPr>
              <w:t>. (2008); Vancin &amp; Procianoy (2016); Montalvan et al. (2017)</w:t>
            </w:r>
          </w:p>
        </w:tc>
      </w:tr>
      <w:tr w:rsidR="00706EAB" w:rsidRPr="00E24E2A" w:rsidTr="00706EAB">
        <w:trPr>
          <w:trHeight w:val="20"/>
        </w:trPr>
        <w:tc>
          <w:tcPr>
            <w:tcW w:w="587" w:type="pct"/>
            <w:vMerge w:val="restart"/>
            <w:tcBorders>
              <w:top w:val="single" w:sz="12" w:space="0" w:color="auto"/>
              <w:left w:val="single" w:sz="12" w:space="0" w:color="auto"/>
              <w:right w:val="single" w:sz="4" w:space="0" w:color="000000" w:themeColor="text1"/>
            </w:tcBorders>
            <w:textDirection w:val="btLr"/>
            <w:vAlign w:val="center"/>
          </w:tcPr>
          <w:p w:rsidR="00A64FC8" w:rsidRPr="00023CAA" w:rsidRDefault="00A64FC8" w:rsidP="00850F71">
            <w:pPr>
              <w:jc w:val="center"/>
              <w:rPr>
                <w:rFonts w:cs="Times New Roman"/>
                <w:sz w:val="20"/>
                <w:szCs w:val="20"/>
              </w:rPr>
            </w:pPr>
            <w:r w:rsidRPr="00023CAA">
              <w:rPr>
                <w:rFonts w:cs="Times New Roman"/>
                <w:sz w:val="20"/>
                <w:szCs w:val="20"/>
              </w:rPr>
              <w:t>Independente</w:t>
            </w:r>
          </w:p>
        </w:tc>
        <w:tc>
          <w:tcPr>
            <w:tcW w:w="998" w:type="pct"/>
            <w:tcBorders>
              <w:top w:val="single" w:sz="12" w:space="0" w:color="auto"/>
              <w:left w:val="single" w:sz="4" w:space="0" w:color="000000" w:themeColor="text1"/>
              <w:right w:val="single" w:sz="4" w:space="0" w:color="000000" w:themeColor="text1"/>
            </w:tcBorders>
            <w:vAlign w:val="center"/>
          </w:tcPr>
          <w:p w:rsidR="00A64FC8" w:rsidRDefault="00A64FC8" w:rsidP="00850F71">
            <w:pPr>
              <w:ind w:firstLine="34"/>
              <w:jc w:val="center"/>
              <w:rPr>
                <w:rFonts w:cs="Times New Roman"/>
                <w:sz w:val="20"/>
                <w:szCs w:val="20"/>
              </w:rPr>
            </w:pPr>
            <w:r w:rsidRPr="00023CAA">
              <w:rPr>
                <w:rFonts w:cs="Times New Roman"/>
                <w:sz w:val="20"/>
                <w:szCs w:val="20"/>
              </w:rPr>
              <w:t>Rentabilidade</w:t>
            </w:r>
          </w:p>
          <w:p w:rsidR="00A64FC8" w:rsidRPr="00023CAA" w:rsidRDefault="00A64FC8" w:rsidP="00850F71">
            <w:pPr>
              <w:ind w:firstLine="34"/>
              <w:jc w:val="center"/>
              <w:rPr>
                <w:rFonts w:cs="Times New Roman"/>
                <w:sz w:val="20"/>
                <w:szCs w:val="20"/>
              </w:rPr>
            </w:pPr>
            <w:r w:rsidRPr="00023CAA">
              <w:rPr>
                <w:rFonts w:cs="Times New Roman"/>
                <w:sz w:val="20"/>
                <w:szCs w:val="20"/>
              </w:rPr>
              <w:t>(RENT)</w:t>
            </w:r>
          </w:p>
        </w:tc>
        <w:tc>
          <w:tcPr>
            <w:tcW w:w="1483" w:type="pct"/>
            <w:tcBorders>
              <w:top w:val="single" w:sz="12" w:space="0" w:color="auto"/>
              <w:left w:val="single" w:sz="4" w:space="0" w:color="000000" w:themeColor="text1"/>
              <w:right w:val="single" w:sz="4" w:space="0" w:color="000000" w:themeColor="text1"/>
            </w:tcBorders>
            <w:vAlign w:val="center"/>
          </w:tcPr>
          <w:p w:rsidR="00A64FC8" w:rsidRPr="00023CAA" w:rsidRDefault="00166B07" w:rsidP="00850F71">
            <w:pPr>
              <w:ind w:firstLine="0"/>
              <w:jc w:val="center"/>
              <w:rPr>
                <w:rFonts w:cs="Times New Roman"/>
                <w:sz w:val="20"/>
                <w:szCs w:val="20"/>
              </w:rPr>
            </w:pPr>
            <m:oMathPara>
              <m:oMath>
                <m:f>
                  <m:fPr>
                    <m:ctrlPr>
                      <w:rPr>
                        <w:rFonts w:ascii="Cambria Math" w:hAnsi="Cambria Math" w:cs="Times New Roman"/>
                        <w:sz w:val="20"/>
                        <w:szCs w:val="20"/>
                      </w:rPr>
                    </m:ctrlPr>
                  </m:fPr>
                  <m:num>
                    <m:r>
                      <m:rPr>
                        <m:sty m:val="p"/>
                      </m:rPr>
                      <w:rPr>
                        <w:rFonts w:ascii="Cambria Math" w:cs="Times New Roman"/>
                        <w:sz w:val="20"/>
                        <w:szCs w:val="20"/>
                      </w:rPr>
                      <m:t>EBIT</m:t>
                    </m:r>
                  </m:num>
                  <m:den>
                    <m:r>
                      <m:rPr>
                        <m:sty m:val="p"/>
                      </m:rPr>
                      <w:rPr>
                        <w:rFonts w:ascii="Cambria Math" w:cs="Times New Roman"/>
                        <w:sz w:val="20"/>
                        <w:szCs w:val="20"/>
                      </w:rPr>
                      <m:t>Ativo Total</m:t>
                    </m:r>
                  </m:den>
                </m:f>
              </m:oMath>
            </m:oMathPara>
          </w:p>
        </w:tc>
        <w:tc>
          <w:tcPr>
            <w:tcW w:w="707" w:type="pct"/>
            <w:tcBorders>
              <w:top w:val="single" w:sz="12" w:space="0" w:color="auto"/>
              <w:left w:val="single" w:sz="4" w:space="0" w:color="000000" w:themeColor="text1"/>
              <w:right w:val="single" w:sz="4" w:space="0" w:color="000000" w:themeColor="text1"/>
            </w:tcBorders>
            <w:vAlign w:val="center"/>
          </w:tcPr>
          <w:p w:rsidR="00A64FC8" w:rsidRPr="00023CAA" w:rsidRDefault="00A64FC8" w:rsidP="00850F71">
            <w:pPr>
              <w:ind w:firstLine="0"/>
              <w:jc w:val="center"/>
              <w:rPr>
                <w:rFonts w:cs="Times New Roman"/>
                <w:sz w:val="20"/>
                <w:szCs w:val="20"/>
              </w:rPr>
            </w:pPr>
            <w:r w:rsidRPr="00023CAA">
              <w:rPr>
                <w:rFonts w:cs="Times New Roman"/>
                <w:sz w:val="20"/>
                <w:szCs w:val="20"/>
              </w:rPr>
              <w:t>+</w:t>
            </w:r>
          </w:p>
        </w:tc>
        <w:tc>
          <w:tcPr>
            <w:tcW w:w="1226" w:type="pct"/>
            <w:tcBorders>
              <w:top w:val="single" w:sz="12" w:space="0" w:color="auto"/>
              <w:left w:val="single" w:sz="4" w:space="0" w:color="000000" w:themeColor="text1"/>
              <w:right w:val="single" w:sz="12" w:space="0" w:color="auto"/>
            </w:tcBorders>
            <w:vAlign w:val="center"/>
          </w:tcPr>
          <w:p w:rsidR="00A64FC8" w:rsidRPr="00023CAA" w:rsidRDefault="00A64FC8" w:rsidP="00850F71">
            <w:pPr>
              <w:ind w:left="-85" w:right="-106" w:hanging="23"/>
              <w:jc w:val="center"/>
              <w:rPr>
                <w:rFonts w:cs="Times New Roman"/>
                <w:sz w:val="20"/>
                <w:szCs w:val="20"/>
              </w:rPr>
            </w:pPr>
            <w:r w:rsidRPr="00023CAA">
              <w:rPr>
                <w:rFonts w:cs="Times New Roman"/>
                <w:sz w:val="20"/>
                <w:szCs w:val="20"/>
              </w:rPr>
              <w:t xml:space="preserve">Fernandes &amp; Ribeiro (2013); Almeida </w:t>
            </w:r>
            <w:r w:rsidRPr="00023CAA">
              <w:rPr>
                <w:rFonts w:cs="Times New Roman"/>
                <w:i/>
                <w:sz w:val="20"/>
                <w:szCs w:val="20"/>
              </w:rPr>
              <w:t>et al</w:t>
            </w:r>
            <w:r w:rsidRPr="00023CAA">
              <w:rPr>
                <w:rFonts w:cs="Times New Roman"/>
                <w:sz w:val="20"/>
                <w:szCs w:val="20"/>
              </w:rPr>
              <w:t xml:space="preserve">. (2015); Montalvan </w:t>
            </w:r>
            <w:r w:rsidRPr="00023CAA">
              <w:rPr>
                <w:rFonts w:cs="Times New Roman"/>
                <w:i/>
                <w:sz w:val="20"/>
                <w:szCs w:val="20"/>
              </w:rPr>
              <w:t>et al</w:t>
            </w:r>
            <w:r w:rsidRPr="00023CAA">
              <w:rPr>
                <w:rFonts w:cs="Times New Roman"/>
                <w:sz w:val="20"/>
                <w:szCs w:val="20"/>
              </w:rPr>
              <w:t>. (2017)</w:t>
            </w:r>
          </w:p>
        </w:tc>
      </w:tr>
      <w:tr w:rsidR="00706EAB" w:rsidRPr="00023CAA" w:rsidTr="00706EAB">
        <w:trPr>
          <w:trHeight w:val="20"/>
        </w:trPr>
        <w:tc>
          <w:tcPr>
            <w:tcW w:w="587" w:type="pct"/>
            <w:vMerge/>
            <w:tcBorders>
              <w:left w:val="single" w:sz="12" w:space="0" w:color="auto"/>
              <w:right w:val="single" w:sz="4" w:space="0" w:color="000000" w:themeColor="text1"/>
            </w:tcBorders>
            <w:vAlign w:val="center"/>
          </w:tcPr>
          <w:p w:rsidR="00A64FC8" w:rsidRPr="00023CAA" w:rsidRDefault="00A64FC8" w:rsidP="00850F71">
            <w:pPr>
              <w:jc w:val="center"/>
              <w:rPr>
                <w:rFonts w:cs="Times New Roman"/>
                <w:sz w:val="20"/>
                <w:szCs w:val="20"/>
              </w:rPr>
            </w:pPr>
          </w:p>
        </w:tc>
        <w:tc>
          <w:tcPr>
            <w:tcW w:w="998" w:type="pct"/>
            <w:tcBorders>
              <w:left w:val="single" w:sz="4" w:space="0" w:color="000000" w:themeColor="text1"/>
              <w:right w:val="single" w:sz="4" w:space="0" w:color="000000" w:themeColor="text1"/>
            </w:tcBorders>
            <w:vAlign w:val="center"/>
          </w:tcPr>
          <w:p w:rsidR="00A64FC8" w:rsidRDefault="00A64FC8" w:rsidP="00850F71">
            <w:pPr>
              <w:ind w:firstLine="34"/>
              <w:jc w:val="center"/>
              <w:rPr>
                <w:rFonts w:cs="Times New Roman"/>
                <w:sz w:val="20"/>
                <w:szCs w:val="20"/>
              </w:rPr>
            </w:pPr>
            <w:r w:rsidRPr="00023CAA">
              <w:rPr>
                <w:rFonts w:cs="Times New Roman"/>
                <w:sz w:val="20"/>
                <w:szCs w:val="20"/>
              </w:rPr>
              <w:t>Liquidez</w:t>
            </w:r>
          </w:p>
          <w:p w:rsidR="00A64FC8" w:rsidRPr="00023CAA" w:rsidRDefault="00A64FC8" w:rsidP="00850F71">
            <w:pPr>
              <w:ind w:firstLine="34"/>
              <w:jc w:val="center"/>
              <w:rPr>
                <w:rFonts w:cs="Times New Roman"/>
                <w:sz w:val="20"/>
                <w:szCs w:val="20"/>
              </w:rPr>
            </w:pPr>
            <w:r w:rsidRPr="00023CAA">
              <w:rPr>
                <w:rFonts w:cs="Times New Roman"/>
                <w:sz w:val="20"/>
                <w:szCs w:val="20"/>
              </w:rPr>
              <w:t>(LIQ)</w:t>
            </w:r>
          </w:p>
        </w:tc>
        <w:tc>
          <w:tcPr>
            <w:tcW w:w="1483" w:type="pct"/>
            <w:tcBorders>
              <w:left w:val="single" w:sz="4" w:space="0" w:color="000000" w:themeColor="text1"/>
              <w:right w:val="single" w:sz="4" w:space="0" w:color="000000" w:themeColor="text1"/>
            </w:tcBorders>
            <w:vAlign w:val="center"/>
          </w:tcPr>
          <w:p w:rsidR="00A64FC8" w:rsidRPr="00023CAA" w:rsidRDefault="00166B07" w:rsidP="00850F71">
            <w:pPr>
              <w:ind w:firstLine="0"/>
              <w:jc w:val="center"/>
              <w:rPr>
                <w:rFonts w:cs="Times New Roman"/>
                <w:sz w:val="20"/>
                <w:szCs w:val="20"/>
              </w:rPr>
            </w:pPr>
            <m:oMathPara>
              <m:oMath>
                <m:f>
                  <m:fPr>
                    <m:ctrlPr>
                      <w:rPr>
                        <w:rFonts w:ascii="Cambria Math" w:hAnsi="Cambria Math" w:cs="Times New Roman"/>
                        <w:sz w:val="20"/>
                        <w:szCs w:val="20"/>
                      </w:rPr>
                    </m:ctrlPr>
                  </m:fPr>
                  <m:num>
                    <m:r>
                      <m:rPr>
                        <m:sty m:val="p"/>
                      </m:rPr>
                      <w:rPr>
                        <w:rFonts w:ascii="Cambria Math" w:cs="Times New Roman"/>
                        <w:sz w:val="20"/>
                        <w:szCs w:val="20"/>
                      </w:rPr>
                      <m:t>Ativo Circ.</m:t>
                    </m:r>
                    <m:r>
                      <m:rPr>
                        <m:sty m:val="p"/>
                      </m:rPr>
                      <w:rPr>
                        <w:rFonts w:ascii="Cambria Math" w:hAnsi="Cambria Math" w:cs="Times New Roman"/>
                        <w:sz w:val="20"/>
                        <w:szCs w:val="20"/>
                      </w:rPr>
                      <m:t>-</m:t>
                    </m:r>
                    <m:r>
                      <m:rPr>
                        <m:sty m:val="p"/>
                      </m:rPr>
                      <w:rPr>
                        <w:rFonts w:ascii="Cambria Math" w:cs="Times New Roman"/>
                        <w:sz w:val="20"/>
                        <w:szCs w:val="20"/>
                      </w:rPr>
                      <m:t>Estoques</m:t>
                    </m:r>
                  </m:num>
                  <m:den>
                    <m:r>
                      <m:rPr>
                        <m:sty m:val="p"/>
                      </m:rPr>
                      <w:rPr>
                        <w:rFonts w:ascii="Cambria Math" w:cs="Times New Roman"/>
                        <w:sz w:val="20"/>
                        <w:szCs w:val="20"/>
                      </w:rPr>
                      <m:t>Passivo Circulante</m:t>
                    </m:r>
                  </m:den>
                </m:f>
              </m:oMath>
            </m:oMathPara>
          </w:p>
        </w:tc>
        <w:tc>
          <w:tcPr>
            <w:tcW w:w="707" w:type="pct"/>
            <w:tcBorders>
              <w:left w:val="single" w:sz="4" w:space="0" w:color="000000" w:themeColor="text1"/>
              <w:right w:val="single" w:sz="4" w:space="0" w:color="000000" w:themeColor="text1"/>
            </w:tcBorders>
            <w:vAlign w:val="center"/>
          </w:tcPr>
          <w:p w:rsidR="00A64FC8" w:rsidRPr="00023CAA" w:rsidRDefault="00A64FC8" w:rsidP="00850F71">
            <w:pPr>
              <w:ind w:firstLine="0"/>
              <w:jc w:val="center"/>
              <w:rPr>
                <w:rFonts w:cs="Times New Roman"/>
                <w:sz w:val="20"/>
                <w:szCs w:val="20"/>
              </w:rPr>
            </w:pPr>
            <w:r w:rsidRPr="00023CAA">
              <w:rPr>
                <w:rFonts w:cs="Times New Roman"/>
                <w:sz w:val="20"/>
                <w:szCs w:val="20"/>
              </w:rPr>
              <w:t>+</w:t>
            </w:r>
          </w:p>
        </w:tc>
        <w:tc>
          <w:tcPr>
            <w:tcW w:w="1226" w:type="pct"/>
            <w:tcBorders>
              <w:left w:val="single" w:sz="4" w:space="0" w:color="000000" w:themeColor="text1"/>
              <w:right w:val="single" w:sz="12" w:space="0" w:color="auto"/>
            </w:tcBorders>
            <w:vAlign w:val="center"/>
          </w:tcPr>
          <w:p w:rsidR="00A64FC8" w:rsidRPr="00023CAA" w:rsidRDefault="00A64FC8" w:rsidP="00850F71">
            <w:pPr>
              <w:ind w:left="-85" w:right="-106" w:hanging="23"/>
              <w:jc w:val="center"/>
              <w:rPr>
                <w:rFonts w:cs="Times New Roman"/>
                <w:sz w:val="20"/>
                <w:szCs w:val="20"/>
              </w:rPr>
            </w:pPr>
            <w:r w:rsidRPr="00023CAA">
              <w:rPr>
                <w:rFonts w:cs="Times New Roman"/>
                <w:sz w:val="20"/>
                <w:szCs w:val="20"/>
              </w:rPr>
              <w:t xml:space="preserve">Gupta &amp; Banga (2010); Forti </w:t>
            </w:r>
            <w:r w:rsidRPr="00023CAA">
              <w:rPr>
                <w:rFonts w:cs="Times New Roman"/>
                <w:i/>
                <w:sz w:val="20"/>
                <w:szCs w:val="20"/>
              </w:rPr>
              <w:t>et al</w:t>
            </w:r>
            <w:r w:rsidRPr="00023CAA">
              <w:rPr>
                <w:rFonts w:cs="Times New Roman"/>
                <w:sz w:val="20"/>
                <w:szCs w:val="20"/>
              </w:rPr>
              <w:t>. (2015); Vancin &amp; Procianoy (2016)</w:t>
            </w:r>
          </w:p>
        </w:tc>
      </w:tr>
      <w:tr w:rsidR="00706EAB" w:rsidRPr="00023CAA" w:rsidTr="00706EAB">
        <w:trPr>
          <w:trHeight w:val="20"/>
        </w:trPr>
        <w:tc>
          <w:tcPr>
            <w:tcW w:w="587" w:type="pct"/>
            <w:vMerge/>
            <w:tcBorders>
              <w:left w:val="single" w:sz="12" w:space="0" w:color="auto"/>
              <w:right w:val="single" w:sz="4" w:space="0" w:color="000000" w:themeColor="text1"/>
            </w:tcBorders>
            <w:vAlign w:val="center"/>
          </w:tcPr>
          <w:p w:rsidR="00A64FC8" w:rsidRPr="00023CAA" w:rsidRDefault="00A64FC8" w:rsidP="00850F71">
            <w:pPr>
              <w:jc w:val="center"/>
              <w:rPr>
                <w:rFonts w:cs="Times New Roman"/>
                <w:sz w:val="20"/>
                <w:szCs w:val="20"/>
              </w:rPr>
            </w:pPr>
          </w:p>
        </w:tc>
        <w:tc>
          <w:tcPr>
            <w:tcW w:w="998" w:type="pct"/>
            <w:tcBorders>
              <w:left w:val="single" w:sz="4" w:space="0" w:color="000000" w:themeColor="text1"/>
              <w:right w:val="single" w:sz="4" w:space="0" w:color="000000" w:themeColor="text1"/>
            </w:tcBorders>
            <w:vAlign w:val="center"/>
          </w:tcPr>
          <w:p w:rsidR="00A64FC8" w:rsidRDefault="00A64FC8" w:rsidP="00850F71">
            <w:pPr>
              <w:ind w:firstLine="34"/>
              <w:jc w:val="center"/>
              <w:rPr>
                <w:rFonts w:cs="Times New Roman"/>
                <w:sz w:val="20"/>
                <w:szCs w:val="20"/>
              </w:rPr>
            </w:pPr>
            <w:r w:rsidRPr="00023CAA">
              <w:rPr>
                <w:rFonts w:cs="Times New Roman"/>
                <w:sz w:val="20"/>
                <w:szCs w:val="20"/>
              </w:rPr>
              <w:t>Endividamento</w:t>
            </w:r>
          </w:p>
          <w:p w:rsidR="00A64FC8" w:rsidRPr="00023CAA" w:rsidRDefault="00A64FC8" w:rsidP="00850F71">
            <w:pPr>
              <w:ind w:firstLine="34"/>
              <w:jc w:val="center"/>
              <w:rPr>
                <w:rFonts w:cs="Times New Roman"/>
                <w:sz w:val="20"/>
                <w:szCs w:val="20"/>
              </w:rPr>
            </w:pPr>
            <w:r w:rsidRPr="00023CAA">
              <w:rPr>
                <w:rFonts w:cs="Times New Roman"/>
                <w:sz w:val="20"/>
                <w:szCs w:val="20"/>
              </w:rPr>
              <w:t>(END)</w:t>
            </w:r>
          </w:p>
        </w:tc>
        <w:tc>
          <w:tcPr>
            <w:tcW w:w="1483" w:type="pct"/>
            <w:tcBorders>
              <w:left w:val="single" w:sz="4" w:space="0" w:color="000000" w:themeColor="text1"/>
              <w:right w:val="single" w:sz="4" w:space="0" w:color="000000" w:themeColor="text1"/>
            </w:tcBorders>
            <w:vAlign w:val="center"/>
          </w:tcPr>
          <w:p w:rsidR="00A64FC8" w:rsidRPr="00023CAA" w:rsidRDefault="00166B07" w:rsidP="00850F71">
            <w:pPr>
              <w:ind w:firstLine="0"/>
              <w:jc w:val="center"/>
              <w:rPr>
                <w:rFonts w:cs="Times New Roman"/>
                <w:sz w:val="20"/>
                <w:szCs w:val="20"/>
              </w:rPr>
            </w:pPr>
            <m:oMathPara>
              <m:oMath>
                <m:f>
                  <m:fPr>
                    <m:ctrlPr>
                      <w:rPr>
                        <w:rFonts w:ascii="Cambria Math" w:hAnsi="Cambria Math" w:cs="Times New Roman"/>
                        <w:sz w:val="20"/>
                        <w:szCs w:val="20"/>
                      </w:rPr>
                    </m:ctrlPr>
                  </m:fPr>
                  <m:num>
                    <m:r>
                      <m:rPr>
                        <m:sty m:val="p"/>
                      </m:rPr>
                      <w:rPr>
                        <w:rFonts w:ascii="Cambria Math" w:cs="Times New Roman"/>
                        <w:sz w:val="20"/>
                        <w:szCs w:val="20"/>
                      </w:rPr>
                      <m:t>Pas.Circ.+Pas.N</m:t>
                    </m:r>
                    <m:r>
                      <m:rPr>
                        <m:sty m:val="p"/>
                      </m:rPr>
                      <w:rPr>
                        <w:rFonts w:ascii="Cambria Math" w:hAnsi="Cambria Math" w:cs="Times New Roman"/>
                        <w:sz w:val="20"/>
                        <w:szCs w:val="20"/>
                      </w:rPr>
                      <m:t>ã</m:t>
                    </m:r>
                    <m:r>
                      <m:rPr>
                        <m:sty m:val="p"/>
                      </m:rPr>
                      <w:rPr>
                        <w:rFonts w:ascii="Cambria Math" w:cs="Times New Roman"/>
                        <w:sz w:val="20"/>
                        <w:szCs w:val="20"/>
                      </w:rPr>
                      <m:t>o Circ.</m:t>
                    </m:r>
                  </m:num>
                  <m:den>
                    <m:r>
                      <m:rPr>
                        <m:sty m:val="p"/>
                      </m:rPr>
                      <w:rPr>
                        <w:rFonts w:ascii="Cambria Math" w:cs="Times New Roman"/>
                        <w:sz w:val="20"/>
                        <w:szCs w:val="20"/>
                      </w:rPr>
                      <m:t>Ativo Total</m:t>
                    </m:r>
                  </m:den>
                </m:f>
              </m:oMath>
            </m:oMathPara>
          </w:p>
        </w:tc>
        <w:tc>
          <w:tcPr>
            <w:tcW w:w="707" w:type="pct"/>
            <w:tcBorders>
              <w:left w:val="single" w:sz="4" w:space="0" w:color="000000" w:themeColor="text1"/>
              <w:right w:val="single" w:sz="4" w:space="0" w:color="000000" w:themeColor="text1"/>
            </w:tcBorders>
            <w:vAlign w:val="center"/>
          </w:tcPr>
          <w:p w:rsidR="00A64FC8" w:rsidRPr="00023CAA" w:rsidRDefault="00A64FC8" w:rsidP="00850F71">
            <w:pPr>
              <w:ind w:firstLine="0"/>
              <w:jc w:val="center"/>
              <w:rPr>
                <w:rFonts w:cs="Times New Roman"/>
                <w:sz w:val="20"/>
                <w:szCs w:val="20"/>
              </w:rPr>
            </w:pPr>
            <w:r w:rsidRPr="00023CAA">
              <w:rPr>
                <w:rFonts w:cs="Times New Roman"/>
                <w:sz w:val="20"/>
                <w:szCs w:val="20"/>
              </w:rPr>
              <w:t>-</w:t>
            </w:r>
          </w:p>
        </w:tc>
        <w:tc>
          <w:tcPr>
            <w:tcW w:w="1226" w:type="pct"/>
            <w:tcBorders>
              <w:left w:val="single" w:sz="4" w:space="0" w:color="000000" w:themeColor="text1"/>
              <w:right w:val="single" w:sz="12" w:space="0" w:color="auto"/>
            </w:tcBorders>
            <w:vAlign w:val="center"/>
          </w:tcPr>
          <w:p w:rsidR="00A64FC8" w:rsidRPr="00023CAA" w:rsidRDefault="00A64FC8" w:rsidP="00850F71">
            <w:pPr>
              <w:ind w:left="-85" w:right="-106" w:hanging="23"/>
              <w:jc w:val="center"/>
              <w:rPr>
                <w:rFonts w:cs="Times New Roman"/>
                <w:sz w:val="20"/>
                <w:szCs w:val="20"/>
              </w:rPr>
            </w:pPr>
            <w:r w:rsidRPr="00023CAA">
              <w:rPr>
                <w:rFonts w:cs="Times New Roman"/>
                <w:sz w:val="20"/>
                <w:szCs w:val="20"/>
              </w:rPr>
              <w:t xml:space="preserve">Kania &amp; Bacon (2005); Gupta &amp; Banga (2010); Procianoy &amp; Vancin (2014); Montalvan </w:t>
            </w:r>
            <w:r w:rsidRPr="00023CAA">
              <w:rPr>
                <w:rFonts w:cs="Times New Roman"/>
                <w:i/>
                <w:sz w:val="20"/>
                <w:szCs w:val="20"/>
              </w:rPr>
              <w:t>et al</w:t>
            </w:r>
            <w:r w:rsidRPr="00023CAA">
              <w:rPr>
                <w:rFonts w:cs="Times New Roman"/>
                <w:sz w:val="20"/>
                <w:szCs w:val="20"/>
              </w:rPr>
              <w:t>. (2017)</w:t>
            </w:r>
          </w:p>
        </w:tc>
      </w:tr>
      <w:tr w:rsidR="00706EAB" w:rsidRPr="00023CAA" w:rsidTr="00706EAB">
        <w:trPr>
          <w:trHeight w:val="20"/>
        </w:trPr>
        <w:tc>
          <w:tcPr>
            <w:tcW w:w="587" w:type="pct"/>
            <w:vMerge/>
            <w:tcBorders>
              <w:left w:val="single" w:sz="12" w:space="0" w:color="auto"/>
              <w:right w:val="single" w:sz="4" w:space="0" w:color="000000" w:themeColor="text1"/>
            </w:tcBorders>
            <w:vAlign w:val="center"/>
          </w:tcPr>
          <w:p w:rsidR="00A64FC8" w:rsidRPr="00023CAA" w:rsidRDefault="00A64FC8" w:rsidP="00850F71">
            <w:pPr>
              <w:jc w:val="center"/>
              <w:rPr>
                <w:rFonts w:cs="Times New Roman"/>
                <w:sz w:val="20"/>
                <w:szCs w:val="20"/>
              </w:rPr>
            </w:pPr>
          </w:p>
        </w:tc>
        <w:tc>
          <w:tcPr>
            <w:tcW w:w="998" w:type="pct"/>
            <w:tcBorders>
              <w:left w:val="single" w:sz="4" w:space="0" w:color="000000" w:themeColor="text1"/>
              <w:right w:val="single" w:sz="4" w:space="0" w:color="000000" w:themeColor="text1"/>
            </w:tcBorders>
            <w:vAlign w:val="center"/>
          </w:tcPr>
          <w:p w:rsidR="00A64FC8" w:rsidRDefault="00A64FC8" w:rsidP="00850F71">
            <w:pPr>
              <w:ind w:firstLine="34"/>
              <w:jc w:val="center"/>
              <w:rPr>
                <w:rFonts w:cs="Times New Roman"/>
                <w:sz w:val="20"/>
                <w:szCs w:val="20"/>
              </w:rPr>
            </w:pPr>
            <w:r w:rsidRPr="00023CAA">
              <w:rPr>
                <w:rFonts w:cs="Times New Roman"/>
                <w:sz w:val="20"/>
                <w:szCs w:val="20"/>
              </w:rPr>
              <w:t>Tamanho</w:t>
            </w:r>
          </w:p>
          <w:p w:rsidR="00A64FC8" w:rsidRPr="00023CAA" w:rsidRDefault="00A64FC8" w:rsidP="00850F71">
            <w:pPr>
              <w:ind w:firstLine="34"/>
              <w:jc w:val="center"/>
              <w:rPr>
                <w:rFonts w:cs="Times New Roman"/>
                <w:sz w:val="20"/>
                <w:szCs w:val="20"/>
              </w:rPr>
            </w:pPr>
            <w:r w:rsidRPr="00023CAA">
              <w:rPr>
                <w:rFonts w:cs="Times New Roman"/>
                <w:sz w:val="20"/>
                <w:szCs w:val="20"/>
              </w:rPr>
              <w:t>(TAM)</w:t>
            </w:r>
          </w:p>
        </w:tc>
        <w:tc>
          <w:tcPr>
            <w:tcW w:w="1483" w:type="pct"/>
            <w:tcBorders>
              <w:left w:val="single" w:sz="4" w:space="0" w:color="000000" w:themeColor="text1"/>
              <w:right w:val="single" w:sz="4" w:space="0" w:color="000000" w:themeColor="text1"/>
            </w:tcBorders>
            <w:vAlign w:val="center"/>
          </w:tcPr>
          <w:p w:rsidR="00A64FC8" w:rsidRPr="00023CAA" w:rsidRDefault="00A64FC8" w:rsidP="00850F71">
            <w:pPr>
              <w:ind w:firstLine="0"/>
              <w:jc w:val="center"/>
              <w:rPr>
                <w:rFonts w:cs="Times New Roman"/>
                <w:sz w:val="20"/>
                <w:szCs w:val="20"/>
              </w:rPr>
            </w:pPr>
            <w:r w:rsidRPr="00023CAA">
              <w:rPr>
                <w:rFonts w:cs="Times New Roman"/>
                <w:sz w:val="20"/>
                <w:szCs w:val="20"/>
              </w:rPr>
              <w:t>LN do Ativo Total</w:t>
            </w:r>
          </w:p>
        </w:tc>
        <w:tc>
          <w:tcPr>
            <w:tcW w:w="707" w:type="pct"/>
            <w:tcBorders>
              <w:left w:val="single" w:sz="4" w:space="0" w:color="000000" w:themeColor="text1"/>
              <w:right w:val="single" w:sz="4" w:space="0" w:color="000000" w:themeColor="text1"/>
            </w:tcBorders>
            <w:vAlign w:val="center"/>
          </w:tcPr>
          <w:p w:rsidR="00A64FC8" w:rsidRPr="00023CAA" w:rsidRDefault="00A64FC8" w:rsidP="00850F71">
            <w:pPr>
              <w:ind w:firstLine="0"/>
              <w:jc w:val="center"/>
              <w:rPr>
                <w:rFonts w:cs="Times New Roman"/>
                <w:sz w:val="20"/>
                <w:szCs w:val="20"/>
              </w:rPr>
            </w:pPr>
            <w:r w:rsidRPr="00023CAA">
              <w:rPr>
                <w:rFonts w:cs="Times New Roman"/>
                <w:sz w:val="20"/>
                <w:szCs w:val="20"/>
              </w:rPr>
              <w:t>+</w:t>
            </w:r>
          </w:p>
        </w:tc>
        <w:tc>
          <w:tcPr>
            <w:tcW w:w="1226" w:type="pct"/>
            <w:tcBorders>
              <w:left w:val="single" w:sz="4" w:space="0" w:color="000000" w:themeColor="text1"/>
              <w:right w:val="single" w:sz="12" w:space="0" w:color="auto"/>
            </w:tcBorders>
            <w:vAlign w:val="center"/>
          </w:tcPr>
          <w:p w:rsidR="00A64FC8" w:rsidRPr="00023CAA" w:rsidRDefault="00A64FC8" w:rsidP="00850F71">
            <w:pPr>
              <w:ind w:left="-85" w:right="-106" w:hanging="23"/>
              <w:jc w:val="center"/>
              <w:rPr>
                <w:rFonts w:cs="Times New Roman"/>
                <w:sz w:val="20"/>
                <w:szCs w:val="20"/>
              </w:rPr>
            </w:pPr>
            <w:r w:rsidRPr="00023CAA">
              <w:rPr>
                <w:rFonts w:cs="Times New Roman"/>
                <w:sz w:val="20"/>
                <w:szCs w:val="20"/>
              </w:rPr>
              <w:t xml:space="preserve">Iquiapaza </w:t>
            </w:r>
            <w:r w:rsidRPr="00023CAA">
              <w:rPr>
                <w:rFonts w:cs="Times New Roman"/>
                <w:i/>
                <w:sz w:val="20"/>
                <w:szCs w:val="20"/>
              </w:rPr>
              <w:t>et al</w:t>
            </w:r>
            <w:r w:rsidRPr="00023CAA">
              <w:rPr>
                <w:rFonts w:cs="Times New Roman"/>
                <w:sz w:val="20"/>
                <w:szCs w:val="20"/>
              </w:rPr>
              <w:t xml:space="preserve">. (2008); Holanda &amp; Coelho (2012); Fernandes &amp; Ribeiro (2013); Forti </w:t>
            </w:r>
            <w:r w:rsidRPr="00023CAA">
              <w:rPr>
                <w:rFonts w:cs="Times New Roman"/>
                <w:i/>
                <w:sz w:val="20"/>
                <w:szCs w:val="20"/>
              </w:rPr>
              <w:t>et al</w:t>
            </w:r>
            <w:r w:rsidRPr="00023CAA">
              <w:rPr>
                <w:rFonts w:cs="Times New Roman"/>
                <w:sz w:val="20"/>
                <w:szCs w:val="20"/>
              </w:rPr>
              <w:t xml:space="preserve">. (2015); Vancin &amp; Procianoy (2016); Montalvan </w:t>
            </w:r>
            <w:r w:rsidRPr="00023CAA">
              <w:rPr>
                <w:rFonts w:cs="Times New Roman"/>
                <w:i/>
                <w:sz w:val="20"/>
                <w:szCs w:val="20"/>
              </w:rPr>
              <w:t>et al</w:t>
            </w:r>
            <w:r w:rsidRPr="00023CAA">
              <w:rPr>
                <w:rFonts w:cs="Times New Roman"/>
                <w:sz w:val="20"/>
                <w:szCs w:val="20"/>
              </w:rPr>
              <w:t>. (2017)</w:t>
            </w:r>
          </w:p>
        </w:tc>
      </w:tr>
      <w:tr w:rsidR="00706EAB" w:rsidRPr="00023CAA" w:rsidTr="00706EAB">
        <w:trPr>
          <w:trHeight w:val="20"/>
        </w:trPr>
        <w:tc>
          <w:tcPr>
            <w:tcW w:w="587" w:type="pct"/>
            <w:vMerge/>
            <w:tcBorders>
              <w:left w:val="single" w:sz="12" w:space="0" w:color="auto"/>
              <w:right w:val="single" w:sz="4" w:space="0" w:color="000000" w:themeColor="text1"/>
            </w:tcBorders>
            <w:vAlign w:val="center"/>
          </w:tcPr>
          <w:p w:rsidR="00A64FC8" w:rsidRPr="00023CAA" w:rsidRDefault="00A64FC8" w:rsidP="00850F71">
            <w:pPr>
              <w:jc w:val="center"/>
              <w:rPr>
                <w:rFonts w:cs="Times New Roman"/>
                <w:sz w:val="20"/>
                <w:szCs w:val="20"/>
              </w:rPr>
            </w:pPr>
          </w:p>
        </w:tc>
        <w:tc>
          <w:tcPr>
            <w:tcW w:w="998" w:type="pct"/>
            <w:tcBorders>
              <w:left w:val="single" w:sz="4" w:space="0" w:color="000000" w:themeColor="text1"/>
              <w:right w:val="single" w:sz="4" w:space="0" w:color="000000" w:themeColor="text1"/>
            </w:tcBorders>
            <w:vAlign w:val="center"/>
          </w:tcPr>
          <w:p w:rsidR="00A64FC8" w:rsidRPr="00023CAA" w:rsidRDefault="00A64FC8" w:rsidP="00850F71">
            <w:pPr>
              <w:ind w:firstLine="34"/>
              <w:jc w:val="center"/>
              <w:rPr>
                <w:rFonts w:cs="Times New Roman"/>
                <w:sz w:val="20"/>
                <w:szCs w:val="20"/>
              </w:rPr>
            </w:pPr>
            <w:r w:rsidRPr="00023CAA">
              <w:rPr>
                <w:rFonts w:cs="Times New Roman"/>
                <w:sz w:val="20"/>
                <w:szCs w:val="20"/>
              </w:rPr>
              <w:t>Lucratividade</w:t>
            </w:r>
          </w:p>
          <w:p w:rsidR="00A64FC8" w:rsidRPr="00023CAA" w:rsidRDefault="00A64FC8" w:rsidP="00850F71">
            <w:pPr>
              <w:ind w:firstLine="34"/>
              <w:jc w:val="center"/>
              <w:rPr>
                <w:rFonts w:cs="Times New Roman"/>
                <w:sz w:val="20"/>
                <w:szCs w:val="20"/>
              </w:rPr>
            </w:pPr>
            <w:r w:rsidRPr="00023CAA">
              <w:rPr>
                <w:rFonts w:cs="Times New Roman"/>
                <w:sz w:val="20"/>
                <w:szCs w:val="20"/>
              </w:rPr>
              <w:t>(ROE)</w:t>
            </w:r>
          </w:p>
        </w:tc>
        <w:tc>
          <w:tcPr>
            <w:tcW w:w="1483" w:type="pct"/>
            <w:tcBorders>
              <w:left w:val="single" w:sz="4" w:space="0" w:color="000000" w:themeColor="text1"/>
              <w:right w:val="single" w:sz="4" w:space="0" w:color="000000" w:themeColor="text1"/>
            </w:tcBorders>
            <w:vAlign w:val="center"/>
          </w:tcPr>
          <w:p w:rsidR="00A64FC8" w:rsidRPr="00023CAA" w:rsidRDefault="00166B07" w:rsidP="00850F71">
            <w:pPr>
              <w:ind w:firstLine="0"/>
              <w:jc w:val="center"/>
              <w:rPr>
                <w:rFonts w:cs="Times New Roman"/>
                <w:sz w:val="20"/>
                <w:szCs w:val="20"/>
              </w:rPr>
            </w:pPr>
            <m:oMathPara>
              <m:oMath>
                <m:f>
                  <m:fPr>
                    <m:ctrlPr>
                      <w:rPr>
                        <w:rFonts w:ascii="Cambria Math" w:hAnsi="Cambria Math" w:cs="Times New Roman"/>
                        <w:sz w:val="20"/>
                        <w:szCs w:val="20"/>
                      </w:rPr>
                    </m:ctrlPr>
                  </m:fPr>
                  <m:num>
                    <m:r>
                      <m:rPr>
                        <m:sty m:val="p"/>
                      </m:rPr>
                      <w:rPr>
                        <w:rFonts w:ascii="Cambria Math" w:cs="Times New Roman"/>
                        <w:sz w:val="20"/>
                        <w:szCs w:val="20"/>
                      </w:rPr>
                      <m:t>Lucro L</m:t>
                    </m:r>
                    <m:r>
                      <m:rPr>
                        <m:sty m:val="p"/>
                      </m:rPr>
                      <w:rPr>
                        <w:rFonts w:ascii="Cambria Math" w:hAnsi="Cambria Math" w:cs="Times New Roman"/>
                        <w:sz w:val="20"/>
                        <w:szCs w:val="20"/>
                      </w:rPr>
                      <m:t>í</m:t>
                    </m:r>
                    <m:r>
                      <m:rPr>
                        <m:sty m:val="p"/>
                      </m:rPr>
                      <w:rPr>
                        <w:rFonts w:ascii="Cambria Math" w:cs="Times New Roman"/>
                        <w:sz w:val="20"/>
                        <w:szCs w:val="20"/>
                      </w:rPr>
                      <m:t>quido</m:t>
                    </m:r>
                  </m:num>
                  <m:den>
                    <m:r>
                      <m:rPr>
                        <m:sty m:val="p"/>
                      </m:rPr>
                      <w:rPr>
                        <w:rFonts w:ascii="Cambria Math" w:cs="Times New Roman"/>
                        <w:sz w:val="20"/>
                        <w:szCs w:val="20"/>
                      </w:rPr>
                      <m:t>Patrim</m:t>
                    </m:r>
                    <m:r>
                      <m:rPr>
                        <m:sty m:val="p"/>
                      </m:rPr>
                      <w:rPr>
                        <w:rFonts w:ascii="Cambria Math" w:hAnsi="Cambria Math" w:cs="Times New Roman"/>
                        <w:sz w:val="20"/>
                        <w:szCs w:val="20"/>
                      </w:rPr>
                      <m:t>ô</m:t>
                    </m:r>
                    <m:r>
                      <m:rPr>
                        <m:sty m:val="p"/>
                      </m:rPr>
                      <w:rPr>
                        <w:rFonts w:ascii="Cambria Math" w:cs="Times New Roman"/>
                        <w:sz w:val="20"/>
                        <w:szCs w:val="20"/>
                      </w:rPr>
                      <m:t>nio L</m:t>
                    </m:r>
                    <m:r>
                      <m:rPr>
                        <m:sty m:val="p"/>
                      </m:rPr>
                      <w:rPr>
                        <w:rFonts w:ascii="Cambria Math" w:hAnsi="Cambria Math" w:cs="Times New Roman"/>
                        <w:sz w:val="20"/>
                        <w:szCs w:val="20"/>
                      </w:rPr>
                      <m:t>í</m:t>
                    </m:r>
                    <m:r>
                      <m:rPr>
                        <m:sty m:val="p"/>
                      </m:rPr>
                      <w:rPr>
                        <w:rFonts w:ascii="Cambria Math" w:cs="Times New Roman"/>
                        <w:sz w:val="20"/>
                        <w:szCs w:val="20"/>
                      </w:rPr>
                      <m:t>quido</m:t>
                    </m:r>
                  </m:den>
                </m:f>
              </m:oMath>
            </m:oMathPara>
          </w:p>
        </w:tc>
        <w:tc>
          <w:tcPr>
            <w:tcW w:w="707" w:type="pct"/>
            <w:tcBorders>
              <w:left w:val="single" w:sz="4" w:space="0" w:color="000000" w:themeColor="text1"/>
              <w:right w:val="single" w:sz="4" w:space="0" w:color="000000" w:themeColor="text1"/>
            </w:tcBorders>
            <w:vAlign w:val="center"/>
          </w:tcPr>
          <w:p w:rsidR="00A64FC8" w:rsidRPr="00023CAA" w:rsidRDefault="00A64FC8" w:rsidP="00850F71">
            <w:pPr>
              <w:ind w:firstLine="0"/>
              <w:jc w:val="center"/>
              <w:rPr>
                <w:rFonts w:cs="Times New Roman"/>
                <w:sz w:val="20"/>
                <w:szCs w:val="20"/>
              </w:rPr>
            </w:pPr>
            <w:r w:rsidRPr="00023CAA">
              <w:rPr>
                <w:rFonts w:cs="Times New Roman"/>
                <w:sz w:val="20"/>
                <w:szCs w:val="20"/>
              </w:rPr>
              <w:t>+</w:t>
            </w:r>
          </w:p>
        </w:tc>
        <w:tc>
          <w:tcPr>
            <w:tcW w:w="1226" w:type="pct"/>
            <w:tcBorders>
              <w:left w:val="single" w:sz="4" w:space="0" w:color="000000" w:themeColor="text1"/>
              <w:right w:val="single" w:sz="12" w:space="0" w:color="auto"/>
            </w:tcBorders>
            <w:vAlign w:val="center"/>
          </w:tcPr>
          <w:p w:rsidR="00A64FC8" w:rsidRPr="00023CAA" w:rsidRDefault="00A64FC8" w:rsidP="00850F71">
            <w:pPr>
              <w:ind w:left="-85" w:right="-106" w:hanging="23"/>
              <w:jc w:val="center"/>
              <w:rPr>
                <w:rFonts w:cs="Times New Roman"/>
                <w:sz w:val="20"/>
                <w:szCs w:val="20"/>
              </w:rPr>
            </w:pPr>
            <w:r w:rsidRPr="00023CAA">
              <w:rPr>
                <w:rFonts w:cs="Times New Roman"/>
                <w:sz w:val="20"/>
                <w:szCs w:val="20"/>
              </w:rPr>
              <w:t>Vancin &amp; Procianoy (2016); Viana Júnior &amp; Ponte (2016)</w:t>
            </w:r>
          </w:p>
        </w:tc>
      </w:tr>
      <w:tr w:rsidR="00706EAB" w:rsidRPr="00E24E2A" w:rsidTr="00706EAB">
        <w:trPr>
          <w:trHeight w:val="20"/>
        </w:trPr>
        <w:tc>
          <w:tcPr>
            <w:tcW w:w="587" w:type="pct"/>
            <w:vMerge/>
            <w:tcBorders>
              <w:left w:val="single" w:sz="12" w:space="0" w:color="auto"/>
              <w:right w:val="single" w:sz="4" w:space="0" w:color="000000" w:themeColor="text1"/>
            </w:tcBorders>
            <w:vAlign w:val="center"/>
          </w:tcPr>
          <w:p w:rsidR="00A64FC8" w:rsidRPr="00023CAA" w:rsidRDefault="00A64FC8" w:rsidP="00850F71">
            <w:pPr>
              <w:jc w:val="center"/>
              <w:rPr>
                <w:rFonts w:cs="Times New Roman"/>
                <w:sz w:val="20"/>
                <w:szCs w:val="20"/>
              </w:rPr>
            </w:pPr>
          </w:p>
        </w:tc>
        <w:tc>
          <w:tcPr>
            <w:tcW w:w="998" w:type="pct"/>
            <w:tcBorders>
              <w:left w:val="single" w:sz="4" w:space="0" w:color="000000" w:themeColor="text1"/>
              <w:right w:val="single" w:sz="4" w:space="0" w:color="000000" w:themeColor="text1"/>
            </w:tcBorders>
            <w:vAlign w:val="center"/>
          </w:tcPr>
          <w:p w:rsidR="00A64FC8" w:rsidRDefault="00A64FC8" w:rsidP="00850F71">
            <w:pPr>
              <w:ind w:firstLine="34"/>
              <w:jc w:val="center"/>
              <w:rPr>
                <w:rFonts w:cs="Times New Roman"/>
                <w:sz w:val="20"/>
                <w:szCs w:val="20"/>
              </w:rPr>
            </w:pPr>
            <w:r w:rsidRPr="00023CAA">
              <w:rPr>
                <w:rFonts w:cs="Times New Roman"/>
                <w:sz w:val="20"/>
                <w:szCs w:val="20"/>
              </w:rPr>
              <w:t>Dividendos do Exercício Anterior Escalonados por Lucr</w:t>
            </w:r>
            <w:r>
              <w:rPr>
                <w:rFonts w:cs="Times New Roman"/>
                <w:sz w:val="20"/>
                <w:szCs w:val="20"/>
              </w:rPr>
              <w:t>o Líquido do Exercício Anterior</w:t>
            </w:r>
          </w:p>
          <w:p w:rsidR="00A64FC8" w:rsidRPr="00023CAA" w:rsidRDefault="00A64FC8" w:rsidP="00850F71">
            <w:pPr>
              <w:ind w:firstLine="34"/>
              <w:jc w:val="center"/>
              <w:rPr>
                <w:rFonts w:cs="Times New Roman"/>
                <w:sz w:val="20"/>
                <w:szCs w:val="20"/>
              </w:rPr>
            </w:pPr>
            <w:r w:rsidRPr="00023CAA">
              <w:rPr>
                <w:rFonts w:cs="Times New Roman"/>
                <w:sz w:val="20"/>
                <w:szCs w:val="20"/>
              </w:rPr>
              <w:t>(DIVANT)</w:t>
            </w:r>
          </w:p>
        </w:tc>
        <w:tc>
          <w:tcPr>
            <w:tcW w:w="1483" w:type="pct"/>
            <w:tcBorders>
              <w:left w:val="single" w:sz="4" w:space="0" w:color="000000" w:themeColor="text1"/>
              <w:right w:val="single" w:sz="4" w:space="0" w:color="000000" w:themeColor="text1"/>
            </w:tcBorders>
            <w:vAlign w:val="center"/>
          </w:tcPr>
          <w:p w:rsidR="00A64FC8" w:rsidRPr="00A64FC8" w:rsidRDefault="00166B07" w:rsidP="00850F71">
            <w:pPr>
              <w:jc w:val="center"/>
              <w:rPr>
                <w:rFonts w:cs="Times New Roman"/>
                <w:sz w:val="20"/>
                <w:szCs w:val="20"/>
              </w:rPr>
            </w:pPr>
            <m:oMathPara>
              <m:oMath>
                <m:f>
                  <m:fPr>
                    <m:ctrlPr>
                      <w:rPr>
                        <w:rFonts w:ascii="Cambria Math" w:hAnsi="Cambria Math" w:cs="Times New Roman"/>
                        <w:sz w:val="20"/>
                        <w:szCs w:val="20"/>
                      </w:rPr>
                    </m:ctrlPr>
                  </m:fPr>
                  <m:num>
                    <m:r>
                      <m:rPr>
                        <m:sty m:val="p"/>
                      </m:rPr>
                      <w:rPr>
                        <w:rFonts w:ascii="Cambria Math" w:cs="Times New Roman"/>
                        <w:sz w:val="20"/>
                        <w:szCs w:val="20"/>
                      </w:rPr>
                      <m:t>Dividendos Exerc</m:t>
                    </m:r>
                    <m:r>
                      <m:rPr>
                        <m:sty m:val="p"/>
                      </m:rPr>
                      <w:rPr>
                        <w:rFonts w:ascii="Cambria Math" w:hAnsi="Cambria Math" w:cs="Times New Roman"/>
                        <w:sz w:val="20"/>
                        <w:szCs w:val="20"/>
                      </w:rPr>
                      <m:t>í</m:t>
                    </m:r>
                    <m:r>
                      <m:rPr>
                        <m:sty m:val="p"/>
                      </m:rPr>
                      <w:rPr>
                        <w:rFonts w:ascii="Cambria Math" w:cs="Times New Roman"/>
                        <w:sz w:val="20"/>
                        <w:szCs w:val="20"/>
                      </w:rPr>
                      <m:t>cio Anterior</m:t>
                    </m:r>
                  </m:num>
                  <m:den>
                    <m:r>
                      <m:rPr>
                        <m:sty m:val="p"/>
                      </m:rPr>
                      <w:rPr>
                        <w:rFonts w:ascii="Cambria Math" w:cs="Times New Roman"/>
                        <w:sz w:val="20"/>
                        <w:szCs w:val="20"/>
                      </w:rPr>
                      <m:t>Lucro L</m:t>
                    </m:r>
                    <m:r>
                      <m:rPr>
                        <m:sty m:val="p"/>
                      </m:rPr>
                      <w:rPr>
                        <w:rFonts w:ascii="Cambria Math" w:hAnsi="Cambria Math" w:cs="Times New Roman"/>
                        <w:sz w:val="20"/>
                        <w:szCs w:val="20"/>
                      </w:rPr>
                      <m:t>í</m:t>
                    </m:r>
                    <m:r>
                      <m:rPr>
                        <m:sty m:val="p"/>
                      </m:rPr>
                      <w:rPr>
                        <w:rFonts w:ascii="Cambria Math" w:cs="Times New Roman"/>
                        <w:sz w:val="20"/>
                        <w:szCs w:val="20"/>
                      </w:rPr>
                      <m:t>quido Exerc</m:t>
                    </m:r>
                    <m:r>
                      <m:rPr>
                        <m:sty m:val="p"/>
                      </m:rPr>
                      <w:rPr>
                        <w:rFonts w:ascii="Cambria Math" w:hAnsi="Cambria Math" w:cs="Times New Roman"/>
                        <w:sz w:val="20"/>
                        <w:szCs w:val="20"/>
                      </w:rPr>
                      <m:t>í</m:t>
                    </m:r>
                    <m:r>
                      <m:rPr>
                        <m:sty m:val="p"/>
                      </m:rPr>
                      <w:rPr>
                        <w:rFonts w:ascii="Cambria Math" w:cs="Times New Roman"/>
                        <w:sz w:val="20"/>
                        <w:szCs w:val="20"/>
                      </w:rPr>
                      <m:t>cio Anterior</m:t>
                    </m:r>
                  </m:den>
                </m:f>
              </m:oMath>
            </m:oMathPara>
          </w:p>
        </w:tc>
        <w:tc>
          <w:tcPr>
            <w:tcW w:w="707" w:type="pct"/>
            <w:tcBorders>
              <w:left w:val="single" w:sz="4" w:space="0" w:color="000000" w:themeColor="text1"/>
              <w:right w:val="single" w:sz="4" w:space="0" w:color="000000" w:themeColor="text1"/>
            </w:tcBorders>
            <w:vAlign w:val="center"/>
          </w:tcPr>
          <w:p w:rsidR="00A64FC8" w:rsidRPr="00A64FC8" w:rsidRDefault="00A64FC8" w:rsidP="00850F71">
            <w:pPr>
              <w:ind w:firstLine="0"/>
              <w:jc w:val="center"/>
              <w:rPr>
                <w:rFonts w:cs="Times New Roman"/>
                <w:sz w:val="20"/>
                <w:szCs w:val="20"/>
              </w:rPr>
            </w:pPr>
            <w:r w:rsidRPr="00A64FC8">
              <w:rPr>
                <w:rFonts w:cs="Times New Roman"/>
                <w:sz w:val="20"/>
                <w:szCs w:val="20"/>
              </w:rPr>
              <w:t>+</w:t>
            </w:r>
          </w:p>
        </w:tc>
        <w:tc>
          <w:tcPr>
            <w:tcW w:w="1226" w:type="pct"/>
            <w:tcBorders>
              <w:left w:val="single" w:sz="4" w:space="0" w:color="000000" w:themeColor="text1"/>
              <w:right w:val="single" w:sz="12" w:space="0" w:color="auto"/>
            </w:tcBorders>
            <w:vAlign w:val="center"/>
          </w:tcPr>
          <w:p w:rsidR="00A64FC8" w:rsidRPr="00A64FC8" w:rsidRDefault="00A64FC8" w:rsidP="00850F71">
            <w:pPr>
              <w:ind w:left="-85" w:right="-106" w:hanging="23"/>
              <w:jc w:val="center"/>
              <w:rPr>
                <w:rFonts w:cs="Times New Roman"/>
                <w:sz w:val="20"/>
                <w:szCs w:val="20"/>
              </w:rPr>
            </w:pPr>
            <w:r w:rsidRPr="00A64FC8">
              <w:rPr>
                <w:rFonts w:cs="Times New Roman"/>
                <w:sz w:val="20"/>
                <w:szCs w:val="20"/>
              </w:rPr>
              <w:t xml:space="preserve">Lintner (1956); Ribeiro (2010); Fernandes &amp; Ribeiro (2013), Almeida </w:t>
            </w:r>
            <w:r w:rsidRPr="00A64FC8">
              <w:rPr>
                <w:rFonts w:cs="Times New Roman"/>
                <w:i/>
                <w:sz w:val="20"/>
                <w:szCs w:val="20"/>
              </w:rPr>
              <w:t>et al</w:t>
            </w:r>
            <w:r w:rsidRPr="00A64FC8">
              <w:rPr>
                <w:rFonts w:cs="Times New Roman"/>
                <w:sz w:val="20"/>
                <w:szCs w:val="20"/>
              </w:rPr>
              <w:t>. (2015); Vancin &amp; Procianoy (2016)</w:t>
            </w:r>
          </w:p>
        </w:tc>
      </w:tr>
    </w:tbl>
    <w:p w:rsidR="00BD71D9" w:rsidRPr="005035B7" w:rsidRDefault="005035B7" w:rsidP="00850F71">
      <w:pPr>
        <w:spacing w:line="276" w:lineRule="auto"/>
        <w:ind w:firstLine="0"/>
        <w:jc w:val="left"/>
        <w:rPr>
          <w:sz w:val="20"/>
          <w:szCs w:val="20"/>
        </w:rPr>
      </w:pPr>
      <w:r w:rsidRPr="005035B7">
        <w:rPr>
          <w:b/>
          <w:sz w:val="20"/>
          <w:szCs w:val="20"/>
        </w:rPr>
        <w:t>Fonte:</w:t>
      </w:r>
      <w:r w:rsidR="008B3E58">
        <w:rPr>
          <w:sz w:val="20"/>
          <w:szCs w:val="20"/>
        </w:rPr>
        <w:t xml:space="preserve"> d</w:t>
      </w:r>
      <w:r w:rsidRPr="005035B7">
        <w:rPr>
          <w:sz w:val="20"/>
          <w:szCs w:val="20"/>
        </w:rPr>
        <w:t>ados da pesquisa.</w:t>
      </w:r>
    </w:p>
    <w:p w:rsidR="00850F71" w:rsidRDefault="00850F71" w:rsidP="00850F71"/>
    <w:p w:rsidR="00935377" w:rsidRDefault="00935377" w:rsidP="00850F71">
      <w:r>
        <w:t>Como se pode observar n</w:t>
      </w:r>
      <w:r w:rsidR="009665D5">
        <w:t>a Tabela 2</w:t>
      </w:r>
      <w:r w:rsidR="008B3E58">
        <w:t xml:space="preserve">, considerou-se como variável dependente os dividendos (DIV) pagos no período e como variáveis independentes </w:t>
      </w:r>
      <w:r w:rsidR="00E74E5D">
        <w:t xml:space="preserve">(determinantes) </w:t>
      </w:r>
      <w:r w:rsidR="008B3E58">
        <w:t>a rentabilidade (RENT), liquidez (LIQ), endividamento (END), tamanho da empresa (TAM), lucratividade (ROE) e os dividendos pagos no exercício período anterior (DIVANT).</w:t>
      </w:r>
    </w:p>
    <w:p w:rsidR="00E74E5D" w:rsidRDefault="008B3E58" w:rsidP="00850F71">
      <w:pPr>
        <w:rPr>
          <w:color w:val="000000" w:themeColor="text1"/>
        </w:rPr>
      </w:pPr>
      <w:r>
        <w:rPr>
          <w:color w:val="000000" w:themeColor="text1"/>
        </w:rPr>
        <w:t>Para a análise dos resultados</w:t>
      </w:r>
      <w:r w:rsidRPr="00F64176">
        <w:rPr>
          <w:color w:val="000000" w:themeColor="text1"/>
        </w:rPr>
        <w:t xml:space="preserve"> aplicou-se inicialmente estatística descritiva </w:t>
      </w:r>
      <w:r>
        <w:rPr>
          <w:color w:val="000000" w:themeColor="text1"/>
        </w:rPr>
        <w:t>a fim de</w:t>
      </w:r>
      <w:r w:rsidRPr="00F64176">
        <w:rPr>
          <w:color w:val="000000" w:themeColor="text1"/>
        </w:rPr>
        <w:t xml:space="preserve"> apresentar e sumarizar o conjunto de variáveis utilizadas no estudo conforme descritas no Quadro 1. As medidas usadas para descrever esse conjunto de variáveis foram </w:t>
      </w:r>
      <w:r w:rsidR="00850F71" w:rsidRPr="00F64176">
        <w:rPr>
          <w:color w:val="000000" w:themeColor="text1"/>
        </w:rPr>
        <w:t>mínimos</w:t>
      </w:r>
      <w:r w:rsidRPr="00F64176">
        <w:rPr>
          <w:color w:val="000000" w:themeColor="text1"/>
        </w:rPr>
        <w:t>, máximo</w:t>
      </w:r>
      <w:r w:rsidR="00850F71">
        <w:rPr>
          <w:color w:val="000000" w:themeColor="text1"/>
        </w:rPr>
        <w:t>s</w:t>
      </w:r>
      <w:r w:rsidRPr="00F64176">
        <w:rPr>
          <w:color w:val="000000" w:themeColor="text1"/>
        </w:rPr>
        <w:t xml:space="preserve">, média e desvio-padrão. Dessa forma, pretende-se fornecer uma síntese dos dados observados. </w:t>
      </w:r>
      <w:r w:rsidR="003A119D">
        <w:rPr>
          <w:color w:val="000000" w:themeColor="text1"/>
        </w:rPr>
        <w:t>A</w:t>
      </w:r>
      <w:r w:rsidRPr="00F64176">
        <w:rPr>
          <w:color w:val="000000" w:themeColor="text1"/>
        </w:rPr>
        <w:t xml:space="preserve">plica-se ainda o teste </w:t>
      </w:r>
      <w:r w:rsidR="003A119D">
        <w:rPr>
          <w:color w:val="000000" w:themeColor="text1"/>
        </w:rPr>
        <w:t xml:space="preserve">de </w:t>
      </w:r>
      <w:r w:rsidR="00295558" w:rsidRPr="00295558">
        <w:rPr>
          <w:i/>
          <w:color w:val="000000" w:themeColor="text1"/>
        </w:rPr>
        <w:t>t</w:t>
      </w:r>
      <w:r w:rsidR="003A119D">
        <w:rPr>
          <w:i/>
          <w:color w:val="000000" w:themeColor="text1"/>
        </w:rPr>
        <w:t>-Student</w:t>
      </w:r>
      <w:r w:rsidR="00295558">
        <w:rPr>
          <w:color w:val="000000" w:themeColor="text1"/>
        </w:rPr>
        <w:t xml:space="preserve"> </w:t>
      </w:r>
      <w:r w:rsidR="003A119D">
        <w:rPr>
          <w:color w:val="000000" w:themeColor="text1"/>
        </w:rPr>
        <w:t xml:space="preserve">para comparar as médias das variáveis independentes </w:t>
      </w:r>
      <w:r w:rsidRPr="00F64176">
        <w:rPr>
          <w:color w:val="000000" w:themeColor="text1"/>
        </w:rPr>
        <w:t xml:space="preserve">entre </w:t>
      </w:r>
      <w:r w:rsidR="004A25BD">
        <w:rPr>
          <w:color w:val="000000" w:themeColor="text1"/>
        </w:rPr>
        <w:t>as empresas que pagam dividendos e as que não pagam dividendos.</w:t>
      </w:r>
    </w:p>
    <w:p w:rsidR="00ED1B6D" w:rsidRDefault="00E74E5D" w:rsidP="00850F71">
      <w:pPr>
        <w:rPr>
          <w:rFonts w:cs="Times New Roman"/>
          <w:szCs w:val="24"/>
        </w:rPr>
      </w:pPr>
      <w:r>
        <w:rPr>
          <w:rFonts w:cs="Times New Roman"/>
          <w:szCs w:val="24"/>
        </w:rPr>
        <w:t>F</w:t>
      </w:r>
      <w:r w:rsidRPr="00F64176">
        <w:rPr>
          <w:rFonts w:cs="Times New Roman"/>
          <w:szCs w:val="24"/>
        </w:rPr>
        <w:t xml:space="preserve">azendo uso </w:t>
      </w:r>
      <w:r>
        <w:rPr>
          <w:rFonts w:cs="Times New Roman"/>
          <w:szCs w:val="24"/>
        </w:rPr>
        <w:t xml:space="preserve">da variável dependente e das </w:t>
      </w:r>
      <w:r w:rsidRPr="00F64176">
        <w:rPr>
          <w:rFonts w:cs="Times New Roman"/>
          <w:szCs w:val="24"/>
        </w:rPr>
        <w:t>variáveis</w:t>
      </w:r>
      <w:r>
        <w:rPr>
          <w:rFonts w:cs="Times New Roman"/>
          <w:szCs w:val="24"/>
        </w:rPr>
        <w:t xml:space="preserve"> independentes </w:t>
      </w:r>
      <w:r w:rsidRPr="00F64176">
        <w:rPr>
          <w:rFonts w:cs="Times New Roman"/>
          <w:szCs w:val="24"/>
        </w:rPr>
        <w:t xml:space="preserve">expostas no </w:t>
      </w:r>
      <w:r>
        <w:rPr>
          <w:rFonts w:cs="Times New Roman"/>
          <w:szCs w:val="24"/>
        </w:rPr>
        <w:t>constructo da pesquisa</w:t>
      </w:r>
      <w:r w:rsidR="00333706">
        <w:rPr>
          <w:rFonts w:cs="Times New Roman"/>
          <w:szCs w:val="24"/>
        </w:rPr>
        <w:t xml:space="preserve">, </w:t>
      </w:r>
      <w:r w:rsidR="00ED1B6D">
        <w:rPr>
          <w:rFonts w:cs="Times New Roman"/>
          <w:szCs w:val="24"/>
        </w:rPr>
        <w:t xml:space="preserve">apresentado no </w:t>
      </w:r>
      <w:r w:rsidRPr="00F64176">
        <w:rPr>
          <w:rFonts w:cs="Times New Roman"/>
          <w:szCs w:val="24"/>
        </w:rPr>
        <w:t xml:space="preserve">Quadro 1, fez-se uso do método estatístico </w:t>
      </w:r>
      <w:r w:rsidR="00333706">
        <w:rPr>
          <w:rFonts w:cs="Times New Roman"/>
          <w:szCs w:val="24"/>
        </w:rPr>
        <w:t xml:space="preserve">de </w:t>
      </w:r>
      <w:r w:rsidR="007800C3">
        <w:rPr>
          <w:rFonts w:cs="Times New Roman"/>
          <w:szCs w:val="24"/>
        </w:rPr>
        <w:t>Regressão L</w:t>
      </w:r>
      <w:r w:rsidRPr="00F64176">
        <w:rPr>
          <w:rFonts w:cs="Times New Roman"/>
          <w:szCs w:val="24"/>
        </w:rPr>
        <w:t>ogística</w:t>
      </w:r>
      <w:r w:rsidR="00ED1B6D">
        <w:rPr>
          <w:rFonts w:cs="Times New Roman"/>
          <w:szCs w:val="24"/>
        </w:rPr>
        <w:t xml:space="preserve">, também conhecida na literatura como Análise </w:t>
      </w:r>
      <w:r w:rsidR="00E34430" w:rsidRPr="001139B1">
        <w:rPr>
          <w:rFonts w:cs="Times New Roman"/>
          <w:i/>
          <w:szCs w:val="24"/>
        </w:rPr>
        <w:t>Logit</w:t>
      </w:r>
      <w:r w:rsidR="00ED1B6D">
        <w:rPr>
          <w:rFonts w:cs="Times New Roman"/>
          <w:szCs w:val="24"/>
        </w:rPr>
        <w:t>. A Regressão logística é uma t</w:t>
      </w:r>
      <w:r w:rsidR="00ED1B6D" w:rsidRPr="00ED1B6D">
        <w:rPr>
          <w:rFonts w:cs="Times New Roman"/>
          <w:szCs w:val="24"/>
        </w:rPr>
        <w:t>écnica de análise</w:t>
      </w:r>
      <w:r w:rsidR="00ED1B6D">
        <w:rPr>
          <w:rFonts w:cs="Times New Roman"/>
          <w:szCs w:val="24"/>
        </w:rPr>
        <w:t xml:space="preserve"> </w:t>
      </w:r>
      <w:r w:rsidR="00ED1B6D" w:rsidRPr="00ED1B6D">
        <w:rPr>
          <w:rFonts w:cs="Times New Roman"/>
          <w:szCs w:val="24"/>
        </w:rPr>
        <w:t>multivariada, apropriada para as situações nas quais a</w:t>
      </w:r>
      <w:r w:rsidR="00ED1B6D">
        <w:rPr>
          <w:rFonts w:cs="Times New Roman"/>
          <w:szCs w:val="24"/>
        </w:rPr>
        <w:t xml:space="preserve"> </w:t>
      </w:r>
      <w:r w:rsidR="00ED1B6D" w:rsidRPr="00ED1B6D">
        <w:rPr>
          <w:rFonts w:cs="Times New Roman"/>
          <w:szCs w:val="24"/>
        </w:rPr>
        <w:t>variável dependente é categórica e assume um entre dois</w:t>
      </w:r>
      <w:r w:rsidR="00ED1B6D">
        <w:rPr>
          <w:rFonts w:cs="Times New Roman"/>
          <w:szCs w:val="24"/>
        </w:rPr>
        <w:t xml:space="preserve"> </w:t>
      </w:r>
      <w:r w:rsidR="00ED1B6D" w:rsidRPr="00ED1B6D">
        <w:rPr>
          <w:rFonts w:cs="Times New Roman"/>
          <w:szCs w:val="24"/>
        </w:rPr>
        <w:t>resultados possíveis (binária</w:t>
      </w:r>
      <w:r w:rsidR="00ED1B6D">
        <w:rPr>
          <w:rFonts w:cs="Times New Roman"/>
          <w:szCs w:val="24"/>
        </w:rPr>
        <w:t>).</w:t>
      </w:r>
    </w:p>
    <w:p w:rsidR="00ED1B6D" w:rsidRDefault="00333706" w:rsidP="00850F71">
      <w:pPr>
        <w:rPr>
          <w:rFonts w:cs="Times New Roman"/>
          <w:szCs w:val="24"/>
        </w:rPr>
      </w:pPr>
      <w:r>
        <w:rPr>
          <w:rFonts w:cs="Times New Roman"/>
          <w:szCs w:val="24"/>
        </w:rPr>
        <w:t>Fávero (2015) explica que a Regressão Logística tem por objetivo estudar a probabilidade de ocorrência de um determinado evento definido por Y que se apresenta na forma qualitativa dicotômica (Y = 1 para descrever a ocorrência do evento em interesse e Y = 0 para descrever a ocorrência do não evento)</w:t>
      </w:r>
      <w:r w:rsidR="00ED1B6D">
        <w:rPr>
          <w:rFonts w:cs="Times New Roman"/>
          <w:szCs w:val="24"/>
        </w:rPr>
        <w:t>, com base no comportamento de variáveis</w:t>
      </w:r>
      <w:r w:rsidR="00562024">
        <w:rPr>
          <w:rFonts w:cs="Times New Roman"/>
          <w:szCs w:val="24"/>
        </w:rPr>
        <w:t xml:space="preserve"> </w:t>
      </w:r>
      <w:r w:rsidR="00E34430">
        <w:rPr>
          <w:rFonts w:cs="Times New Roman"/>
          <w:szCs w:val="24"/>
        </w:rPr>
        <w:t>independentes</w:t>
      </w:r>
      <w:r w:rsidR="00562024">
        <w:rPr>
          <w:rFonts w:cs="Times New Roman"/>
          <w:szCs w:val="24"/>
        </w:rPr>
        <w:t xml:space="preserve"> (</w:t>
      </w:r>
      <w:r w:rsidR="00ED1B6D">
        <w:rPr>
          <w:rFonts w:cs="Times New Roman"/>
          <w:szCs w:val="24"/>
        </w:rPr>
        <w:t>explicativas</w:t>
      </w:r>
      <w:r w:rsidR="00562024">
        <w:rPr>
          <w:rFonts w:cs="Times New Roman"/>
          <w:szCs w:val="24"/>
        </w:rPr>
        <w:t>)</w:t>
      </w:r>
      <w:r w:rsidR="00ED1B6D">
        <w:rPr>
          <w:rFonts w:cs="Times New Roman"/>
          <w:szCs w:val="24"/>
        </w:rPr>
        <w:t>.</w:t>
      </w:r>
    </w:p>
    <w:p w:rsidR="00E74E5D" w:rsidRDefault="00ED1B6D" w:rsidP="00850F71">
      <w:pPr>
        <w:rPr>
          <w:color w:val="000000" w:themeColor="text1"/>
        </w:rPr>
      </w:pPr>
      <w:r>
        <w:rPr>
          <w:rFonts w:cs="Times New Roman"/>
          <w:szCs w:val="24"/>
        </w:rPr>
        <w:t xml:space="preserve">Como o </w:t>
      </w:r>
      <w:r w:rsidR="00752603">
        <w:rPr>
          <w:rFonts w:cs="Times New Roman"/>
          <w:szCs w:val="24"/>
        </w:rPr>
        <w:t>objetivo da R</w:t>
      </w:r>
      <w:r w:rsidRPr="00ED1B6D">
        <w:rPr>
          <w:rFonts w:cs="Times New Roman"/>
          <w:szCs w:val="24"/>
        </w:rPr>
        <w:t xml:space="preserve">egressão </w:t>
      </w:r>
      <w:r w:rsidR="00752603">
        <w:rPr>
          <w:rFonts w:cs="Times New Roman"/>
          <w:szCs w:val="24"/>
        </w:rPr>
        <w:t>L</w:t>
      </w:r>
      <w:r w:rsidRPr="00ED1B6D">
        <w:rPr>
          <w:rFonts w:cs="Times New Roman"/>
          <w:szCs w:val="24"/>
        </w:rPr>
        <w:t>ogística é gerar uma função</w:t>
      </w:r>
      <w:r>
        <w:rPr>
          <w:rFonts w:cs="Times New Roman"/>
          <w:szCs w:val="24"/>
        </w:rPr>
        <w:t xml:space="preserve"> </w:t>
      </w:r>
      <w:r w:rsidRPr="00ED1B6D">
        <w:rPr>
          <w:rFonts w:cs="Times New Roman"/>
          <w:szCs w:val="24"/>
        </w:rPr>
        <w:t>matemática cuja resposta permita estabelecer a probabilidade</w:t>
      </w:r>
      <w:r>
        <w:rPr>
          <w:rFonts w:cs="Times New Roman"/>
          <w:szCs w:val="24"/>
        </w:rPr>
        <w:t xml:space="preserve"> da ocorrência de determinado evento em função do comportamento de um conjunto de variáveis </w:t>
      </w:r>
      <w:r w:rsidR="00752603">
        <w:rPr>
          <w:rFonts w:cs="Times New Roman"/>
          <w:szCs w:val="24"/>
        </w:rPr>
        <w:t xml:space="preserve">independentes </w:t>
      </w:r>
      <w:r>
        <w:rPr>
          <w:rFonts w:cs="Times New Roman"/>
          <w:szCs w:val="24"/>
        </w:rPr>
        <w:t>(explicativas)</w:t>
      </w:r>
      <w:r w:rsidR="00752603">
        <w:rPr>
          <w:rFonts w:cs="Times New Roman"/>
          <w:szCs w:val="24"/>
        </w:rPr>
        <w:t xml:space="preserve">, obtém-se dessa forma </w:t>
      </w:r>
      <w:r w:rsidRPr="00ED1B6D">
        <w:rPr>
          <w:rFonts w:cs="Times New Roman"/>
          <w:szCs w:val="24"/>
        </w:rPr>
        <w:t>coefi</w:t>
      </w:r>
      <w:r w:rsidR="00752603">
        <w:rPr>
          <w:rFonts w:cs="Times New Roman"/>
          <w:szCs w:val="24"/>
        </w:rPr>
        <w:t xml:space="preserve">cientes que </w:t>
      </w:r>
      <w:r w:rsidRPr="00ED1B6D">
        <w:rPr>
          <w:rFonts w:cs="Times New Roman"/>
          <w:szCs w:val="24"/>
        </w:rPr>
        <w:t>indicam a importância de</w:t>
      </w:r>
      <w:r>
        <w:rPr>
          <w:rFonts w:cs="Times New Roman"/>
          <w:szCs w:val="24"/>
        </w:rPr>
        <w:t xml:space="preserve"> </w:t>
      </w:r>
      <w:r w:rsidRPr="00ED1B6D">
        <w:rPr>
          <w:rFonts w:cs="Times New Roman"/>
          <w:szCs w:val="24"/>
        </w:rPr>
        <w:t>cada variável independe</w:t>
      </w:r>
      <w:r w:rsidR="00752603">
        <w:rPr>
          <w:rFonts w:cs="Times New Roman"/>
          <w:szCs w:val="24"/>
        </w:rPr>
        <w:t>nte para a ocorrência do evento, cujo modelo pode ser apresentado na seguinte equação:</w:t>
      </w:r>
    </w:p>
    <w:p w:rsidR="007757A7" w:rsidRPr="004A25BD" w:rsidRDefault="007757A7" w:rsidP="00850F71">
      <w:pPr>
        <w:rPr>
          <w:rFonts w:cs="Times New Roman"/>
          <w:szCs w:val="24"/>
        </w:rPr>
      </w:pPr>
    </w:p>
    <w:p w:rsidR="007757A7" w:rsidRDefault="00E74E5D" w:rsidP="00850F71">
      <w:pPr>
        <w:ind w:firstLine="0"/>
        <w:rPr>
          <w:rFonts w:cs="Times New Roman"/>
          <w:szCs w:val="24"/>
        </w:rPr>
      </w:pPr>
      <w:r w:rsidRPr="00E74E5D">
        <w:rPr>
          <w:rFonts w:cs="Times New Roman"/>
          <w:i/>
          <w:szCs w:val="24"/>
        </w:rPr>
        <w:t>Z</w:t>
      </w:r>
      <w:r w:rsidR="007757A7" w:rsidRPr="004A25BD">
        <w:rPr>
          <w:rFonts w:cs="Times New Roman"/>
          <w:szCs w:val="24"/>
        </w:rPr>
        <w:t xml:space="preserve"> = </w:t>
      </w:r>
      <w:r w:rsidR="007757A7">
        <w:rPr>
          <w:rFonts w:cs="Times New Roman"/>
          <w:szCs w:val="24"/>
        </w:rPr>
        <w:t>β</w:t>
      </w:r>
      <w:r w:rsidR="007757A7" w:rsidRPr="007757A7">
        <w:rPr>
          <w:rFonts w:cs="Times New Roman"/>
          <w:szCs w:val="24"/>
          <w:vertAlign w:val="subscript"/>
        </w:rPr>
        <w:t>0</w:t>
      </w:r>
      <w:r w:rsidR="007757A7" w:rsidRPr="004A25BD">
        <w:rPr>
          <w:rFonts w:cs="Times New Roman"/>
          <w:szCs w:val="24"/>
        </w:rPr>
        <w:t xml:space="preserve"> + β</w:t>
      </w:r>
      <w:r w:rsidR="007757A7" w:rsidRPr="007757A7">
        <w:rPr>
          <w:rFonts w:cs="Times New Roman"/>
          <w:szCs w:val="24"/>
          <w:vertAlign w:val="subscript"/>
        </w:rPr>
        <w:t>1</w:t>
      </w:r>
      <w:r w:rsidR="007757A7" w:rsidRPr="004A25BD">
        <w:rPr>
          <w:rFonts w:cs="Times New Roman"/>
          <w:szCs w:val="24"/>
        </w:rPr>
        <w:t>*REN</w:t>
      </w:r>
      <w:r w:rsidR="007757A7">
        <w:rPr>
          <w:rFonts w:cs="Times New Roman"/>
          <w:szCs w:val="24"/>
        </w:rPr>
        <w:t>T</w:t>
      </w:r>
      <w:r w:rsidR="007757A7" w:rsidRPr="007757A7">
        <w:rPr>
          <w:rFonts w:cs="Times New Roman"/>
          <w:szCs w:val="24"/>
          <w:vertAlign w:val="subscript"/>
        </w:rPr>
        <w:t>i</w:t>
      </w:r>
      <w:r w:rsidR="007757A7" w:rsidRPr="004A25BD">
        <w:rPr>
          <w:rFonts w:cs="Times New Roman"/>
          <w:szCs w:val="24"/>
        </w:rPr>
        <w:t xml:space="preserve"> + β</w:t>
      </w:r>
      <w:r w:rsidR="007757A7" w:rsidRPr="007757A7">
        <w:rPr>
          <w:rFonts w:cs="Times New Roman"/>
          <w:szCs w:val="24"/>
          <w:vertAlign w:val="subscript"/>
        </w:rPr>
        <w:t>2</w:t>
      </w:r>
      <w:r w:rsidR="007757A7" w:rsidRPr="004A25BD">
        <w:rPr>
          <w:rFonts w:cs="Times New Roman"/>
          <w:szCs w:val="24"/>
        </w:rPr>
        <w:t>*</w:t>
      </w:r>
      <w:r w:rsidR="007757A7">
        <w:rPr>
          <w:rFonts w:cs="Times New Roman"/>
          <w:szCs w:val="24"/>
        </w:rPr>
        <w:t>LIQ</w:t>
      </w:r>
      <w:r w:rsidR="007757A7" w:rsidRPr="007757A7">
        <w:rPr>
          <w:rFonts w:cs="Times New Roman"/>
          <w:szCs w:val="24"/>
          <w:vertAlign w:val="subscript"/>
        </w:rPr>
        <w:t>i</w:t>
      </w:r>
      <w:r w:rsidR="007757A7" w:rsidRPr="004A25BD">
        <w:rPr>
          <w:rFonts w:cs="Times New Roman"/>
          <w:szCs w:val="24"/>
        </w:rPr>
        <w:t xml:space="preserve"> + β</w:t>
      </w:r>
      <w:r w:rsidR="007757A7" w:rsidRPr="007757A7">
        <w:rPr>
          <w:rFonts w:cs="Times New Roman"/>
          <w:szCs w:val="24"/>
          <w:vertAlign w:val="subscript"/>
        </w:rPr>
        <w:t>3</w:t>
      </w:r>
      <w:r w:rsidR="007757A7" w:rsidRPr="004A25BD">
        <w:rPr>
          <w:rFonts w:cs="Times New Roman"/>
          <w:szCs w:val="24"/>
        </w:rPr>
        <w:t>*</w:t>
      </w:r>
      <w:r w:rsidR="007757A7">
        <w:rPr>
          <w:rFonts w:cs="Times New Roman"/>
          <w:szCs w:val="24"/>
        </w:rPr>
        <w:t>END</w:t>
      </w:r>
      <w:r w:rsidR="007757A7" w:rsidRPr="007757A7">
        <w:rPr>
          <w:rFonts w:cs="Times New Roman"/>
          <w:szCs w:val="24"/>
          <w:vertAlign w:val="subscript"/>
        </w:rPr>
        <w:t>i</w:t>
      </w:r>
      <w:r w:rsidR="007757A7" w:rsidRPr="004A25BD">
        <w:rPr>
          <w:rFonts w:cs="Times New Roman"/>
          <w:szCs w:val="24"/>
        </w:rPr>
        <w:t xml:space="preserve"> + β</w:t>
      </w:r>
      <w:r w:rsidR="007757A7" w:rsidRPr="007757A7">
        <w:rPr>
          <w:rFonts w:cs="Times New Roman"/>
          <w:szCs w:val="24"/>
          <w:vertAlign w:val="subscript"/>
        </w:rPr>
        <w:t>4</w:t>
      </w:r>
      <w:r w:rsidR="007757A7" w:rsidRPr="004A25BD">
        <w:rPr>
          <w:rFonts w:cs="Times New Roman"/>
          <w:szCs w:val="24"/>
        </w:rPr>
        <w:t>*</w:t>
      </w:r>
      <w:r w:rsidR="007757A7">
        <w:rPr>
          <w:rFonts w:cs="Times New Roman"/>
          <w:szCs w:val="24"/>
        </w:rPr>
        <w:t>TAM</w:t>
      </w:r>
      <w:r w:rsidR="007757A7" w:rsidRPr="007757A7">
        <w:rPr>
          <w:rFonts w:cs="Times New Roman"/>
          <w:szCs w:val="24"/>
          <w:vertAlign w:val="subscript"/>
        </w:rPr>
        <w:t>i</w:t>
      </w:r>
      <w:r w:rsidR="007757A7" w:rsidRPr="004A25BD">
        <w:rPr>
          <w:rFonts w:cs="Times New Roman"/>
          <w:szCs w:val="24"/>
        </w:rPr>
        <w:t xml:space="preserve"> + β</w:t>
      </w:r>
      <w:r w:rsidR="007757A7" w:rsidRPr="007757A7">
        <w:rPr>
          <w:rFonts w:cs="Times New Roman"/>
          <w:szCs w:val="24"/>
          <w:vertAlign w:val="subscript"/>
        </w:rPr>
        <w:t>5</w:t>
      </w:r>
      <w:r w:rsidR="007757A7" w:rsidRPr="004A25BD">
        <w:rPr>
          <w:rFonts w:cs="Times New Roman"/>
          <w:szCs w:val="24"/>
        </w:rPr>
        <w:t>*</w:t>
      </w:r>
      <w:r w:rsidR="007757A7">
        <w:rPr>
          <w:rFonts w:cs="Times New Roman"/>
          <w:szCs w:val="24"/>
        </w:rPr>
        <w:t>ROE</w:t>
      </w:r>
      <w:r w:rsidR="007757A7" w:rsidRPr="007757A7">
        <w:rPr>
          <w:rFonts w:cs="Times New Roman"/>
          <w:szCs w:val="24"/>
          <w:vertAlign w:val="subscript"/>
        </w:rPr>
        <w:t>i</w:t>
      </w:r>
      <w:r w:rsidR="007757A7" w:rsidRPr="004A25BD">
        <w:rPr>
          <w:rFonts w:cs="Times New Roman"/>
          <w:szCs w:val="24"/>
        </w:rPr>
        <w:t xml:space="preserve"> + β</w:t>
      </w:r>
      <w:r w:rsidR="007757A7" w:rsidRPr="007757A7">
        <w:rPr>
          <w:rFonts w:cs="Times New Roman"/>
          <w:szCs w:val="24"/>
          <w:vertAlign w:val="subscript"/>
        </w:rPr>
        <w:t>6</w:t>
      </w:r>
      <w:r w:rsidR="007757A7" w:rsidRPr="004A25BD">
        <w:rPr>
          <w:rFonts w:cs="Times New Roman"/>
          <w:szCs w:val="24"/>
        </w:rPr>
        <w:t>*</w:t>
      </w:r>
      <w:r w:rsidR="007757A7">
        <w:rPr>
          <w:rFonts w:cs="Times New Roman"/>
          <w:szCs w:val="24"/>
        </w:rPr>
        <w:t>DIVANT</w:t>
      </w:r>
      <w:r w:rsidR="007757A7" w:rsidRPr="007757A7">
        <w:rPr>
          <w:rFonts w:cs="Times New Roman"/>
          <w:szCs w:val="24"/>
          <w:vertAlign w:val="subscript"/>
        </w:rPr>
        <w:t>i</w:t>
      </w:r>
      <w:r w:rsidR="007757A7" w:rsidRPr="004A25BD">
        <w:rPr>
          <w:rFonts w:cs="Times New Roman"/>
          <w:szCs w:val="24"/>
        </w:rPr>
        <w:t xml:space="preserve"> + β</w:t>
      </w:r>
      <w:r w:rsidR="007757A7" w:rsidRPr="00174D5F">
        <w:rPr>
          <w:rFonts w:cs="Times New Roman"/>
          <w:szCs w:val="24"/>
          <w:vertAlign w:val="subscript"/>
        </w:rPr>
        <w:t>7</w:t>
      </w:r>
      <w:r w:rsidR="007757A7" w:rsidRPr="004A25BD">
        <w:rPr>
          <w:rFonts w:cs="Times New Roman"/>
          <w:szCs w:val="24"/>
        </w:rPr>
        <w:t>*</w:t>
      </w:r>
      <w:r w:rsidR="007757A7">
        <w:rPr>
          <w:rFonts w:cs="Times New Roman"/>
          <w:szCs w:val="24"/>
        </w:rPr>
        <w:t>ANO2011</w:t>
      </w:r>
      <w:r w:rsidR="007757A7" w:rsidRPr="004A25BD">
        <w:rPr>
          <w:rFonts w:cs="Times New Roman"/>
          <w:szCs w:val="24"/>
        </w:rPr>
        <w:t xml:space="preserve"> + β</w:t>
      </w:r>
      <w:r w:rsidR="007757A7" w:rsidRPr="00174D5F">
        <w:rPr>
          <w:rFonts w:cs="Times New Roman"/>
          <w:szCs w:val="24"/>
          <w:vertAlign w:val="subscript"/>
        </w:rPr>
        <w:t>8</w:t>
      </w:r>
      <w:r w:rsidR="007757A7" w:rsidRPr="004A25BD">
        <w:rPr>
          <w:rFonts w:cs="Times New Roman"/>
          <w:szCs w:val="24"/>
        </w:rPr>
        <w:t>*</w:t>
      </w:r>
      <w:r w:rsidR="007757A7">
        <w:rPr>
          <w:rFonts w:cs="Times New Roman"/>
          <w:szCs w:val="24"/>
        </w:rPr>
        <w:t>ANO2012</w:t>
      </w:r>
      <w:r w:rsidR="007757A7" w:rsidRPr="004A25BD">
        <w:rPr>
          <w:rFonts w:cs="Times New Roman"/>
          <w:szCs w:val="24"/>
        </w:rPr>
        <w:t xml:space="preserve"> + β</w:t>
      </w:r>
      <w:r w:rsidR="007757A7" w:rsidRPr="00174D5F">
        <w:rPr>
          <w:rFonts w:cs="Times New Roman"/>
          <w:szCs w:val="24"/>
          <w:vertAlign w:val="subscript"/>
        </w:rPr>
        <w:t>9</w:t>
      </w:r>
      <w:r w:rsidR="007757A7" w:rsidRPr="004A25BD">
        <w:rPr>
          <w:rFonts w:cs="Times New Roman"/>
          <w:szCs w:val="24"/>
        </w:rPr>
        <w:t>*</w:t>
      </w:r>
      <w:r w:rsidR="007757A7">
        <w:rPr>
          <w:rFonts w:cs="Times New Roman"/>
          <w:szCs w:val="24"/>
        </w:rPr>
        <w:t>ANO2013</w:t>
      </w:r>
      <w:r w:rsidR="007757A7" w:rsidRPr="004A25BD">
        <w:rPr>
          <w:rFonts w:cs="Times New Roman"/>
          <w:szCs w:val="24"/>
        </w:rPr>
        <w:t xml:space="preserve"> + β</w:t>
      </w:r>
      <w:r w:rsidR="007757A7" w:rsidRPr="00174D5F">
        <w:rPr>
          <w:rFonts w:cs="Times New Roman"/>
          <w:szCs w:val="24"/>
          <w:vertAlign w:val="subscript"/>
        </w:rPr>
        <w:t>10</w:t>
      </w:r>
      <w:r w:rsidR="007757A7" w:rsidRPr="004A25BD">
        <w:rPr>
          <w:rFonts w:cs="Times New Roman"/>
          <w:szCs w:val="24"/>
        </w:rPr>
        <w:t>*</w:t>
      </w:r>
      <w:r w:rsidR="007757A7">
        <w:rPr>
          <w:rFonts w:cs="Times New Roman"/>
          <w:szCs w:val="24"/>
        </w:rPr>
        <w:t>ANO2014</w:t>
      </w:r>
      <w:r w:rsidR="00174D5F">
        <w:rPr>
          <w:rFonts w:cs="Times New Roman"/>
          <w:szCs w:val="24"/>
        </w:rPr>
        <w:t xml:space="preserve"> + β</w:t>
      </w:r>
      <w:r w:rsidR="00174D5F" w:rsidRPr="00174D5F">
        <w:rPr>
          <w:rFonts w:cs="Times New Roman"/>
          <w:szCs w:val="24"/>
          <w:vertAlign w:val="subscript"/>
        </w:rPr>
        <w:t>11</w:t>
      </w:r>
      <w:r w:rsidR="007757A7" w:rsidRPr="004A25BD">
        <w:rPr>
          <w:rFonts w:cs="Times New Roman"/>
          <w:szCs w:val="24"/>
        </w:rPr>
        <w:t>*</w:t>
      </w:r>
      <w:r w:rsidR="007757A7">
        <w:rPr>
          <w:rFonts w:cs="Times New Roman"/>
          <w:szCs w:val="24"/>
        </w:rPr>
        <w:t xml:space="preserve">ANO2015 </w:t>
      </w:r>
      <w:r w:rsidR="00174D5F">
        <w:rPr>
          <w:rFonts w:cs="Times New Roman"/>
          <w:szCs w:val="24"/>
        </w:rPr>
        <w:t>+ β</w:t>
      </w:r>
      <w:r w:rsidR="00174D5F" w:rsidRPr="00174D5F">
        <w:rPr>
          <w:rFonts w:cs="Times New Roman"/>
          <w:szCs w:val="24"/>
          <w:vertAlign w:val="subscript"/>
        </w:rPr>
        <w:t>12</w:t>
      </w:r>
      <w:r w:rsidR="007757A7" w:rsidRPr="004A25BD">
        <w:rPr>
          <w:rFonts w:cs="Times New Roman"/>
          <w:szCs w:val="24"/>
        </w:rPr>
        <w:t>*</w:t>
      </w:r>
      <w:r>
        <w:rPr>
          <w:rFonts w:cs="Times New Roman"/>
          <w:szCs w:val="24"/>
        </w:rPr>
        <w:t>ANO2016</w:t>
      </w:r>
      <w:r w:rsidR="007800C3">
        <w:rPr>
          <w:rFonts w:cs="Times New Roman"/>
          <w:szCs w:val="24"/>
        </w:rPr>
        <w:t xml:space="preserve"> + </w:t>
      </w:r>
      <w:r w:rsidR="007800C3" w:rsidRPr="007800C3">
        <w:rPr>
          <w:rFonts w:cs="Times New Roman"/>
          <w:sz w:val="28"/>
          <w:szCs w:val="28"/>
        </w:rPr>
        <w:t>ε</w:t>
      </w:r>
      <w:r w:rsidR="007800C3" w:rsidRPr="007800C3">
        <w:rPr>
          <w:rFonts w:cs="Times New Roman"/>
          <w:szCs w:val="24"/>
          <w:vertAlign w:val="subscript"/>
        </w:rPr>
        <w:t>i</w:t>
      </w:r>
    </w:p>
    <w:p w:rsidR="007757A7" w:rsidRPr="004A25BD" w:rsidRDefault="007757A7" w:rsidP="00850F71">
      <w:pPr>
        <w:ind w:firstLine="0"/>
        <w:rPr>
          <w:rFonts w:cs="Times New Roman"/>
          <w:szCs w:val="24"/>
        </w:rPr>
      </w:pPr>
    </w:p>
    <w:p w:rsidR="007757A7" w:rsidRDefault="00E34430" w:rsidP="00850F71">
      <w:pPr>
        <w:ind w:firstLine="0"/>
        <w:rPr>
          <w:rFonts w:cs="Times New Roman"/>
          <w:szCs w:val="24"/>
        </w:rPr>
      </w:pPr>
      <w:r>
        <w:rPr>
          <w:rFonts w:cs="Times New Roman"/>
          <w:szCs w:val="24"/>
        </w:rPr>
        <w:lastRenderedPageBreak/>
        <w:t>onde a variável dependente representado pelo coeficiente Z é uma v</w:t>
      </w:r>
      <w:r w:rsidRPr="00752603">
        <w:rPr>
          <w:rFonts w:cs="Times New Roman"/>
          <w:szCs w:val="24"/>
        </w:rPr>
        <w:t xml:space="preserve">ariável </w:t>
      </w:r>
      <w:r>
        <w:rPr>
          <w:rFonts w:cs="Times New Roman"/>
          <w:szCs w:val="24"/>
        </w:rPr>
        <w:t>d</w:t>
      </w:r>
      <w:r w:rsidRPr="00752603">
        <w:rPr>
          <w:rFonts w:cs="Times New Roman"/>
          <w:szCs w:val="24"/>
        </w:rPr>
        <w:t>icotômica</w:t>
      </w:r>
      <w:r>
        <w:rPr>
          <w:rFonts w:cs="Times New Roman"/>
          <w:szCs w:val="24"/>
        </w:rPr>
        <w:t xml:space="preserve"> (e</w:t>
      </w:r>
      <w:r w:rsidRPr="00752603">
        <w:rPr>
          <w:rFonts w:cs="Times New Roman"/>
          <w:szCs w:val="24"/>
        </w:rPr>
        <w:t xml:space="preserve">mpresas que não pagaram dividendos no período = 0; </w:t>
      </w:r>
      <w:r>
        <w:rPr>
          <w:rFonts w:cs="Times New Roman"/>
          <w:szCs w:val="24"/>
        </w:rPr>
        <w:t>e</w:t>
      </w:r>
      <w:r w:rsidRPr="00752603">
        <w:rPr>
          <w:rFonts w:cs="Times New Roman"/>
          <w:szCs w:val="24"/>
        </w:rPr>
        <w:t>mpresas que pagaram dividendos no período = 1</w:t>
      </w:r>
      <w:r>
        <w:rPr>
          <w:rFonts w:cs="Times New Roman"/>
          <w:szCs w:val="24"/>
        </w:rPr>
        <w:t xml:space="preserve">), o coeficiente </w:t>
      </w:r>
      <w:r w:rsidRPr="004A25BD">
        <w:rPr>
          <w:rFonts w:cs="Times New Roman"/>
          <w:szCs w:val="24"/>
        </w:rPr>
        <w:t>β</w:t>
      </w:r>
      <w:r w:rsidRPr="00174D5F">
        <w:rPr>
          <w:rFonts w:cs="Times New Roman"/>
          <w:szCs w:val="24"/>
          <w:vertAlign w:val="subscript"/>
        </w:rPr>
        <w:t>0</w:t>
      </w:r>
      <w:r>
        <w:rPr>
          <w:rFonts w:cs="Times New Roman"/>
          <w:szCs w:val="24"/>
        </w:rPr>
        <w:t xml:space="preserve"> </w:t>
      </w:r>
      <w:r w:rsidRPr="004A25BD">
        <w:rPr>
          <w:rFonts w:cs="Times New Roman"/>
          <w:szCs w:val="24"/>
        </w:rPr>
        <w:t>representa o termo independente ou interseção da reta de regressão,</w:t>
      </w:r>
      <w:r>
        <w:rPr>
          <w:rFonts w:cs="Times New Roman"/>
          <w:szCs w:val="24"/>
        </w:rPr>
        <w:t xml:space="preserve"> </w:t>
      </w:r>
      <w:r w:rsidRPr="004A25BD">
        <w:rPr>
          <w:rFonts w:cs="Times New Roman"/>
          <w:szCs w:val="24"/>
        </w:rPr>
        <w:t>os coeficientes β</w:t>
      </w:r>
      <w:r w:rsidRPr="00174D5F">
        <w:rPr>
          <w:rFonts w:cs="Times New Roman"/>
          <w:szCs w:val="24"/>
          <w:vertAlign w:val="subscript"/>
        </w:rPr>
        <w:t>1</w:t>
      </w:r>
      <w:r w:rsidRPr="004A25BD">
        <w:rPr>
          <w:rFonts w:cs="Times New Roman"/>
          <w:szCs w:val="24"/>
        </w:rPr>
        <w:t>, β</w:t>
      </w:r>
      <w:r w:rsidRPr="00174D5F">
        <w:rPr>
          <w:rFonts w:cs="Times New Roman"/>
          <w:szCs w:val="24"/>
          <w:vertAlign w:val="subscript"/>
        </w:rPr>
        <w:t>2</w:t>
      </w:r>
      <w:r w:rsidRPr="004A25BD">
        <w:rPr>
          <w:rFonts w:cs="Times New Roman"/>
          <w:szCs w:val="24"/>
        </w:rPr>
        <w:t>, β</w:t>
      </w:r>
      <w:r w:rsidRPr="00174D5F">
        <w:rPr>
          <w:rFonts w:cs="Times New Roman"/>
          <w:szCs w:val="24"/>
          <w:vertAlign w:val="subscript"/>
        </w:rPr>
        <w:t>3</w:t>
      </w:r>
      <w:r w:rsidRPr="004A25BD">
        <w:rPr>
          <w:rFonts w:cs="Times New Roman"/>
          <w:szCs w:val="24"/>
        </w:rPr>
        <w:t>,</w:t>
      </w:r>
      <w:r>
        <w:rPr>
          <w:rFonts w:cs="Times New Roman"/>
          <w:szCs w:val="24"/>
        </w:rPr>
        <w:t xml:space="preserve"> </w:t>
      </w:r>
      <w:r w:rsidRPr="004A25BD">
        <w:rPr>
          <w:rFonts w:cs="Times New Roman"/>
          <w:szCs w:val="24"/>
        </w:rPr>
        <w:t>β</w:t>
      </w:r>
      <w:r w:rsidRPr="00174D5F">
        <w:rPr>
          <w:rFonts w:cs="Times New Roman"/>
          <w:szCs w:val="24"/>
          <w:vertAlign w:val="subscript"/>
        </w:rPr>
        <w:t>4</w:t>
      </w:r>
      <w:r w:rsidRPr="004A25BD">
        <w:rPr>
          <w:rFonts w:cs="Times New Roman"/>
          <w:szCs w:val="24"/>
        </w:rPr>
        <w:t>, β</w:t>
      </w:r>
      <w:r w:rsidRPr="00174D5F">
        <w:rPr>
          <w:rFonts w:cs="Times New Roman"/>
          <w:szCs w:val="24"/>
          <w:vertAlign w:val="subscript"/>
        </w:rPr>
        <w:t>5</w:t>
      </w:r>
      <w:r w:rsidRPr="004A25BD">
        <w:rPr>
          <w:rFonts w:cs="Times New Roman"/>
          <w:szCs w:val="24"/>
        </w:rPr>
        <w:t xml:space="preserve"> e β</w:t>
      </w:r>
      <w:r w:rsidRPr="00174D5F">
        <w:rPr>
          <w:rFonts w:cs="Times New Roman"/>
          <w:szCs w:val="24"/>
          <w:vertAlign w:val="subscript"/>
        </w:rPr>
        <w:t>6</w:t>
      </w:r>
      <w:r w:rsidRPr="004A25BD">
        <w:rPr>
          <w:rFonts w:cs="Times New Roman"/>
          <w:szCs w:val="24"/>
        </w:rPr>
        <w:t xml:space="preserve"> representam o efeito de ca</w:t>
      </w:r>
      <w:r>
        <w:rPr>
          <w:rFonts w:cs="Times New Roman"/>
          <w:szCs w:val="24"/>
        </w:rPr>
        <w:t xml:space="preserve">da uma dos fatores específicos na distribuição de dividendos, os coeficientes </w:t>
      </w:r>
      <w:r w:rsidRPr="004A25BD">
        <w:rPr>
          <w:rFonts w:cs="Times New Roman"/>
          <w:szCs w:val="24"/>
        </w:rPr>
        <w:t>β</w:t>
      </w:r>
      <w:r w:rsidRPr="00174D5F">
        <w:rPr>
          <w:rFonts w:cs="Times New Roman"/>
          <w:szCs w:val="24"/>
          <w:vertAlign w:val="subscript"/>
        </w:rPr>
        <w:t>7</w:t>
      </w:r>
      <w:r w:rsidRPr="004A25BD">
        <w:rPr>
          <w:rFonts w:cs="Times New Roman"/>
          <w:szCs w:val="24"/>
        </w:rPr>
        <w:t>, β</w:t>
      </w:r>
      <w:r w:rsidRPr="00174D5F">
        <w:rPr>
          <w:rFonts w:cs="Times New Roman"/>
          <w:szCs w:val="24"/>
          <w:vertAlign w:val="subscript"/>
        </w:rPr>
        <w:t>8</w:t>
      </w:r>
      <w:r w:rsidRPr="004A25BD">
        <w:rPr>
          <w:rFonts w:cs="Times New Roman"/>
          <w:szCs w:val="24"/>
        </w:rPr>
        <w:t>, β</w:t>
      </w:r>
      <w:r w:rsidRPr="00174D5F">
        <w:rPr>
          <w:rFonts w:cs="Times New Roman"/>
          <w:szCs w:val="24"/>
          <w:vertAlign w:val="subscript"/>
        </w:rPr>
        <w:t>9</w:t>
      </w:r>
      <w:r w:rsidRPr="004A25BD">
        <w:rPr>
          <w:rFonts w:cs="Times New Roman"/>
          <w:szCs w:val="24"/>
        </w:rPr>
        <w:t>,</w:t>
      </w:r>
      <w:r>
        <w:rPr>
          <w:rFonts w:cs="Times New Roman"/>
          <w:szCs w:val="24"/>
        </w:rPr>
        <w:t xml:space="preserve"> </w:t>
      </w:r>
      <w:r w:rsidRPr="004A25BD">
        <w:rPr>
          <w:rFonts w:cs="Times New Roman"/>
          <w:szCs w:val="24"/>
        </w:rPr>
        <w:t>β</w:t>
      </w:r>
      <w:r w:rsidRPr="00174D5F">
        <w:rPr>
          <w:rFonts w:cs="Times New Roman"/>
          <w:szCs w:val="24"/>
          <w:vertAlign w:val="subscript"/>
        </w:rPr>
        <w:t>10</w:t>
      </w:r>
      <w:r w:rsidRPr="004A25BD">
        <w:rPr>
          <w:rFonts w:cs="Times New Roman"/>
          <w:szCs w:val="24"/>
        </w:rPr>
        <w:t>, β</w:t>
      </w:r>
      <w:r w:rsidRPr="00174D5F">
        <w:rPr>
          <w:rFonts w:cs="Times New Roman"/>
          <w:szCs w:val="24"/>
          <w:vertAlign w:val="subscript"/>
        </w:rPr>
        <w:t>11</w:t>
      </w:r>
      <w:r w:rsidRPr="004A25BD">
        <w:rPr>
          <w:rFonts w:cs="Times New Roman"/>
          <w:szCs w:val="24"/>
        </w:rPr>
        <w:t xml:space="preserve"> e β</w:t>
      </w:r>
      <w:r w:rsidRPr="00174D5F">
        <w:rPr>
          <w:rFonts w:cs="Times New Roman"/>
          <w:szCs w:val="24"/>
          <w:vertAlign w:val="subscript"/>
        </w:rPr>
        <w:t>12</w:t>
      </w:r>
      <w:r w:rsidRPr="004A25BD">
        <w:rPr>
          <w:rFonts w:cs="Times New Roman"/>
          <w:szCs w:val="24"/>
        </w:rPr>
        <w:t xml:space="preserve"> </w:t>
      </w:r>
      <w:r>
        <w:rPr>
          <w:rFonts w:cs="Times New Roman"/>
          <w:szCs w:val="24"/>
        </w:rPr>
        <w:t>representam respectivamente os anos que compreendem o período analisado, o</w:t>
      </w:r>
      <w:r w:rsidRPr="004A25BD">
        <w:rPr>
          <w:rFonts w:cs="Times New Roman"/>
          <w:szCs w:val="24"/>
        </w:rPr>
        <w:t xml:space="preserve"> termo </w:t>
      </w:r>
      <w:r w:rsidRPr="007800C3">
        <w:rPr>
          <w:rFonts w:cs="Times New Roman"/>
          <w:szCs w:val="24"/>
        </w:rPr>
        <w:t xml:space="preserve">i </w:t>
      </w:r>
      <w:r w:rsidRPr="004A25BD">
        <w:rPr>
          <w:rFonts w:cs="Times New Roman"/>
          <w:szCs w:val="24"/>
        </w:rPr>
        <w:t>representa cada uma das observações, isto é, cad</w:t>
      </w:r>
      <w:r>
        <w:rPr>
          <w:rFonts w:cs="Times New Roman"/>
          <w:szCs w:val="24"/>
        </w:rPr>
        <w:t xml:space="preserve">a uma das empresas consideradas </w:t>
      </w:r>
      <w:r w:rsidRPr="004A25BD">
        <w:rPr>
          <w:rFonts w:cs="Times New Roman"/>
          <w:szCs w:val="24"/>
        </w:rPr>
        <w:t>e</w:t>
      </w:r>
      <w:r>
        <w:rPr>
          <w:rFonts w:cs="Times New Roman"/>
          <w:szCs w:val="24"/>
        </w:rPr>
        <w:t>,</w:t>
      </w:r>
      <w:r w:rsidRPr="004A25BD">
        <w:rPr>
          <w:rFonts w:cs="Times New Roman"/>
          <w:szCs w:val="24"/>
        </w:rPr>
        <w:t xml:space="preserve"> </w:t>
      </w:r>
      <w:r w:rsidRPr="007800C3">
        <w:rPr>
          <w:rFonts w:cs="Times New Roman"/>
          <w:sz w:val="28"/>
          <w:szCs w:val="28"/>
        </w:rPr>
        <w:t>ε</w:t>
      </w:r>
      <w:r w:rsidRPr="004A25BD">
        <w:rPr>
          <w:rFonts w:cs="Times New Roman"/>
          <w:szCs w:val="24"/>
        </w:rPr>
        <w:t xml:space="preserve"> representa o termo das perturbações, isto é, os restantes fator</w:t>
      </w:r>
      <w:r>
        <w:rPr>
          <w:rFonts w:cs="Times New Roman"/>
          <w:szCs w:val="24"/>
        </w:rPr>
        <w:t>es não explicáveis pelo modelo.</w:t>
      </w:r>
    </w:p>
    <w:p w:rsidR="008B3E58" w:rsidRDefault="00752603" w:rsidP="00850F71">
      <w:pPr>
        <w:contextualSpacing/>
        <w:rPr>
          <w:rFonts w:cs="Times New Roman"/>
          <w:szCs w:val="24"/>
        </w:rPr>
      </w:pPr>
      <w:r>
        <w:rPr>
          <w:rFonts w:cs="Times New Roman"/>
          <w:szCs w:val="24"/>
        </w:rPr>
        <w:t xml:space="preserve">Neste estudo, pela análise dos coeficientes estimados pela Regressão Logística das variáveis independentes possibilita inferir a sua intensidade sobre a determinação do pagamento de dividendos por parte das empresas analisadas por este estudo. </w:t>
      </w:r>
      <w:r w:rsidR="00174D5F">
        <w:rPr>
          <w:rFonts w:cs="Times New Roman"/>
          <w:szCs w:val="24"/>
        </w:rPr>
        <w:t>R</w:t>
      </w:r>
      <w:r w:rsidR="008B3E58">
        <w:rPr>
          <w:rFonts w:cs="Times New Roman"/>
          <w:szCs w:val="24"/>
        </w:rPr>
        <w:t xml:space="preserve">essalta-se </w:t>
      </w:r>
      <w:r w:rsidR="008B3E58" w:rsidRPr="00F64176">
        <w:rPr>
          <w:rFonts w:cs="Times New Roman"/>
          <w:szCs w:val="24"/>
        </w:rPr>
        <w:t xml:space="preserve">que as técnicas estatísticas empregadas neste estudo foram realizadas com apoio do </w:t>
      </w:r>
      <w:r w:rsidR="008B3E58" w:rsidRPr="00F64176">
        <w:rPr>
          <w:rFonts w:cs="Times New Roman"/>
          <w:i/>
          <w:szCs w:val="24"/>
        </w:rPr>
        <w:t>software</w:t>
      </w:r>
      <w:r w:rsidR="008B3E58" w:rsidRPr="00F64176">
        <w:rPr>
          <w:rFonts w:cs="Times New Roman"/>
          <w:szCs w:val="24"/>
        </w:rPr>
        <w:t xml:space="preserve"> estatístico especializado SPSS</w:t>
      </w:r>
      <w:r w:rsidR="008B3E58" w:rsidRPr="00F64176">
        <w:rPr>
          <w:rFonts w:cs="Times New Roman"/>
          <w:szCs w:val="24"/>
          <w:vertAlign w:val="superscript"/>
        </w:rPr>
        <w:t>®</w:t>
      </w:r>
      <w:r w:rsidR="008B3E58" w:rsidRPr="00F64176">
        <w:rPr>
          <w:rFonts w:cs="Times New Roman"/>
          <w:szCs w:val="24"/>
        </w:rPr>
        <w:t xml:space="preserve"> 21, além de planilhas eletrônicas para tabulação dos dados estudados.</w:t>
      </w:r>
      <w:r w:rsidR="00174D5F">
        <w:rPr>
          <w:rFonts w:cs="Times New Roman"/>
          <w:szCs w:val="24"/>
        </w:rPr>
        <w:t xml:space="preserve"> A partir dos pressupostos apresentados como procedimentos metodológicos, na próxima seção apresenta-se a análise dos resultados.</w:t>
      </w:r>
    </w:p>
    <w:p w:rsidR="006B7A94" w:rsidRDefault="006B7A94" w:rsidP="00850F71">
      <w:pPr>
        <w:contextualSpacing/>
        <w:rPr>
          <w:rFonts w:cs="Times New Roman"/>
          <w:szCs w:val="24"/>
        </w:rPr>
      </w:pPr>
    </w:p>
    <w:p w:rsidR="00FB6846" w:rsidRDefault="009020C7" w:rsidP="00850F71">
      <w:pPr>
        <w:pStyle w:val="Ttulo1"/>
        <w:spacing w:before="0"/>
        <w:contextualSpacing/>
        <w:rPr>
          <w:rFonts w:cs="Times New Roman"/>
          <w:szCs w:val="24"/>
        </w:rPr>
      </w:pPr>
      <w:r w:rsidRPr="004B39B7">
        <w:rPr>
          <w:rFonts w:cs="Times New Roman"/>
          <w:szCs w:val="24"/>
        </w:rPr>
        <w:t>DESCRIÇÃO E ANÁLISE DOS DADOS</w:t>
      </w:r>
    </w:p>
    <w:p w:rsidR="00B61D34" w:rsidRDefault="00B61D34" w:rsidP="00850F71">
      <w:r>
        <w:t xml:space="preserve">Esta seção apresenta a análise dos resultados do estudo, cujos dados foram coletados e analisados a partir do que se estabeleceu nos procedimentos metodológicos e em conformidade com o objetivo proposto no trabalho. Inicia-se com a análise da estatística descritiva das variáveis utilizadas e, na </w:t>
      </w:r>
      <w:r w:rsidR="00850F71">
        <w:t>sequência</w:t>
      </w:r>
      <w:r>
        <w:t>, tem-se a análise da Regressão Logística.</w:t>
      </w:r>
      <w:r w:rsidR="002B7484">
        <w:t xml:space="preserve"> A Tabela </w:t>
      </w:r>
      <w:r w:rsidR="009665D5">
        <w:t>3</w:t>
      </w:r>
      <w:r w:rsidR="002B7484">
        <w:t xml:space="preserve"> apresenta as empresas que pagaram e não pagaram dividendos no período analisado.</w:t>
      </w:r>
    </w:p>
    <w:p w:rsidR="00A34E24" w:rsidRDefault="00A34E24" w:rsidP="00850F71"/>
    <w:p w:rsidR="00A34E24" w:rsidRDefault="00A34E24" w:rsidP="00850F71">
      <w:pPr>
        <w:ind w:firstLine="0"/>
      </w:pPr>
      <w:r>
        <w:rPr>
          <w:b/>
          <w:szCs w:val="24"/>
        </w:rPr>
        <w:t xml:space="preserve">Tabela </w:t>
      </w:r>
      <w:r w:rsidR="009665D5">
        <w:rPr>
          <w:b/>
          <w:szCs w:val="24"/>
        </w:rPr>
        <w:t>3</w:t>
      </w:r>
      <w:r>
        <w:rPr>
          <w:b/>
          <w:szCs w:val="24"/>
        </w:rPr>
        <w:t xml:space="preserve"> – Empresas que pagaram e não pagaram dividendos</w:t>
      </w:r>
    </w:p>
    <w:tbl>
      <w:tblPr>
        <w:tblStyle w:val="Tabelacomgrade"/>
        <w:tblW w:w="4961" w:type="pct"/>
        <w:tblBorders>
          <w:insideH w:val="single" w:sz="4" w:space="0" w:color="auto"/>
          <w:insideV w:val="single" w:sz="4" w:space="0" w:color="auto"/>
        </w:tblBorders>
        <w:tblLook w:val="04A0" w:firstRow="1" w:lastRow="0" w:firstColumn="1" w:lastColumn="0" w:noHBand="0" w:noVBand="1"/>
      </w:tblPr>
      <w:tblGrid>
        <w:gridCol w:w="2173"/>
        <w:gridCol w:w="986"/>
        <w:gridCol w:w="986"/>
        <w:gridCol w:w="986"/>
        <w:gridCol w:w="985"/>
        <w:gridCol w:w="985"/>
        <w:gridCol w:w="985"/>
        <w:gridCol w:w="914"/>
      </w:tblGrid>
      <w:tr w:rsidR="00A34E24" w:rsidRPr="00D6042B" w:rsidTr="00850F71">
        <w:trPr>
          <w:trHeight w:val="20"/>
        </w:trPr>
        <w:tc>
          <w:tcPr>
            <w:tcW w:w="1207" w:type="pct"/>
            <w:tcBorders>
              <w:top w:val="single" w:sz="12" w:space="0" w:color="auto"/>
              <w:bottom w:val="single" w:sz="12" w:space="0" w:color="auto"/>
            </w:tcBorders>
            <w:vAlign w:val="center"/>
          </w:tcPr>
          <w:p w:rsidR="00A34E24" w:rsidRPr="00D6042B" w:rsidRDefault="00D6042B" w:rsidP="00850F71">
            <w:pPr>
              <w:ind w:firstLine="0"/>
              <w:contextualSpacing/>
              <w:jc w:val="center"/>
              <w:rPr>
                <w:b/>
                <w:sz w:val="20"/>
                <w:szCs w:val="20"/>
              </w:rPr>
            </w:pPr>
            <w:r w:rsidRPr="00D6042B">
              <w:rPr>
                <w:b/>
                <w:sz w:val="20"/>
                <w:szCs w:val="20"/>
              </w:rPr>
              <w:t>Descrição</w:t>
            </w:r>
          </w:p>
        </w:tc>
        <w:tc>
          <w:tcPr>
            <w:tcW w:w="548" w:type="pct"/>
            <w:tcBorders>
              <w:top w:val="single" w:sz="12" w:space="0" w:color="auto"/>
              <w:bottom w:val="single" w:sz="12" w:space="0" w:color="auto"/>
            </w:tcBorders>
            <w:vAlign w:val="center"/>
          </w:tcPr>
          <w:p w:rsidR="00A34E24" w:rsidRPr="00D6042B" w:rsidRDefault="00A34E24" w:rsidP="00850F71">
            <w:pPr>
              <w:ind w:firstLine="0"/>
              <w:contextualSpacing/>
              <w:jc w:val="center"/>
              <w:rPr>
                <w:b/>
                <w:sz w:val="20"/>
                <w:szCs w:val="20"/>
              </w:rPr>
            </w:pPr>
            <w:r w:rsidRPr="00D6042B">
              <w:rPr>
                <w:b/>
                <w:sz w:val="20"/>
                <w:szCs w:val="20"/>
              </w:rPr>
              <w:t>2010</w:t>
            </w:r>
          </w:p>
        </w:tc>
        <w:tc>
          <w:tcPr>
            <w:tcW w:w="548" w:type="pct"/>
            <w:tcBorders>
              <w:top w:val="single" w:sz="12" w:space="0" w:color="auto"/>
              <w:bottom w:val="single" w:sz="12" w:space="0" w:color="auto"/>
            </w:tcBorders>
            <w:vAlign w:val="center"/>
          </w:tcPr>
          <w:p w:rsidR="00A34E24" w:rsidRPr="00D6042B" w:rsidRDefault="00A34E24" w:rsidP="00850F71">
            <w:pPr>
              <w:ind w:firstLine="0"/>
              <w:contextualSpacing/>
              <w:jc w:val="center"/>
              <w:rPr>
                <w:b/>
                <w:sz w:val="20"/>
                <w:szCs w:val="20"/>
              </w:rPr>
            </w:pPr>
            <w:r w:rsidRPr="00D6042B">
              <w:rPr>
                <w:b/>
                <w:sz w:val="20"/>
                <w:szCs w:val="20"/>
              </w:rPr>
              <w:t>2011</w:t>
            </w:r>
          </w:p>
        </w:tc>
        <w:tc>
          <w:tcPr>
            <w:tcW w:w="548" w:type="pct"/>
            <w:tcBorders>
              <w:top w:val="single" w:sz="12" w:space="0" w:color="auto"/>
              <w:bottom w:val="single" w:sz="12" w:space="0" w:color="auto"/>
            </w:tcBorders>
            <w:vAlign w:val="center"/>
          </w:tcPr>
          <w:p w:rsidR="00A34E24" w:rsidRPr="00D6042B" w:rsidRDefault="00A34E24" w:rsidP="00850F71">
            <w:pPr>
              <w:ind w:firstLine="0"/>
              <w:contextualSpacing/>
              <w:jc w:val="center"/>
              <w:rPr>
                <w:b/>
                <w:sz w:val="20"/>
                <w:szCs w:val="20"/>
              </w:rPr>
            </w:pPr>
            <w:r w:rsidRPr="00D6042B">
              <w:rPr>
                <w:b/>
                <w:sz w:val="20"/>
                <w:szCs w:val="20"/>
              </w:rPr>
              <w:t>2012</w:t>
            </w:r>
          </w:p>
        </w:tc>
        <w:tc>
          <w:tcPr>
            <w:tcW w:w="547" w:type="pct"/>
            <w:tcBorders>
              <w:top w:val="single" w:sz="12" w:space="0" w:color="auto"/>
              <w:bottom w:val="single" w:sz="12" w:space="0" w:color="auto"/>
            </w:tcBorders>
            <w:vAlign w:val="center"/>
          </w:tcPr>
          <w:p w:rsidR="00A34E24" w:rsidRPr="00D6042B" w:rsidRDefault="00A34E24" w:rsidP="00850F71">
            <w:pPr>
              <w:ind w:firstLine="0"/>
              <w:contextualSpacing/>
              <w:jc w:val="center"/>
              <w:rPr>
                <w:b/>
                <w:sz w:val="20"/>
                <w:szCs w:val="20"/>
              </w:rPr>
            </w:pPr>
            <w:r w:rsidRPr="00D6042B">
              <w:rPr>
                <w:b/>
                <w:sz w:val="20"/>
                <w:szCs w:val="20"/>
              </w:rPr>
              <w:t>2013</w:t>
            </w:r>
          </w:p>
        </w:tc>
        <w:tc>
          <w:tcPr>
            <w:tcW w:w="547" w:type="pct"/>
            <w:tcBorders>
              <w:top w:val="single" w:sz="12" w:space="0" w:color="auto"/>
              <w:bottom w:val="single" w:sz="12" w:space="0" w:color="auto"/>
            </w:tcBorders>
            <w:vAlign w:val="center"/>
          </w:tcPr>
          <w:p w:rsidR="00A34E24" w:rsidRPr="00D6042B" w:rsidRDefault="00A34E24" w:rsidP="00850F71">
            <w:pPr>
              <w:ind w:firstLine="0"/>
              <w:contextualSpacing/>
              <w:jc w:val="center"/>
              <w:rPr>
                <w:b/>
                <w:sz w:val="20"/>
                <w:szCs w:val="20"/>
              </w:rPr>
            </w:pPr>
            <w:r w:rsidRPr="00D6042B">
              <w:rPr>
                <w:b/>
                <w:sz w:val="20"/>
                <w:szCs w:val="20"/>
              </w:rPr>
              <w:t>2014</w:t>
            </w:r>
          </w:p>
        </w:tc>
        <w:tc>
          <w:tcPr>
            <w:tcW w:w="547" w:type="pct"/>
            <w:tcBorders>
              <w:top w:val="single" w:sz="12" w:space="0" w:color="auto"/>
              <w:bottom w:val="single" w:sz="12" w:space="0" w:color="auto"/>
            </w:tcBorders>
            <w:vAlign w:val="center"/>
          </w:tcPr>
          <w:p w:rsidR="00A34E24" w:rsidRPr="00D6042B" w:rsidRDefault="00A34E24" w:rsidP="00850F71">
            <w:pPr>
              <w:ind w:firstLine="0"/>
              <w:contextualSpacing/>
              <w:jc w:val="center"/>
              <w:rPr>
                <w:b/>
                <w:sz w:val="20"/>
                <w:szCs w:val="20"/>
              </w:rPr>
            </w:pPr>
            <w:r w:rsidRPr="00D6042B">
              <w:rPr>
                <w:b/>
                <w:sz w:val="20"/>
                <w:szCs w:val="20"/>
              </w:rPr>
              <w:t>2015</w:t>
            </w:r>
          </w:p>
        </w:tc>
        <w:tc>
          <w:tcPr>
            <w:tcW w:w="508" w:type="pct"/>
            <w:tcBorders>
              <w:top w:val="single" w:sz="12" w:space="0" w:color="auto"/>
              <w:bottom w:val="single" w:sz="12" w:space="0" w:color="auto"/>
            </w:tcBorders>
            <w:vAlign w:val="center"/>
          </w:tcPr>
          <w:p w:rsidR="00A34E24" w:rsidRPr="00D6042B" w:rsidRDefault="00A34E24" w:rsidP="00850F71">
            <w:pPr>
              <w:ind w:firstLine="0"/>
              <w:contextualSpacing/>
              <w:jc w:val="center"/>
              <w:rPr>
                <w:b/>
                <w:sz w:val="20"/>
                <w:szCs w:val="20"/>
              </w:rPr>
            </w:pPr>
            <w:r w:rsidRPr="00D6042B">
              <w:rPr>
                <w:b/>
                <w:sz w:val="20"/>
                <w:szCs w:val="20"/>
              </w:rPr>
              <w:t>2016</w:t>
            </w:r>
          </w:p>
        </w:tc>
      </w:tr>
      <w:tr w:rsidR="00A34E24" w:rsidRPr="00A34E24" w:rsidTr="00850F71">
        <w:trPr>
          <w:trHeight w:val="20"/>
        </w:trPr>
        <w:tc>
          <w:tcPr>
            <w:tcW w:w="1207" w:type="pct"/>
            <w:tcBorders>
              <w:top w:val="single" w:sz="12" w:space="0" w:color="auto"/>
            </w:tcBorders>
            <w:vAlign w:val="center"/>
          </w:tcPr>
          <w:p w:rsidR="00A34E24" w:rsidRPr="00A34E24" w:rsidRDefault="00BB2C74" w:rsidP="00850F71">
            <w:pPr>
              <w:ind w:firstLine="0"/>
              <w:contextualSpacing/>
              <w:jc w:val="center"/>
              <w:rPr>
                <w:sz w:val="20"/>
                <w:szCs w:val="20"/>
              </w:rPr>
            </w:pPr>
            <w:r>
              <w:rPr>
                <w:sz w:val="20"/>
                <w:szCs w:val="20"/>
              </w:rPr>
              <w:t>N.</w:t>
            </w:r>
          </w:p>
        </w:tc>
        <w:tc>
          <w:tcPr>
            <w:tcW w:w="548" w:type="pct"/>
            <w:tcBorders>
              <w:top w:val="single" w:sz="12" w:space="0" w:color="auto"/>
            </w:tcBorders>
            <w:vAlign w:val="center"/>
          </w:tcPr>
          <w:p w:rsidR="00A34E24" w:rsidRPr="00A34E24" w:rsidRDefault="00A34E24" w:rsidP="00850F71">
            <w:pPr>
              <w:ind w:firstLine="0"/>
              <w:contextualSpacing/>
              <w:jc w:val="center"/>
              <w:rPr>
                <w:sz w:val="20"/>
                <w:szCs w:val="20"/>
              </w:rPr>
            </w:pPr>
            <w:r w:rsidRPr="00A34E24">
              <w:rPr>
                <w:sz w:val="20"/>
                <w:szCs w:val="20"/>
              </w:rPr>
              <w:t>213</w:t>
            </w:r>
          </w:p>
        </w:tc>
        <w:tc>
          <w:tcPr>
            <w:tcW w:w="548" w:type="pct"/>
            <w:tcBorders>
              <w:top w:val="single" w:sz="12" w:space="0" w:color="auto"/>
            </w:tcBorders>
            <w:vAlign w:val="center"/>
          </w:tcPr>
          <w:p w:rsidR="00A34E24" w:rsidRPr="00A34E24" w:rsidRDefault="00A34E24" w:rsidP="00850F71">
            <w:pPr>
              <w:ind w:firstLine="0"/>
              <w:contextualSpacing/>
              <w:jc w:val="center"/>
              <w:rPr>
                <w:sz w:val="20"/>
                <w:szCs w:val="20"/>
              </w:rPr>
            </w:pPr>
            <w:r w:rsidRPr="00A34E24">
              <w:rPr>
                <w:sz w:val="20"/>
                <w:szCs w:val="20"/>
              </w:rPr>
              <w:t>227</w:t>
            </w:r>
          </w:p>
        </w:tc>
        <w:tc>
          <w:tcPr>
            <w:tcW w:w="548" w:type="pct"/>
            <w:tcBorders>
              <w:top w:val="single" w:sz="12" w:space="0" w:color="auto"/>
            </w:tcBorders>
            <w:vAlign w:val="center"/>
          </w:tcPr>
          <w:p w:rsidR="00A34E24" w:rsidRPr="00A34E24" w:rsidRDefault="00A34E24" w:rsidP="00850F71">
            <w:pPr>
              <w:ind w:firstLine="0"/>
              <w:contextualSpacing/>
              <w:jc w:val="center"/>
              <w:rPr>
                <w:sz w:val="20"/>
                <w:szCs w:val="20"/>
              </w:rPr>
            </w:pPr>
            <w:r w:rsidRPr="00A34E24">
              <w:rPr>
                <w:sz w:val="20"/>
                <w:szCs w:val="20"/>
              </w:rPr>
              <w:t>241</w:t>
            </w:r>
          </w:p>
        </w:tc>
        <w:tc>
          <w:tcPr>
            <w:tcW w:w="547" w:type="pct"/>
            <w:tcBorders>
              <w:top w:val="single" w:sz="12" w:space="0" w:color="auto"/>
            </w:tcBorders>
            <w:vAlign w:val="center"/>
          </w:tcPr>
          <w:p w:rsidR="00A34E24" w:rsidRPr="00A34E24" w:rsidRDefault="00A34E24" w:rsidP="00850F71">
            <w:pPr>
              <w:ind w:firstLine="0"/>
              <w:contextualSpacing/>
              <w:jc w:val="center"/>
              <w:rPr>
                <w:sz w:val="20"/>
                <w:szCs w:val="20"/>
              </w:rPr>
            </w:pPr>
            <w:r w:rsidRPr="00A34E24">
              <w:rPr>
                <w:sz w:val="20"/>
                <w:szCs w:val="20"/>
              </w:rPr>
              <w:t>250</w:t>
            </w:r>
          </w:p>
        </w:tc>
        <w:tc>
          <w:tcPr>
            <w:tcW w:w="547" w:type="pct"/>
            <w:tcBorders>
              <w:top w:val="single" w:sz="12" w:space="0" w:color="auto"/>
            </w:tcBorders>
            <w:vAlign w:val="center"/>
          </w:tcPr>
          <w:p w:rsidR="00A34E24" w:rsidRPr="00A34E24" w:rsidRDefault="00A34E24" w:rsidP="00850F71">
            <w:pPr>
              <w:ind w:firstLine="0"/>
              <w:contextualSpacing/>
              <w:jc w:val="center"/>
              <w:rPr>
                <w:sz w:val="20"/>
                <w:szCs w:val="20"/>
              </w:rPr>
            </w:pPr>
            <w:r w:rsidRPr="00A34E24">
              <w:rPr>
                <w:sz w:val="20"/>
                <w:szCs w:val="20"/>
              </w:rPr>
              <w:t>258</w:t>
            </w:r>
          </w:p>
        </w:tc>
        <w:tc>
          <w:tcPr>
            <w:tcW w:w="547" w:type="pct"/>
            <w:tcBorders>
              <w:top w:val="single" w:sz="12" w:space="0" w:color="auto"/>
            </w:tcBorders>
            <w:vAlign w:val="center"/>
          </w:tcPr>
          <w:p w:rsidR="00A34E24" w:rsidRPr="00A34E24" w:rsidRDefault="00A34E24" w:rsidP="00850F71">
            <w:pPr>
              <w:ind w:firstLine="0"/>
              <w:contextualSpacing/>
              <w:jc w:val="center"/>
              <w:rPr>
                <w:sz w:val="20"/>
                <w:szCs w:val="20"/>
              </w:rPr>
            </w:pPr>
            <w:r w:rsidRPr="00A34E24">
              <w:rPr>
                <w:sz w:val="20"/>
                <w:szCs w:val="20"/>
              </w:rPr>
              <w:t>276</w:t>
            </w:r>
          </w:p>
        </w:tc>
        <w:tc>
          <w:tcPr>
            <w:tcW w:w="508" w:type="pct"/>
            <w:tcBorders>
              <w:top w:val="single" w:sz="12" w:space="0" w:color="auto"/>
            </w:tcBorders>
            <w:vAlign w:val="center"/>
          </w:tcPr>
          <w:p w:rsidR="00A34E24" w:rsidRPr="00A34E24" w:rsidRDefault="00A34E24" w:rsidP="00850F71">
            <w:pPr>
              <w:ind w:firstLine="0"/>
              <w:contextualSpacing/>
              <w:jc w:val="center"/>
              <w:rPr>
                <w:sz w:val="20"/>
                <w:szCs w:val="20"/>
              </w:rPr>
            </w:pPr>
            <w:r w:rsidRPr="00A34E24">
              <w:rPr>
                <w:sz w:val="20"/>
                <w:szCs w:val="20"/>
              </w:rPr>
              <w:t>281</w:t>
            </w:r>
          </w:p>
        </w:tc>
      </w:tr>
      <w:tr w:rsidR="00A34E24" w:rsidRPr="00A34E24" w:rsidTr="00850F71">
        <w:trPr>
          <w:trHeight w:val="20"/>
        </w:trPr>
        <w:tc>
          <w:tcPr>
            <w:tcW w:w="1207" w:type="pct"/>
            <w:vAlign w:val="center"/>
          </w:tcPr>
          <w:p w:rsidR="00A34E24" w:rsidRPr="00A34E24" w:rsidRDefault="00A34E24" w:rsidP="00850F71">
            <w:pPr>
              <w:ind w:firstLine="0"/>
              <w:contextualSpacing/>
              <w:jc w:val="center"/>
              <w:rPr>
                <w:sz w:val="20"/>
                <w:szCs w:val="20"/>
              </w:rPr>
            </w:pPr>
            <w:r w:rsidRPr="00A34E24">
              <w:rPr>
                <w:sz w:val="20"/>
                <w:szCs w:val="20"/>
              </w:rPr>
              <w:t>Com Dividendos</w:t>
            </w:r>
          </w:p>
        </w:tc>
        <w:tc>
          <w:tcPr>
            <w:tcW w:w="548" w:type="pct"/>
            <w:vAlign w:val="center"/>
          </w:tcPr>
          <w:p w:rsidR="00A34E24" w:rsidRDefault="00A34E24" w:rsidP="00850F71">
            <w:pPr>
              <w:ind w:firstLine="0"/>
              <w:contextualSpacing/>
              <w:jc w:val="center"/>
              <w:rPr>
                <w:sz w:val="20"/>
                <w:szCs w:val="20"/>
              </w:rPr>
            </w:pPr>
            <w:r w:rsidRPr="00A34E24">
              <w:rPr>
                <w:sz w:val="20"/>
                <w:szCs w:val="20"/>
              </w:rPr>
              <w:t>140</w:t>
            </w:r>
          </w:p>
          <w:p w:rsidR="00A34E24" w:rsidRPr="00A34E24" w:rsidRDefault="00A34E24" w:rsidP="00850F71">
            <w:pPr>
              <w:ind w:firstLine="0"/>
              <w:contextualSpacing/>
              <w:jc w:val="center"/>
              <w:rPr>
                <w:sz w:val="20"/>
                <w:szCs w:val="20"/>
              </w:rPr>
            </w:pPr>
            <w:r w:rsidRPr="00A34E24">
              <w:rPr>
                <w:sz w:val="20"/>
                <w:szCs w:val="20"/>
              </w:rPr>
              <w:t>(66%)</w:t>
            </w:r>
          </w:p>
        </w:tc>
        <w:tc>
          <w:tcPr>
            <w:tcW w:w="548" w:type="pct"/>
            <w:vAlign w:val="center"/>
          </w:tcPr>
          <w:p w:rsidR="00A34E24" w:rsidRDefault="00A34E24" w:rsidP="00850F71">
            <w:pPr>
              <w:ind w:firstLine="0"/>
              <w:contextualSpacing/>
              <w:jc w:val="center"/>
              <w:rPr>
                <w:sz w:val="20"/>
                <w:szCs w:val="20"/>
              </w:rPr>
            </w:pPr>
            <w:r w:rsidRPr="00A34E24">
              <w:rPr>
                <w:sz w:val="20"/>
                <w:szCs w:val="20"/>
              </w:rPr>
              <w:t>156</w:t>
            </w:r>
          </w:p>
          <w:p w:rsidR="00A34E24" w:rsidRPr="00A34E24" w:rsidRDefault="00A34E24" w:rsidP="00850F71">
            <w:pPr>
              <w:ind w:firstLine="0"/>
              <w:contextualSpacing/>
              <w:jc w:val="center"/>
              <w:rPr>
                <w:sz w:val="20"/>
                <w:szCs w:val="20"/>
              </w:rPr>
            </w:pPr>
            <w:r w:rsidRPr="00A34E24">
              <w:rPr>
                <w:sz w:val="20"/>
                <w:szCs w:val="20"/>
              </w:rPr>
              <w:t>(69%)</w:t>
            </w:r>
          </w:p>
        </w:tc>
        <w:tc>
          <w:tcPr>
            <w:tcW w:w="548" w:type="pct"/>
            <w:vAlign w:val="center"/>
          </w:tcPr>
          <w:p w:rsidR="00A34E24" w:rsidRDefault="00A34E24" w:rsidP="00850F71">
            <w:pPr>
              <w:ind w:firstLine="0"/>
              <w:contextualSpacing/>
              <w:jc w:val="center"/>
              <w:rPr>
                <w:sz w:val="20"/>
                <w:szCs w:val="20"/>
              </w:rPr>
            </w:pPr>
            <w:r w:rsidRPr="00A34E24">
              <w:rPr>
                <w:sz w:val="20"/>
                <w:szCs w:val="20"/>
              </w:rPr>
              <w:t>158</w:t>
            </w:r>
          </w:p>
          <w:p w:rsidR="00A34E24" w:rsidRPr="00A34E24" w:rsidRDefault="00A34E24" w:rsidP="00850F71">
            <w:pPr>
              <w:ind w:firstLine="0"/>
              <w:contextualSpacing/>
              <w:jc w:val="center"/>
              <w:rPr>
                <w:sz w:val="20"/>
                <w:szCs w:val="20"/>
              </w:rPr>
            </w:pPr>
            <w:r w:rsidRPr="00A34E24">
              <w:rPr>
                <w:sz w:val="20"/>
                <w:szCs w:val="20"/>
              </w:rPr>
              <w:t>(66%)</w:t>
            </w:r>
          </w:p>
        </w:tc>
        <w:tc>
          <w:tcPr>
            <w:tcW w:w="547" w:type="pct"/>
            <w:vAlign w:val="center"/>
          </w:tcPr>
          <w:p w:rsidR="00A34E24" w:rsidRDefault="00A34E24" w:rsidP="00850F71">
            <w:pPr>
              <w:ind w:firstLine="0"/>
              <w:contextualSpacing/>
              <w:jc w:val="center"/>
              <w:rPr>
                <w:sz w:val="20"/>
                <w:szCs w:val="20"/>
              </w:rPr>
            </w:pPr>
            <w:r w:rsidRPr="00A34E24">
              <w:rPr>
                <w:sz w:val="20"/>
                <w:szCs w:val="20"/>
              </w:rPr>
              <w:t>164</w:t>
            </w:r>
          </w:p>
          <w:p w:rsidR="00A34E24" w:rsidRPr="00A34E24" w:rsidRDefault="00A34E24" w:rsidP="00850F71">
            <w:pPr>
              <w:ind w:firstLine="0"/>
              <w:contextualSpacing/>
              <w:jc w:val="center"/>
              <w:rPr>
                <w:sz w:val="20"/>
                <w:szCs w:val="20"/>
              </w:rPr>
            </w:pPr>
            <w:r w:rsidRPr="00A34E24">
              <w:rPr>
                <w:sz w:val="20"/>
                <w:szCs w:val="20"/>
              </w:rPr>
              <w:t>(66%)</w:t>
            </w:r>
          </w:p>
        </w:tc>
        <w:tc>
          <w:tcPr>
            <w:tcW w:w="547" w:type="pct"/>
            <w:vAlign w:val="center"/>
          </w:tcPr>
          <w:p w:rsidR="00A34E24" w:rsidRDefault="00A34E24" w:rsidP="00850F71">
            <w:pPr>
              <w:ind w:firstLine="0"/>
              <w:contextualSpacing/>
              <w:jc w:val="center"/>
              <w:rPr>
                <w:sz w:val="20"/>
                <w:szCs w:val="20"/>
              </w:rPr>
            </w:pPr>
            <w:r w:rsidRPr="00A34E24">
              <w:rPr>
                <w:sz w:val="20"/>
                <w:szCs w:val="20"/>
              </w:rPr>
              <w:t>175</w:t>
            </w:r>
          </w:p>
          <w:p w:rsidR="00A34E24" w:rsidRPr="00A34E24" w:rsidRDefault="00A34E24" w:rsidP="00850F71">
            <w:pPr>
              <w:ind w:firstLine="0"/>
              <w:contextualSpacing/>
              <w:jc w:val="center"/>
              <w:rPr>
                <w:sz w:val="20"/>
                <w:szCs w:val="20"/>
              </w:rPr>
            </w:pPr>
            <w:r w:rsidRPr="00A34E24">
              <w:rPr>
                <w:sz w:val="20"/>
                <w:szCs w:val="20"/>
              </w:rPr>
              <w:t>(68%)</w:t>
            </w:r>
          </w:p>
        </w:tc>
        <w:tc>
          <w:tcPr>
            <w:tcW w:w="547" w:type="pct"/>
            <w:vAlign w:val="center"/>
          </w:tcPr>
          <w:p w:rsidR="00A34E24" w:rsidRDefault="00A34E24" w:rsidP="00850F71">
            <w:pPr>
              <w:ind w:firstLine="0"/>
              <w:contextualSpacing/>
              <w:jc w:val="center"/>
              <w:rPr>
                <w:sz w:val="20"/>
                <w:szCs w:val="20"/>
              </w:rPr>
            </w:pPr>
            <w:r w:rsidRPr="00A34E24">
              <w:rPr>
                <w:sz w:val="20"/>
                <w:szCs w:val="20"/>
              </w:rPr>
              <w:t>172</w:t>
            </w:r>
          </w:p>
          <w:p w:rsidR="00A34E24" w:rsidRPr="00A34E24" w:rsidRDefault="00A34E24" w:rsidP="00850F71">
            <w:pPr>
              <w:ind w:firstLine="0"/>
              <w:contextualSpacing/>
              <w:jc w:val="center"/>
              <w:rPr>
                <w:sz w:val="20"/>
                <w:szCs w:val="20"/>
              </w:rPr>
            </w:pPr>
            <w:r w:rsidRPr="00A34E24">
              <w:rPr>
                <w:sz w:val="20"/>
                <w:szCs w:val="20"/>
              </w:rPr>
              <w:t>(62%)</w:t>
            </w:r>
          </w:p>
        </w:tc>
        <w:tc>
          <w:tcPr>
            <w:tcW w:w="508" w:type="pct"/>
            <w:vAlign w:val="center"/>
          </w:tcPr>
          <w:p w:rsidR="00A34E24" w:rsidRDefault="00A34E24" w:rsidP="00850F71">
            <w:pPr>
              <w:ind w:firstLine="0"/>
              <w:contextualSpacing/>
              <w:jc w:val="center"/>
              <w:rPr>
                <w:sz w:val="20"/>
                <w:szCs w:val="20"/>
              </w:rPr>
            </w:pPr>
            <w:r w:rsidRPr="00A34E24">
              <w:rPr>
                <w:sz w:val="20"/>
                <w:szCs w:val="20"/>
              </w:rPr>
              <w:t>167</w:t>
            </w:r>
          </w:p>
          <w:p w:rsidR="00A34E24" w:rsidRPr="00A34E24" w:rsidRDefault="00A34E24" w:rsidP="00850F71">
            <w:pPr>
              <w:ind w:firstLine="0"/>
              <w:contextualSpacing/>
              <w:jc w:val="center"/>
              <w:rPr>
                <w:sz w:val="20"/>
                <w:szCs w:val="20"/>
              </w:rPr>
            </w:pPr>
            <w:r w:rsidRPr="00A34E24">
              <w:rPr>
                <w:sz w:val="20"/>
                <w:szCs w:val="20"/>
              </w:rPr>
              <w:t>(59%)</w:t>
            </w:r>
          </w:p>
        </w:tc>
      </w:tr>
      <w:tr w:rsidR="00A34E24" w:rsidRPr="00A34E24" w:rsidTr="00850F71">
        <w:trPr>
          <w:trHeight w:val="20"/>
        </w:trPr>
        <w:tc>
          <w:tcPr>
            <w:tcW w:w="1207" w:type="pct"/>
            <w:vAlign w:val="center"/>
          </w:tcPr>
          <w:p w:rsidR="00A34E24" w:rsidRPr="00A34E24" w:rsidRDefault="00A34E24" w:rsidP="00850F71">
            <w:pPr>
              <w:ind w:firstLine="0"/>
              <w:contextualSpacing/>
              <w:jc w:val="center"/>
              <w:rPr>
                <w:sz w:val="20"/>
                <w:szCs w:val="20"/>
              </w:rPr>
            </w:pPr>
            <w:r w:rsidRPr="00A34E24">
              <w:rPr>
                <w:sz w:val="20"/>
                <w:szCs w:val="20"/>
              </w:rPr>
              <w:t>Sem Dividendos</w:t>
            </w:r>
          </w:p>
        </w:tc>
        <w:tc>
          <w:tcPr>
            <w:tcW w:w="548" w:type="pct"/>
            <w:vAlign w:val="center"/>
          </w:tcPr>
          <w:p w:rsidR="00A34E24" w:rsidRDefault="00A34E24" w:rsidP="00850F71">
            <w:pPr>
              <w:ind w:firstLine="0"/>
              <w:contextualSpacing/>
              <w:jc w:val="center"/>
              <w:rPr>
                <w:sz w:val="20"/>
                <w:szCs w:val="20"/>
              </w:rPr>
            </w:pPr>
            <w:r w:rsidRPr="00A34E24">
              <w:rPr>
                <w:sz w:val="20"/>
                <w:szCs w:val="20"/>
              </w:rPr>
              <w:t>73</w:t>
            </w:r>
          </w:p>
          <w:p w:rsidR="00A34E24" w:rsidRPr="00A34E24" w:rsidRDefault="00A34E24" w:rsidP="00850F71">
            <w:pPr>
              <w:ind w:firstLine="0"/>
              <w:contextualSpacing/>
              <w:jc w:val="center"/>
              <w:rPr>
                <w:sz w:val="20"/>
                <w:szCs w:val="20"/>
              </w:rPr>
            </w:pPr>
            <w:r w:rsidRPr="00A34E24">
              <w:rPr>
                <w:sz w:val="20"/>
                <w:szCs w:val="20"/>
              </w:rPr>
              <w:t>(34%)</w:t>
            </w:r>
          </w:p>
        </w:tc>
        <w:tc>
          <w:tcPr>
            <w:tcW w:w="548" w:type="pct"/>
            <w:vAlign w:val="center"/>
          </w:tcPr>
          <w:p w:rsidR="00A34E24" w:rsidRDefault="00A34E24" w:rsidP="00850F71">
            <w:pPr>
              <w:ind w:firstLine="0"/>
              <w:contextualSpacing/>
              <w:jc w:val="center"/>
              <w:rPr>
                <w:sz w:val="20"/>
                <w:szCs w:val="20"/>
              </w:rPr>
            </w:pPr>
            <w:r w:rsidRPr="00A34E24">
              <w:rPr>
                <w:sz w:val="20"/>
                <w:szCs w:val="20"/>
              </w:rPr>
              <w:t>71</w:t>
            </w:r>
          </w:p>
          <w:p w:rsidR="00A34E24" w:rsidRPr="00A34E24" w:rsidRDefault="00A34E24" w:rsidP="00850F71">
            <w:pPr>
              <w:ind w:firstLine="0"/>
              <w:contextualSpacing/>
              <w:jc w:val="center"/>
              <w:rPr>
                <w:sz w:val="20"/>
                <w:szCs w:val="20"/>
              </w:rPr>
            </w:pPr>
            <w:r w:rsidRPr="00A34E24">
              <w:rPr>
                <w:sz w:val="20"/>
                <w:szCs w:val="20"/>
              </w:rPr>
              <w:t>(31%)</w:t>
            </w:r>
          </w:p>
        </w:tc>
        <w:tc>
          <w:tcPr>
            <w:tcW w:w="548" w:type="pct"/>
            <w:vAlign w:val="center"/>
          </w:tcPr>
          <w:p w:rsidR="00A34E24" w:rsidRDefault="00A34E24" w:rsidP="00850F71">
            <w:pPr>
              <w:ind w:firstLine="0"/>
              <w:contextualSpacing/>
              <w:jc w:val="center"/>
              <w:rPr>
                <w:sz w:val="20"/>
                <w:szCs w:val="20"/>
              </w:rPr>
            </w:pPr>
            <w:r w:rsidRPr="00A34E24">
              <w:rPr>
                <w:sz w:val="20"/>
                <w:szCs w:val="20"/>
              </w:rPr>
              <w:t>83</w:t>
            </w:r>
          </w:p>
          <w:p w:rsidR="00A34E24" w:rsidRPr="00A34E24" w:rsidRDefault="00A34E24" w:rsidP="00850F71">
            <w:pPr>
              <w:ind w:firstLine="0"/>
              <w:contextualSpacing/>
              <w:jc w:val="center"/>
              <w:rPr>
                <w:sz w:val="20"/>
                <w:szCs w:val="20"/>
              </w:rPr>
            </w:pPr>
            <w:r w:rsidRPr="00A34E24">
              <w:rPr>
                <w:sz w:val="20"/>
                <w:szCs w:val="20"/>
              </w:rPr>
              <w:t>(34%)</w:t>
            </w:r>
          </w:p>
        </w:tc>
        <w:tc>
          <w:tcPr>
            <w:tcW w:w="547" w:type="pct"/>
            <w:vAlign w:val="center"/>
          </w:tcPr>
          <w:p w:rsidR="00A34E24" w:rsidRDefault="00A34E24" w:rsidP="00850F71">
            <w:pPr>
              <w:ind w:firstLine="0"/>
              <w:contextualSpacing/>
              <w:jc w:val="center"/>
              <w:rPr>
                <w:sz w:val="20"/>
                <w:szCs w:val="20"/>
              </w:rPr>
            </w:pPr>
            <w:r w:rsidRPr="00A34E24">
              <w:rPr>
                <w:sz w:val="20"/>
                <w:szCs w:val="20"/>
              </w:rPr>
              <w:t>86</w:t>
            </w:r>
          </w:p>
          <w:p w:rsidR="00A34E24" w:rsidRPr="00A34E24" w:rsidRDefault="00A34E24" w:rsidP="00850F71">
            <w:pPr>
              <w:ind w:firstLine="0"/>
              <w:contextualSpacing/>
              <w:jc w:val="center"/>
              <w:rPr>
                <w:sz w:val="20"/>
                <w:szCs w:val="20"/>
              </w:rPr>
            </w:pPr>
            <w:r w:rsidRPr="00A34E24">
              <w:rPr>
                <w:sz w:val="20"/>
                <w:szCs w:val="20"/>
              </w:rPr>
              <w:t>(34%)</w:t>
            </w:r>
          </w:p>
        </w:tc>
        <w:tc>
          <w:tcPr>
            <w:tcW w:w="547" w:type="pct"/>
            <w:vAlign w:val="center"/>
          </w:tcPr>
          <w:p w:rsidR="00A34E24" w:rsidRDefault="00A34E24" w:rsidP="00850F71">
            <w:pPr>
              <w:ind w:firstLine="0"/>
              <w:contextualSpacing/>
              <w:jc w:val="center"/>
              <w:rPr>
                <w:sz w:val="20"/>
                <w:szCs w:val="20"/>
              </w:rPr>
            </w:pPr>
            <w:r w:rsidRPr="00A34E24">
              <w:rPr>
                <w:sz w:val="20"/>
                <w:szCs w:val="20"/>
              </w:rPr>
              <w:t>83</w:t>
            </w:r>
          </w:p>
          <w:p w:rsidR="00A34E24" w:rsidRPr="00A34E24" w:rsidRDefault="00A34E24" w:rsidP="00850F71">
            <w:pPr>
              <w:ind w:firstLine="0"/>
              <w:contextualSpacing/>
              <w:jc w:val="center"/>
              <w:rPr>
                <w:sz w:val="20"/>
                <w:szCs w:val="20"/>
              </w:rPr>
            </w:pPr>
            <w:r w:rsidRPr="00A34E24">
              <w:rPr>
                <w:sz w:val="20"/>
                <w:szCs w:val="20"/>
              </w:rPr>
              <w:t>(32%)</w:t>
            </w:r>
          </w:p>
        </w:tc>
        <w:tc>
          <w:tcPr>
            <w:tcW w:w="547" w:type="pct"/>
            <w:vAlign w:val="center"/>
          </w:tcPr>
          <w:p w:rsidR="00A34E24" w:rsidRDefault="00A34E24" w:rsidP="00850F71">
            <w:pPr>
              <w:ind w:firstLine="0"/>
              <w:contextualSpacing/>
              <w:jc w:val="center"/>
              <w:rPr>
                <w:sz w:val="20"/>
                <w:szCs w:val="20"/>
              </w:rPr>
            </w:pPr>
            <w:r w:rsidRPr="00A34E24">
              <w:rPr>
                <w:sz w:val="20"/>
                <w:szCs w:val="20"/>
              </w:rPr>
              <w:t>104</w:t>
            </w:r>
          </w:p>
          <w:p w:rsidR="00A34E24" w:rsidRPr="00A34E24" w:rsidRDefault="00A34E24" w:rsidP="00850F71">
            <w:pPr>
              <w:ind w:firstLine="0"/>
              <w:contextualSpacing/>
              <w:jc w:val="center"/>
              <w:rPr>
                <w:sz w:val="20"/>
                <w:szCs w:val="20"/>
              </w:rPr>
            </w:pPr>
            <w:r w:rsidRPr="00A34E24">
              <w:rPr>
                <w:sz w:val="20"/>
                <w:szCs w:val="20"/>
              </w:rPr>
              <w:t>(38%)</w:t>
            </w:r>
          </w:p>
        </w:tc>
        <w:tc>
          <w:tcPr>
            <w:tcW w:w="508" w:type="pct"/>
            <w:vAlign w:val="center"/>
          </w:tcPr>
          <w:p w:rsidR="00A34E24" w:rsidRDefault="00A34E24" w:rsidP="00850F71">
            <w:pPr>
              <w:ind w:firstLine="0"/>
              <w:contextualSpacing/>
              <w:jc w:val="center"/>
              <w:rPr>
                <w:sz w:val="20"/>
                <w:szCs w:val="20"/>
              </w:rPr>
            </w:pPr>
            <w:r w:rsidRPr="00A34E24">
              <w:rPr>
                <w:sz w:val="20"/>
                <w:szCs w:val="20"/>
              </w:rPr>
              <w:t>114</w:t>
            </w:r>
          </w:p>
          <w:p w:rsidR="00A34E24" w:rsidRPr="00A34E24" w:rsidRDefault="00A34E24" w:rsidP="00850F71">
            <w:pPr>
              <w:ind w:firstLine="0"/>
              <w:contextualSpacing/>
              <w:jc w:val="center"/>
              <w:rPr>
                <w:sz w:val="20"/>
                <w:szCs w:val="20"/>
              </w:rPr>
            </w:pPr>
            <w:r w:rsidRPr="00A34E24">
              <w:rPr>
                <w:sz w:val="20"/>
                <w:szCs w:val="20"/>
              </w:rPr>
              <w:t>(41%)</w:t>
            </w:r>
          </w:p>
        </w:tc>
      </w:tr>
    </w:tbl>
    <w:p w:rsidR="00BB2C74" w:rsidRPr="00BB2C74" w:rsidRDefault="00BB2C74" w:rsidP="00850F71">
      <w:pPr>
        <w:ind w:firstLine="0"/>
        <w:contextualSpacing/>
        <w:jc w:val="left"/>
        <w:rPr>
          <w:sz w:val="20"/>
          <w:szCs w:val="20"/>
        </w:rPr>
      </w:pPr>
      <w:r>
        <w:rPr>
          <w:b/>
          <w:sz w:val="20"/>
          <w:szCs w:val="20"/>
        </w:rPr>
        <w:t xml:space="preserve">Legenda: </w:t>
      </w:r>
      <w:r w:rsidRPr="00BB2C74">
        <w:rPr>
          <w:sz w:val="20"/>
          <w:szCs w:val="20"/>
        </w:rPr>
        <w:t>N. = Número de observações (Empresas)</w:t>
      </w:r>
    </w:p>
    <w:p w:rsidR="00A34E24" w:rsidRPr="005035B7" w:rsidRDefault="00A34E24" w:rsidP="00850F71">
      <w:pPr>
        <w:ind w:firstLine="0"/>
        <w:contextualSpacing/>
        <w:jc w:val="left"/>
        <w:rPr>
          <w:sz w:val="20"/>
          <w:szCs w:val="20"/>
        </w:rPr>
      </w:pPr>
      <w:r w:rsidRPr="005035B7">
        <w:rPr>
          <w:b/>
          <w:sz w:val="20"/>
          <w:szCs w:val="20"/>
        </w:rPr>
        <w:t>Fonte:</w:t>
      </w:r>
      <w:r>
        <w:rPr>
          <w:sz w:val="20"/>
          <w:szCs w:val="20"/>
        </w:rPr>
        <w:t xml:space="preserve"> d</w:t>
      </w:r>
      <w:r w:rsidRPr="005035B7">
        <w:rPr>
          <w:sz w:val="20"/>
          <w:szCs w:val="20"/>
        </w:rPr>
        <w:t>ados da pesquisa.</w:t>
      </w:r>
    </w:p>
    <w:p w:rsidR="00A34E24" w:rsidRDefault="00A34E24" w:rsidP="00850F71"/>
    <w:p w:rsidR="00BB2C74" w:rsidRDefault="002B7484" w:rsidP="00850F71">
      <w:r>
        <w:t>Como se pode observar, o número total de empresas que possuíam todas as informações necessárias e estabelecidas por este estudo aumentou, comparativamente entre os anos de 2010 e 2016. No entanto, destaca-se que os anos de 2015 e 2016, a participação no número de empresas que pagaram dividendos diminui consideravelmente em relação ao ano de 2014. Mais especificamente, no ano de 2014, o percentual de empresas que pagaram div</w:t>
      </w:r>
      <w:r w:rsidR="00A36193">
        <w:t>idendos foi</w:t>
      </w:r>
      <w:r>
        <w:t xml:space="preserve"> de 68%, passando para 62% em 2015 e 59% em 2016.</w:t>
      </w:r>
    </w:p>
    <w:p w:rsidR="00155853" w:rsidRDefault="002B7484" w:rsidP="00850F71">
      <w:r>
        <w:t xml:space="preserve">Apesar destes resultados, ou seja, </w:t>
      </w:r>
      <w:r w:rsidR="00E34430">
        <w:t>umas consideráveis reduções no percentual de empresas que pagam dividendos em relação às que não pagam, esses percentuais ainda permanecem</w:t>
      </w:r>
      <w:r w:rsidR="00AC1C8A">
        <w:t xml:space="preserve"> superiores ao encontrado em estudo similar de</w:t>
      </w:r>
      <w:r w:rsidR="00C3095F">
        <w:t xml:space="preserve"> </w:t>
      </w:r>
      <w:r w:rsidR="00AC1C8A">
        <w:t>Holanda e Coelho (2012) que ao analisarem as 401 empresas brasileiras listadas no BM&amp;FBovespa no período entre 1998 e 2010, encontram um percentual de 40% de empresas que não pagaram dividendos e 60% que pagaram.</w:t>
      </w:r>
      <w:r w:rsidR="00155853">
        <w:t xml:space="preserve"> Tal divergência de resultados pode estar associada ao viés de seleção da amostra. </w:t>
      </w:r>
    </w:p>
    <w:p w:rsidR="00BB2C74" w:rsidRDefault="00155853" w:rsidP="00850F71">
      <w:r>
        <w:t xml:space="preserve">Esta divergência de resultados estimula novas pesquisas em relação ao comportamento das empresas distribuírem ou não seus resultados em forma de dividendos. Sendo assim, a Tabela </w:t>
      </w:r>
      <w:r w:rsidR="00850F71">
        <w:t>4</w:t>
      </w:r>
      <w:r>
        <w:t xml:space="preserve"> apresenta a estatística descritiva das empresas que distribuem dividendos.</w:t>
      </w:r>
    </w:p>
    <w:p w:rsidR="00CD464C" w:rsidRDefault="00CD464C" w:rsidP="00850F71"/>
    <w:p w:rsidR="00BB2C74" w:rsidRDefault="00BB2C74" w:rsidP="00850F71">
      <w:pPr>
        <w:ind w:firstLine="0"/>
      </w:pPr>
      <w:r>
        <w:rPr>
          <w:b/>
          <w:szCs w:val="24"/>
        </w:rPr>
        <w:t xml:space="preserve">Tabela </w:t>
      </w:r>
      <w:r w:rsidR="00850F71">
        <w:rPr>
          <w:b/>
          <w:szCs w:val="24"/>
        </w:rPr>
        <w:t>4</w:t>
      </w:r>
      <w:r>
        <w:rPr>
          <w:b/>
          <w:szCs w:val="24"/>
        </w:rPr>
        <w:t xml:space="preserve"> – Estatística descritiva do pagamento de dividendos</w:t>
      </w:r>
    </w:p>
    <w:tbl>
      <w:tblPr>
        <w:tblStyle w:val="Tabelacomgrade"/>
        <w:tblW w:w="4961" w:type="pct"/>
        <w:tblBorders>
          <w:insideH w:val="single" w:sz="8" w:space="0" w:color="auto"/>
          <w:insideV w:val="single" w:sz="8" w:space="0" w:color="auto"/>
        </w:tblBorders>
        <w:tblLook w:val="04A0" w:firstRow="1" w:lastRow="0" w:firstColumn="1" w:lastColumn="0" w:noHBand="0" w:noVBand="1"/>
      </w:tblPr>
      <w:tblGrid>
        <w:gridCol w:w="1069"/>
        <w:gridCol w:w="1042"/>
        <w:gridCol w:w="1111"/>
        <w:gridCol w:w="1111"/>
        <w:gridCol w:w="1111"/>
        <w:gridCol w:w="1220"/>
        <w:gridCol w:w="1220"/>
        <w:gridCol w:w="1116"/>
      </w:tblGrid>
      <w:tr w:rsidR="00BB2C74" w:rsidRPr="00DF5CB5" w:rsidTr="00850F71">
        <w:trPr>
          <w:trHeight w:val="20"/>
        </w:trPr>
        <w:tc>
          <w:tcPr>
            <w:tcW w:w="599" w:type="pct"/>
            <w:tcBorders>
              <w:top w:val="single" w:sz="12" w:space="0" w:color="auto"/>
              <w:bottom w:val="single" w:sz="12" w:space="0" w:color="auto"/>
            </w:tcBorders>
            <w:vAlign w:val="center"/>
          </w:tcPr>
          <w:p w:rsidR="00D6042B" w:rsidRPr="00DF5CB5" w:rsidRDefault="00D6042B" w:rsidP="00850F71">
            <w:pPr>
              <w:ind w:firstLine="0"/>
              <w:contextualSpacing/>
              <w:jc w:val="center"/>
              <w:rPr>
                <w:rFonts w:cs="Times New Roman"/>
                <w:sz w:val="20"/>
                <w:szCs w:val="20"/>
              </w:rPr>
            </w:pPr>
          </w:p>
        </w:tc>
        <w:tc>
          <w:tcPr>
            <w:tcW w:w="584" w:type="pct"/>
            <w:tcBorders>
              <w:top w:val="single" w:sz="12" w:space="0" w:color="auto"/>
              <w:bottom w:val="single" w:sz="12" w:space="0" w:color="auto"/>
            </w:tcBorders>
            <w:vAlign w:val="center"/>
          </w:tcPr>
          <w:p w:rsidR="00D6042B" w:rsidRPr="00DF5CB5" w:rsidRDefault="00D6042B" w:rsidP="00850F71">
            <w:pPr>
              <w:ind w:firstLine="0"/>
              <w:contextualSpacing/>
              <w:jc w:val="center"/>
              <w:rPr>
                <w:rFonts w:cs="Times New Roman"/>
                <w:sz w:val="20"/>
                <w:szCs w:val="20"/>
              </w:rPr>
            </w:pPr>
            <w:r w:rsidRPr="00DF5CB5">
              <w:rPr>
                <w:rFonts w:cs="Times New Roman"/>
                <w:sz w:val="20"/>
                <w:szCs w:val="20"/>
              </w:rPr>
              <w:t>2010</w:t>
            </w:r>
          </w:p>
        </w:tc>
        <w:tc>
          <w:tcPr>
            <w:tcW w:w="622" w:type="pct"/>
            <w:tcBorders>
              <w:top w:val="single" w:sz="12" w:space="0" w:color="auto"/>
              <w:bottom w:val="single" w:sz="12" w:space="0" w:color="auto"/>
            </w:tcBorders>
            <w:vAlign w:val="center"/>
          </w:tcPr>
          <w:p w:rsidR="00D6042B" w:rsidRPr="00DF5CB5" w:rsidRDefault="00D6042B" w:rsidP="00850F71">
            <w:pPr>
              <w:ind w:firstLine="0"/>
              <w:contextualSpacing/>
              <w:jc w:val="center"/>
              <w:rPr>
                <w:rFonts w:cs="Times New Roman"/>
                <w:sz w:val="20"/>
                <w:szCs w:val="20"/>
              </w:rPr>
            </w:pPr>
            <w:r w:rsidRPr="00DF5CB5">
              <w:rPr>
                <w:rFonts w:cs="Times New Roman"/>
                <w:sz w:val="20"/>
                <w:szCs w:val="20"/>
              </w:rPr>
              <w:t>2011</w:t>
            </w:r>
          </w:p>
        </w:tc>
        <w:tc>
          <w:tcPr>
            <w:tcW w:w="622" w:type="pct"/>
            <w:tcBorders>
              <w:top w:val="single" w:sz="12" w:space="0" w:color="auto"/>
              <w:bottom w:val="single" w:sz="12" w:space="0" w:color="auto"/>
            </w:tcBorders>
            <w:vAlign w:val="center"/>
          </w:tcPr>
          <w:p w:rsidR="00D6042B" w:rsidRPr="00DF5CB5" w:rsidRDefault="00D6042B" w:rsidP="00850F71">
            <w:pPr>
              <w:ind w:firstLine="0"/>
              <w:contextualSpacing/>
              <w:jc w:val="center"/>
              <w:rPr>
                <w:rFonts w:cs="Times New Roman"/>
                <w:sz w:val="20"/>
                <w:szCs w:val="20"/>
              </w:rPr>
            </w:pPr>
            <w:r w:rsidRPr="00DF5CB5">
              <w:rPr>
                <w:rFonts w:cs="Times New Roman"/>
                <w:sz w:val="20"/>
                <w:szCs w:val="20"/>
              </w:rPr>
              <w:t>2012</w:t>
            </w:r>
          </w:p>
        </w:tc>
        <w:tc>
          <w:tcPr>
            <w:tcW w:w="622" w:type="pct"/>
            <w:tcBorders>
              <w:top w:val="single" w:sz="12" w:space="0" w:color="auto"/>
              <w:bottom w:val="single" w:sz="12" w:space="0" w:color="auto"/>
            </w:tcBorders>
            <w:vAlign w:val="center"/>
          </w:tcPr>
          <w:p w:rsidR="00D6042B" w:rsidRPr="00DF5CB5" w:rsidRDefault="00D6042B" w:rsidP="00850F71">
            <w:pPr>
              <w:ind w:firstLine="0"/>
              <w:contextualSpacing/>
              <w:jc w:val="center"/>
              <w:rPr>
                <w:rFonts w:cs="Times New Roman"/>
                <w:sz w:val="20"/>
                <w:szCs w:val="20"/>
              </w:rPr>
            </w:pPr>
            <w:r w:rsidRPr="00DF5CB5">
              <w:rPr>
                <w:rFonts w:cs="Times New Roman"/>
                <w:sz w:val="20"/>
                <w:szCs w:val="20"/>
              </w:rPr>
              <w:t>2013</w:t>
            </w:r>
          </w:p>
        </w:tc>
        <w:tc>
          <w:tcPr>
            <w:tcW w:w="682" w:type="pct"/>
            <w:tcBorders>
              <w:top w:val="single" w:sz="12" w:space="0" w:color="auto"/>
              <w:bottom w:val="single" w:sz="12" w:space="0" w:color="auto"/>
            </w:tcBorders>
            <w:vAlign w:val="center"/>
          </w:tcPr>
          <w:p w:rsidR="00D6042B" w:rsidRPr="00DF5CB5" w:rsidRDefault="00D6042B" w:rsidP="00850F71">
            <w:pPr>
              <w:ind w:firstLine="0"/>
              <w:contextualSpacing/>
              <w:jc w:val="center"/>
              <w:rPr>
                <w:rFonts w:cs="Times New Roman"/>
                <w:sz w:val="20"/>
                <w:szCs w:val="20"/>
              </w:rPr>
            </w:pPr>
            <w:r w:rsidRPr="00DF5CB5">
              <w:rPr>
                <w:rFonts w:cs="Times New Roman"/>
                <w:sz w:val="20"/>
                <w:szCs w:val="20"/>
              </w:rPr>
              <w:t>2014</w:t>
            </w:r>
          </w:p>
        </w:tc>
        <w:tc>
          <w:tcPr>
            <w:tcW w:w="682" w:type="pct"/>
            <w:tcBorders>
              <w:top w:val="single" w:sz="12" w:space="0" w:color="auto"/>
              <w:bottom w:val="single" w:sz="12" w:space="0" w:color="auto"/>
            </w:tcBorders>
            <w:vAlign w:val="center"/>
          </w:tcPr>
          <w:p w:rsidR="00D6042B" w:rsidRPr="00DF5CB5" w:rsidRDefault="00D6042B" w:rsidP="00850F71">
            <w:pPr>
              <w:ind w:firstLine="0"/>
              <w:contextualSpacing/>
              <w:jc w:val="center"/>
              <w:rPr>
                <w:rFonts w:cs="Times New Roman"/>
                <w:sz w:val="20"/>
                <w:szCs w:val="20"/>
              </w:rPr>
            </w:pPr>
            <w:r w:rsidRPr="00DF5CB5">
              <w:rPr>
                <w:rFonts w:cs="Times New Roman"/>
                <w:sz w:val="20"/>
                <w:szCs w:val="20"/>
              </w:rPr>
              <w:t>2015</w:t>
            </w:r>
          </w:p>
        </w:tc>
        <w:tc>
          <w:tcPr>
            <w:tcW w:w="587" w:type="pct"/>
            <w:tcBorders>
              <w:top w:val="single" w:sz="12" w:space="0" w:color="auto"/>
              <w:bottom w:val="single" w:sz="12" w:space="0" w:color="auto"/>
            </w:tcBorders>
            <w:vAlign w:val="center"/>
          </w:tcPr>
          <w:p w:rsidR="00D6042B" w:rsidRPr="00DF5CB5" w:rsidRDefault="00D6042B" w:rsidP="00850F71">
            <w:pPr>
              <w:ind w:firstLine="0"/>
              <w:contextualSpacing/>
              <w:jc w:val="center"/>
              <w:rPr>
                <w:rFonts w:cs="Times New Roman"/>
                <w:sz w:val="20"/>
                <w:szCs w:val="20"/>
              </w:rPr>
            </w:pPr>
            <w:r w:rsidRPr="00DF5CB5">
              <w:rPr>
                <w:rFonts w:cs="Times New Roman"/>
                <w:sz w:val="20"/>
                <w:szCs w:val="20"/>
              </w:rPr>
              <w:t>2016</w:t>
            </w:r>
          </w:p>
        </w:tc>
      </w:tr>
      <w:tr w:rsidR="00BB2C74" w:rsidRPr="00BB2C74" w:rsidTr="00850F71">
        <w:trPr>
          <w:trHeight w:val="20"/>
        </w:trPr>
        <w:tc>
          <w:tcPr>
            <w:tcW w:w="599" w:type="pct"/>
            <w:tcBorders>
              <w:top w:val="single" w:sz="12" w:space="0" w:color="auto"/>
            </w:tcBorders>
            <w:vAlign w:val="center"/>
          </w:tcPr>
          <w:p w:rsidR="00D6042B" w:rsidRPr="00BB2C74" w:rsidRDefault="00BB2C74" w:rsidP="00850F71">
            <w:pPr>
              <w:ind w:firstLine="0"/>
              <w:contextualSpacing/>
              <w:jc w:val="center"/>
              <w:rPr>
                <w:rFonts w:cs="Times New Roman"/>
                <w:sz w:val="20"/>
                <w:szCs w:val="20"/>
              </w:rPr>
            </w:pPr>
            <w:r>
              <w:rPr>
                <w:rFonts w:cs="Times New Roman"/>
                <w:sz w:val="20"/>
                <w:szCs w:val="20"/>
              </w:rPr>
              <w:t>N.</w:t>
            </w:r>
          </w:p>
        </w:tc>
        <w:tc>
          <w:tcPr>
            <w:tcW w:w="584" w:type="pct"/>
            <w:tcBorders>
              <w:top w:val="single" w:sz="12" w:space="0" w:color="auto"/>
            </w:tcBorders>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140</w:t>
            </w:r>
          </w:p>
        </w:tc>
        <w:tc>
          <w:tcPr>
            <w:tcW w:w="622" w:type="pct"/>
            <w:tcBorders>
              <w:top w:val="single" w:sz="12" w:space="0" w:color="auto"/>
            </w:tcBorders>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156</w:t>
            </w:r>
          </w:p>
        </w:tc>
        <w:tc>
          <w:tcPr>
            <w:tcW w:w="622" w:type="pct"/>
            <w:tcBorders>
              <w:top w:val="single" w:sz="12" w:space="0" w:color="auto"/>
            </w:tcBorders>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158</w:t>
            </w:r>
          </w:p>
        </w:tc>
        <w:tc>
          <w:tcPr>
            <w:tcW w:w="622" w:type="pct"/>
            <w:tcBorders>
              <w:top w:val="single" w:sz="12" w:space="0" w:color="auto"/>
            </w:tcBorders>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164</w:t>
            </w:r>
          </w:p>
        </w:tc>
        <w:tc>
          <w:tcPr>
            <w:tcW w:w="682" w:type="pct"/>
            <w:tcBorders>
              <w:top w:val="single" w:sz="12" w:space="0" w:color="auto"/>
            </w:tcBorders>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175</w:t>
            </w:r>
          </w:p>
        </w:tc>
        <w:tc>
          <w:tcPr>
            <w:tcW w:w="682" w:type="pct"/>
            <w:tcBorders>
              <w:top w:val="single" w:sz="12" w:space="0" w:color="auto"/>
            </w:tcBorders>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172</w:t>
            </w:r>
          </w:p>
        </w:tc>
        <w:tc>
          <w:tcPr>
            <w:tcW w:w="587" w:type="pct"/>
            <w:tcBorders>
              <w:top w:val="single" w:sz="12" w:space="0" w:color="auto"/>
            </w:tcBorders>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167</w:t>
            </w:r>
          </w:p>
        </w:tc>
      </w:tr>
      <w:tr w:rsidR="00BB2C74" w:rsidRPr="00BB2C74" w:rsidTr="00850F71">
        <w:trPr>
          <w:trHeight w:val="20"/>
        </w:trPr>
        <w:tc>
          <w:tcPr>
            <w:tcW w:w="599"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Mínimo</w:t>
            </w:r>
          </w:p>
        </w:tc>
        <w:tc>
          <w:tcPr>
            <w:tcW w:w="584"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77</w:t>
            </w:r>
          </w:p>
        </w:tc>
        <w:tc>
          <w:tcPr>
            <w:tcW w:w="62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94</w:t>
            </w:r>
          </w:p>
        </w:tc>
        <w:tc>
          <w:tcPr>
            <w:tcW w:w="62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36</w:t>
            </w:r>
          </w:p>
        </w:tc>
        <w:tc>
          <w:tcPr>
            <w:tcW w:w="62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24</w:t>
            </w:r>
          </w:p>
        </w:tc>
        <w:tc>
          <w:tcPr>
            <w:tcW w:w="68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6</w:t>
            </w:r>
          </w:p>
        </w:tc>
        <w:tc>
          <w:tcPr>
            <w:tcW w:w="68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61</w:t>
            </w:r>
          </w:p>
        </w:tc>
        <w:tc>
          <w:tcPr>
            <w:tcW w:w="587"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5</w:t>
            </w:r>
          </w:p>
        </w:tc>
      </w:tr>
      <w:tr w:rsidR="00BB2C74" w:rsidRPr="00BB2C74" w:rsidTr="00850F71">
        <w:trPr>
          <w:trHeight w:val="20"/>
        </w:trPr>
        <w:tc>
          <w:tcPr>
            <w:tcW w:w="599"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Máximo</w:t>
            </w:r>
          </w:p>
        </w:tc>
        <w:tc>
          <w:tcPr>
            <w:tcW w:w="584"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5.030.751</w:t>
            </w:r>
          </w:p>
        </w:tc>
        <w:tc>
          <w:tcPr>
            <w:tcW w:w="62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5.475.448</w:t>
            </w:r>
          </w:p>
        </w:tc>
        <w:tc>
          <w:tcPr>
            <w:tcW w:w="62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5.450.111</w:t>
            </w:r>
          </w:p>
        </w:tc>
        <w:tc>
          <w:tcPr>
            <w:tcW w:w="62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7.209.410</w:t>
            </w:r>
          </w:p>
        </w:tc>
        <w:tc>
          <w:tcPr>
            <w:tcW w:w="68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12.059.595</w:t>
            </w:r>
          </w:p>
        </w:tc>
        <w:tc>
          <w:tcPr>
            <w:tcW w:w="68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11.490.221</w:t>
            </w:r>
          </w:p>
        </w:tc>
        <w:tc>
          <w:tcPr>
            <w:tcW w:w="587"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10.330.601</w:t>
            </w:r>
          </w:p>
        </w:tc>
      </w:tr>
      <w:tr w:rsidR="00BB2C74" w:rsidRPr="00BB2C74" w:rsidTr="00850F71">
        <w:trPr>
          <w:trHeight w:val="20"/>
        </w:trPr>
        <w:tc>
          <w:tcPr>
            <w:tcW w:w="599"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Média</w:t>
            </w:r>
          </w:p>
        </w:tc>
        <w:tc>
          <w:tcPr>
            <w:tcW w:w="584"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194.962</w:t>
            </w:r>
          </w:p>
        </w:tc>
        <w:tc>
          <w:tcPr>
            <w:tcW w:w="62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193.566</w:t>
            </w:r>
          </w:p>
        </w:tc>
        <w:tc>
          <w:tcPr>
            <w:tcW w:w="62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196.645</w:t>
            </w:r>
          </w:p>
        </w:tc>
        <w:tc>
          <w:tcPr>
            <w:tcW w:w="62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209.452</w:t>
            </w:r>
          </w:p>
        </w:tc>
        <w:tc>
          <w:tcPr>
            <w:tcW w:w="68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246.982</w:t>
            </w:r>
          </w:p>
        </w:tc>
        <w:tc>
          <w:tcPr>
            <w:tcW w:w="68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212.036</w:t>
            </w:r>
          </w:p>
        </w:tc>
        <w:tc>
          <w:tcPr>
            <w:tcW w:w="587"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232.747</w:t>
            </w:r>
          </w:p>
        </w:tc>
      </w:tr>
      <w:tr w:rsidR="00BB2C74" w:rsidRPr="00BB2C74" w:rsidTr="00850F71">
        <w:trPr>
          <w:trHeight w:val="20"/>
        </w:trPr>
        <w:tc>
          <w:tcPr>
            <w:tcW w:w="599"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D</w:t>
            </w:r>
            <w:r w:rsidR="00BB2C74">
              <w:rPr>
                <w:rFonts w:cs="Times New Roman"/>
                <w:sz w:val="20"/>
                <w:szCs w:val="20"/>
              </w:rPr>
              <w:t xml:space="preserve">. </w:t>
            </w:r>
            <w:r w:rsidRPr="00BB2C74">
              <w:rPr>
                <w:rFonts w:cs="Times New Roman"/>
                <w:sz w:val="20"/>
                <w:szCs w:val="20"/>
              </w:rPr>
              <w:t>Padrão</w:t>
            </w:r>
          </w:p>
        </w:tc>
        <w:tc>
          <w:tcPr>
            <w:tcW w:w="584"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517.229</w:t>
            </w:r>
          </w:p>
        </w:tc>
        <w:tc>
          <w:tcPr>
            <w:tcW w:w="62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522.794</w:t>
            </w:r>
          </w:p>
        </w:tc>
        <w:tc>
          <w:tcPr>
            <w:tcW w:w="62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508.488</w:t>
            </w:r>
          </w:p>
        </w:tc>
        <w:tc>
          <w:tcPr>
            <w:tcW w:w="62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645.031</w:t>
            </w:r>
          </w:p>
        </w:tc>
        <w:tc>
          <w:tcPr>
            <w:tcW w:w="68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975.976</w:t>
            </w:r>
          </w:p>
        </w:tc>
        <w:tc>
          <w:tcPr>
            <w:tcW w:w="682" w:type="pct"/>
            <w:vAlign w:val="center"/>
          </w:tcPr>
          <w:p w:rsidR="00D6042B" w:rsidRPr="00BB2C74" w:rsidRDefault="00D6042B" w:rsidP="00850F71">
            <w:pPr>
              <w:ind w:firstLine="0"/>
              <w:contextualSpacing/>
              <w:jc w:val="center"/>
              <w:rPr>
                <w:rFonts w:cs="Times New Roman"/>
                <w:sz w:val="20"/>
                <w:szCs w:val="20"/>
              </w:rPr>
            </w:pPr>
            <w:r w:rsidRPr="00BB2C74">
              <w:rPr>
                <w:rFonts w:cs="Times New Roman"/>
                <w:sz w:val="20"/>
                <w:szCs w:val="20"/>
              </w:rPr>
              <w:t>909.983</w:t>
            </w:r>
          </w:p>
        </w:tc>
        <w:tc>
          <w:tcPr>
            <w:tcW w:w="587" w:type="pct"/>
            <w:vAlign w:val="center"/>
          </w:tcPr>
          <w:p w:rsidR="00D6042B" w:rsidRPr="00BB2C74" w:rsidRDefault="00BB2C74" w:rsidP="00850F71">
            <w:pPr>
              <w:ind w:firstLine="0"/>
              <w:contextualSpacing/>
              <w:jc w:val="center"/>
              <w:rPr>
                <w:rFonts w:cs="Times New Roman"/>
                <w:sz w:val="20"/>
                <w:szCs w:val="20"/>
              </w:rPr>
            </w:pPr>
            <w:r w:rsidRPr="00BB2C74">
              <w:rPr>
                <w:rFonts w:cs="Times New Roman"/>
                <w:sz w:val="20"/>
                <w:szCs w:val="20"/>
              </w:rPr>
              <w:t>891.392</w:t>
            </w:r>
          </w:p>
        </w:tc>
      </w:tr>
    </w:tbl>
    <w:p w:rsidR="00BB2C74" w:rsidRPr="00BB2C74" w:rsidRDefault="00BB2C74" w:rsidP="00850F71">
      <w:pPr>
        <w:ind w:firstLine="0"/>
        <w:contextualSpacing/>
        <w:jc w:val="left"/>
        <w:rPr>
          <w:sz w:val="20"/>
          <w:szCs w:val="20"/>
        </w:rPr>
      </w:pPr>
      <w:r>
        <w:rPr>
          <w:b/>
          <w:sz w:val="20"/>
          <w:szCs w:val="20"/>
        </w:rPr>
        <w:t xml:space="preserve">Legenda: </w:t>
      </w:r>
      <w:r w:rsidRPr="00BB2C74">
        <w:rPr>
          <w:sz w:val="20"/>
          <w:szCs w:val="20"/>
        </w:rPr>
        <w:t>N. = Número de observações (Empresas)</w:t>
      </w:r>
      <w:r>
        <w:rPr>
          <w:sz w:val="20"/>
          <w:szCs w:val="20"/>
        </w:rPr>
        <w:t>, D. Padrão = Desvio Padrão</w:t>
      </w:r>
      <w:r w:rsidR="00BC3762">
        <w:rPr>
          <w:sz w:val="20"/>
          <w:szCs w:val="20"/>
        </w:rPr>
        <w:t>.</w:t>
      </w:r>
    </w:p>
    <w:p w:rsidR="00BB2C74" w:rsidRDefault="00BB2C74" w:rsidP="00850F71">
      <w:pPr>
        <w:spacing w:line="276" w:lineRule="auto"/>
        <w:ind w:firstLine="0"/>
        <w:jc w:val="left"/>
        <w:rPr>
          <w:sz w:val="20"/>
          <w:szCs w:val="20"/>
        </w:rPr>
      </w:pPr>
      <w:r w:rsidRPr="005035B7">
        <w:rPr>
          <w:b/>
          <w:sz w:val="20"/>
          <w:szCs w:val="20"/>
        </w:rPr>
        <w:t>Fonte:</w:t>
      </w:r>
      <w:r>
        <w:rPr>
          <w:sz w:val="20"/>
          <w:szCs w:val="20"/>
        </w:rPr>
        <w:t xml:space="preserve"> d</w:t>
      </w:r>
      <w:r w:rsidRPr="005035B7">
        <w:rPr>
          <w:sz w:val="20"/>
          <w:szCs w:val="20"/>
        </w:rPr>
        <w:t>ados da pesquisa.</w:t>
      </w:r>
    </w:p>
    <w:p w:rsidR="00706EAB" w:rsidRPr="00706EAB" w:rsidRDefault="00706EAB" w:rsidP="00850F71">
      <w:pPr>
        <w:spacing w:line="276" w:lineRule="auto"/>
        <w:ind w:firstLine="0"/>
        <w:jc w:val="left"/>
        <w:rPr>
          <w:szCs w:val="24"/>
        </w:rPr>
      </w:pPr>
    </w:p>
    <w:p w:rsidR="00391E7E" w:rsidRDefault="00155853" w:rsidP="00850F71">
      <w:pPr>
        <w:contextualSpacing/>
        <w:rPr>
          <w:szCs w:val="24"/>
        </w:rPr>
      </w:pPr>
      <w:r>
        <w:rPr>
          <w:szCs w:val="24"/>
        </w:rPr>
        <w:t xml:space="preserve">Conforme </w:t>
      </w:r>
      <w:r w:rsidR="0044576E">
        <w:rPr>
          <w:szCs w:val="24"/>
        </w:rPr>
        <w:t xml:space="preserve">os dados apresentados na Tabela </w:t>
      </w:r>
      <w:r w:rsidR="00850F71">
        <w:rPr>
          <w:szCs w:val="24"/>
        </w:rPr>
        <w:t>4</w:t>
      </w:r>
      <w:r w:rsidR="0044576E">
        <w:rPr>
          <w:szCs w:val="24"/>
        </w:rPr>
        <w:t xml:space="preserve"> percebe-se</w:t>
      </w:r>
      <w:r>
        <w:rPr>
          <w:szCs w:val="24"/>
        </w:rPr>
        <w:t xml:space="preserve"> que houve um aumento no número de empresas que pagaram dividendos no decorrer do período analisado, aumentando de 140 empresas em 2010 para 172 empresas em 2015, uma leve queda em 216, com 167 empresas que distribuíram dividendos</w:t>
      </w:r>
      <w:r w:rsidR="0044576E">
        <w:rPr>
          <w:szCs w:val="24"/>
        </w:rPr>
        <w:t>. Um fato relevante para esta análise é que, da mesma forma que o número de empresas que pagaram dividendos aumentou o valor médio pago também aumentou consideravelmente entre os anos de 2010 e 2014, com pequena queda em 2015 e retomando o aumento em 2016.</w:t>
      </w:r>
    </w:p>
    <w:p w:rsidR="00391E7E" w:rsidRDefault="00604F0D" w:rsidP="00850F71">
      <w:pPr>
        <w:contextualSpacing/>
        <w:rPr>
          <w:szCs w:val="24"/>
        </w:rPr>
      </w:pPr>
      <w:r>
        <w:rPr>
          <w:szCs w:val="24"/>
        </w:rPr>
        <w:t xml:space="preserve">Tais resultados podem estar associados ao fato de que investidores preferem aplicar seus recursos em empresas com </w:t>
      </w:r>
      <w:r w:rsidR="00391E7E">
        <w:rPr>
          <w:szCs w:val="24"/>
        </w:rPr>
        <w:t>política de dividendos adequada às suas preferências</w:t>
      </w:r>
      <w:r>
        <w:rPr>
          <w:szCs w:val="24"/>
        </w:rPr>
        <w:t xml:space="preserve"> (Holanda, Coelho, 2012)</w:t>
      </w:r>
      <w:r w:rsidR="00391E7E">
        <w:rPr>
          <w:szCs w:val="24"/>
        </w:rPr>
        <w:t xml:space="preserve">, o que remete a </w:t>
      </w:r>
      <w:r>
        <w:rPr>
          <w:szCs w:val="24"/>
        </w:rPr>
        <w:t>abordagem apresentada por Modigliani e Miller (1991) de que, por meio da política de dividendos, as empresas atraem para si novos investidores</w:t>
      </w:r>
      <w:r w:rsidR="00391E7E">
        <w:rPr>
          <w:szCs w:val="24"/>
        </w:rPr>
        <w:t xml:space="preserve"> (Efeito Clientela)</w:t>
      </w:r>
      <w:r>
        <w:rPr>
          <w:szCs w:val="24"/>
        </w:rPr>
        <w:t>, pois estes preferem investir em empresas que melhor atendem suas expectativas quanto ao retorno de seus investimentos</w:t>
      </w:r>
      <w:r w:rsidR="00391E7E">
        <w:rPr>
          <w:szCs w:val="24"/>
        </w:rPr>
        <w:t>.</w:t>
      </w:r>
    </w:p>
    <w:p w:rsidR="00C3095F" w:rsidRDefault="00391E7E" w:rsidP="00850F71">
      <w:pPr>
        <w:contextualSpacing/>
        <w:rPr>
          <w:rFonts w:cs="Times New Roman"/>
          <w:szCs w:val="24"/>
        </w:rPr>
      </w:pPr>
      <w:r>
        <w:rPr>
          <w:szCs w:val="24"/>
        </w:rPr>
        <w:t>C</w:t>
      </w:r>
      <w:r w:rsidR="00604F0D">
        <w:rPr>
          <w:szCs w:val="24"/>
        </w:rPr>
        <w:t xml:space="preserve">om isso as empresas </w:t>
      </w:r>
      <w:r w:rsidR="00C3095F">
        <w:rPr>
          <w:rFonts w:cs="Times New Roman"/>
          <w:szCs w:val="24"/>
        </w:rPr>
        <w:t>conseguem cativar para si investidos que preferem um nível de dividendos que foram transmitidos pelas empresas ao mercado no passado (Pereira &amp; Vieira, 2016).</w:t>
      </w:r>
      <w:r>
        <w:rPr>
          <w:rFonts w:cs="Times New Roman"/>
          <w:szCs w:val="24"/>
        </w:rPr>
        <w:t xml:space="preserve"> Sob tal perspectiva, há indícios de que as empresas analisadas estejam distribuindo uma maior proporção de pagamento de dividendos com o intuito buscar novos investidores quanto à manutenção dos já existentes.</w:t>
      </w:r>
    </w:p>
    <w:p w:rsidR="005373CB" w:rsidRDefault="00391E7E" w:rsidP="00850F71">
      <w:pPr>
        <w:contextualSpacing/>
        <w:rPr>
          <w:rFonts w:cs="Times New Roman"/>
          <w:szCs w:val="24"/>
        </w:rPr>
      </w:pPr>
      <w:r>
        <w:rPr>
          <w:rFonts w:cs="Times New Roman"/>
          <w:szCs w:val="24"/>
        </w:rPr>
        <w:t>A próxima análise refere-se à estatística descritiva das variáveis independentes apresentadas no constructo desta pesquisa e que são apontadas pela literatura revisitada como possíveis determinantes da política de dividendos. Nesse sentido, tal análise levou em consideração a separação entre as empresas que pagam dividendos e aquelas que não pagam</w:t>
      </w:r>
      <w:r w:rsidR="00850F71">
        <w:rPr>
          <w:rFonts w:cs="Times New Roman"/>
          <w:szCs w:val="24"/>
        </w:rPr>
        <w:t>, conforme observa-se na Tabela 5</w:t>
      </w:r>
      <w:r>
        <w:rPr>
          <w:rFonts w:cs="Times New Roman"/>
          <w:szCs w:val="24"/>
        </w:rPr>
        <w:t>.</w:t>
      </w:r>
    </w:p>
    <w:p w:rsidR="00706EAB" w:rsidRDefault="00706EAB" w:rsidP="00850F71">
      <w:pPr>
        <w:contextualSpacing/>
        <w:rPr>
          <w:rFonts w:cs="Times New Roman"/>
          <w:szCs w:val="24"/>
        </w:rPr>
      </w:pPr>
    </w:p>
    <w:p w:rsidR="0039532F" w:rsidRDefault="00BC3762" w:rsidP="00850F71">
      <w:pPr>
        <w:ind w:firstLine="0"/>
        <w:rPr>
          <w:sz w:val="20"/>
          <w:szCs w:val="20"/>
        </w:rPr>
      </w:pPr>
      <w:r>
        <w:rPr>
          <w:b/>
          <w:szCs w:val="24"/>
        </w:rPr>
        <w:t xml:space="preserve">Tabela </w:t>
      </w:r>
      <w:r w:rsidR="00850F71">
        <w:rPr>
          <w:b/>
          <w:szCs w:val="24"/>
        </w:rPr>
        <w:t>5</w:t>
      </w:r>
      <w:r>
        <w:rPr>
          <w:b/>
          <w:szCs w:val="24"/>
        </w:rPr>
        <w:t xml:space="preserve"> – Estatística descritiva das variáveis independentes</w:t>
      </w:r>
    </w:p>
    <w:tbl>
      <w:tblPr>
        <w:tblStyle w:val="Tabelacomgrade"/>
        <w:tblW w:w="4961" w:type="pct"/>
        <w:jc w:val="center"/>
        <w:tblBorders>
          <w:insideH w:val="single" w:sz="8" w:space="0" w:color="auto"/>
          <w:insideV w:val="single" w:sz="8" w:space="0" w:color="auto"/>
        </w:tblBorders>
        <w:tblLook w:val="04A0" w:firstRow="1" w:lastRow="0" w:firstColumn="1" w:lastColumn="0" w:noHBand="0" w:noVBand="1"/>
      </w:tblPr>
      <w:tblGrid>
        <w:gridCol w:w="1315"/>
        <w:gridCol w:w="1166"/>
        <w:gridCol w:w="909"/>
        <w:gridCol w:w="1136"/>
        <w:gridCol w:w="1181"/>
        <w:gridCol w:w="1046"/>
        <w:gridCol w:w="1181"/>
        <w:gridCol w:w="1066"/>
      </w:tblGrid>
      <w:tr w:rsidR="0039532F" w:rsidRPr="00BC3762" w:rsidTr="00850F71">
        <w:trPr>
          <w:trHeight w:val="20"/>
          <w:jc w:val="center"/>
        </w:trPr>
        <w:tc>
          <w:tcPr>
            <w:tcW w:w="731" w:type="pct"/>
            <w:vAlign w:val="center"/>
          </w:tcPr>
          <w:p w:rsidR="0039532F" w:rsidRPr="00BC3762" w:rsidRDefault="0039532F" w:rsidP="00850F71">
            <w:pPr>
              <w:ind w:firstLine="0"/>
              <w:contextualSpacing/>
              <w:jc w:val="center"/>
              <w:rPr>
                <w:rFonts w:cs="Times New Roman"/>
                <w:sz w:val="20"/>
                <w:szCs w:val="20"/>
              </w:rPr>
            </w:pPr>
            <w:r w:rsidRPr="00BC3762">
              <w:rPr>
                <w:rFonts w:cs="Times New Roman"/>
                <w:sz w:val="20"/>
                <w:szCs w:val="20"/>
              </w:rPr>
              <w:t>Ano</w:t>
            </w:r>
          </w:p>
        </w:tc>
        <w:tc>
          <w:tcPr>
            <w:tcW w:w="648" w:type="pct"/>
            <w:vAlign w:val="center"/>
          </w:tcPr>
          <w:p w:rsidR="0039532F" w:rsidRPr="00BC3762" w:rsidRDefault="0039532F" w:rsidP="00850F71">
            <w:pPr>
              <w:ind w:firstLine="0"/>
              <w:contextualSpacing/>
              <w:jc w:val="center"/>
              <w:rPr>
                <w:rFonts w:cs="Times New Roman"/>
                <w:sz w:val="20"/>
                <w:szCs w:val="20"/>
              </w:rPr>
            </w:pPr>
            <w:r w:rsidRPr="00BC3762">
              <w:rPr>
                <w:rFonts w:cs="Times New Roman"/>
                <w:sz w:val="20"/>
                <w:szCs w:val="20"/>
              </w:rPr>
              <w:t>Grupo</w:t>
            </w:r>
          </w:p>
        </w:tc>
        <w:tc>
          <w:tcPr>
            <w:tcW w:w="505" w:type="pct"/>
            <w:vAlign w:val="center"/>
          </w:tcPr>
          <w:p w:rsidR="0039532F" w:rsidRPr="00BC3762" w:rsidRDefault="0039532F" w:rsidP="00850F71">
            <w:pPr>
              <w:ind w:firstLine="0"/>
              <w:contextualSpacing/>
              <w:jc w:val="center"/>
              <w:rPr>
                <w:rFonts w:cs="Times New Roman"/>
                <w:sz w:val="20"/>
                <w:szCs w:val="20"/>
              </w:rPr>
            </w:pPr>
            <w:r w:rsidRPr="00BC3762">
              <w:rPr>
                <w:rFonts w:cs="Times New Roman"/>
                <w:sz w:val="20"/>
                <w:szCs w:val="20"/>
              </w:rPr>
              <w:t>N.</w:t>
            </w:r>
          </w:p>
        </w:tc>
        <w:tc>
          <w:tcPr>
            <w:tcW w:w="631" w:type="pct"/>
            <w:vAlign w:val="center"/>
          </w:tcPr>
          <w:p w:rsidR="0039532F" w:rsidRPr="00BC3762" w:rsidRDefault="0039532F" w:rsidP="00850F71">
            <w:pPr>
              <w:ind w:firstLine="0"/>
              <w:contextualSpacing/>
              <w:jc w:val="center"/>
              <w:rPr>
                <w:rFonts w:cs="Times New Roman"/>
                <w:sz w:val="20"/>
                <w:szCs w:val="20"/>
              </w:rPr>
            </w:pPr>
            <w:r w:rsidRPr="00BC3762">
              <w:rPr>
                <w:rFonts w:cs="Times New Roman"/>
                <w:sz w:val="20"/>
                <w:szCs w:val="20"/>
              </w:rPr>
              <w:t>RENT</w:t>
            </w:r>
          </w:p>
        </w:tc>
        <w:tc>
          <w:tcPr>
            <w:tcW w:w="656" w:type="pct"/>
            <w:vAlign w:val="center"/>
          </w:tcPr>
          <w:p w:rsidR="0039532F" w:rsidRPr="00BC3762" w:rsidRDefault="0039532F" w:rsidP="00850F71">
            <w:pPr>
              <w:ind w:firstLine="0"/>
              <w:contextualSpacing/>
              <w:jc w:val="center"/>
              <w:rPr>
                <w:rFonts w:cs="Times New Roman"/>
                <w:sz w:val="20"/>
                <w:szCs w:val="20"/>
              </w:rPr>
            </w:pPr>
            <w:r w:rsidRPr="00BC3762">
              <w:rPr>
                <w:rFonts w:cs="Times New Roman"/>
                <w:sz w:val="20"/>
                <w:szCs w:val="20"/>
              </w:rPr>
              <w:t>LIQ</w:t>
            </w:r>
          </w:p>
        </w:tc>
        <w:tc>
          <w:tcPr>
            <w:tcW w:w="581" w:type="pct"/>
            <w:vAlign w:val="center"/>
          </w:tcPr>
          <w:p w:rsidR="0039532F" w:rsidRPr="00BC3762" w:rsidRDefault="0039532F" w:rsidP="00850F71">
            <w:pPr>
              <w:ind w:firstLine="0"/>
              <w:contextualSpacing/>
              <w:jc w:val="center"/>
              <w:rPr>
                <w:rFonts w:cs="Times New Roman"/>
                <w:sz w:val="20"/>
                <w:szCs w:val="20"/>
              </w:rPr>
            </w:pPr>
            <w:r w:rsidRPr="00BC3762">
              <w:rPr>
                <w:rFonts w:cs="Times New Roman"/>
                <w:sz w:val="20"/>
                <w:szCs w:val="20"/>
              </w:rPr>
              <w:t>END</w:t>
            </w:r>
          </w:p>
        </w:tc>
        <w:tc>
          <w:tcPr>
            <w:tcW w:w="656" w:type="pct"/>
            <w:vAlign w:val="center"/>
          </w:tcPr>
          <w:p w:rsidR="0039532F" w:rsidRPr="00BC3762" w:rsidRDefault="0039532F" w:rsidP="00850F71">
            <w:pPr>
              <w:ind w:firstLine="0"/>
              <w:contextualSpacing/>
              <w:jc w:val="center"/>
              <w:rPr>
                <w:rFonts w:cs="Times New Roman"/>
                <w:sz w:val="20"/>
                <w:szCs w:val="20"/>
              </w:rPr>
            </w:pPr>
            <w:r w:rsidRPr="00BC3762">
              <w:rPr>
                <w:rFonts w:cs="Times New Roman"/>
                <w:sz w:val="20"/>
                <w:szCs w:val="20"/>
              </w:rPr>
              <w:t>TAM</w:t>
            </w:r>
          </w:p>
        </w:tc>
        <w:tc>
          <w:tcPr>
            <w:tcW w:w="592" w:type="pct"/>
            <w:vAlign w:val="center"/>
          </w:tcPr>
          <w:p w:rsidR="0039532F" w:rsidRPr="00BC3762" w:rsidRDefault="0039532F" w:rsidP="00850F71">
            <w:pPr>
              <w:ind w:firstLine="0"/>
              <w:contextualSpacing/>
              <w:jc w:val="center"/>
              <w:rPr>
                <w:rFonts w:cs="Times New Roman"/>
                <w:sz w:val="20"/>
                <w:szCs w:val="20"/>
              </w:rPr>
            </w:pPr>
            <w:r w:rsidRPr="00BC3762">
              <w:rPr>
                <w:rFonts w:cs="Times New Roman"/>
                <w:sz w:val="20"/>
                <w:szCs w:val="20"/>
              </w:rPr>
              <w:t>ROE</w:t>
            </w:r>
          </w:p>
        </w:tc>
      </w:tr>
      <w:tr w:rsidR="00BC3762" w:rsidRPr="00BC3762" w:rsidTr="00850F71">
        <w:trPr>
          <w:trHeight w:val="20"/>
          <w:jc w:val="center"/>
        </w:trPr>
        <w:tc>
          <w:tcPr>
            <w:tcW w:w="731" w:type="pct"/>
            <w:vMerge w:val="restar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2010</w:t>
            </w: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C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140</w:t>
            </w:r>
          </w:p>
        </w:tc>
        <w:tc>
          <w:tcPr>
            <w:tcW w:w="631"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0,1206</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2,6329</w:t>
            </w:r>
          </w:p>
        </w:tc>
        <w:tc>
          <w:tcPr>
            <w:tcW w:w="581" w:type="pct"/>
            <w:vAlign w:val="center"/>
          </w:tcPr>
          <w:p w:rsidR="00BC3762" w:rsidRPr="00351535" w:rsidRDefault="00BC3762" w:rsidP="00850F71">
            <w:pPr>
              <w:ind w:firstLine="0"/>
              <w:contextualSpacing/>
              <w:jc w:val="center"/>
              <w:rPr>
                <w:rFonts w:cs="Times New Roman"/>
                <w:sz w:val="20"/>
                <w:szCs w:val="20"/>
              </w:rPr>
            </w:pPr>
            <w:r w:rsidRPr="00351535">
              <w:rPr>
                <w:rFonts w:cs="Times New Roman"/>
                <w:sz w:val="20"/>
                <w:szCs w:val="20"/>
              </w:rPr>
              <w:t>0,5210</w:t>
            </w:r>
          </w:p>
        </w:tc>
        <w:tc>
          <w:tcPr>
            <w:tcW w:w="656" w:type="pct"/>
            <w:vAlign w:val="center"/>
          </w:tcPr>
          <w:p w:rsidR="00BC3762" w:rsidRPr="00C15A79" w:rsidRDefault="00BC3762" w:rsidP="00850F71">
            <w:pPr>
              <w:ind w:firstLine="0"/>
              <w:contextualSpacing/>
              <w:jc w:val="center"/>
              <w:rPr>
                <w:rFonts w:cs="Times New Roman"/>
                <w:sz w:val="20"/>
                <w:szCs w:val="20"/>
              </w:rPr>
            </w:pPr>
            <w:r w:rsidRPr="00C15A79">
              <w:rPr>
                <w:rFonts w:cs="Times New Roman"/>
                <w:sz w:val="20"/>
                <w:szCs w:val="20"/>
              </w:rPr>
              <w:t>14,3631</w:t>
            </w:r>
          </w:p>
        </w:tc>
        <w:tc>
          <w:tcPr>
            <w:tcW w:w="592" w:type="pct"/>
            <w:vAlign w:val="center"/>
          </w:tcPr>
          <w:p w:rsidR="00BC3762" w:rsidRPr="00295558" w:rsidRDefault="00BC3762" w:rsidP="00850F71">
            <w:pPr>
              <w:ind w:firstLine="0"/>
              <w:contextualSpacing/>
              <w:jc w:val="center"/>
              <w:rPr>
                <w:rFonts w:cs="Times New Roman"/>
                <w:sz w:val="20"/>
                <w:szCs w:val="20"/>
              </w:rPr>
            </w:pPr>
            <w:r w:rsidRPr="00295558">
              <w:rPr>
                <w:rFonts w:cs="Times New Roman"/>
                <w:sz w:val="20"/>
                <w:szCs w:val="20"/>
              </w:rPr>
              <w:t>0,1884</w:t>
            </w:r>
          </w:p>
        </w:tc>
      </w:tr>
      <w:tr w:rsidR="00BC3762" w:rsidRPr="00BC3762" w:rsidTr="00850F71">
        <w:trPr>
          <w:trHeight w:val="20"/>
          <w:jc w:val="center"/>
        </w:trPr>
        <w:tc>
          <w:tcPr>
            <w:tcW w:w="731" w:type="pct"/>
            <w:vMerge/>
            <w:vAlign w:val="center"/>
          </w:tcPr>
          <w:p w:rsidR="00BC3762" w:rsidRPr="00BC3762" w:rsidRDefault="00BC3762" w:rsidP="00850F71">
            <w:pPr>
              <w:ind w:firstLine="0"/>
              <w:contextualSpacing/>
              <w:jc w:val="center"/>
              <w:rPr>
                <w:rFonts w:cs="Times New Roman"/>
                <w:sz w:val="20"/>
                <w:szCs w:val="20"/>
              </w:rPr>
            </w:pP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S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73</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0,1326</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23,8274</w:t>
            </w:r>
          </w:p>
        </w:tc>
        <w:tc>
          <w:tcPr>
            <w:tcW w:w="581" w:type="pct"/>
            <w:vAlign w:val="center"/>
          </w:tcPr>
          <w:p w:rsidR="00BC3762" w:rsidRPr="00351535" w:rsidRDefault="00BC3762" w:rsidP="00850F71">
            <w:pPr>
              <w:ind w:firstLine="0"/>
              <w:contextualSpacing/>
              <w:jc w:val="center"/>
              <w:rPr>
                <w:rFonts w:cs="Times New Roman"/>
                <w:sz w:val="20"/>
                <w:szCs w:val="20"/>
              </w:rPr>
            </w:pPr>
            <w:r w:rsidRPr="00351535">
              <w:rPr>
                <w:rFonts w:cs="Times New Roman"/>
                <w:sz w:val="20"/>
                <w:szCs w:val="20"/>
              </w:rPr>
              <w:t>0,4820</w:t>
            </w:r>
          </w:p>
        </w:tc>
        <w:tc>
          <w:tcPr>
            <w:tcW w:w="656" w:type="pct"/>
            <w:vAlign w:val="center"/>
          </w:tcPr>
          <w:p w:rsidR="00BC3762" w:rsidRPr="00C15A79" w:rsidRDefault="00BC3762" w:rsidP="00850F71">
            <w:pPr>
              <w:ind w:firstLine="0"/>
              <w:contextualSpacing/>
              <w:jc w:val="center"/>
              <w:rPr>
                <w:rFonts w:cs="Times New Roman"/>
                <w:sz w:val="20"/>
                <w:szCs w:val="20"/>
              </w:rPr>
            </w:pPr>
            <w:r w:rsidRPr="00C15A79">
              <w:rPr>
                <w:rFonts w:cs="Times New Roman"/>
                <w:sz w:val="20"/>
                <w:szCs w:val="20"/>
              </w:rPr>
              <w:t>12,9469</w:t>
            </w:r>
          </w:p>
        </w:tc>
        <w:tc>
          <w:tcPr>
            <w:tcW w:w="592" w:type="pct"/>
            <w:vAlign w:val="center"/>
          </w:tcPr>
          <w:p w:rsidR="00BC3762" w:rsidRPr="00295558" w:rsidRDefault="00BC3762" w:rsidP="00850F71">
            <w:pPr>
              <w:ind w:firstLine="0"/>
              <w:contextualSpacing/>
              <w:jc w:val="center"/>
              <w:rPr>
                <w:rFonts w:cs="Times New Roman"/>
                <w:sz w:val="20"/>
                <w:szCs w:val="20"/>
              </w:rPr>
            </w:pPr>
            <w:r w:rsidRPr="00295558">
              <w:rPr>
                <w:rFonts w:cs="Times New Roman"/>
                <w:sz w:val="20"/>
                <w:szCs w:val="20"/>
              </w:rPr>
              <w:t>0,5773</w:t>
            </w:r>
          </w:p>
        </w:tc>
      </w:tr>
      <w:tr w:rsidR="00BC3762" w:rsidRPr="00BC3762" w:rsidTr="00850F71">
        <w:trPr>
          <w:trHeight w:val="20"/>
          <w:jc w:val="center"/>
        </w:trPr>
        <w:tc>
          <w:tcPr>
            <w:tcW w:w="731" w:type="pct"/>
            <w:vMerge w:val="restar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2011</w:t>
            </w: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C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156</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0,1106</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8,1555</w:t>
            </w:r>
          </w:p>
        </w:tc>
        <w:tc>
          <w:tcPr>
            <w:tcW w:w="581" w:type="pct"/>
            <w:vAlign w:val="center"/>
          </w:tcPr>
          <w:p w:rsidR="00BC3762" w:rsidRPr="00351535" w:rsidRDefault="00BC3762" w:rsidP="00850F71">
            <w:pPr>
              <w:ind w:firstLine="0"/>
              <w:contextualSpacing/>
              <w:jc w:val="center"/>
              <w:rPr>
                <w:rFonts w:cs="Times New Roman"/>
                <w:sz w:val="20"/>
                <w:szCs w:val="20"/>
              </w:rPr>
            </w:pPr>
            <w:r w:rsidRPr="00351535">
              <w:rPr>
                <w:rFonts w:cs="Times New Roman"/>
                <w:sz w:val="20"/>
                <w:szCs w:val="20"/>
              </w:rPr>
              <w:t>0,5143</w:t>
            </w:r>
          </w:p>
        </w:tc>
        <w:tc>
          <w:tcPr>
            <w:tcW w:w="656" w:type="pct"/>
            <w:vAlign w:val="center"/>
          </w:tcPr>
          <w:p w:rsidR="00BC3762" w:rsidRPr="00C15A79" w:rsidRDefault="00BC3762" w:rsidP="00850F71">
            <w:pPr>
              <w:ind w:firstLine="0"/>
              <w:contextualSpacing/>
              <w:jc w:val="center"/>
              <w:rPr>
                <w:rFonts w:cs="Times New Roman"/>
                <w:sz w:val="20"/>
                <w:szCs w:val="20"/>
              </w:rPr>
            </w:pPr>
            <w:r w:rsidRPr="00C15A79">
              <w:rPr>
                <w:rFonts w:cs="Times New Roman"/>
                <w:sz w:val="20"/>
                <w:szCs w:val="20"/>
              </w:rPr>
              <w:t>14,4294</w:t>
            </w:r>
          </w:p>
        </w:tc>
        <w:tc>
          <w:tcPr>
            <w:tcW w:w="592" w:type="pct"/>
            <w:vAlign w:val="center"/>
          </w:tcPr>
          <w:p w:rsidR="00BC3762" w:rsidRPr="00295558" w:rsidRDefault="00BC3762" w:rsidP="00850F71">
            <w:pPr>
              <w:ind w:firstLine="0"/>
              <w:contextualSpacing/>
              <w:jc w:val="center"/>
              <w:rPr>
                <w:rFonts w:cs="Times New Roman"/>
                <w:sz w:val="20"/>
                <w:szCs w:val="20"/>
              </w:rPr>
            </w:pPr>
            <w:r w:rsidRPr="00295558">
              <w:rPr>
                <w:rFonts w:cs="Times New Roman"/>
                <w:sz w:val="20"/>
                <w:szCs w:val="20"/>
              </w:rPr>
              <w:t>0,1623</w:t>
            </w:r>
          </w:p>
        </w:tc>
      </w:tr>
      <w:tr w:rsidR="00BC3762" w:rsidRPr="00BC3762" w:rsidTr="00850F71">
        <w:trPr>
          <w:trHeight w:val="20"/>
          <w:jc w:val="center"/>
        </w:trPr>
        <w:tc>
          <w:tcPr>
            <w:tcW w:w="731" w:type="pct"/>
            <w:vMerge/>
            <w:vAlign w:val="center"/>
          </w:tcPr>
          <w:p w:rsidR="00BC3762" w:rsidRPr="00BC3762" w:rsidRDefault="00BC3762" w:rsidP="00850F71">
            <w:pPr>
              <w:ind w:firstLine="0"/>
              <w:contextualSpacing/>
              <w:jc w:val="center"/>
              <w:rPr>
                <w:rFonts w:cs="Times New Roman"/>
                <w:sz w:val="20"/>
                <w:szCs w:val="20"/>
              </w:rPr>
            </w:pP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S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71</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0,0181</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48,7116</w:t>
            </w:r>
          </w:p>
        </w:tc>
        <w:tc>
          <w:tcPr>
            <w:tcW w:w="581" w:type="pct"/>
            <w:vAlign w:val="center"/>
          </w:tcPr>
          <w:p w:rsidR="00BC3762" w:rsidRPr="00351535" w:rsidRDefault="00BC3762" w:rsidP="00850F71">
            <w:pPr>
              <w:ind w:firstLine="0"/>
              <w:contextualSpacing/>
              <w:jc w:val="center"/>
              <w:rPr>
                <w:rFonts w:cs="Times New Roman"/>
                <w:sz w:val="20"/>
                <w:szCs w:val="20"/>
              </w:rPr>
            </w:pPr>
            <w:r w:rsidRPr="00351535">
              <w:rPr>
                <w:rFonts w:cs="Times New Roman"/>
                <w:sz w:val="20"/>
                <w:szCs w:val="20"/>
              </w:rPr>
              <w:t>0,5170</w:t>
            </w:r>
          </w:p>
        </w:tc>
        <w:tc>
          <w:tcPr>
            <w:tcW w:w="656" w:type="pct"/>
            <w:vAlign w:val="center"/>
          </w:tcPr>
          <w:p w:rsidR="00BC3762" w:rsidRPr="00C15A79" w:rsidRDefault="00BC3762" w:rsidP="00850F71">
            <w:pPr>
              <w:ind w:firstLine="0"/>
              <w:contextualSpacing/>
              <w:jc w:val="center"/>
              <w:rPr>
                <w:rFonts w:cs="Times New Roman"/>
                <w:sz w:val="20"/>
                <w:szCs w:val="20"/>
              </w:rPr>
            </w:pPr>
            <w:r w:rsidRPr="00C15A79">
              <w:rPr>
                <w:rFonts w:cs="Times New Roman"/>
                <w:sz w:val="20"/>
                <w:szCs w:val="20"/>
              </w:rPr>
              <w:t>12,9619</w:t>
            </w:r>
          </w:p>
        </w:tc>
        <w:tc>
          <w:tcPr>
            <w:tcW w:w="592" w:type="pct"/>
            <w:vAlign w:val="center"/>
          </w:tcPr>
          <w:p w:rsidR="00BC3762" w:rsidRPr="00295558" w:rsidRDefault="00BC3762" w:rsidP="00850F71">
            <w:pPr>
              <w:ind w:firstLine="0"/>
              <w:contextualSpacing/>
              <w:jc w:val="center"/>
              <w:rPr>
                <w:rFonts w:cs="Times New Roman"/>
                <w:sz w:val="20"/>
                <w:szCs w:val="20"/>
              </w:rPr>
            </w:pPr>
            <w:r w:rsidRPr="00295558">
              <w:rPr>
                <w:rFonts w:cs="Times New Roman"/>
                <w:sz w:val="20"/>
                <w:szCs w:val="20"/>
              </w:rPr>
              <w:t>0,0485</w:t>
            </w:r>
          </w:p>
        </w:tc>
      </w:tr>
      <w:tr w:rsidR="00BC3762" w:rsidRPr="00BC3762" w:rsidTr="00850F71">
        <w:trPr>
          <w:trHeight w:val="20"/>
          <w:jc w:val="center"/>
        </w:trPr>
        <w:tc>
          <w:tcPr>
            <w:tcW w:w="731" w:type="pct"/>
            <w:vMerge w:val="restar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2012</w:t>
            </w: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C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158</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0,1155</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5,0282</w:t>
            </w:r>
          </w:p>
        </w:tc>
        <w:tc>
          <w:tcPr>
            <w:tcW w:w="581" w:type="pct"/>
            <w:vAlign w:val="center"/>
          </w:tcPr>
          <w:p w:rsidR="00BC3762" w:rsidRPr="00351535" w:rsidRDefault="00BC3762" w:rsidP="00850F71">
            <w:pPr>
              <w:ind w:firstLine="0"/>
              <w:contextualSpacing/>
              <w:jc w:val="center"/>
              <w:rPr>
                <w:rFonts w:cs="Times New Roman"/>
                <w:sz w:val="20"/>
                <w:szCs w:val="20"/>
              </w:rPr>
            </w:pPr>
            <w:r w:rsidRPr="00351535">
              <w:rPr>
                <w:rFonts w:cs="Times New Roman"/>
                <w:sz w:val="20"/>
                <w:szCs w:val="20"/>
              </w:rPr>
              <w:t>0,5240</w:t>
            </w:r>
          </w:p>
        </w:tc>
        <w:tc>
          <w:tcPr>
            <w:tcW w:w="656" w:type="pct"/>
            <w:vAlign w:val="center"/>
          </w:tcPr>
          <w:p w:rsidR="00BC3762" w:rsidRPr="00C15A79" w:rsidRDefault="00BC3762" w:rsidP="00850F71">
            <w:pPr>
              <w:ind w:firstLine="0"/>
              <w:contextualSpacing/>
              <w:jc w:val="center"/>
              <w:rPr>
                <w:rFonts w:cs="Times New Roman"/>
                <w:sz w:val="20"/>
                <w:szCs w:val="20"/>
              </w:rPr>
            </w:pPr>
            <w:r w:rsidRPr="00C15A79">
              <w:rPr>
                <w:rFonts w:cs="Times New Roman"/>
                <w:sz w:val="20"/>
                <w:szCs w:val="20"/>
              </w:rPr>
              <w:t>14,2731</w:t>
            </w:r>
          </w:p>
        </w:tc>
        <w:tc>
          <w:tcPr>
            <w:tcW w:w="592" w:type="pct"/>
            <w:vAlign w:val="center"/>
          </w:tcPr>
          <w:p w:rsidR="00BC3762" w:rsidRPr="00295558" w:rsidRDefault="00BC3762" w:rsidP="00850F71">
            <w:pPr>
              <w:ind w:firstLine="0"/>
              <w:contextualSpacing/>
              <w:jc w:val="center"/>
              <w:rPr>
                <w:rFonts w:cs="Times New Roman"/>
                <w:sz w:val="20"/>
                <w:szCs w:val="20"/>
              </w:rPr>
            </w:pPr>
            <w:r w:rsidRPr="00295558">
              <w:rPr>
                <w:rFonts w:cs="Times New Roman"/>
                <w:sz w:val="20"/>
                <w:szCs w:val="20"/>
              </w:rPr>
              <w:t>0,1963</w:t>
            </w:r>
          </w:p>
        </w:tc>
      </w:tr>
      <w:tr w:rsidR="00BC3762" w:rsidRPr="00BC3762" w:rsidTr="00850F71">
        <w:trPr>
          <w:trHeight w:val="20"/>
          <w:jc w:val="center"/>
        </w:trPr>
        <w:tc>
          <w:tcPr>
            <w:tcW w:w="731" w:type="pct"/>
            <w:vMerge/>
            <w:vAlign w:val="center"/>
          </w:tcPr>
          <w:p w:rsidR="00BC3762" w:rsidRPr="00BC3762" w:rsidRDefault="00BC3762" w:rsidP="00850F71">
            <w:pPr>
              <w:ind w:firstLine="0"/>
              <w:contextualSpacing/>
              <w:jc w:val="center"/>
              <w:rPr>
                <w:rFonts w:cs="Times New Roman"/>
                <w:sz w:val="20"/>
                <w:szCs w:val="20"/>
              </w:rPr>
            </w:pP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S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83</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-0,0681</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30,1020</w:t>
            </w:r>
          </w:p>
        </w:tc>
        <w:tc>
          <w:tcPr>
            <w:tcW w:w="581"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0,5232</w:t>
            </w:r>
          </w:p>
        </w:tc>
        <w:tc>
          <w:tcPr>
            <w:tcW w:w="656" w:type="pct"/>
            <w:vAlign w:val="center"/>
          </w:tcPr>
          <w:p w:rsidR="00BC3762" w:rsidRPr="00C15A79" w:rsidRDefault="00C15A79" w:rsidP="00850F71">
            <w:pPr>
              <w:ind w:firstLine="0"/>
              <w:contextualSpacing/>
              <w:jc w:val="center"/>
              <w:rPr>
                <w:rFonts w:cs="Times New Roman"/>
                <w:sz w:val="20"/>
                <w:szCs w:val="20"/>
              </w:rPr>
            </w:pPr>
            <w:r w:rsidRPr="00C15A79">
              <w:rPr>
                <w:rFonts w:cs="Times New Roman"/>
                <w:sz w:val="20"/>
                <w:szCs w:val="20"/>
              </w:rPr>
              <w:t>1</w:t>
            </w:r>
            <w:r w:rsidR="00BC3762" w:rsidRPr="00C15A79">
              <w:rPr>
                <w:rFonts w:cs="Times New Roman"/>
                <w:sz w:val="20"/>
                <w:szCs w:val="20"/>
              </w:rPr>
              <w:t>3,3761</w:t>
            </w:r>
          </w:p>
        </w:tc>
        <w:tc>
          <w:tcPr>
            <w:tcW w:w="592" w:type="pct"/>
            <w:vAlign w:val="center"/>
          </w:tcPr>
          <w:p w:rsidR="00BC3762" w:rsidRPr="00295558" w:rsidRDefault="00BC3762" w:rsidP="00850F71">
            <w:pPr>
              <w:ind w:firstLine="0"/>
              <w:contextualSpacing/>
              <w:jc w:val="center"/>
              <w:rPr>
                <w:rFonts w:cs="Times New Roman"/>
                <w:sz w:val="20"/>
                <w:szCs w:val="20"/>
              </w:rPr>
            </w:pPr>
            <w:r w:rsidRPr="00295558">
              <w:rPr>
                <w:rFonts w:cs="Times New Roman"/>
                <w:sz w:val="20"/>
                <w:szCs w:val="20"/>
              </w:rPr>
              <w:t>-0,8265</w:t>
            </w:r>
          </w:p>
        </w:tc>
      </w:tr>
      <w:tr w:rsidR="00BC3762" w:rsidRPr="00BC3762" w:rsidTr="00850F71">
        <w:trPr>
          <w:trHeight w:val="20"/>
          <w:jc w:val="center"/>
        </w:trPr>
        <w:tc>
          <w:tcPr>
            <w:tcW w:w="731" w:type="pct"/>
            <w:vMerge w:val="restar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2013</w:t>
            </w: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C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164</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0,1072</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27,9144</w:t>
            </w:r>
          </w:p>
        </w:tc>
        <w:tc>
          <w:tcPr>
            <w:tcW w:w="581"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0,5205</w:t>
            </w:r>
          </w:p>
        </w:tc>
        <w:tc>
          <w:tcPr>
            <w:tcW w:w="656" w:type="pct"/>
            <w:vAlign w:val="center"/>
          </w:tcPr>
          <w:p w:rsidR="00BC3762" w:rsidRPr="00C15A79" w:rsidRDefault="00BC3762" w:rsidP="00850F71">
            <w:pPr>
              <w:ind w:firstLine="0"/>
              <w:contextualSpacing/>
              <w:jc w:val="center"/>
              <w:rPr>
                <w:rFonts w:cs="Times New Roman"/>
                <w:sz w:val="20"/>
                <w:szCs w:val="20"/>
              </w:rPr>
            </w:pPr>
            <w:r w:rsidRPr="00C15A79">
              <w:rPr>
                <w:rFonts w:cs="Times New Roman"/>
                <w:sz w:val="20"/>
                <w:szCs w:val="20"/>
              </w:rPr>
              <w:t>14,4098</w:t>
            </w:r>
          </w:p>
        </w:tc>
        <w:tc>
          <w:tcPr>
            <w:tcW w:w="592" w:type="pct"/>
            <w:vAlign w:val="center"/>
          </w:tcPr>
          <w:p w:rsidR="00BC3762" w:rsidRPr="00295558" w:rsidRDefault="00BC3762" w:rsidP="00850F71">
            <w:pPr>
              <w:ind w:firstLine="0"/>
              <w:contextualSpacing/>
              <w:jc w:val="center"/>
              <w:rPr>
                <w:rFonts w:cs="Times New Roman"/>
                <w:sz w:val="20"/>
                <w:szCs w:val="20"/>
              </w:rPr>
            </w:pPr>
            <w:r w:rsidRPr="00295558">
              <w:rPr>
                <w:rFonts w:cs="Times New Roman"/>
                <w:sz w:val="20"/>
                <w:szCs w:val="20"/>
              </w:rPr>
              <w:t>0,1631</w:t>
            </w:r>
          </w:p>
        </w:tc>
      </w:tr>
      <w:tr w:rsidR="00BC3762" w:rsidRPr="00BC3762" w:rsidTr="00850F71">
        <w:trPr>
          <w:trHeight w:val="20"/>
          <w:jc w:val="center"/>
        </w:trPr>
        <w:tc>
          <w:tcPr>
            <w:tcW w:w="731" w:type="pct"/>
            <w:vMerge/>
            <w:vAlign w:val="center"/>
          </w:tcPr>
          <w:p w:rsidR="00BC3762" w:rsidRPr="00BC3762" w:rsidRDefault="00BC3762" w:rsidP="00850F71">
            <w:pPr>
              <w:ind w:firstLine="0"/>
              <w:contextualSpacing/>
              <w:jc w:val="center"/>
              <w:rPr>
                <w:rFonts w:cs="Times New Roman"/>
                <w:sz w:val="20"/>
                <w:szCs w:val="20"/>
              </w:rPr>
            </w:pP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S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86</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-0,1959</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47,7258</w:t>
            </w:r>
          </w:p>
        </w:tc>
        <w:tc>
          <w:tcPr>
            <w:tcW w:w="581"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0,5348</w:t>
            </w:r>
          </w:p>
        </w:tc>
        <w:tc>
          <w:tcPr>
            <w:tcW w:w="656" w:type="pct"/>
            <w:vAlign w:val="center"/>
          </w:tcPr>
          <w:p w:rsidR="00BC3762" w:rsidRPr="00C15A79" w:rsidRDefault="00BC3762" w:rsidP="00850F71">
            <w:pPr>
              <w:ind w:firstLine="0"/>
              <w:contextualSpacing/>
              <w:jc w:val="center"/>
              <w:rPr>
                <w:rFonts w:cs="Times New Roman"/>
                <w:sz w:val="20"/>
                <w:szCs w:val="20"/>
              </w:rPr>
            </w:pPr>
            <w:r w:rsidRPr="00C15A79">
              <w:rPr>
                <w:rFonts w:cs="Times New Roman"/>
                <w:sz w:val="20"/>
                <w:szCs w:val="20"/>
              </w:rPr>
              <w:t>13,0132</w:t>
            </w:r>
          </w:p>
        </w:tc>
        <w:tc>
          <w:tcPr>
            <w:tcW w:w="592" w:type="pct"/>
            <w:vAlign w:val="center"/>
          </w:tcPr>
          <w:p w:rsidR="00BC3762" w:rsidRPr="00295558" w:rsidRDefault="00BC3762" w:rsidP="00850F71">
            <w:pPr>
              <w:ind w:firstLine="0"/>
              <w:contextualSpacing/>
              <w:jc w:val="center"/>
              <w:rPr>
                <w:rFonts w:cs="Times New Roman"/>
                <w:sz w:val="20"/>
                <w:szCs w:val="20"/>
              </w:rPr>
            </w:pPr>
            <w:r w:rsidRPr="00295558">
              <w:rPr>
                <w:rFonts w:cs="Times New Roman"/>
                <w:sz w:val="20"/>
                <w:szCs w:val="20"/>
              </w:rPr>
              <w:t>-0,3077</w:t>
            </w:r>
          </w:p>
        </w:tc>
      </w:tr>
      <w:tr w:rsidR="00BC3762" w:rsidRPr="00BC3762" w:rsidTr="00850F71">
        <w:trPr>
          <w:trHeight w:val="20"/>
          <w:jc w:val="center"/>
        </w:trPr>
        <w:tc>
          <w:tcPr>
            <w:tcW w:w="731" w:type="pct"/>
            <w:vMerge w:val="restar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2014</w:t>
            </w: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C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175</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0,0939</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6,0886</w:t>
            </w:r>
          </w:p>
        </w:tc>
        <w:tc>
          <w:tcPr>
            <w:tcW w:w="581"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0,5343</w:t>
            </w:r>
          </w:p>
        </w:tc>
        <w:tc>
          <w:tcPr>
            <w:tcW w:w="656" w:type="pct"/>
            <w:vAlign w:val="center"/>
          </w:tcPr>
          <w:p w:rsidR="00BC3762" w:rsidRPr="00C15A79" w:rsidRDefault="00BC3762" w:rsidP="00850F71">
            <w:pPr>
              <w:ind w:firstLine="0"/>
              <w:contextualSpacing/>
              <w:jc w:val="center"/>
              <w:rPr>
                <w:rFonts w:cs="Times New Roman"/>
                <w:sz w:val="20"/>
                <w:szCs w:val="20"/>
              </w:rPr>
            </w:pPr>
            <w:r w:rsidRPr="00C15A79">
              <w:rPr>
                <w:rFonts w:cs="Times New Roman"/>
                <w:sz w:val="20"/>
                <w:szCs w:val="20"/>
              </w:rPr>
              <w:t>14,5332</w:t>
            </w:r>
          </w:p>
        </w:tc>
        <w:tc>
          <w:tcPr>
            <w:tcW w:w="592" w:type="pct"/>
            <w:vAlign w:val="center"/>
          </w:tcPr>
          <w:p w:rsidR="00BC3762" w:rsidRPr="00295558" w:rsidRDefault="00BC3762" w:rsidP="00850F71">
            <w:pPr>
              <w:ind w:firstLine="0"/>
              <w:contextualSpacing/>
              <w:jc w:val="center"/>
              <w:rPr>
                <w:rFonts w:cs="Times New Roman"/>
                <w:sz w:val="20"/>
                <w:szCs w:val="20"/>
              </w:rPr>
            </w:pPr>
            <w:r w:rsidRPr="00295558">
              <w:rPr>
                <w:rFonts w:cs="Times New Roman"/>
                <w:sz w:val="20"/>
                <w:szCs w:val="20"/>
              </w:rPr>
              <w:t>0,1570</w:t>
            </w:r>
          </w:p>
        </w:tc>
      </w:tr>
      <w:tr w:rsidR="00BC3762" w:rsidRPr="00BC3762" w:rsidTr="00850F71">
        <w:trPr>
          <w:trHeight w:val="20"/>
          <w:jc w:val="center"/>
        </w:trPr>
        <w:tc>
          <w:tcPr>
            <w:tcW w:w="731" w:type="pct"/>
            <w:vMerge/>
            <w:vAlign w:val="center"/>
          </w:tcPr>
          <w:p w:rsidR="00BC3762" w:rsidRPr="00BC3762" w:rsidRDefault="00BC3762" w:rsidP="00850F71">
            <w:pPr>
              <w:ind w:firstLine="0"/>
              <w:contextualSpacing/>
              <w:jc w:val="center"/>
              <w:rPr>
                <w:rFonts w:cs="Times New Roman"/>
                <w:sz w:val="20"/>
                <w:szCs w:val="20"/>
              </w:rPr>
            </w:pP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S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83</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-0,0812</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31,6684</w:t>
            </w:r>
          </w:p>
        </w:tc>
        <w:tc>
          <w:tcPr>
            <w:tcW w:w="581"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0,5503</w:t>
            </w:r>
          </w:p>
        </w:tc>
        <w:tc>
          <w:tcPr>
            <w:tcW w:w="656" w:type="pct"/>
            <w:vAlign w:val="center"/>
          </w:tcPr>
          <w:p w:rsidR="00BC3762" w:rsidRPr="00C15A79" w:rsidRDefault="00BC3762" w:rsidP="00850F71">
            <w:pPr>
              <w:ind w:firstLine="0"/>
              <w:contextualSpacing/>
              <w:jc w:val="center"/>
              <w:rPr>
                <w:rFonts w:cs="Times New Roman"/>
                <w:sz w:val="20"/>
                <w:szCs w:val="20"/>
              </w:rPr>
            </w:pPr>
            <w:r w:rsidRPr="00C15A79">
              <w:rPr>
                <w:rFonts w:cs="Times New Roman"/>
                <w:sz w:val="20"/>
                <w:szCs w:val="20"/>
              </w:rPr>
              <w:t>13,4951</w:t>
            </w:r>
          </w:p>
        </w:tc>
        <w:tc>
          <w:tcPr>
            <w:tcW w:w="592" w:type="pct"/>
            <w:vAlign w:val="center"/>
          </w:tcPr>
          <w:p w:rsidR="00BC3762" w:rsidRPr="00295558" w:rsidRDefault="00BC3762" w:rsidP="00850F71">
            <w:pPr>
              <w:ind w:firstLine="0"/>
              <w:contextualSpacing/>
              <w:jc w:val="center"/>
              <w:rPr>
                <w:rFonts w:cs="Times New Roman"/>
                <w:sz w:val="20"/>
                <w:szCs w:val="20"/>
              </w:rPr>
            </w:pPr>
            <w:r w:rsidRPr="00295558">
              <w:rPr>
                <w:rFonts w:cs="Times New Roman"/>
                <w:sz w:val="20"/>
                <w:szCs w:val="20"/>
              </w:rPr>
              <w:t>-0,2412</w:t>
            </w:r>
          </w:p>
        </w:tc>
      </w:tr>
      <w:tr w:rsidR="00BC3762" w:rsidRPr="00BC3762" w:rsidTr="00850F71">
        <w:trPr>
          <w:trHeight w:val="20"/>
          <w:jc w:val="center"/>
        </w:trPr>
        <w:tc>
          <w:tcPr>
            <w:tcW w:w="731" w:type="pct"/>
            <w:vMerge w:val="restar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2015</w:t>
            </w: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C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172</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0,0738</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6,9446</w:t>
            </w:r>
          </w:p>
        </w:tc>
        <w:tc>
          <w:tcPr>
            <w:tcW w:w="581"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0,5498</w:t>
            </w:r>
          </w:p>
        </w:tc>
        <w:tc>
          <w:tcPr>
            <w:tcW w:w="656" w:type="pct"/>
            <w:vAlign w:val="center"/>
          </w:tcPr>
          <w:p w:rsidR="00BC3762" w:rsidRPr="00C15A79" w:rsidRDefault="00BC3762" w:rsidP="00850F71">
            <w:pPr>
              <w:ind w:firstLine="0"/>
              <w:contextualSpacing/>
              <w:jc w:val="center"/>
              <w:rPr>
                <w:rFonts w:cs="Times New Roman"/>
                <w:sz w:val="20"/>
                <w:szCs w:val="20"/>
              </w:rPr>
            </w:pPr>
            <w:r w:rsidRPr="00C15A79">
              <w:rPr>
                <w:rFonts w:cs="Times New Roman"/>
                <w:sz w:val="20"/>
                <w:szCs w:val="20"/>
              </w:rPr>
              <w:t>14,6763</w:t>
            </w:r>
          </w:p>
        </w:tc>
        <w:tc>
          <w:tcPr>
            <w:tcW w:w="592" w:type="pct"/>
            <w:vAlign w:val="center"/>
          </w:tcPr>
          <w:p w:rsidR="00BC3762" w:rsidRPr="00295558" w:rsidRDefault="00BC3762" w:rsidP="00850F71">
            <w:pPr>
              <w:ind w:firstLine="0"/>
              <w:contextualSpacing/>
              <w:jc w:val="center"/>
              <w:rPr>
                <w:rFonts w:cs="Times New Roman"/>
                <w:sz w:val="20"/>
                <w:szCs w:val="20"/>
              </w:rPr>
            </w:pPr>
            <w:r w:rsidRPr="00295558">
              <w:rPr>
                <w:rFonts w:cs="Times New Roman"/>
                <w:sz w:val="20"/>
                <w:szCs w:val="20"/>
              </w:rPr>
              <w:t>0,0998</w:t>
            </w:r>
          </w:p>
        </w:tc>
      </w:tr>
      <w:tr w:rsidR="00BC3762" w:rsidRPr="00BC3762" w:rsidTr="00850F71">
        <w:trPr>
          <w:trHeight w:val="20"/>
          <w:jc w:val="center"/>
        </w:trPr>
        <w:tc>
          <w:tcPr>
            <w:tcW w:w="731" w:type="pct"/>
            <w:vMerge/>
            <w:vAlign w:val="center"/>
          </w:tcPr>
          <w:p w:rsidR="00BC3762" w:rsidRPr="00BC3762" w:rsidRDefault="00BC3762" w:rsidP="00850F71">
            <w:pPr>
              <w:ind w:firstLine="0"/>
              <w:contextualSpacing/>
              <w:jc w:val="center"/>
              <w:rPr>
                <w:rFonts w:cs="Times New Roman"/>
                <w:sz w:val="20"/>
                <w:szCs w:val="20"/>
              </w:rPr>
            </w:pP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S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104</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-0,2217</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47,9385</w:t>
            </w:r>
          </w:p>
        </w:tc>
        <w:tc>
          <w:tcPr>
            <w:tcW w:w="581"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0,5872</w:t>
            </w:r>
          </w:p>
        </w:tc>
        <w:tc>
          <w:tcPr>
            <w:tcW w:w="656" w:type="pct"/>
            <w:vAlign w:val="center"/>
          </w:tcPr>
          <w:p w:rsidR="00BC3762" w:rsidRPr="00C15A79" w:rsidRDefault="00BC3762" w:rsidP="00850F71">
            <w:pPr>
              <w:ind w:firstLine="0"/>
              <w:contextualSpacing/>
              <w:jc w:val="center"/>
              <w:rPr>
                <w:rFonts w:cs="Times New Roman"/>
                <w:sz w:val="20"/>
                <w:szCs w:val="20"/>
              </w:rPr>
            </w:pPr>
            <w:r w:rsidRPr="00C15A79">
              <w:rPr>
                <w:rFonts w:cs="Times New Roman"/>
                <w:sz w:val="20"/>
                <w:szCs w:val="20"/>
              </w:rPr>
              <w:t>13,4267</w:t>
            </w:r>
          </w:p>
        </w:tc>
        <w:tc>
          <w:tcPr>
            <w:tcW w:w="592"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-0,5324</w:t>
            </w:r>
          </w:p>
        </w:tc>
      </w:tr>
      <w:tr w:rsidR="00BC3762" w:rsidRPr="00BC3762" w:rsidTr="00850F71">
        <w:trPr>
          <w:trHeight w:val="20"/>
          <w:jc w:val="center"/>
        </w:trPr>
        <w:tc>
          <w:tcPr>
            <w:tcW w:w="731" w:type="pct"/>
            <w:vMerge w:val="restar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lastRenderedPageBreak/>
              <w:t>2016</w:t>
            </w: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C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167</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0,0894</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5,5427</w:t>
            </w:r>
          </w:p>
        </w:tc>
        <w:tc>
          <w:tcPr>
            <w:tcW w:w="581"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0,5270</w:t>
            </w:r>
          </w:p>
        </w:tc>
        <w:tc>
          <w:tcPr>
            <w:tcW w:w="656"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14,5755</w:t>
            </w:r>
          </w:p>
        </w:tc>
        <w:tc>
          <w:tcPr>
            <w:tcW w:w="592"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0,1449</w:t>
            </w:r>
          </w:p>
        </w:tc>
      </w:tr>
      <w:tr w:rsidR="00BC3762" w:rsidRPr="00BC3762" w:rsidTr="00850F71">
        <w:trPr>
          <w:trHeight w:val="20"/>
          <w:jc w:val="center"/>
        </w:trPr>
        <w:tc>
          <w:tcPr>
            <w:tcW w:w="731" w:type="pct"/>
            <w:vMerge/>
            <w:vAlign w:val="center"/>
          </w:tcPr>
          <w:p w:rsidR="00BC3762" w:rsidRPr="00BC3762" w:rsidRDefault="00BC3762" w:rsidP="00850F71">
            <w:pPr>
              <w:ind w:firstLine="0"/>
              <w:contextualSpacing/>
              <w:jc w:val="center"/>
              <w:rPr>
                <w:rFonts w:cs="Times New Roman"/>
                <w:sz w:val="20"/>
                <w:szCs w:val="20"/>
              </w:rPr>
            </w:pPr>
          </w:p>
        </w:tc>
        <w:tc>
          <w:tcPr>
            <w:tcW w:w="648"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S / Div.</w:t>
            </w:r>
          </w:p>
        </w:tc>
        <w:tc>
          <w:tcPr>
            <w:tcW w:w="505"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114</w:t>
            </w:r>
          </w:p>
        </w:tc>
        <w:tc>
          <w:tcPr>
            <w:tcW w:w="631" w:type="pct"/>
            <w:vAlign w:val="center"/>
          </w:tcPr>
          <w:p w:rsidR="00BC3762" w:rsidRPr="00964858" w:rsidRDefault="00BC3762" w:rsidP="00850F71">
            <w:pPr>
              <w:ind w:firstLine="0"/>
              <w:contextualSpacing/>
              <w:jc w:val="center"/>
              <w:rPr>
                <w:rFonts w:cs="Times New Roman"/>
                <w:sz w:val="20"/>
                <w:szCs w:val="20"/>
              </w:rPr>
            </w:pPr>
            <w:r w:rsidRPr="00964858">
              <w:rPr>
                <w:rFonts w:cs="Times New Roman"/>
                <w:sz w:val="20"/>
                <w:szCs w:val="20"/>
              </w:rPr>
              <w:t>-0,0050</w:t>
            </w:r>
          </w:p>
        </w:tc>
        <w:tc>
          <w:tcPr>
            <w:tcW w:w="656"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47,4620</w:t>
            </w:r>
          </w:p>
        </w:tc>
        <w:tc>
          <w:tcPr>
            <w:tcW w:w="581" w:type="pct"/>
            <w:vAlign w:val="center"/>
          </w:tcPr>
          <w:p w:rsidR="00BC3762" w:rsidRPr="001956AE" w:rsidRDefault="00BC3762" w:rsidP="00850F71">
            <w:pPr>
              <w:ind w:firstLine="0"/>
              <w:contextualSpacing/>
              <w:jc w:val="center"/>
              <w:rPr>
                <w:rFonts w:cs="Times New Roman"/>
                <w:sz w:val="20"/>
                <w:szCs w:val="20"/>
              </w:rPr>
            </w:pPr>
            <w:r w:rsidRPr="001956AE">
              <w:rPr>
                <w:rFonts w:cs="Times New Roman"/>
                <w:sz w:val="20"/>
                <w:szCs w:val="20"/>
              </w:rPr>
              <w:t>0,5934</w:t>
            </w:r>
          </w:p>
        </w:tc>
        <w:tc>
          <w:tcPr>
            <w:tcW w:w="656"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13,3654</w:t>
            </w:r>
          </w:p>
        </w:tc>
        <w:tc>
          <w:tcPr>
            <w:tcW w:w="592" w:type="pct"/>
            <w:vAlign w:val="center"/>
          </w:tcPr>
          <w:p w:rsidR="00BC3762" w:rsidRPr="00BC3762" w:rsidRDefault="00BC3762" w:rsidP="00850F71">
            <w:pPr>
              <w:ind w:firstLine="0"/>
              <w:contextualSpacing/>
              <w:jc w:val="center"/>
              <w:rPr>
                <w:rFonts w:cs="Times New Roman"/>
                <w:sz w:val="20"/>
                <w:szCs w:val="20"/>
              </w:rPr>
            </w:pPr>
            <w:r w:rsidRPr="00BC3762">
              <w:rPr>
                <w:rFonts w:cs="Times New Roman"/>
                <w:sz w:val="20"/>
                <w:szCs w:val="20"/>
              </w:rPr>
              <w:t>-0,1892</w:t>
            </w:r>
          </w:p>
        </w:tc>
      </w:tr>
      <w:tr w:rsidR="00BF3593" w:rsidRPr="00BC3762" w:rsidTr="00850F71">
        <w:trPr>
          <w:trHeight w:val="20"/>
          <w:jc w:val="center"/>
        </w:trPr>
        <w:tc>
          <w:tcPr>
            <w:tcW w:w="731" w:type="pct"/>
            <w:vMerge w:val="restart"/>
            <w:vAlign w:val="center"/>
          </w:tcPr>
          <w:p w:rsidR="00BF3593" w:rsidRPr="00BC3762" w:rsidRDefault="00BF3593" w:rsidP="00850F71">
            <w:pPr>
              <w:ind w:firstLine="0"/>
              <w:contextualSpacing/>
              <w:jc w:val="center"/>
              <w:rPr>
                <w:rFonts w:cs="Times New Roman"/>
                <w:sz w:val="20"/>
                <w:szCs w:val="20"/>
              </w:rPr>
            </w:pPr>
            <w:r>
              <w:rPr>
                <w:rFonts w:cs="Times New Roman"/>
                <w:sz w:val="20"/>
                <w:szCs w:val="20"/>
              </w:rPr>
              <w:t>P. Acum.</w:t>
            </w:r>
          </w:p>
        </w:tc>
        <w:tc>
          <w:tcPr>
            <w:tcW w:w="648" w:type="pct"/>
            <w:vAlign w:val="center"/>
          </w:tcPr>
          <w:p w:rsidR="00BF3593" w:rsidRPr="00BC3762" w:rsidRDefault="00BF3593" w:rsidP="00850F71">
            <w:pPr>
              <w:ind w:firstLine="0"/>
              <w:contextualSpacing/>
              <w:jc w:val="center"/>
              <w:rPr>
                <w:rFonts w:cs="Times New Roman"/>
                <w:sz w:val="20"/>
                <w:szCs w:val="20"/>
              </w:rPr>
            </w:pPr>
            <w:r w:rsidRPr="00BC3762">
              <w:rPr>
                <w:rFonts w:cs="Times New Roman"/>
                <w:sz w:val="20"/>
                <w:szCs w:val="20"/>
              </w:rPr>
              <w:t>C / Div.</w:t>
            </w:r>
          </w:p>
        </w:tc>
        <w:tc>
          <w:tcPr>
            <w:tcW w:w="505" w:type="pct"/>
            <w:vAlign w:val="center"/>
          </w:tcPr>
          <w:p w:rsidR="00BF3593" w:rsidRPr="00BC3762" w:rsidRDefault="00BF3593" w:rsidP="00850F71">
            <w:pPr>
              <w:ind w:firstLine="0"/>
              <w:contextualSpacing/>
              <w:jc w:val="center"/>
              <w:rPr>
                <w:rFonts w:cs="Times New Roman"/>
                <w:sz w:val="20"/>
                <w:szCs w:val="20"/>
              </w:rPr>
            </w:pPr>
            <w:r>
              <w:rPr>
                <w:rFonts w:cs="Times New Roman"/>
                <w:sz w:val="20"/>
                <w:szCs w:val="20"/>
              </w:rPr>
              <w:t>1.132</w:t>
            </w:r>
          </w:p>
        </w:tc>
        <w:tc>
          <w:tcPr>
            <w:tcW w:w="631" w:type="pct"/>
            <w:vAlign w:val="center"/>
          </w:tcPr>
          <w:p w:rsidR="00BF3593" w:rsidRPr="00964858" w:rsidRDefault="00BF3593" w:rsidP="00850F71">
            <w:pPr>
              <w:ind w:firstLine="0"/>
              <w:contextualSpacing/>
              <w:jc w:val="center"/>
              <w:rPr>
                <w:rFonts w:cs="Times New Roman"/>
                <w:sz w:val="20"/>
                <w:szCs w:val="20"/>
              </w:rPr>
            </w:pPr>
            <w:r w:rsidRPr="00964858">
              <w:rPr>
                <w:rFonts w:cs="Times New Roman"/>
                <w:sz w:val="20"/>
                <w:szCs w:val="20"/>
              </w:rPr>
              <w:t>0,1007</w:t>
            </w:r>
          </w:p>
        </w:tc>
        <w:tc>
          <w:tcPr>
            <w:tcW w:w="656" w:type="pct"/>
            <w:vAlign w:val="center"/>
          </w:tcPr>
          <w:p w:rsidR="00BF3593" w:rsidRPr="001956AE" w:rsidRDefault="00BF3593" w:rsidP="00850F71">
            <w:pPr>
              <w:ind w:firstLine="0"/>
              <w:contextualSpacing/>
              <w:jc w:val="center"/>
              <w:rPr>
                <w:rFonts w:cs="Times New Roman"/>
                <w:sz w:val="20"/>
                <w:szCs w:val="20"/>
              </w:rPr>
            </w:pPr>
            <w:r w:rsidRPr="001956AE">
              <w:rPr>
                <w:rFonts w:cs="Times New Roman"/>
                <w:sz w:val="20"/>
                <w:szCs w:val="20"/>
              </w:rPr>
              <w:t>9,0096</w:t>
            </w:r>
          </w:p>
        </w:tc>
        <w:tc>
          <w:tcPr>
            <w:tcW w:w="581" w:type="pct"/>
            <w:vAlign w:val="center"/>
          </w:tcPr>
          <w:p w:rsidR="00BF3593" w:rsidRPr="001956AE" w:rsidRDefault="00BF3593" w:rsidP="00850F71">
            <w:pPr>
              <w:ind w:firstLine="0"/>
              <w:contextualSpacing/>
              <w:jc w:val="center"/>
              <w:rPr>
                <w:rFonts w:cs="Times New Roman"/>
                <w:sz w:val="20"/>
                <w:szCs w:val="20"/>
              </w:rPr>
            </w:pPr>
            <w:r w:rsidRPr="001956AE">
              <w:rPr>
                <w:rFonts w:cs="Times New Roman"/>
                <w:sz w:val="20"/>
                <w:szCs w:val="20"/>
              </w:rPr>
              <w:t>0,5277</w:t>
            </w:r>
          </w:p>
        </w:tc>
        <w:tc>
          <w:tcPr>
            <w:tcW w:w="656" w:type="pct"/>
            <w:vAlign w:val="center"/>
          </w:tcPr>
          <w:p w:rsidR="00BF3593" w:rsidRPr="00BC3762" w:rsidRDefault="00BF3593" w:rsidP="00850F71">
            <w:pPr>
              <w:ind w:firstLine="0"/>
              <w:contextualSpacing/>
              <w:jc w:val="center"/>
              <w:rPr>
                <w:rFonts w:cs="Times New Roman"/>
                <w:sz w:val="20"/>
                <w:szCs w:val="20"/>
              </w:rPr>
            </w:pPr>
            <w:r>
              <w:rPr>
                <w:rFonts w:cs="Times New Roman"/>
                <w:sz w:val="20"/>
                <w:szCs w:val="20"/>
              </w:rPr>
              <w:t>14,4717</w:t>
            </w:r>
          </w:p>
        </w:tc>
        <w:tc>
          <w:tcPr>
            <w:tcW w:w="592" w:type="pct"/>
            <w:vAlign w:val="center"/>
          </w:tcPr>
          <w:p w:rsidR="00BF3593" w:rsidRPr="00BC3762" w:rsidRDefault="00BF3593" w:rsidP="00850F71">
            <w:pPr>
              <w:ind w:firstLine="0"/>
              <w:contextualSpacing/>
              <w:jc w:val="center"/>
              <w:rPr>
                <w:rFonts w:cs="Times New Roman"/>
                <w:sz w:val="20"/>
                <w:szCs w:val="20"/>
              </w:rPr>
            </w:pPr>
            <w:r>
              <w:rPr>
                <w:rFonts w:cs="Times New Roman"/>
                <w:sz w:val="20"/>
                <w:szCs w:val="20"/>
              </w:rPr>
              <w:t>0,1575</w:t>
            </w:r>
          </w:p>
        </w:tc>
      </w:tr>
      <w:tr w:rsidR="00BF3593" w:rsidRPr="00BC3762" w:rsidTr="00850F71">
        <w:trPr>
          <w:trHeight w:val="20"/>
          <w:jc w:val="center"/>
        </w:trPr>
        <w:tc>
          <w:tcPr>
            <w:tcW w:w="731" w:type="pct"/>
            <w:vMerge/>
            <w:vAlign w:val="center"/>
          </w:tcPr>
          <w:p w:rsidR="00BF3593" w:rsidRPr="00BC3762" w:rsidRDefault="00BF3593" w:rsidP="00850F71">
            <w:pPr>
              <w:ind w:firstLine="0"/>
              <w:contextualSpacing/>
              <w:jc w:val="center"/>
              <w:rPr>
                <w:rFonts w:cs="Times New Roman"/>
                <w:sz w:val="20"/>
                <w:szCs w:val="20"/>
              </w:rPr>
            </w:pPr>
          </w:p>
        </w:tc>
        <w:tc>
          <w:tcPr>
            <w:tcW w:w="648" w:type="pct"/>
            <w:vAlign w:val="center"/>
          </w:tcPr>
          <w:p w:rsidR="00BF3593" w:rsidRPr="00BC3762" w:rsidRDefault="00BF3593" w:rsidP="00850F71">
            <w:pPr>
              <w:ind w:firstLine="0"/>
              <w:contextualSpacing/>
              <w:jc w:val="center"/>
              <w:rPr>
                <w:rFonts w:cs="Times New Roman"/>
                <w:sz w:val="20"/>
                <w:szCs w:val="20"/>
              </w:rPr>
            </w:pPr>
            <w:r w:rsidRPr="00BC3762">
              <w:rPr>
                <w:rFonts w:cs="Times New Roman"/>
                <w:sz w:val="20"/>
                <w:szCs w:val="20"/>
              </w:rPr>
              <w:t>S / Div.</w:t>
            </w:r>
          </w:p>
        </w:tc>
        <w:tc>
          <w:tcPr>
            <w:tcW w:w="505" w:type="pct"/>
            <w:vAlign w:val="center"/>
          </w:tcPr>
          <w:p w:rsidR="00BF3593" w:rsidRPr="00BC3762" w:rsidRDefault="00BF3593" w:rsidP="00850F71">
            <w:pPr>
              <w:ind w:firstLine="0"/>
              <w:contextualSpacing/>
              <w:jc w:val="center"/>
              <w:rPr>
                <w:rFonts w:cs="Times New Roman"/>
                <w:sz w:val="20"/>
                <w:szCs w:val="20"/>
              </w:rPr>
            </w:pPr>
            <w:r>
              <w:rPr>
                <w:rFonts w:cs="Times New Roman"/>
                <w:sz w:val="20"/>
                <w:szCs w:val="20"/>
              </w:rPr>
              <w:t>614</w:t>
            </w:r>
          </w:p>
        </w:tc>
        <w:tc>
          <w:tcPr>
            <w:tcW w:w="631" w:type="pct"/>
            <w:vAlign w:val="center"/>
          </w:tcPr>
          <w:p w:rsidR="00BF3593" w:rsidRPr="00964858" w:rsidRDefault="00BF3593" w:rsidP="00850F71">
            <w:pPr>
              <w:ind w:firstLine="0"/>
              <w:contextualSpacing/>
              <w:jc w:val="center"/>
              <w:rPr>
                <w:rFonts w:cs="Times New Roman"/>
                <w:sz w:val="20"/>
                <w:szCs w:val="20"/>
              </w:rPr>
            </w:pPr>
            <w:r w:rsidRPr="00964858">
              <w:rPr>
                <w:rFonts w:cs="Times New Roman"/>
                <w:sz w:val="20"/>
                <w:szCs w:val="20"/>
              </w:rPr>
              <w:t>-0682</w:t>
            </w:r>
          </w:p>
        </w:tc>
        <w:tc>
          <w:tcPr>
            <w:tcW w:w="656" w:type="pct"/>
            <w:vAlign w:val="center"/>
          </w:tcPr>
          <w:p w:rsidR="00BF3593" w:rsidRPr="001956AE" w:rsidRDefault="00BF3593" w:rsidP="00850F71">
            <w:pPr>
              <w:ind w:firstLine="0"/>
              <w:contextualSpacing/>
              <w:jc w:val="center"/>
              <w:rPr>
                <w:rFonts w:cs="Times New Roman"/>
                <w:sz w:val="20"/>
                <w:szCs w:val="20"/>
              </w:rPr>
            </w:pPr>
            <w:r w:rsidRPr="001956AE">
              <w:rPr>
                <w:rFonts w:cs="Times New Roman"/>
                <w:sz w:val="20"/>
                <w:szCs w:val="20"/>
              </w:rPr>
              <w:t>40,4325</w:t>
            </w:r>
          </w:p>
        </w:tc>
        <w:tc>
          <w:tcPr>
            <w:tcW w:w="581" w:type="pct"/>
            <w:vAlign w:val="center"/>
          </w:tcPr>
          <w:p w:rsidR="00BF3593" w:rsidRPr="001956AE" w:rsidRDefault="00BF3593" w:rsidP="00850F71">
            <w:pPr>
              <w:ind w:firstLine="0"/>
              <w:contextualSpacing/>
              <w:jc w:val="center"/>
              <w:rPr>
                <w:rFonts w:cs="Times New Roman"/>
                <w:sz w:val="20"/>
                <w:szCs w:val="20"/>
              </w:rPr>
            </w:pPr>
            <w:r w:rsidRPr="001956AE">
              <w:rPr>
                <w:rFonts w:cs="Times New Roman"/>
                <w:sz w:val="20"/>
                <w:szCs w:val="20"/>
              </w:rPr>
              <w:t>0,5468</w:t>
            </w:r>
          </w:p>
        </w:tc>
        <w:tc>
          <w:tcPr>
            <w:tcW w:w="656" w:type="pct"/>
            <w:vAlign w:val="center"/>
          </w:tcPr>
          <w:p w:rsidR="00BF3593" w:rsidRPr="00BC3762" w:rsidRDefault="00BF3593" w:rsidP="00850F71">
            <w:pPr>
              <w:ind w:firstLine="0"/>
              <w:contextualSpacing/>
              <w:jc w:val="center"/>
              <w:rPr>
                <w:rFonts w:cs="Times New Roman"/>
                <w:sz w:val="20"/>
                <w:szCs w:val="20"/>
              </w:rPr>
            </w:pPr>
            <w:r>
              <w:rPr>
                <w:rFonts w:cs="Times New Roman"/>
                <w:sz w:val="20"/>
                <w:szCs w:val="20"/>
              </w:rPr>
              <w:t>13,2490</w:t>
            </w:r>
          </w:p>
        </w:tc>
        <w:tc>
          <w:tcPr>
            <w:tcW w:w="592" w:type="pct"/>
            <w:vAlign w:val="center"/>
          </w:tcPr>
          <w:p w:rsidR="00BF3593" w:rsidRPr="00BC3762" w:rsidRDefault="00BF3593" w:rsidP="00850F71">
            <w:pPr>
              <w:ind w:firstLine="0"/>
              <w:contextualSpacing/>
              <w:jc w:val="center"/>
              <w:rPr>
                <w:rFonts w:cs="Times New Roman"/>
                <w:sz w:val="20"/>
                <w:szCs w:val="20"/>
              </w:rPr>
            </w:pPr>
            <w:r>
              <w:rPr>
                <w:rFonts w:cs="Times New Roman"/>
                <w:sz w:val="20"/>
                <w:szCs w:val="20"/>
              </w:rPr>
              <w:t>-0</w:t>
            </w:r>
            <w:r w:rsidR="00A05C40">
              <w:rPr>
                <w:rFonts w:cs="Times New Roman"/>
                <w:sz w:val="20"/>
                <w:szCs w:val="20"/>
              </w:rPr>
              <w:t>,</w:t>
            </w:r>
            <w:r>
              <w:rPr>
                <w:rFonts w:cs="Times New Roman"/>
                <w:sz w:val="20"/>
                <w:szCs w:val="20"/>
              </w:rPr>
              <w:t>2385</w:t>
            </w:r>
          </w:p>
        </w:tc>
      </w:tr>
    </w:tbl>
    <w:p w:rsidR="00BC3762" w:rsidRPr="00BB2C74" w:rsidRDefault="00BC3762" w:rsidP="00850F71">
      <w:pPr>
        <w:ind w:firstLine="0"/>
        <w:contextualSpacing/>
        <w:rPr>
          <w:sz w:val="20"/>
          <w:szCs w:val="20"/>
        </w:rPr>
      </w:pPr>
      <w:r>
        <w:rPr>
          <w:b/>
          <w:sz w:val="20"/>
          <w:szCs w:val="20"/>
        </w:rPr>
        <w:t xml:space="preserve">Legenda: </w:t>
      </w:r>
      <w:r w:rsidRPr="00BB2C74">
        <w:rPr>
          <w:sz w:val="20"/>
          <w:szCs w:val="20"/>
        </w:rPr>
        <w:t>N. = Número de observações (Empresas)</w:t>
      </w:r>
      <w:r>
        <w:rPr>
          <w:sz w:val="20"/>
          <w:szCs w:val="20"/>
        </w:rPr>
        <w:t>, C / Div. = Empresas que pagaram dividendos, S / Div. = Empresas que não pagaram dividendos, P. Acum</w:t>
      </w:r>
      <w:r w:rsidR="00DE77B2">
        <w:rPr>
          <w:sz w:val="20"/>
          <w:szCs w:val="20"/>
        </w:rPr>
        <w:t>. = Período acumulado de 2010 a 2016</w:t>
      </w:r>
      <w:r w:rsidR="00A05C40">
        <w:rPr>
          <w:sz w:val="20"/>
          <w:szCs w:val="20"/>
        </w:rPr>
        <w:t>.</w:t>
      </w:r>
    </w:p>
    <w:p w:rsidR="00BC3762" w:rsidRDefault="00BC3762" w:rsidP="00850F71">
      <w:pPr>
        <w:spacing w:line="276" w:lineRule="auto"/>
        <w:ind w:firstLine="0"/>
        <w:jc w:val="left"/>
        <w:rPr>
          <w:sz w:val="20"/>
          <w:szCs w:val="20"/>
        </w:rPr>
      </w:pPr>
      <w:r w:rsidRPr="005035B7">
        <w:rPr>
          <w:b/>
          <w:sz w:val="20"/>
          <w:szCs w:val="20"/>
        </w:rPr>
        <w:t>Fonte:</w:t>
      </w:r>
      <w:r>
        <w:rPr>
          <w:sz w:val="20"/>
          <w:szCs w:val="20"/>
        </w:rPr>
        <w:t xml:space="preserve"> d</w:t>
      </w:r>
      <w:r w:rsidRPr="005035B7">
        <w:rPr>
          <w:sz w:val="20"/>
          <w:szCs w:val="20"/>
        </w:rPr>
        <w:t>ados da pesquisa.</w:t>
      </w:r>
    </w:p>
    <w:p w:rsidR="00706EAB" w:rsidRPr="00D14181" w:rsidRDefault="00706EAB" w:rsidP="00850F71">
      <w:pPr>
        <w:spacing w:line="276" w:lineRule="auto"/>
        <w:ind w:firstLine="0"/>
        <w:jc w:val="left"/>
        <w:rPr>
          <w:szCs w:val="24"/>
        </w:rPr>
      </w:pPr>
    </w:p>
    <w:p w:rsidR="00391E7E" w:rsidRDefault="00964858" w:rsidP="00850F71">
      <w:pPr>
        <w:rPr>
          <w:szCs w:val="24"/>
        </w:rPr>
      </w:pPr>
      <w:r>
        <w:rPr>
          <w:rFonts w:cs="Times New Roman"/>
          <w:szCs w:val="24"/>
        </w:rPr>
        <w:t xml:space="preserve">A rentabilidade, mensurado pela Receita Operacional (EBIT - </w:t>
      </w:r>
      <w:r w:rsidRPr="00F54652">
        <w:rPr>
          <w:rFonts w:cs="Times New Roman"/>
          <w:i/>
          <w:szCs w:val="24"/>
        </w:rPr>
        <w:t xml:space="preserve">Earnings Before Interest </w:t>
      </w:r>
      <w:proofErr w:type="gramStart"/>
      <w:r w:rsidRPr="00F54652">
        <w:rPr>
          <w:rFonts w:cs="Times New Roman"/>
          <w:i/>
          <w:szCs w:val="24"/>
        </w:rPr>
        <w:t>and Taxes</w:t>
      </w:r>
      <w:proofErr w:type="gramEnd"/>
      <w:r>
        <w:rPr>
          <w:rFonts w:cs="Times New Roman"/>
          <w:szCs w:val="24"/>
        </w:rPr>
        <w:t xml:space="preserve">) </w:t>
      </w:r>
      <w:r w:rsidRPr="00F54652">
        <w:rPr>
          <w:rFonts w:cs="Times New Roman"/>
          <w:szCs w:val="24"/>
        </w:rPr>
        <w:t>representa fluxo de caixa livres disponíveis, o que pode levar a um maior pagamento de dividendos</w:t>
      </w:r>
      <w:r>
        <w:rPr>
          <w:rFonts w:cs="Times New Roman"/>
          <w:szCs w:val="24"/>
        </w:rPr>
        <w:t xml:space="preserve"> (Fernandes &amp; Ribeiro, 2013; Almeida </w:t>
      </w:r>
      <w:r w:rsidRPr="00D615BB">
        <w:rPr>
          <w:rFonts w:cs="Times New Roman"/>
          <w:i/>
          <w:szCs w:val="24"/>
        </w:rPr>
        <w:t>et al</w:t>
      </w:r>
      <w:r>
        <w:rPr>
          <w:rFonts w:cs="Times New Roman"/>
          <w:szCs w:val="24"/>
        </w:rPr>
        <w:t>., 2015;</w:t>
      </w:r>
      <w:r w:rsidRPr="00D77208">
        <w:rPr>
          <w:rFonts w:cs="Times New Roman"/>
          <w:szCs w:val="24"/>
          <w:shd w:val="clear" w:color="auto" w:fill="FFFFFF"/>
          <w:lang w:val="en-US"/>
        </w:rPr>
        <w:t xml:space="preserve"> </w:t>
      </w:r>
      <w:r w:rsidRPr="00100E66">
        <w:rPr>
          <w:rFonts w:cs="Times New Roman"/>
          <w:szCs w:val="24"/>
          <w:shd w:val="clear" w:color="auto" w:fill="FFFFFF"/>
          <w:lang w:val="en-US"/>
        </w:rPr>
        <w:t>Montalvan</w:t>
      </w:r>
      <w:r>
        <w:rPr>
          <w:rFonts w:cs="Times New Roman"/>
          <w:szCs w:val="24"/>
          <w:shd w:val="clear" w:color="auto" w:fill="FFFFFF"/>
          <w:lang w:val="en-US"/>
        </w:rPr>
        <w:t xml:space="preserve"> </w:t>
      </w:r>
      <w:r w:rsidRPr="00D615BB">
        <w:rPr>
          <w:rFonts w:cs="Times New Roman"/>
          <w:i/>
          <w:szCs w:val="24"/>
          <w:shd w:val="clear" w:color="auto" w:fill="FFFFFF"/>
          <w:lang w:val="en-US"/>
        </w:rPr>
        <w:t>et al</w:t>
      </w:r>
      <w:r w:rsidRPr="00D24D70">
        <w:rPr>
          <w:rFonts w:cs="Times New Roman"/>
          <w:i/>
          <w:szCs w:val="24"/>
          <w:shd w:val="clear" w:color="auto" w:fill="FFFFFF"/>
          <w:lang w:val="en-US"/>
        </w:rPr>
        <w:t>.</w:t>
      </w:r>
      <w:r>
        <w:rPr>
          <w:rFonts w:cs="Times New Roman"/>
          <w:szCs w:val="24"/>
          <w:shd w:val="clear" w:color="auto" w:fill="FFFFFF"/>
          <w:lang w:val="en-US"/>
        </w:rPr>
        <w:t xml:space="preserve"> 2017</w:t>
      </w:r>
      <w:r>
        <w:rPr>
          <w:rFonts w:cs="Times New Roman"/>
          <w:szCs w:val="24"/>
        </w:rPr>
        <w:t>). Nesse contexto, c</w:t>
      </w:r>
      <w:r w:rsidR="00AC29ED">
        <w:rPr>
          <w:szCs w:val="24"/>
        </w:rPr>
        <w:t>onforme se pode observar na Tabela 4, apenas no ano de 2010 a variável rentabilidade (RENT) foi maior em empresas que não pagaram dividendos em relação às que pagaram. A partir de 2011 estes resultados se investem. Destaca-se ainda que a partir de 2013, a rentabilidade das empresas que não pagaram dividendos foi negativa.</w:t>
      </w:r>
    </w:p>
    <w:p w:rsidR="00471DB8" w:rsidRDefault="00471DB8" w:rsidP="00850F71">
      <w:pPr>
        <w:contextualSpacing/>
        <w:rPr>
          <w:szCs w:val="24"/>
        </w:rPr>
      </w:pPr>
      <w:r>
        <w:rPr>
          <w:szCs w:val="24"/>
        </w:rPr>
        <w:t xml:space="preserve">Tais resultados são similares ao encontrado por estudos como o de Holanda e Coelho (2012) e de Forti </w:t>
      </w:r>
      <w:r w:rsidRPr="00471DB8">
        <w:rPr>
          <w:i/>
          <w:szCs w:val="24"/>
        </w:rPr>
        <w:t>et al</w:t>
      </w:r>
      <w:r>
        <w:rPr>
          <w:szCs w:val="24"/>
        </w:rPr>
        <w:t xml:space="preserve">. (2015) no contexto brasileiro e Almeida </w:t>
      </w:r>
      <w:r w:rsidRPr="00471DB8">
        <w:rPr>
          <w:i/>
          <w:szCs w:val="24"/>
        </w:rPr>
        <w:t>et al</w:t>
      </w:r>
      <w:r>
        <w:rPr>
          <w:szCs w:val="24"/>
        </w:rPr>
        <w:t xml:space="preserve">. (2015) no contexto português de que empresas que não pagam dividendos são menos rentáveis. Almeida </w:t>
      </w:r>
      <w:r w:rsidRPr="00471DB8">
        <w:rPr>
          <w:i/>
          <w:szCs w:val="24"/>
        </w:rPr>
        <w:t>et al</w:t>
      </w:r>
      <w:r>
        <w:rPr>
          <w:szCs w:val="24"/>
        </w:rPr>
        <w:t xml:space="preserve">. (2015) explicam que a </w:t>
      </w:r>
      <w:r w:rsidRPr="00AC29ED">
        <w:rPr>
          <w:szCs w:val="24"/>
        </w:rPr>
        <w:t xml:space="preserve">rentabilidade </w:t>
      </w:r>
      <w:r w:rsidR="00E34430" w:rsidRPr="00AC29ED">
        <w:rPr>
          <w:szCs w:val="24"/>
        </w:rPr>
        <w:t>permite</w:t>
      </w:r>
      <w:r w:rsidRPr="00AC29ED">
        <w:rPr>
          <w:szCs w:val="24"/>
        </w:rPr>
        <w:t xml:space="preserve"> ir ao encontro</w:t>
      </w:r>
      <w:r>
        <w:rPr>
          <w:szCs w:val="24"/>
        </w:rPr>
        <w:t xml:space="preserve"> </w:t>
      </w:r>
      <w:r w:rsidRPr="00AC29ED">
        <w:rPr>
          <w:szCs w:val="24"/>
        </w:rPr>
        <w:t>da opinião de que as empresas que evidenciam um maior</w:t>
      </w:r>
      <w:r>
        <w:rPr>
          <w:szCs w:val="24"/>
        </w:rPr>
        <w:t xml:space="preserve"> </w:t>
      </w:r>
      <w:r w:rsidRPr="00AC29ED">
        <w:rPr>
          <w:szCs w:val="24"/>
        </w:rPr>
        <w:t>nível de rentabilidade apresentam maior tendência</w:t>
      </w:r>
      <w:r>
        <w:rPr>
          <w:szCs w:val="24"/>
        </w:rPr>
        <w:t xml:space="preserve"> </w:t>
      </w:r>
      <w:r w:rsidRPr="00AC29ED">
        <w:rPr>
          <w:szCs w:val="24"/>
        </w:rPr>
        <w:t>para pagar dividendos, mostrando estar</w:t>
      </w:r>
      <w:r>
        <w:rPr>
          <w:szCs w:val="24"/>
        </w:rPr>
        <w:t xml:space="preserve"> </w:t>
      </w:r>
      <w:r w:rsidRPr="00AC29ED">
        <w:rPr>
          <w:szCs w:val="24"/>
        </w:rPr>
        <w:t>em consonância com a teoria da relevância</w:t>
      </w:r>
      <w:r>
        <w:rPr>
          <w:szCs w:val="24"/>
        </w:rPr>
        <w:t xml:space="preserve"> </w:t>
      </w:r>
      <w:r w:rsidRPr="00AC29ED">
        <w:rPr>
          <w:szCs w:val="24"/>
        </w:rPr>
        <w:t>dos dividendos</w:t>
      </w:r>
      <w:r>
        <w:rPr>
          <w:szCs w:val="24"/>
        </w:rPr>
        <w:t>.</w:t>
      </w:r>
    </w:p>
    <w:p w:rsidR="001956AE" w:rsidRDefault="00964858" w:rsidP="00850F71">
      <w:pPr>
        <w:contextualSpacing/>
        <w:rPr>
          <w:szCs w:val="24"/>
        </w:rPr>
      </w:pPr>
      <w:r>
        <w:rPr>
          <w:szCs w:val="24"/>
        </w:rPr>
        <w:t xml:space="preserve">Diferentemente do que foi apresentado como resultado da rentabilidade, o índice de liquidez </w:t>
      </w:r>
      <w:r w:rsidR="003A6464">
        <w:rPr>
          <w:szCs w:val="24"/>
        </w:rPr>
        <w:t xml:space="preserve">(LIQ) </w:t>
      </w:r>
      <w:r>
        <w:rPr>
          <w:szCs w:val="24"/>
        </w:rPr>
        <w:t>das empresas que não pagaram dividendos foi maior em relação às empresas que pagaram dividendos em todo o período analisado.</w:t>
      </w:r>
      <w:r w:rsidR="001956AE">
        <w:rPr>
          <w:szCs w:val="24"/>
        </w:rPr>
        <w:t xml:space="preserve"> Esse resultado está em consonância com os achados de </w:t>
      </w:r>
      <w:r w:rsidR="001956AE" w:rsidRPr="00964858">
        <w:rPr>
          <w:szCs w:val="24"/>
        </w:rPr>
        <w:t xml:space="preserve">Gupta </w:t>
      </w:r>
      <w:r w:rsidR="001956AE">
        <w:rPr>
          <w:szCs w:val="24"/>
        </w:rPr>
        <w:t xml:space="preserve">e </w:t>
      </w:r>
      <w:r w:rsidR="001956AE" w:rsidRPr="00964858">
        <w:rPr>
          <w:szCs w:val="24"/>
        </w:rPr>
        <w:t>Banga</w:t>
      </w:r>
      <w:r w:rsidR="001956AE">
        <w:rPr>
          <w:szCs w:val="24"/>
        </w:rPr>
        <w:t xml:space="preserve"> (</w:t>
      </w:r>
      <w:r w:rsidR="001956AE" w:rsidRPr="00964858">
        <w:rPr>
          <w:szCs w:val="24"/>
        </w:rPr>
        <w:t>2010</w:t>
      </w:r>
      <w:r w:rsidR="001956AE">
        <w:rPr>
          <w:szCs w:val="24"/>
        </w:rPr>
        <w:t>), F</w:t>
      </w:r>
      <w:r w:rsidR="001956AE" w:rsidRPr="00964858">
        <w:rPr>
          <w:szCs w:val="24"/>
        </w:rPr>
        <w:t xml:space="preserve">orti </w:t>
      </w:r>
      <w:r w:rsidR="001956AE" w:rsidRPr="001956AE">
        <w:rPr>
          <w:i/>
          <w:szCs w:val="24"/>
        </w:rPr>
        <w:t>et al</w:t>
      </w:r>
      <w:r w:rsidR="001956AE" w:rsidRPr="00964858">
        <w:rPr>
          <w:szCs w:val="24"/>
        </w:rPr>
        <w:t>.</w:t>
      </w:r>
      <w:r w:rsidR="001956AE">
        <w:rPr>
          <w:szCs w:val="24"/>
        </w:rPr>
        <w:t xml:space="preserve"> (</w:t>
      </w:r>
      <w:r w:rsidR="001956AE" w:rsidRPr="00964858">
        <w:rPr>
          <w:szCs w:val="24"/>
        </w:rPr>
        <w:t>2015</w:t>
      </w:r>
      <w:r w:rsidR="001956AE">
        <w:rPr>
          <w:szCs w:val="24"/>
        </w:rPr>
        <w:t xml:space="preserve">) e </w:t>
      </w:r>
      <w:r w:rsidR="001956AE" w:rsidRPr="00964858">
        <w:rPr>
          <w:szCs w:val="24"/>
        </w:rPr>
        <w:t xml:space="preserve">Vancin </w:t>
      </w:r>
      <w:r w:rsidR="001956AE">
        <w:rPr>
          <w:szCs w:val="24"/>
        </w:rPr>
        <w:t xml:space="preserve">e </w:t>
      </w:r>
      <w:r w:rsidR="001956AE" w:rsidRPr="00964858">
        <w:rPr>
          <w:szCs w:val="24"/>
        </w:rPr>
        <w:t>Procianoy</w:t>
      </w:r>
      <w:r w:rsidR="001956AE">
        <w:rPr>
          <w:szCs w:val="24"/>
        </w:rPr>
        <w:t xml:space="preserve"> (</w:t>
      </w:r>
      <w:r w:rsidR="001956AE" w:rsidRPr="00964858">
        <w:rPr>
          <w:szCs w:val="24"/>
        </w:rPr>
        <w:t>2016)</w:t>
      </w:r>
      <w:r w:rsidR="001956AE">
        <w:rPr>
          <w:szCs w:val="24"/>
        </w:rPr>
        <w:t xml:space="preserve"> de que empresas que distribuem dividendos apresentam menores índices de liquidez.</w:t>
      </w:r>
    </w:p>
    <w:p w:rsidR="001956AE" w:rsidRDefault="001956AE" w:rsidP="00850F71">
      <w:pPr>
        <w:contextualSpacing/>
        <w:rPr>
          <w:szCs w:val="24"/>
        </w:rPr>
      </w:pPr>
      <w:r>
        <w:rPr>
          <w:szCs w:val="24"/>
        </w:rPr>
        <w:t xml:space="preserve">Almeida </w:t>
      </w:r>
      <w:r w:rsidRPr="001956AE">
        <w:rPr>
          <w:i/>
          <w:szCs w:val="24"/>
        </w:rPr>
        <w:t>et al</w:t>
      </w:r>
      <w:r>
        <w:rPr>
          <w:szCs w:val="24"/>
        </w:rPr>
        <w:t xml:space="preserve">. (2015) </w:t>
      </w:r>
      <w:r w:rsidR="0062527C">
        <w:rPr>
          <w:szCs w:val="24"/>
        </w:rPr>
        <w:t xml:space="preserve">explicam </w:t>
      </w:r>
      <w:r>
        <w:rPr>
          <w:szCs w:val="24"/>
        </w:rPr>
        <w:t>que a</w:t>
      </w:r>
      <w:r w:rsidR="00964858">
        <w:rPr>
          <w:szCs w:val="24"/>
        </w:rPr>
        <w:t xml:space="preserve"> </w:t>
      </w:r>
      <w:r w:rsidR="00964858" w:rsidRPr="00964858">
        <w:rPr>
          <w:szCs w:val="24"/>
        </w:rPr>
        <w:t>empresa, ao distribuir dividendos, provoca uma</w:t>
      </w:r>
      <w:r w:rsidR="00964858">
        <w:rPr>
          <w:szCs w:val="24"/>
        </w:rPr>
        <w:t xml:space="preserve"> </w:t>
      </w:r>
      <w:r w:rsidR="00964858" w:rsidRPr="00964858">
        <w:rPr>
          <w:szCs w:val="24"/>
        </w:rPr>
        <w:t>diminuição da liquidez dos seus ativos, o que</w:t>
      </w:r>
      <w:r w:rsidR="00964858">
        <w:rPr>
          <w:szCs w:val="24"/>
        </w:rPr>
        <w:t xml:space="preserve"> </w:t>
      </w:r>
      <w:r w:rsidR="00964858" w:rsidRPr="00964858">
        <w:rPr>
          <w:szCs w:val="24"/>
        </w:rPr>
        <w:t>se reflete numa diminuição dos excedentes de</w:t>
      </w:r>
      <w:r w:rsidR="00964858">
        <w:rPr>
          <w:szCs w:val="24"/>
        </w:rPr>
        <w:t xml:space="preserve"> </w:t>
      </w:r>
      <w:r>
        <w:rPr>
          <w:szCs w:val="24"/>
        </w:rPr>
        <w:t>fluxo de caixa</w:t>
      </w:r>
      <w:r w:rsidR="00964858" w:rsidRPr="00964858">
        <w:rPr>
          <w:szCs w:val="24"/>
        </w:rPr>
        <w:t>, influenciando diretamente a forma</w:t>
      </w:r>
      <w:r w:rsidR="00964858">
        <w:rPr>
          <w:szCs w:val="24"/>
        </w:rPr>
        <w:t xml:space="preserve"> </w:t>
      </w:r>
      <w:r w:rsidR="00964858" w:rsidRPr="00964858">
        <w:rPr>
          <w:szCs w:val="24"/>
        </w:rPr>
        <w:t>de remuneração dos investidores sob a forma de</w:t>
      </w:r>
      <w:r w:rsidR="00964858">
        <w:rPr>
          <w:szCs w:val="24"/>
        </w:rPr>
        <w:t xml:space="preserve"> </w:t>
      </w:r>
      <w:r w:rsidR="00964858" w:rsidRPr="00964858">
        <w:rPr>
          <w:szCs w:val="24"/>
        </w:rPr>
        <w:t>dividendos ou ganhos de capital.</w:t>
      </w:r>
    </w:p>
    <w:p w:rsidR="00351535" w:rsidRDefault="001956AE" w:rsidP="00850F71">
      <w:pPr>
        <w:contextualSpacing/>
        <w:rPr>
          <w:szCs w:val="24"/>
        </w:rPr>
      </w:pPr>
      <w:r>
        <w:rPr>
          <w:szCs w:val="24"/>
        </w:rPr>
        <w:t xml:space="preserve">Sob tal perspectiva, analisa-se também a diferença no nível de endividamento </w:t>
      </w:r>
      <w:r w:rsidR="003A6464">
        <w:rPr>
          <w:szCs w:val="24"/>
        </w:rPr>
        <w:t xml:space="preserve">(END) </w:t>
      </w:r>
      <w:r>
        <w:rPr>
          <w:szCs w:val="24"/>
        </w:rPr>
        <w:t>entre as empresas que distribuem dividendos e aquelas que não distribuem. Sem assim, observa-se na Tabela 4</w:t>
      </w:r>
      <w:r w:rsidR="0004206D">
        <w:rPr>
          <w:szCs w:val="24"/>
        </w:rPr>
        <w:t xml:space="preserve"> que somente nos anos de 2010 e 2012 o nível de endividamento das empresas que distribuíram dividendos é superior às empresas que não distribuíram dividendos, apesar de que tais diferenças não são expressivas. Tal resultado corrobora com </w:t>
      </w:r>
      <w:r w:rsidR="00351535">
        <w:rPr>
          <w:szCs w:val="24"/>
        </w:rPr>
        <w:t xml:space="preserve">os estudos de Vieira </w:t>
      </w:r>
      <w:r w:rsidR="00351535" w:rsidRPr="00351535">
        <w:rPr>
          <w:i/>
          <w:szCs w:val="24"/>
        </w:rPr>
        <w:t>et al</w:t>
      </w:r>
      <w:r w:rsidR="00351535">
        <w:rPr>
          <w:szCs w:val="24"/>
        </w:rPr>
        <w:t>. (2013) no contexto francês e Vancin e Procianoy (201</w:t>
      </w:r>
      <w:r w:rsidR="00DC100D">
        <w:rPr>
          <w:szCs w:val="24"/>
        </w:rPr>
        <w:t>6</w:t>
      </w:r>
      <w:r w:rsidR="00351535">
        <w:rPr>
          <w:szCs w:val="24"/>
        </w:rPr>
        <w:t>) no contexto brasileiro que apontam que empresas que possuem maior nível de endividamento menor será o nível de pagamento de dividendos.</w:t>
      </w:r>
    </w:p>
    <w:p w:rsidR="00351535" w:rsidRDefault="00351535" w:rsidP="00850F71">
      <w:pPr>
        <w:contextualSpacing/>
        <w:rPr>
          <w:rFonts w:cs="Times New Roman"/>
          <w:szCs w:val="24"/>
        </w:rPr>
      </w:pPr>
      <w:r>
        <w:rPr>
          <w:rFonts w:cs="Times New Roman"/>
          <w:szCs w:val="24"/>
        </w:rPr>
        <w:t xml:space="preserve">Em outro estudo, </w:t>
      </w:r>
      <w:r w:rsidRPr="009C7E80">
        <w:rPr>
          <w:rFonts w:cs="Times New Roman"/>
          <w:szCs w:val="24"/>
        </w:rPr>
        <w:t xml:space="preserve">Procianoy e Vancin (2014) destacam que, no </w:t>
      </w:r>
      <w:r>
        <w:rPr>
          <w:rFonts w:cs="Times New Roman"/>
          <w:szCs w:val="24"/>
        </w:rPr>
        <w:t xml:space="preserve">caso brasileiro, </w:t>
      </w:r>
      <w:r w:rsidRPr="009C7E80">
        <w:rPr>
          <w:rFonts w:cs="Times New Roman"/>
          <w:szCs w:val="24"/>
        </w:rPr>
        <w:t>empresas endividadas tendem a pagar somente o mínimo obrigatório (legal) já que utilizam seus fluxos de caixa livre para o pagamento de suas dívidas</w:t>
      </w:r>
      <w:r>
        <w:rPr>
          <w:rFonts w:cs="Times New Roman"/>
          <w:szCs w:val="24"/>
        </w:rPr>
        <w:t xml:space="preserve">. Montalvan </w:t>
      </w:r>
      <w:r w:rsidRPr="001D10D0">
        <w:rPr>
          <w:rFonts w:cs="Times New Roman"/>
          <w:i/>
          <w:szCs w:val="24"/>
        </w:rPr>
        <w:t>et al</w:t>
      </w:r>
      <w:r>
        <w:rPr>
          <w:rFonts w:cs="Times New Roman"/>
          <w:szCs w:val="24"/>
        </w:rPr>
        <w:t>. (2017) explicam que um alto nível de endividamento implica em um menor pagamento de dividendo devido ao fato de que o fluxo e caixa livre deve ser usado na liquidação das dívidas.</w:t>
      </w:r>
    </w:p>
    <w:p w:rsidR="00F5357F" w:rsidRDefault="00DC100D" w:rsidP="00850F71">
      <w:pPr>
        <w:contextualSpacing/>
        <w:rPr>
          <w:szCs w:val="24"/>
        </w:rPr>
      </w:pPr>
      <w:r>
        <w:rPr>
          <w:rFonts w:cs="Times New Roman"/>
          <w:szCs w:val="24"/>
        </w:rPr>
        <w:t>Em relação à variável tamanho</w:t>
      </w:r>
      <w:r w:rsidR="003A6464">
        <w:rPr>
          <w:rFonts w:cs="Times New Roman"/>
          <w:szCs w:val="24"/>
        </w:rPr>
        <w:t xml:space="preserve"> (TAM)</w:t>
      </w:r>
      <w:r>
        <w:rPr>
          <w:rFonts w:cs="Times New Roman"/>
          <w:szCs w:val="24"/>
        </w:rPr>
        <w:t xml:space="preserve">, observa-se que </w:t>
      </w:r>
      <w:r w:rsidR="003A6464">
        <w:rPr>
          <w:rFonts w:cs="Times New Roman"/>
          <w:szCs w:val="24"/>
        </w:rPr>
        <w:t>n</w:t>
      </w:r>
      <w:r>
        <w:rPr>
          <w:rFonts w:cs="Times New Roman"/>
          <w:szCs w:val="24"/>
        </w:rPr>
        <w:t xml:space="preserve">os períodos analisados as empresas que distribuem dividendos são maiores do que as empresas que não distribuem dividendos. </w:t>
      </w:r>
      <w:r w:rsidR="00A65E4F">
        <w:rPr>
          <w:rFonts w:cs="Times New Roman"/>
          <w:szCs w:val="24"/>
        </w:rPr>
        <w:t xml:space="preserve">Esses resultados estão em linha aos encontrados na literatura, conforme se pode observar nos estudos de Holanda e Coelho (2012), Fonteles </w:t>
      </w:r>
      <w:r w:rsidR="00A65E4F" w:rsidRPr="00A65E4F">
        <w:rPr>
          <w:rFonts w:cs="Times New Roman"/>
          <w:i/>
          <w:szCs w:val="24"/>
        </w:rPr>
        <w:t>et al</w:t>
      </w:r>
      <w:r w:rsidR="00A65E4F">
        <w:rPr>
          <w:rFonts w:cs="Times New Roman"/>
          <w:szCs w:val="24"/>
        </w:rPr>
        <w:t xml:space="preserve">. (2013) e Forti </w:t>
      </w:r>
      <w:r w:rsidR="00A65E4F" w:rsidRPr="00A65E4F">
        <w:rPr>
          <w:rFonts w:cs="Times New Roman"/>
          <w:i/>
          <w:szCs w:val="24"/>
        </w:rPr>
        <w:t>et al</w:t>
      </w:r>
      <w:r w:rsidR="00A65E4F">
        <w:rPr>
          <w:rFonts w:cs="Times New Roman"/>
          <w:szCs w:val="24"/>
        </w:rPr>
        <w:t>. (2015).</w:t>
      </w:r>
      <w:r w:rsidR="00F5357F">
        <w:rPr>
          <w:rFonts w:cs="Times New Roman"/>
          <w:szCs w:val="24"/>
        </w:rPr>
        <w:t xml:space="preserve"> </w:t>
      </w:r>
      <w:r w:rsidR="00A65E4F">
        <w:rPr>
          <w:szCs w:val="24"/>
        </w:rPr>
        <w:lastRenderedPageBreak/>
        <w:t>Conforme apontado por Vancin e Procianoy (2016), as empresas que distribuem dividendos são, geralmente, maiores em relação àquelas que não pagam dividendos.</w:t>
      </w:r>
    </w:p>
    <w:p w:rsidR="00DC100D" w:rsidRDefault="00A65E4F" w:rsidP="00850F71">
      <w:pPr>
        <w:contextualSpacing/>
        <w:rPr>
          <w:rFonts w:cs="Times New Roman"/>
          <w:szCs w:val="24"/>
        </w:rPr>
      </w:pPr>
      <w:r>
        <w:rPr>
          <w:rFonts w:cs="Times New Roman"/>
          <w:szCs w:val="24"/>
        </w:rPr>
        <w:t>Ta</w:t>
      </w:r>
      <w:r w:rsidR="00F5357F">
        <w:rPr>
          <w:rFonts w:cs="Times New Roman"/>
          <w:szCs w:val="24"/>
        </w:rPr>
        <w:t xml:space="preserve">is resultados </w:t>
      </w:r>
      <w:r>
        <w:rPr>
          <w:rFonts w:cs="Times New Roman"/>
          <w:szCs w:val="24"/>
        </w:rPr>
        <w:t>corrobora</w:t>
      </w:r>
      <w:r w:rsidR="00F5357F">
        <w:rPr>
          <w:rFonts w:cs="Times New Roman"/>
          <w:szCs w:val="24"/>
        </w:rPr>
        <w:t>m</w:t>
      </w:r>
      <w:r>
        <w:rPr>
          <w:rFonts w:cs="Times New Roman"/>
          <w:szCs w:val="24"/>
        </w:rPr>
        <w:t xml:space="preserve"> os apontamentos de </w:t>
      </w:r>
      <w:r w:rsidR="00DC100D" w:rsidRPr="00DC100D">
        <w:rPr>
          <w:rFonts w:cs="Times New Roman"/>
          <w:szCs w:val="24"/>
        </w:rPr>
        <w:t xml:space="preserve">Fama </w:t>
      </w:r>
      <w:r>
        <w:rPr>
          <w:rFonts w:cs="Times New Roman"/>
          <w:szCs w:val="24"/>
        </w:rPr>
        <w:t>e Fr</w:t>
      </w:r>
      <w:r w:rsidR="00DC100D" w:rsidRPr="00DC100D">
        <w:rPr>
          <w:rFonts w:cs="Times New Roman"/>
          <w:szCs w:val="24"/>
        </w:rPr>
        <w:t xml:space="preserve">ench (2001) </w:t>
      </w:r>
      <w:r>
        <w:rPr>
          <w:rFonts w:cs="Times New Roman"/>
          <w:szCs w:val="24"/>
        </w:rPr>
        <w:t xml:space="preserve">que também destacaram que organizações que pagam dividendos </w:t>
      </w:r>
      <w:r w:rsidR="00F5357F">
        <w:rPr>
          <w:rFonts w:cs="Times New Roman"/>
          <w:szCs w:val="24"/>
        </w:rPr>
        <w:t>têm</w:t>
      </w:r>
      <w:r>
        <w:rPr>
          <w:rFonts w:cs="Times New Roman"/>
          <w:szCs w:val="24"/>
        </w:rPr>
        <w:t xml:space="preserve"> a serem maiores em relação às não pagadoras e, </w:t>
      </w:r>
      <w:r w:rsidR="00F5357F">
        <w:rPr>
          <w:rFonts w:cs="Times New Roman"/>
          <w:szCs w:val="24"/>
        </w:rPr>
        <w:t>acrescenta-se</w:t>
      </w:r>
      <w:r>
        <w:rPr>
          <w:rFonts w:cs="Times New Roman"/>
          <w:szCs w:val="24"/>
        </w:rPr>
        <w:t xml:space="preserve"> que, </w:t>
      </w:r>
      <w:r w:rsidR="00DC100D" w:rsidRPr="00DC100D">
        <w:rPr>
          <w:rFonts w:cs="Times New Roman"/>
          <w:szCs w:val="24"/>
        </w:rPr>
        <w:t xml:space="preserve">empresas </w:t>
      </w:r>
      <w:r>
        <w:rPr>
          <w:rFonts w:cs="Times New Roman"/>
          <w:szCs w:val="24"/>
        </w:rPr>
        <w:t xml:space="preserve">maiores </w:t>
      </w:r>
      <w:r w:rsidR="00DC100D" w:rsidRPr="00DC100D">
        <w:rPr>
          <w:rFonts w:cs="Times New Roman"/>
          <w:szCs w:val="24"/>
        </w:rPr>
        <w:t>possuem</w:t>
      </w:r>
      <w:r>
        <w:rPr>
          <w:rFonts w:cs="Times New Roman"/>
          <w:szCs w:val="24"/>
        </w:rPr>
        <w:t xml:space="preserve"> </w:t>
      </w:r>
      <w:r w:rsidR="00DC100D" w:rsidRPr="00DC100D">
        <w:rPr>
          <w:rFonts w:cs="Times New Roman"/>
          <w:szCs w:val="24"/>
        </w:rPr>
        <w:t>maior facilidade para obten</w:t>
      </w:r>
      <w:r>
        <w:rPr>
          <w:rFonts w:cs="Times New Roman"/>
          <w:szCs w:val="24"/>
        </w:rPr>
        <w:t xml:space="preserve">ção de </w:t>
      </w:r>
      <w:r w:rsidR="00F5357F">
        <w:rPr>
          <w:rFonts w:cs="Times New Roman"/>
          <w:szCs w:val="24"/>
        </w:rPr>
        <w:t xml:space="preserve">empréstimos, </w:t>
      </w:r>
      <w:r w:rsidR="00DC100D" w:rsidRPr="00DC100D">
        <w:rPr>
          <w:rFonts w:cs="Times New Roman"/>
          <w:szCs w:val="24"/>
        </w:rPr>
        <w:t>o que asseguraria</w:t>
      </w:r>
      <w:r w:rsidR="00F5357F">
        <w:rPr>
          <w:rFonts w:cs="Times New Roman"/>
          <w:szCs w:val="24"/>
        </w:rPr>
        <w:t xml:space="preserve"> </w:t>
      </w:r>
      <w:r w:rsidR="00DC100D" w:rsidRPr="00DC100D">
        <w:rPr>
          <w:rFonts w:cs="Times New Roman"/>
          <w:szCs w:val="24"/>
        </w:rPr>
        <w:t xml:space="preserve">o financiamento para suas atividades, </w:t>
      </w:r>
      <w:r w:rsidR="00F5357F">
        <w:rPr>
          <w:rFonts w:cs="Times New Roman"/>
          <w:szCs w:val="24"/>
        </w:rPr>
        <w:t xml:space="preserve">por conseguinte, facilitando a distribuição de </w:t>
      </w:r>
      <w:r w:rsidR="00DC100D" w:rsidRPr="00DC100D">
        <w:rPr>
          <w:rFonts w:cs="Times New Roman"/>
          <w:szCs w:val="24"/>
        </w:rPr>
        <w:t>dividendos.</w:t>
      </w:r>
      <w:r w:rsidR="00F5357F">
        <w:rPr>
          <w:rFonts w:cs="Times New Roman"/>
          <w:szCs w:val="24"/>
        </w:rPr>
        <w:t xml:space="preserve"> Sendo assim, o resultado desta pesquisa está em linha com tal proposição, uma vez que, como apontado pela Tabela 4, as empresas que distribuem dividendos são maiores em relação às empresas que não distribuem dividendos, bem como possuem maior nível de endividamento.</w:t>
      </w:r>
    </w:p>
    <w:p w:rsidR="00D84456" w:rsidRDefault="003A6464" w:rsidP="00850F71">
      <w:pPr>
        <w:rPr>
          <w:rFonts w:cs="Times New Roman"/>
          <w:szCs w:val="24"/>
        </w:rPr>
      </w:pPr>
      <w:r>
        <w:rPr>
          <w:rFonts w:cs="Times New Roman"/>
          <w:szCs w:val="24"/>
        </w:rPr>
        <w:t>Por fim, a Tabela 4 apresenta a variável lucratividade (ROE)</w:t>
      </w:r>
      <w:r w:rsidR="00D84456">
        <w:rPr>
          <w:rFonts w:cs="Times New Roman"/>
          <w:szCs w:val="24"/>
        </w:rPr>
        <w:t xml:space="preserve">. </w:t>
      </w:r>
      <w:r w:rsidR="00850F71">
        <w:rPr>
          <w:rFonts w:cs="Times New Roman"/>
          <w:szCs w:val="24"/>
        </w:rPr>
        <w:t>S</w:t>
      </w:r>
      <w:r w:rsidR="00D84456">
        <w:rPr>
          <w:rFonts w:cs="Times New Roman"/>
          <w:szCs w:val="24"/>
        </w:rPr>
        <w:t xml:space="preserve">eguiu a mesma tendência já apontada para a variável rentabilidade (RENT), ou seja, somente no ano de 2010 as empresas que não pagaram dividendos apresentaram maior lucratividade em relação às empresas pagadoras, de 2011 </w:t>
      </w:r>
      <w:r w:rsidR="00850F71">
        <w:rPr>
          <w:rFonts w:cs="Times New Roman"/>
          <w:szCs w:val="24"/>
        </w:rPr>
        <w:t>a</w:t>
      </w:r>
      <w:r w:rsidR="00D84456">
        <w:rPr>
          <w:rFonts w:cs="Times New Roman"/>
          <w:szCs w:val="24"/>
        </w:rPr>
        <w:t xml:space="preserve"> 2016 esta posição foi inversa. Destaca-se que a partir de 2012 as empresas que não distribuíram dividendos apresentaram lucratividade negativa.</w:t>
      </w:r>
    </w:p>
    <w:p w:rsidR="00D92416" w:rsidRDefault="00D84456" w:rsidP="00850F71">
      <w:r>
        <w:rPr>
          <w:rFonts w:cs="Times New Roman"/>
          <w:szCs w:val="24"/>
        </w:rPr>
        <w:t xml:space="preserve">Segundo Iquiapaza </w:t>
      </w:r>
      <w:r w:rsidRPr="00D84456">
        <w:rPr>
          <w:rFonts w:cs="Times New Roman"/>
          <w:i/>
          <w:szCs w:val="24"/>
        </w:rPr>
        <w:t>et al</w:t>
      </w:r>
      <w:r>
        <w:rPr>
          <w:rFonts w:cs="Times New Roman"/>
          <w:szCs w:val="24"/>
        </w:rPr>
        <w:t>. (200</w:t>
      </w:r>
      <w:r w:rsidR="002B50F2">
        <w:rPr>
          <w:rFonts w:cs="Times New Roman"/>
          <w:szCs w:val="24"/>
        </w:rPr>
        <w:t>8</w:t>
      </w:r>
      <w:r>
        <w:rPr>
          <w:rFonts w:cs="Times New Roman"/>
          <w:szCs w:val="24"/>
        </w:rPr>
        <w:t xml:space="preserve">), </w:t>
      </w:r>
      <w:r>
        <w:t xml:space="preserve">Vancin e Procianoy (2016) e Viana Júnior e Ponte (2016), empresas com maiores margens de lucratividade estão dispostas a distribuir um maior nível de dividendos aos seus acionistas. Por outro lado, Martins e Famá (2012) apontam que empresas mais lucrativas tendem a distribuir seus resultados em forma de dividendos </w:t>
      </w:r>
      <w:r w:rsidR="00850F71">
        <w:t>e</w:t>
      </w:r>
      <w:r>
        <w:t xml:space="preserve"> tendem a serem mais endividadas. Tal afirmativa suporta os resultados apresentados por esta pesquisa o qual indica que, no período analisa</w:t>
      </w:r>
      <w:r w:rsidR="00295558">
        <w:t>do, as empresas que distribuíram</w:t>
      </w:r>
      <w:r>
        <w:t xml:space="preserve"> dividendos aos seus acionistas são mais lucrativas e mais endividadas em relação às empresas que</w:t>
      </w:r>
      <w:r w:rsidR="00295558">
        <w:t xml:space="preserve"> não distribuíram dividendos.</w:t>
      </w:r>
    </w:p>
    <w:p w:rsidR="00A05C40" w:rsidRDefault="00295558" w:rsidP="00850F71">
      <w:r>
        <w:t xml:space="preserve">A fim de analisar se há diferença estatisticamente significativa entre as variáveis independentes em relação aos dois grupos analisados, ou seja, empresas que distribuíram dividendos e as empresas que não distribuíram dividendos aplicaram-se o teste </w:t>
      </w:r>
      <w:r w:rsidRPr="00295558">
        <w:rPr>
          <w:i/>
          <w:color w:val="000000" w:themeColor="text1"/>
        </w:rPr>
        <w:t>t</w:t>
      </w:r>
      <w:r>
        <w:rPr>
          <w:color w:val="000000" w:themeColor="text1"/>
        </w:rPr>
        <w:t xml:space="preserve"> </w:t>
      </w:r>
      <w:r w:rsidRPr="00F64176">
        <w:rPr>
          <w:color w:val="000000" w:themeColor="text1"/>
        </w:rPr>
        <w:t xml:space="preserve">de média </w:t>
      </w:r>
      <w:r>
        <w:rPr>
          <w:color w:val="000000" w:themeColor="text1"/>
        </w:rPr>
        <w:t xml:space="preserve">e o </w:t>
      </w:r>
      <w:r w:rsidRPr="00295558">
        <w:t>teste de Levene</w:t>
      </w:r>
      <w:r>
        <w:t xml:space="preserve">, conforme pressupostos apresentados na metodologia desta pesquisa, o qual </w:t>
      </w:r>
      <w:r w:rsidR="00D5131D">
        <w:t>se apresenta</w:t>
      </w:r>
      <w:r>
        <w:t xml:space="preserve"> na Tabela </w:t>
      </w:r>
      <w:r w:rsidR="00850F71">
        <w:t>6</w:t>
      </w:r>
      <w:r>
        <w:t>.</w:t>
      </w:r>
    </w:p>
    <w:p w:rsidR="00D5131D" w:rsidRPr="00D14181" w:rsidRDefault="00D5131D" w:rsidP="00850F71">
      <w:pPr>
        <w:rPr>
          <w:szCs w:val="24"/>
        </w:rPr>
      </w:pPr>
    </w:p>
    <w:p w:rsidR="00DF5CB5" w:rsidRDefault="00DF5CB5" w:rsidP="00850F71">
      <w:pPr>
        <w:ind w:firstLine="0"/>
        <w:rPr>
          <w:sz w:val="20"/>
          <w:szCs w:val="20"/>
        </w:rPr>
      </w:pPr>
      <w:r>
        <w:rPr>
          <w:b/>
          <w:szCs w:val="24"/>
        </w:rPr>
        <w:t xml:space="preserve">Tabela </w:t>
      </w:r>
      <w:r w:rsidR="00850F71">
        <w:rPr>
          <w:b/>
          <w:szCs w:val="24"/>
        </w:rPr>
        <w:t>6</w:t>
      </w:r>
      <w:r>
        <w:rPr>
          <w:b/>
          <w:szCs w:val="24"/>
        </w:rPr>
        <w:t xml:space="preserve"> – Teste de média das variáveis independentes</w:t>
      </w:r>
    </w:p>
    <w:tbl>
      <w:tblPr>
        <w:tblStyle w:val="Tabelacomgrade"/>
        <w:tblW w:w="4961" w:type="pct"/>
        <w:tblBorders>
          <w:insideH w:val="single" w:sz="8" w:space="0" w:color="auto"/>
          <w:insideV w:val="single" w:sz="8" w:space="0" w:color="auto"/>
        </w:tblBorders>
        <w:tblLook w:val="04A0" w:firstRow="1" w:lastRow="0" w:firstColumn="1" w:lastColumn="0" w:noHBand="0" w:noVBand="1"/>
      </w:tblPr>
      <w:tblGrid>
        <w:gridCol w:w="1076"/>
        <w:gridCol w:w="3068"/>
        <w:gridCol w:w="945"/>
        <w:gridCol w:w="835"/>
        <w:gridCol w:w="1069"/>
        <w:gridCol w:w="1132"/>
        <w:gridCol w:w="875"/>
      </w:tblGrid>
      <w:tr w:rsidR="00DF5CB5" w:rsidRPr="00A05C40" w:rsidTr="00706EAB">
        <w:trPr>
          <w:trHeight w:val="20"/>
        </w:trPr>
        <w:tc>
          <w:tcPr>
            <w:tcW w:w="597" w:type="pct"/>
            <w:vMerge w:val="restart"/>
            <w:vAlign w:val="center"/>
          </w:tcPr>
          <w:p w:rsidR="00DF5CB5" w:rsidRPr="00DF5CB5" w:rsidRDefault="00DF5CB5" w:rsidP="00850F71">
            <w:pPr>
              <w:ind w:firstLine="0"/>
              <w:contextualSpacing/>
              <w:jc w:val="center"/>
              <w:rPr>
                <w:rFonts w:cs="Times New Roman"/>
                <w:sz w:val="20"/>
                <w:szCs w:val="20"/>
              </w:rPr>
            </w:pPr>
            <w:r w:rsidRPr="00DF5CB5">
              <w:rPr>
                <w:rFonts w:cs="Times New Roman"/>
                <w:sz w:val="20"/>
                <w:szCs w:val="20"/>
              </w:rPr>
              <w:t>Variáveis</w:t>
            </w:r>
          </w:p>
        </w:tc>
        <w:tc>
          <w:tcPr>
            <w:tcW w:w="1704" w:type="pct"/>
            <w:vMerge w:val="restart"/>
            <w:vAlign w:val="center"/>
          </w:tcPr>
          <w:p w:rsidR="00DF5CB5" w:rsidRPr="00DF5CB5" w:rsidRDefault="00DF5CB5" w:rsidP="00850F71">
            <w:pPr>
              <w:ind w:left="-132" w:firstLine="10"/>
              <w:contextualSpacing/>
              <w:jc w:val="center"/>
              <w:rPr>
                <w:rFonts w:cs="Times New Roman"/>
                <w:sz w:val="20"/>
                <w:szCs w:val="20"/>
              </w:rPr>
            </w:pPr>
            <w:r w:rsidRPr="00DF5CB5">
              <w:rPr>
                <w:rFonts w:cs="Times New Roman"/>
                <w:sz w:val="20"/>
                <w:szCs w:val="20"/>
              </w:rPr>
              <w:t>Variância</w:t>
            </w:r>
          </w:p>
        </w:tc>
        <w:tc>
          <w:tcPr>
            <w:tcW w:w="989" w:type="pct"/>
            <w:gridSpan w:val="2"/>
            <w:vAlign w:val="center"/>
          </w:tcPr>
          <w:p w:rsidR="00DF5CB5" w:rsidRPr="00DF5CB5" w:rsidRDefault="00DF5CB5" w:rsidP="00850F71">
            <w:pPr>
              <w:ind w:firstLine="0"/>
              <w:contextualSpacing/>
              <w:jc w:val="center"/>
              <w:rPr>
                <w:rFonts w:cs="Times New Roman"/>
                <w:sz w:val="20"/>
                <w:szCs w:val="20"/>
              </w:rPr>
            </w:pPr>
            <w:r w:rsidRPr="00DF5CB5">
              <w:rPr>
                <w:rFonts w:cs="Times New Roman"/>
                <w:sz w:val="20"/>
                <w:szCs w:val="20"/>
              </w:rPr>
              <w:t>Teste de Levene</w:t>
            </w:r>
          </w:p>
        </w:tc>
        <w:tc>
          <w:tcPr>
            <w:tcW w:w="1709" w:type="pct"/>
            <w:gridSpan w:val="3"/>
            <w:vAlign w:val="center"/>
          </w:tcPr>
          <w:p w:rsidR="00DF5CB5" w:rsidRPr="00DF5CB5" w:rsidRDefault="00DF5CB5" w:rsidP="00850F71">
            <w:pPr>
              <w:ind w:firstLine="0"/>
              <w:contextualSpacing/>
              <w:jc w:val="center"/>
              <w:rPr>
                <w:rFonts w:cs="Times New Roman"/>
                <w:sz w:val="20"/>
                <w:szCs w:val="20"/>
              </w:rPr>
            </w:pPr>
            <w:r w:rsidRPr="00DF5CB5">
              <w:rPr>
                <w:rFonts w:cs="Times New Roman"/>
                <w:sz w:val="20"/>
                <w:szCs w:val="20"/>
              </w:rPr>
              <w:t xml:space="preserve">Teste-t para </w:t>
            </w:r>
            <w:r w:rsidR="00F94AE6" w:rsidRPr="00DF5CB5">
              <w:rPr>
                <w:rFonts w:cs="Times New Roman"/>
                <w:sz w:val="20"/>
                <w:szCs w:val="20"/>
              </w:rPr>
              <w:t>Igualdade</w:t>
            </w:r>
            <w:r w:rsidRPr="00DF5CB5">
              <w:rPr>
                <w:rFonts w:cs="Times New Roman"/>
                <w:sz w:val="20"/>
                <w:szCs w:val="20"/>
              </w:rPr>
              <w:t xml:space="preserve"> de Médias</w:t>
            </w:r>
          </w:p>
        </w:tc>
      </w:tr>
      <w:tr w:rsidR="00DF5CB5" w:rsidRPr="00A05C40" w:rsidTr="00706EAB">
        <w:trPr>
          <w:trHeight w:val="20"/>
        </w:trPr>
        <w:tc>
          <w:tcPr>
            <w:tcW w:w="597" w:type="pct"/>
            <w:vMerge/>
            <w:vAlign w:val="center"/>
          </w:tcPr>
          <w:p w:rsidR="00DF5CB5" w:rsidRPr="00DF5CB5" w:rsidRDefault="00DF5CB5" w:rsidP="00850F71">
            <w:pPr>
              <w:ind w:firstLine="0"/>
              <w:contextualSpacing/>
              <w:jc w:val="center"/>
              <w:rPr>
                <w:rFonts w:cs="Times New Roman"/>
                <w:sz w:val="20"/>
                <w:szCs w:val="20"/>
              </w:rPr>
            </w:pPr>
          </w:p>
        </w:tc>
        <w:tc>
          <w:tcPr>
            <w:tcW w:w="1704" w:type="pct"/>
            <w:vMerge/>
            <w:vAlign w:val="center"/>
          </w:tcPr>
          <w:p w:rsidR="00DF5CB5" w:rsidRPr="00DF5CB5" w:rsidRDefault="00DF5CB5" w:rsidP="00850F71">
            <w:pPr>
              <w:ind w:firstLine="0"/>
              <w:contextualSpacing/>
              <w:jc w:val="center"/>
              <w:rPr>
                <w:rFonts w:cs="Times New Roman"/>
                <w:sz w:val="20"/>
                <w:szCs w:val="20"/>
              </w:rPr>
            </w:pPr>
          </w:p>
        </w:tc>
        <w:tc>
          <w:tcPr>
            <w:tcW w:w="525" w:type="pct"/>
            <w:vAlign w:val="center"/>
          </w:tcPr>
          <w:p w:rsidR="00DF5CB5" w:rsidRPr="00DF5CB5" w:rsidRDefault="00DF5CB5" w:rsidP="00850F71">
            <w:pPr>
              <w:ind w:firstLine="0"/>
              <w:contextualSpacing/>
              <w:jc w:val="center"/>
              <w:rPr>
                <w:rFonts w:cs="Times New Roman"/>
                <w:sz w:val="20"/>
                <w:szCs w:val="20"/>
              </w:rPr>
            </w:pPr>
            <w:r w:rsidRPr="00DF5CB5">
              <w:rPr>
                <w:rFonts w:cs="Times New Roman"/>
                <w:sz w:val="20"/>
                <w:szCs w:val="20"/>
              </w:rPr>
              <w:t>F</w:t>
            </w:r>
          </w:p>
        </w:tc>
        <w:tc>
          <w:tcPr>
            <w:tcW w:w="464" w:type="pct"/>
            <w:vAlign w:val="center"/>
          </w:tcPr>
          <w:p w:rsidR="00DF5CB5" w:rsidRPr="00DF5CB5" w:rsidRDefault="00DF5CB5" w:rsidP="00850F71">
            <w:pPr>
              <w:ind w:firstLine="0"/>
              <w:contextualSpacing/>
              <w:jc w:val="center"/>
              <w:rPr>
                <w:rFonts w:cs="Times New Roman"/>
                <w:sz w:val="20"/>
                <w:szCs w:val="20"/>
              </w:rPr>
            </w:pPr>
            <w:r w:rsidRPr="00DF5CB5">
              <w:rPr>
                <w:rFonts w:cs="Times New Roman"/>
                <w:sz w:val="20"/>
                <w:szCs w:val="20"/>
              </w:rPr>
              <w:t>Sig</w:t>
            </w:r>
          </w:p>
        </w:tc>
        <w:tc>
          <w:tcPr>
            <w:tcW w:w="594" w:type="pct"/>
            <w:vAlign w:val="center"/>
          </w:tcPr>
          <w:p w:rsidR="00DF5CB5" w:rsidRPr="00DF5CB5" w:rsidRDefault="00DF5CB5" w:rsidP="00850F71">
            <w:pPr>
              <w:ind w:firstLine="0"/>
              <w:contextualSpacing/>
              <w:jc w:val="center"/>
              <w:rPr>
                <w:rFonts w:cs="Times New Roman"/>
                <w:sz w:val="20"/>
                <w:szCs w:val="20"/>
              </w:rPr>
            </w:pPr>
            <w:r w:rsidRPr="00DF5CB5">
              <w:rPr>
                <w:rFonts w:cs="Times New Roman"/>
                <w:sz w:val="20"/>
                <w:szCs w:val="20"/>
              </w:rPr>
              <w:t>t</w:t>
            </w:r>
          </w:p>
        </w:tc>
        <w:tc>
          <w:tcPr>
            <w:tcW w:w="629" w:type="pct"/>
            <w:vAlign w:val="center"/>
          </w:tcPr>
          <w:p w:rsidR="00DF5CB5" w:rsidRPr="00DF5CB5" w:rsidRDefault="00DF5CB5" w:rsidP="00850F71">
            <w:pPr>
              <w:ind w:firstLine="0"/>
              <w:contextualSpacing/>
              <w:jc w:val="center"/>
              <w:rPr>
                <w:rFonts w:cs="Times New Roman"/>
                <w:sz w:val="20"/>
                <w:szCs w:val="20"/>
              </w:rPr>
            </w:pPr>
            <w:r w:rsidRPr="00DF5CB5">
              <w:rPr>
                <w:rFonts w:cs="Times New Roman"/>
                <w:sz w:val="20"/>
                <w:szCs w:val="20"/>
              </w:rPr>
              <w:t>df</w:t>
            </w:r>
          </w:p>
        </w:tc>
        <w:tc>
          <w:tcPr>
            <w:tcW w:w="486" w:type="pct"/>
            <w:vAlign w:val="center"/>
          </w:tcPr>
          <w:p w:rsidR="00DF5CB5" w:rsidRPr="00DF5CB5" w:rsidRDefault="00DF5CB5" w:rsidP="00850F71">
            <w:pPr>
              <w:ind w:firstLine="0"/>
              <w:contextualSpacing/>
              <w:jc w:val="center"/>
              <w:rPr>
                <w:rFonts w:cs="Times New Roman"/>
                <w:sz w:val="20"/>
                <w:szCs w:val="20"/>
              </w:rPr>
            </w:pPr>
            <w:r w:rsidRPr="00DF5CB5">
              <w:rPr>
                <w:rFonts w:cs="Times New Roman"/>
                <w:sz w:val="20"/>
                <w:szCs w:val="20"/>
              </w:rPr>
              <w:t>Sig</w:t>
            </w:r>
          </w:p>
        </w:tc>
      </w:tr>
      <w:tr w:rsidR="00DF5CB5" w:rsidRPr="00A05C40" w:rsidTr="00706EAB">
        <w:trPr>
          <w:trHeight w:val="20"/>
        </w:trPr>
        <w:tc>
          <w:tcPr>
            <w:tcW w:w="597"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RENT</w:t>
            </w:r>
          </w:p>
        </w:tc>
        <w:tc>
          <w:tcPr>
            <w:tcW w:w="170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Variâncias iguais assumidas</w:t>
            </w:r>
          </w:p>
        </w:tc>
        <w:tc>
          <w:tcPr>
            <w:tcW w:w="525"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30,0089</w:t>
            </w:r>
          </w:p>
        </w:tc>
        <w:tc>
          <w:tcPr>
            <w:tcW w:w="46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0,0000</w:t>
            </w:r>
          </w:p>
        </w:tc>
        <w:tc>
          <w:tcPr>
            <w:tcW w:w="59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5,5737</w:t>
            </w:r>
          </w:p>
        </w:tc>
        <w:tc>
          <w:tcPr>
            <w:tcW w:w="629"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1.744,00</w:t>
            </w:r>
          </w:p>
        </w:tc>
        <w:tc>
          <w:tcPr>
            <w:tcW w:w="486" w:type="pct"/>
            <w:vAlign w:val="center"/>
          </w:tcPr>
          <w:p w:rsidR="00DF5CB5" w:rsidRPr="00103A93" w:rsidRDefault="00DF5CB5" w:rsidP="00850F71">
            <w:pPr>
              <w:ind w:firstLine="0"/>
              <w:contextualSpacing/>
              <w:jc w:val="center"/>
              <w:rPr>
                <w:rFonts w:cs="Times New Roman"/>
                <w:sz w:val="20"/>
                <w:szCs w:val="20"/>
              </w:rPr>
            </w:pPr>
            <w:r w:rsidRPr="00103A93">
              <w:rPr>
                <w:rFonts w:cs="Times New Roman"/>
                <w:sz w:val="20"/>
                <w:szCs w:val="20"/>
              </w:rPr>
              <w:t>0,0000</w:t>
            </w:r>
          </w:p>
        </w:tc>
      </w:tr>
      <w:tr w:rsidR="00DF5CB5" w:rsidRPr="00A05C40" w:rsidTr="00706EAB">
        <w:trPr>
          <w:trHeight w:val="20"/>
        </w:trPr>
        <w:tc>
          <w:tcPr>
            <w:tcW w:w="597" w:type="pct"/>
            <w:vAlign w:val="center"/>
          </w:tcPr>
          <w:p w:rsidR="00DF5CB5" w:rsidRPr="00A05C40" w:rsidRDefault="00DF5CB5" w:rsidP="00850F71">
            <w:pPr>
              <w:ind w:firstLine="0"/>
              <w:contextualSpacing/>
              <w:jc w:val="center"/>
              <w:rPr>
                <w:rFonts w:cs="Times New Roman"/>
                <w:sz w:val="20"/>
                <w:szCs w:val="20"/>
              </w:rPr>
            </w:pPr>
          </w:p>
        </w:tc>
        <w:tc>
          <w:tcPr>
            <w:tcW w:w="170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Variâncias iguais não assumidas</w:t>
            </w:r>
          </w:p>
        </w:tc>
        <w:tc>
          <w:tcPr>
            <w:tcW w:w="525" w:type="pct"/>
            <w:vAlign w:val="center"/>
          </w:tcPr>
          <w:p w:rsidR="00DF5CB5" w:rsidRPr="00A05C40" w:rsidRDefault="00DF5CB5" w:rsidP="00850F71">
            <w:pPr>
              <w:ind w:firstLine="0"/>
              <w:contextualSpacing/>
              <w:jc w:val="center"/>
              <w:rPr>
                <w:rFonts w:cs="Times New Roman"/>
                <w:sz w:val="20"/>
                <w:szCs w:val="20"/>
              </w:rPr>
            </w:pPr>
          </w:p>
        </w:tc>
        <w:tc>
          <w:tcPr>
            <w:tcW w:w="464" w:type="pct"/>
            <w:vAlign w:val="center"/>
          </w:tcPr>
          <w:p w:rsidR="00DF5CB5" w:rsidRPr="00A05C40" w:rsidRDefault="00DF5CB5" w:rsidP="00850F71">
            <w:pPr>
              <w:ind w:firstLine="0"/>
              <w:contextualSpacing/>
              <w:jc w:val="center"/>
              <w:rPr>
                <w:rFonts w:cs="Times New Roman"/>
                <w:sz w:val="20"/>
                <w:szCs w:val="20"/>
              </w:rPr>
            </w:pPr>
          </w:p>
        </w:tc>
        <w:tc>
          <w:tcPr>
            <w:tcW w:w="59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4,1448</w:t>
            </w:r>
          </w:p>
        </w:tc>
        <w:tc>
          <w:tcPr>
            <w:tcW w:w="629"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623,33</w:t>
            </w:r>
          </w:p>
        </w:tc>
        <w:tc>
          <w:tcPr>
            <w:tcW w:w="486" w:type="pct"/>
            <w:vAlign w:val="center"/>
          </w:tcPr>
          <w:p w:rsidR="00DF5CB5" w:rsidRPr="00103A93" w:rsidRDefault="00DF5CB5" w:rsidP="00850F71">
            <w:pPr>
              <w:ind w:firstLine="0"/>
              <w:contextualSpacing/>
              <w:jc w:val="center"/>
              <w:rPr>
                <w:rFonts w:cs="Times New Roman"/>
                <w:sz w:val="20"/>
                <w:szCs w:val="20"/>
              </w:rPr>
            </w:pPr>
            <w:r w:rsidRPr="00103A93">
              <w:rPr>
                <w:rFonts w:cs="Times New Roman"/>
                <w:sz w:val="20"/>
                <w:szCs w:val="20"/>
              </w:rPr>
              <w:t>0,0000</w:t>
            </w:r>
          </w:p>
        </w:tc>
      </w:tr>
      <w:tr w:rsidR="00DF5CB5" w:rsidRPr="00A05C40" w:rsidTr="00706EAB">
        <w:trPr>
          <w:trHeight w:val="20"/>
        </w:trPr>
        <w:tc>
          <w:tcPr>
            <w:tcW w:w="597"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LIQ</w:t>
            </w:r>
          </w:p>
        </w:tc>
        <w:tc>
          <w:tcPr>
            <w:tcW w:w="170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Variâncias iguais assumidas</w:t>
            </w:r>
          </w:p>
        </w:tc>
        <w:tc>
          <w:tcPr>
            <w:tcW w:w="525"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53,8791</w:t>
            </w:r>
          </w:p>
        </w:tc>
        <w:tc>
          <w:tcPr>
            <w:tcW w:w="46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0,0000</w:t>
            </w:r>
          </w:p>
        </w:tc>
        <w:tc>
          <w:tcPr>
            <w:tcW w:w="59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-3,8299</w:t>
            </w:r>
          </w:p>
        </w:tc>
        <w:tc>
          <w:tcPr>
            <w:tcW w:w="629"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1.744,00</w:t>
            </w:r>
          </w:p>
        </w:tc>
        <w:tc>
          <w:tcPr>
            <w:tcW w:w="486" w:type="pct"/>
            <w:vAlign w:val="center"/>
          </w:tcPr>
          <w:p w:rsidR="00DF5CB5" w:rsidRPr="00103A93" w:rsidRDefault="00DF5CB5" w:rsidP="00850F71">
            <w:pPr>
              <w:ind w:firstLine="0"/>
              <w:contextualSpacing/>
              <w:jc w:val="center"/>
              <w:rPr>
                <w:rFonts w:cs="Times New Roman"/>
                <w:sz w:val="20"/>
                <w:szCs w:val="20"/>
              </w:rPr>
            </w:pPr>
            <w:r w:rsidRPr="00103A93">
              <w:rPr>
                <w:rFonts w:cs="Times New Roman"/>
                <w:sz w:val="20"/>
                <w:szCs w:val="20"/>
              </w:rPr>
              <w:t>0,0001</w:t>
            </w:r>
          </w:p>
        </w:tc>
      </w:tr>
      <w:tr w:rsidR="00DF5CB5" w:rsidRPr="00A05C40" w:rsidTr="00706EAB">
        <w:trPr>
          <w:trHeight w:val="20"/>
        </w:trPr>
        <w:tc>
          <w:tcPr>
            <w:tcW w:w="597" w:type="pct"/>
            <w:vAlign w:val="center"/>
          </w:tcPr>
          <w:p w:rsidR="00DF5CB5" w:rsidRPr="00A05C40" w:rsidRDefault="00DF5CB5" w:rsidP="00850F71">
            <w:pPr>
              <w:ind w:firstLine="0"/>
              <w:contextualSpacing/>
              <w:jc w:val="center"/>
              <w:rPr>
                <w:rFonts w:cs="Times New Roman"/>
                <w:sz w:val="20"/>
                <w:szCs w:val="20"/>
              </w:rPr>
            </w:pPr>
          </w:p>
        </w:tc>
        <w:tc>
          <w:tcPr>
            <w:tcW w:w="170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Variâncias iguais não assumidas</w:t>
            </w:r>
          </w:p>
        </w:tc>
        <w:tc>
          <w:tcPr>
            <w:tcW w:w="525" w:type="pct"/>
            <w:vAlign w:val="center"/>
          </w:tcPr>
          <w:p w:rsidR="00DF5CB5" w:rsidRPr="00A05C40" w:rsidRDefault="00DF5CB5" w:rsidP="00850F71">
            <w:pPr>
              <w:ind w:firstLine="0"/>
              <w:contextualSpacing/>
              <w:jc w:val="center"/>
              <w:rPr>
                <w:rFonts w:cs="Times New Roman"/>
                <w:sz w:val="20"/>
                <w:szCs w:val="20"/>
              </w:rPr>
            </w:pPr>
          </w:p>
        </w:tc>
        <w:tc>
          <w:tcPr>
            <w:tcW w:w="464" w:type="pct"/>
            <w:vAlign w:val="center"/>
          </w:tcPr>
          <w:p w:rsidR="00DF5CB5" w:rsidRPr="00A05C40" w:rsidRDefault="00DF5CB5" w:rsidP="00850F71">
            <w:pPr>
              <w:ind w:firstLine="0"/>
              <w:contextualSpacing/>
              <w:jc w:val="center"/>
              <w:rPr>
                <w:rFonts w:cs="Times New Roman"/>
                <w:sz w:val="20"/>
                <w:szCs w:val="20"/>
              </w:rPr>
            </w:pPr>
          </w:p>
        </w:tc>
        <w:tc>
          <w:tcPr>
            <w:tcW w:w="59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-3,1614</w:t>
            </w:r>
          </w:p>
        </w:tc>
        <w:tc>
          <w:tcPr>
            <w:tcW w:w="629"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762,65</w:t>
            </w:r>
          </w:p>
        </w:tc>
        <w:tc>
          <w:tcPr>
            <w:tcW w:w="486" w:type="pct"/>
            <w:vAlign w:val="center"/>
          </w:tcPr>
          <w:p w:rsidR="00DF5CB5" w:rsidRPr="00103A93" w:rsidRDefault="00DF5CB5" w:rsidP="00850F71">
            <w:pPr>
              <w:ind w:firstLine="0"/>
              <w:contextualSpacing/>
              <w:jc w:val="center"/>
              <w:rPr>
                <w:rFonts w:cs="Times New Roman"/>
                <w:sz w:val="20"/>
                <w:szCs w:val="20"/>
              </w:rPr>
            </w:pPr>
            <w:r w:rsidRPr="00103A93">
              <w:rPr>
                <w:rFonts w:cs="Times New Roman"/>
                <w:sz w:val="20"/>
                <w:szCs w:val="20"/>
              </w:rPr>
              <w:t>0,0016</w:t>
            </w:r>
          </w:p>
        </w:tc>
      </w:tr>
      <w:tr w:rsidR="00DF5CB5" w:rsidRPr="00A05C40" w:rsidTr="00706EAB">
        <w:trPr>
          <w:trHeight w:val="20"/>
        </w:trPr>
        <w:tc>
          <w:tcPr>
            <w:tcW w:w="597"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EDN</w:t>
            </w:r>
          </w:p>
        </w:tc>
        <w:tc>
          <w:tcPr>
            <w:tcW w:w="170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Variâncias iguais assumidas</w:t>
            </w:r>
          </w:p>
        </w:tc>
        <w:tc>
          <w:tcPr>
            <w:tcW w:w="525"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54,3669</w:t>
            </w:r>
          </w:p>
        </w:tc>
        <w:tc>
          <w:tcPr>
            <w:tcW w:w="46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0,0000</w:t>
            </w:r>
          </w:p>
        </w:tc>
        <w:tc>
          <w:tcPr>
            <w:tcW w:w="59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-1,6114</w:t>
            </w:r>
          </w:p>
        </w:tc>
        <w:tc>
          <w:tcPr>
            <w:tcW w:w="629"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1.744,00</w:t>
            </w:r>
          </w:p>
        </w:tc>
        <w:tc>
          <w:tcPr>
            <w:tcW w:w="486" w:type="pct"/>
            <w:vAlign w:val="center"/>
          </w:tcPr>
          <w:p w:rsidR="00DF5CB5" w:rsidRPr="00103A93" w:rsidRDefault="00DF5CB5" w:rsidP="00850F71">
            <w:pPr>
              <w:ind w:firstLine="0"/>
              <w:contextualSpacing/>
              <w:jc w:val="center"/>
              <w:rPr>
                <w:rFonts w:cs="Times New Roman"/>
                <w:sz w:val="20"/>
                <w:szCs w:val="20"/>
              </w:rPr>
            </w:pPr>
            <w:r w:rsidRPr="00103A93">
              <w:rPr>
                <w:rFonts w:cs="Times New Roman"/>
                <w:sz w:val="20"/>
                <w:szCs w:val="20"/>
              </w:rPr>
              <w:t>0,1073</w:t>
            </w:r>
          </w:p>
        </w:tc>
      </w:tr>
      <w:tr w:rsidR="00DF5CB5" w:rsidRPr="00A05C40" w:rsidTr="00706EAB">
        <w:trPr>
          <w:trHeight w:val="20"/>
        </w:trPr>
        <w:tc>
          <w:tcPr>
            <w:tcW w:w="597" w:type="pct"/>
            <w:vAlign w:val="center"/>
          </w:tcPr>
          <w:p w:rsidR="00DF5CB5" w:rsidRPr="00A05C40" w:rsidRDefault="00DF5CB5" w:rsidP="00850F71">
            <w:pPr>
              <w:ind w:firstLine="0"/>
              <w:contextualSpacing/>
              <w:jc w:val="center"/>
              <w:rPr>
                <w:rFonts w:cs="Times New Roman"/>
                <w:sz w:val="20"/>
                <w:szCs w:val="20"/>
              </w:rPr>
            </w:pPr>
          </w:p>
        </w:tc>
        <w:tc>
          <w:tcPr>
            <w:tcW w:w="170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Variâncias iguais não assumidas</w:t>
            </w:r>
          </w:p>
        </w:tc>
        <w:tc>
          <w:tcPr>
            <w:tcW w:w="525" w:type="pct"/>
            <w:vAlign w:val="center"/>
          </w:tcPr>
          <w:p w:rsidR="00DF5CB5" w:rsidRPr="00A05C40" w:rsidRDefault="00DF5CB5" w:rsidP="00850F71">
            <w:pPr>
              <w:ind w:firstLine="0"/>
              <w:contextualSpacing/>
              <w:jc w:val="center"/>
              <w:rPr>
                <w:rFonts w:cs="Times New Roman"/>
                <w:sz w:val="20"/>
                <w:szCs w:val="20"/>
              </w:rPr>
            </w:pPr>
          </w:p>
        </w:tc>
        <w:tc>
          <w:tcPr>
            <w:tcW w:w="464" w:type="pct"/>
            <w:vAlign w:val="center"/>
          </w:tcPr>
          <w:p w:rsidR="00DF5CB5" w:rsidRPr="00A05C40" w:rsidRDefault="00DF5CB5" w:rsidP="00850F71">
            <w:pPr>
              <w:ind w:firstLine="0"/>
              <w:contextualSpacing/>
              <w:jc w:val="center"/>
              <w:rPr>
                <w:rFonts w:cs="Times New Roman"/>
                <w:sz w:val="20"/>
                <w:szCs w:val="20"/>
              </w:rPr>
            </w:pPr>
          </w:p>
        </w:tc>
        <w:tc>
          <w:tcPr>
            <w:tcW w:w="59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-1,5091</w:t>
            </w:r>
          </w:p>
        </w:tc>
        <w:tc>
          <w:tcPr>
            <w:tcW w:w="629"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1.043,29</w:t>
            </w:r>
          </w:p>
        </w:tc>
        <w:tc>
          <w:tcPr>
            <w:tcW w:w="486" w:type="pct"/>
            <w:vAlign w:val="center"/>
          </w:tcPr>
          <w:p w:rsidR="00DF5CB5" w:rsidRPr="00103A93" w:rsidRDefault="00DF5CB5" w:rsidP="00850F71">
            <w:pPr>
              <w:ind w:firstLine="0"/>
              <w:contextualSpacing/>
              <w:jc w:val="center"/>
              <w:rPr>
                <w:rFonts w:cs="Times New Roman"/>
                <w:sz w:val="20"/>
                <w:szCs w:val="20"/>
              </w:rPr>
            </w:pPr>
            <w:r w:rsidRPr="00103A93">
              <w:rPr>
                <w:rFonts w:cs="Times New Roman"/>
                <w:sz w:val="20"/>
                <w:szCs w:val="20"/>
              </w:rPr>
              <w:t>0,1316</w:t>
            </w:r>
          </w:p>
        </w:tc>
      </w:tr>
      <w:tr w:rsidR="00DF5CB5" w:rsidRPr="00A05C40" w:rsidTr="00706EAB">
        <w:trPr>
          <w:trHeight w:val="20"/>
        </w:trPr>
        <w:tc>
          <w:tcPr>
            <w:tcW w:w="597"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TAM</w:t>
            </w:r>
          </w:p>
        </w:tc>
        <w:tc>
          <w:tcPr>
            <w:tcW w:w="170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Variâncias iguais assumidas</w:t>
            </w:r>
          </w:p>
        </w:tc>
        <w:tc>
          <w:tcPr>
            <w:tcW w:w="525"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98,9512</w:t>
            </w:r>
          </w:p>
        </w:tc>
        <w:tc>
          <w:tcPr>
            <w:tcW w:w="46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0,0000</w:t>
            </w:r>
          </w:p>
        </w:tc>
        <w:tc>
          <w:tcPr>
            <w:tcW w:w="59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11,3795</w:t>
            </w:r>
          </w:p>
        </w:tc>
        <w:tc>
          <w:tcPr>
            <w:tcW w:w="629"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1.744,00</w:t>
            </w:r>
          </w:p>
        </w:tc>
        <w:tc>
          <w:tcPr>
            <w:tcW w:w="486" w:type="pct"/>
            <w:vAlign w:val="center"/>
          </w:tcPr>
          <w:p w:rsidR="00DF5CB5" w:rsidRPr="00103A93" w:rsidRDefault="00DF5CB5" w:rsidP="00850F71">
            <w:pPr>
              <w:ind w:firstLine="0"/>
              <w:contextualSpacing/>
              <w:jc w:val="center"/>
              <w:rPr>
                <w:rFonts w:cs="Times New Roman"/>
                <w:sz w:val="20"/>
                <w:szCs w:val="20"/>
              </w:rPr>
            </w:pPr>
            <w:r w:rsidRPr="00103A93">
              <w:rPr>
                <w:rFonts w:cs="Times New Roman"/>
                <w:sz w:val="20"/>
                <w:szCs w:val="20"/>
              </w:rPr>
              <w:t>0,0000</w:t>
            </w:r>
          </w:p>
        </w:tc>
      </w:tr>
      <w:tr w:rsidR="00DF5CB5" w:rsidRPr="00A05C40" w:rsidTr="00706EAB">
        <w:trPr>
          <w:trHeight w:val="20"/>
        </w:trPr>
        <w:tc>
          <w:tcPr>
            <w:tcW w:w="597" w:type="pct"/>
            <w:vAlign w:val="center"/>
          </w:tcPr>
          <w:p w:rsidR="00DF5CB5" w:rsidRPr="00A05C40" w:rsidRDefault="00DF5CB5" w:rsidP="00850F71">
            <w:pPr>
              <w:ind w:firstLine="0"/>
              <w:contextualSpacing/>
              <w:jc w:val="center"/>
              <w:rPr>
                <w:rFonts w:cs="Times New Roman"/>
                <w:sz w:val="20"/>
                <w:szCs w:val="20"/>
              </w:rPr>
            </w:pPr>
          </w:p>
        </w:tc>
        <w:tc>
          <w:tcPr>
            <w:tcW w:w="170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Variâncias iguais não assumidas</w:t>
            </w:r>
          </w:p>
        </w:tc>
        <w:tc>
          <w:tcPr>
            <w:tcW w:w="525" w:type="pct"/>
            <w:vAlign w:val="center"/>
          </w:tcPr>
          <w:p w:rsidR="00DF5CB5" w:rsidRPr="00A05C40" w:rsidRDefault="00DF5CB5" w:rsidP="00850F71">
            <w:pPr>
              <w:ind w:firstLine="0"/>
              <w:contextualSpacing/>
              <w:jc w:val="center"/>
              <w:rPr>
                <w:rFonts w:cs="Times New Roman"/>
                <w:sz w:val="20"/>
                <w:szCs w:val="20"/>
              </w:rPr>
            </w:pPr>
          </w:p>
        </w:tc>
        <w:tc>
          <w:tcPr>
            <w:tcW w:w="464" w:type="pct"/>
            <w:vAlign w:val="center"/>
          </w:tcPr>
          <w:p w:rsidR="00DF5CB5" w:rsidRPr="00A05C40" w:rsidRDefault="00DF5CB5" w:rsidP="00850F71">
            <w:pPr>
              <w:ind w:firstLine="0"/>
              <w:contextualSpacing/>
              <w:jc w:val="center"/>
              <w:rPr>
                <w:rFonts w:cs="Times New Roman"/>
                <w:sz w:val="20"/>
                <w:szCs w:val="20"/>
              </w:rPr>
            </w:pPr>
          </w:p>
        </w:tc>
        <w:tc>
          <w:tcPr>
            <w:tcW w:w="59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10,1081</w:t>
            </w:r>
          </w:p>
        </w:tc>
        <w:tc>
          <w:tcPr>
            <w:tcW w:w="629"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906,53</w:t>
            </w:r>
          </w:p>
        </w:tc>
        <w:tc>
          <w:tcPr>
            <w:tcW w:w="486" w:type="pct"/>
            <w:vAlign w:val="center"/>
          </w:tcPr>
          <w:p w:rsidR="00DF5CB5" w:rsidRPr="00103A93" w:rsidRDefault="00DF5CB5" w:rsidP="00850F71">
            <w:pPr>
              <w:ind w:firstLine="0"/>
              <w:contextualSpacing/>
              <w:jc w:val="center"/>
              <w:rPr>
                <w:rFonts w:cs="Times New Roman"/>
                <w:sz w:val="20"/>
                <w:szCs w:val="20"/>
              </w:rPr>
            </w:pPr>
            <w:r w:rsidRPr="00103A93">
              <w:rPr>
                <w:rFonts w:cs="Times New Roman"/>
                <w:sz w:val="20"/>
                <w:szCs w:val="20"/>
              </w:rPr>
              <w:t>0,0000</w:t>
            </w:r>
          </w:p>
        </w:tc>
      </w:tr>
      <w:tr w:rsidR="00DF5CB5" w:rsidRPr="00A05C40" w:rsidTr="00706EAB">
        <w:trPr>
          <w:trHeight w:val="20"/>
        </w:trPr>
        <w:tc>
          <w:tcPr>
            <w:tcW w:w="597"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ROE</w:t>
            </w:r>
          </w:p>
        </w:tc>
        <w:tc>
          <w:tcPr>
            <w:tcW w:w="170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Variâncias iguais assumidas</w:t>
            </w:r>
          </w:p>
        </w:tc>
        <w:tc>
          <w:tcPr>
            <w:tcW w:w="525"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26,3180</w:t>
            </w:r>
          </w:p>
        </w:tc>
        <w:tc>
          <w:tcPr>
            <w:tcW w:w="46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0,0000</w:t>
            </w:r>
          </w:p>
        </w:tc>
        <w:tc>
          <w:tcPr>
            <w:tcW w:w="59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4,5052</w:t>
            </w:r>
          </w:p>
        </w:tc>
        <w:tc>
          <w:tcPr>
            <w:tcW w:w="629"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1.744,00</w:t>
            </w:r>
          </w:p>
        </w:tc>
        <w:tc>
          <w:tcPr>
            <w:tcW w:w="486" w:type="pct"/>
            <w:vAlign w:val="center"/>
          </w:tcPr>
          <w:p w:rsidR="00DF5CB5" w:rsidRPr="00103A93" w:rsidRDefault="00DF5CB5" w:rsidP="00850F71">
            <w:pPr>
              <w:ind w:firstLine="0"/>
              <w:contextualSpacing/>
              <w:jc w:val="center"/>
              <w:rPr>
                <w:rFonts w:cs="Times New Roman"/>
                <w:sz w:val="20"/>
                <w:szCs w:val="20"/>
              </w:rPr>
            </w:pPr>
            <w:r w:rsidRPr="00103A93">
              <w:rPr>
                <w:rFonts w:cs="Times New Roman"/>
                <w:sz w:val="20"/>
                <w:szCs w:val="20"/>
              </w:rPr>
              <w:t>0,0000</w:t>
            </w:r>
          </w:p>
        </w:tc>
      </w:tr>
      <w:tr w:rsidR="00DF5CB5" w:rsidRPr="00A05C40" w:rsidTr="00706EAB">
        <w:trPr>
          <w:trHeight w:val="20"/>
        </w:trPr>
        <w:tc>
          <w:tcPr>
            <w:tcW w:w="597" w:type="pct"/>
            <w:vAlign w:val="center"/>
          </w:tcPr>
          <w:p w:rsidR="00DF5CB5" w:rsidRPr="00A05C40" w:rsidRDefault="00DF5CB5" w:rsidP="00850F71">
            <w:pPr>
              <w:ind w:firstLine="0"/>
              <w:contextualSpacing/>
              <w:jc w:val="center"/>
              <w:rPr>
                <w:rFonts w:cs="Times New Roman"/>
                <w:sz w:val="20"/>
                <w:szCs w:val="20"/>
              </w:rPr>
            </w:pPr>
          </w:p>
        </w:tc>
        <w:tc>
          <w:tcPr>
            <w:tcW w:w="170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Variâncias iguais não assumidas</w:t>
            </w:r>
          </w:p>
        </w:tc>
        <w:tc>
          <w:tcPr>
            <w:tcW w:w="525" w:type="pct"/>
            <w:vAlign w:val="center"/>
          </w:tcPr>
          <w:p w:rsidR="00DF5CB5" w:rsidRPr="00A05C40" w:rsidRDefault="00DF5CB5" w:rsidP="00850F71">
            <w:pPr>
              <w:ind w:firstLine="0"/>
              <w:contextualSpacing/>
              <w:jc w:val="center"/>
              <w:rPr>
                <w:rFonts w:cs="Times New Roman"/>
                <w:sz w:val="20"/>
                <w:szCs w:val="20"/>
              </w:rPr>
            </w:pPr>
          </w:p>
        </w:tc>
        <w:tc>
          <w:tcPr>
            <w:tcW w:w="464" w:type="pct"/>
            <w:vAlign w:val="center"/>
          </w:tcPr>
          <w:p w:rsidR="00DF5CB5" w:rsidRPr="00A05C40" w:rsidRDefault="00DF5CB5" w:rsidP="00850F71">
            <w:pPr>
              <w:ind w:firstLine="0"/>
              <w:contextualSpacing/>
              <w:jc w:val="center"/>
              <w:rPr>
                <w:rFonts w:cs="Times New Roman"/>
                <w:sz w:val="20"/>
                <w:szCs w:val="20"/>
              </w:rPr>
            </w:pPr>
          </w:p>
        </w:tc>
        <w:tc>
          <w:tcPr>
            <w:tcW w:w="594"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3,3988</w:t>
            </w:r>
          </w:p>
        </w:tc>
        <w:tc>
          <w:tcPr>
            <w:tcW w:w="629" w:type="pct"/>
            <w:vAlign w:val="center"/>
          </w:tcPr>
          <w:p w:rsidR="00DF5CB5" w:rsidRPr="00A05C40" w:rsidRDefault="00DF5CB5" w:rsidP="00850F71">
            <w:pPr>
              <w:ind w:firstLine="0"/>
              <w:contextualSpacing/>
              <w:jc w:val="center"/>
              <w:rPr>
                <w:rFonts w:cs="Times New Roman"/>
                <w:sz w:val="20"/>
                <w:szCs w:val="20"/>
              </w:rPr>
            </w:pPr>
            <w:r>
              <w:rPr>
                <w:rFonts w:cs="Times New Roman"/>
                <w:sz w:val="20"/>
                <w:szCs w:val="20"/>
              </w:rPr>
              <w:t>639,10</w:t>
            </w:r>
          </w:p>
        </w:tc>
        <w:tc>
          <w:tcPr>
            <w:tcW w:w="486" w:type="pct"/>
            <w:vAlign w:val="center"/>
          </w:tcPr>
          <w:p w:rsidR="00DF5CB5" w:rsidRPr="00103A93" w:rsidRDefault="00DF5CB5" w:rsidP="00850F71">
            <w:pPr>
              <w:ind w:firstLine="0"/>
              <w:contextualSpacing/>
              <w:jc w:val="center"/>
              <w:rPr>
                <w:rFonts w:cs="Times New Roman"/>
                <w:sz w:val="20"/>
                <w:szCs w:val="20"/>
              </w:rPr>
            </w:pPr>
            <w:r w:rsidRPr="00103A93">
              <w:rPr>
                <w:rFonts w:cs="Times New Roman"/>
                <w:sz w:val="20"/>
                <w:szCs w:val="20"/>
              </w:rPr>
              <w:t>0,0007</w:t>
            </w:r>
          </w:p>
        </w:tc>
      </w:tr>
    </w:tbl>
    <w:p w:rsidR="009D277E" w:rsidRDefault="009D277E" w:rsidP="00850F71">
      <w:pPr>
        <w:spacing w:line="276" w:lineRule="auto"/>
        <w:ind w:firstLine="0"/>
        <w:jc w:val="left"/>
        <w:rPr>
          <w:sz w:val="20"/>
          <w:szCs w:val="20"/>
        </w:rPr>
      </w:pPr>
      <w:r w:rsidRPr="005035B7">
        <w:rPr>
          <w:b/>
          <w:sz w:val="20"/>
          <w:szCs w:val="20"/>
        </w:rPr>
        <w:t>Fonte:</w:t>
      </w:r>
      <w:r>
        <w:rPr>
          <w:sz w:val="20"/>
          <w:szCs w:val="20"/>
        </w:rPr>
        <w:t xml:space="preserve"> d</w:t>
      </w:r>
      <w:r w:rsidRPr="005035B7">
        <w:rPr>
          <w:sz w:val="20"/>
          <w:szCs w:val="20"/>
        </w:rPr>
        <w:t>ados da pesquisa.</w:t>
      </w:r>
    </w:p>
    <w:p w:rsidR="00706EAB" w:rsidRPr="00D14181" w:rsidRDefault="00706EAB" w:rsidP="00850F71">
      <w:pPr>
        <w:spacing w:line="276" w:lineRule="auto"/>
        <w:ind w:firstLine="0"/>
        <w:jc w:val="left"/>
        <w:rPr>
          <w:szCs w:val="24"/>
        </w:rPr>
      </w:pPr>
    </w:p>
    <w:p w:rsidR="003A119D" w:rsidRDefault="003A119D" w:rsidP="00850F71">
      <w:r>
        <w:t xml:space="preserve">A Tabela </w:t>
      </w:r>
      <w:r w:rsidR="00850F71">
        <w:t>6</w:t>
      </w:r>
      <w:r>
        <w:t xml:space="preserve"> apresenta o teste de Levene para a homogeneidade das variâncias. Fávero, Belfiore, Silva e Chan (2009) explicam que o</w:t>
      </w:r>
      <w:r w:rsidRPr="00295558">
        <w:t xml:space="preserve"> teste de Levene é utilizado para testar a igualdade das variâncias populacionais entre dois grupos. Assim sendo, quando o teste </w:t>
      </w:r>
      <w:r w:rsidR="00850F71" w:rsidRPr="00295558">
        <w:t>se mostrar</w:t>
      </w:r>
      <w:r w:rsidRPr="00295558">
        <w:t xml:space="preserve"> significativo, conclui-se que as variâncias são significativamente diferentes, utilizando-se os </w:t>
      </w:r>
      <w:r w:rsidRPr="00295558">
        <w:lastRenderedPageBreak/>
        <w:t xml:space="preserve">dados das variâncias iguais não assumidas. Porém, quando o teste de Levene não </w:t>
      </w:r>
      <w:r w:rsidR="00850F71" w:rsidRPr="00295558">
        <w:t>se mostrar</w:t>
      </w:r>
      <w:r w:rsidRPr="00295558">
        <w:t xml:space="preserve"> significativo, deve-se aceitar a igualdade das variâncias, utilizando-se os dados das variâncias iguais assumidas (Fávero</w:t>
      </w:r>
      <w:r w:rsidR="0010298C">
        <w:t xml:space="preserve"> </w:t>
      </w:r>
      <w:r w:rsidR="0010298C" w:rsidRPr="0010298C">
        <w:rPr>
          <w:i/>
        </w:rPr>
        <w:t>et al</w:t>
      </w:r>
      <w:r w:rsidR="0010298C">
        <w:t xml:space="preserve">. </w:t>
      </w:r>
      <w:r w:rsidRPr="00295558">
        <w:t>2009).</w:t>
      </w:r>
    </w:p>
    <w:p w:rsidR="00103A93" w:rsidRDefault="003A119D" w:rsidP="00850F71">
      <w:r>
        <w:t xml:space="preserve">Sendo p-value = 0,000, conclui-se que as variâncias não são homogêneas e assim a estatística de teste a utilizar para o teste de </w:t>
      </w:r>
      <w:r w:rsidRPr="003A119D">
        <w:rPr>
          <w:i/>
        </w:rPr>
        <w:t>t-Student</w:t>
      </w:r>
      <w:r>
        <w:t xml:space="preserve"> é a que assume variâncias iguais não assumidas. </w:t>
      </w:r>
      <w:r w:rsidR="00103A93">
        <w:t>Dessa forma, pode-se concluir que as médias da rentabilidade, liquidez, do tamanho e da lucratividade entre as empresas que distribuíram dividendos e aquelas que não distribuíram são significativamente diferentes. Por outro lado, o endividamento não apresentou diferença significativa, ou seja, o nível de endividamento é muito similar entre as empresas que distribuíram dividendos e suas contrapartes.</w:t>
      </w:r>
    </w:p>
    <w:p w:rsidR="0008094B" w:rsidRDefault="00103A93" w:rsidP="00850F71">
      <w:r>
        <w:t xml:space="preserve">Diante de tais resultados, pode-se </w:t>
      </w:r>
      <w:r w:rsidR="0008094B">
        <w:t xml:space="preserve">afirmar </w:t>
      </w:r>
      <w:r>
        <w:t>que</w:t>
      </w:r>
      <w:r w:rsidR="0008094B">
        <w:t>, no período entre 2010 e 2016, as características das empresas que distribuíram dividendos são as maiores em termos de tamanho, são mais rentáveis e mais lucrativas, cujas diferenças de médias foram estatisticamente diferentes.  Em contrapartida, as empresas que não distribuíram dividendos são as que possuem maior índice de liquidez e maior nível de endividamento, apesar deste último não apresentar diferença de média significativa.</w:t>
      </w:r>
    </w:p>
    <w:p w:rsidR="00E35568" w:rsidRDefault="0008094B" w:rsidP="00850F71">
      <w:pPr>
        <w:rPr>
          <w:rFonts w:cs="Times New Roman"/>
          <w:szCs w:val="24"/>
        </w:rPr>
      </w:pPr>
      <w:r>
        <w:t xml:space="preserve">Tais resultados ajudam a suportar os resultados encontrados em estudos revisitados tanto nacionais quanto internacionais, tais como </w:t>
      </w:r>
      <w:r w:rsidR="00FD6A50">
        <w:t xml:space="preserve">Iquiapaza </w:t>
      </w:r>
      <w:r w:rsidR="00FD6A50" w:rsidRPr="00FD6A50">
        <w:rPr>
          <w:i/>
        </w:rPr>
        <w:t>et al</w:t>
      </w:r>
      <w:r w:rsidR="00FD6A50">
        <w:t>. (200</w:t>
      </w:r>
      <w:r w:rsidR="002B50F2">
        <w:t>8</w:t>
      </w:r>
      <w:r w:rsidR="00FD6A50">
        <w:t xml:space="preserve">), </w:t>
      </w:r>
      <w:r>
        <w:t xml:space="preserve">Gupta e Banga (2010), Holanda e Coelho (2012), </w:t>
      </w:r>
      <w:r>
        <w:rPr>
          <w:rFonts w:cs="Times New Roman"/>
          <w:szCs w:val="24"/>
        </w:rPr>
        <w:t xml:space="preserve">Fonteles </w:t>
      </w:r>
      <w:r w:rsidRPr="00A65E4F">
        <w:rPr>
          <w:rFonts w:cs="Times New Roman"/>
          <w:i/>
          <w:szCs w:val="24"/>
        </w:rPr>
        <w:t>et al</w:t>
      </w:r>
      <w:r>
        <w:rPr>
          <w:rFonts w:cs="Times New Roman"/>
          <w:szCs w:val="24"/>
        </w:rPr>
        <w:t xml:space="preserve">. (2013), </w:t>
      </w:r>
      <w:r w:rsidR="00FD6A50">
        <w:rPr>
          <w:szCs w:val="24"/>
        </w:rPr>
        <w:t xml:space="preserve">Vieira </w:t>
      </w:r>
      <w:r w:rsidR="00FD6A50" w:rsidRPr="00351535">
        <w:rPr>
          <w:i/>
          <w:szCs w:val="24"/>
        </w:rPr>
        <w:t>et al</w:t>
      </w:r>
      <w:r w:rsidR="00FD6A50">
        <w:rPr>
          <w:szCs w:val="24"/>
        </w:rPr>
        <w:t xml:space="preserve">. (2013), </w:t>
      </w:r>
      <w:r>
        <w:t xml:space="preserve">Almeida </w:t>
      </w:r>
      <w:r w:rsidRPr="0008094B">
        <w:rPr>
          <w:i/>
        </w:rPr>
        <w:t>et al</w:t>
      </w:r>
      <w:r>
        <w:t xml:space="preserve">. (2015), </w:t>
      </w:r>
      <w:r>
        <w:rPr>
          <w:szCs w:val="24"/>
        </w:rPr>
        <w:t xml:space="preserve">Forti </w:t>
      </w:r>
      <w:r w:rsidRPr="00471DB8">
        <w:rPr>
          <w:i/>
          <w:szCs w:val="24"/>
        </w:rPr>
        <w:t>et al</w:t>
      </w:r>
      <w:r>
        <w:rPr>
          <w:szCs w:val="24"/>
        </w:rPr>
        <w:t>. (2015)</w:t>
      </w:r>
      <w:r w:rsidR="00FD6A50">
        <w:rPr>
          <w:szCs w:val="24"/>
        </w:rPr>
        <w:t xml:space="preserve">, </w:t>
      </w:r>
      <w:r w:rsidRPr="00964858">
        <w:rPr>
          <w:szCs w:val="24"/>
        </w:rPr>
        <w:t xml:space="preserve">Vancin </w:t>
      </w:r>
      <w:r>
        <w:rPr>
          <w:szCs w:val="24"/>
        </w:rPr>
        <w:t xml:space="preserve">e </w:t>
      </w:r>
      <w:r w:rsidRPr="00964858">
        <w:rPr>
          <w:szCs w:val="24"/>
        </w:rPr>
        <w:t>Procianoy</w:t>
      </w:r>
      <w:r>
        <w:rPr>
          <w:szCs w:val="24"/>
        </w:rPr>
        <w:t xml:space="preserve"> (</w:t>
      </w:r>
      <w:r w:rsidRPr="00964858">
        <w:rPr>
          <w:szCs w:val="24"/>
        </w:rPr>
        <w:t>2016)</w:t>
      </w:r>
      <w:r w:rsidR="00FD6A50">
        <w:rPr>
          <w:szCs w:val="24"/>
        </w:rPr>
        <w:t xml:space="preserve"> e </w:t>
      </w:r>
      <w:r w:rsidR="00FD6A50">
        <w:t>Viana Júnior e Ponte (2016)</w:t>
      </w:r>
      <w:r w:rsidR="00FD6A50">
        <w:rPr>
          <w:szCs w:val="24"/>
        </w:rPr>
        <w:t xml:space="preserve">. </w:t>
      </w:r>
      <w:r w:rsidR="00103A93" w:rsidRPr="00C31AC4">
        <w:rPr>
          <w:szCs w:val="24"/>
        </w:rPr>
        <w:t xml:space="preserve">A fim de </w:t>
      </w:r>
      <w:r w:rsidR="00103A93">
        <w:rPr>
          <w:rFonts w:cs="Times New Roman"/>
          <w:szCs w:val="24"/>
        </w:rPr>
        <w:t xml:space="preserve">investigar os determinantes da política de dividendos em empresas brasileiras </w:t>
      </w:r>
      <w:r w:rsidR="00FD6A50">
        <w:rPr>
          <w:rFonts w:cs="Times New Roman"/>
          <w:szCs w:val="24"/>
        </w:rPr>
        <w:t xml:space="preserve">utilizou-se na análise de Regressão Logística, cujos resultados são apresentados na Tabela </w:t>
      </w:r>
      <w:r w:rsidR="00850F71">
        <w:rPr>
          <w:rFonts w:cs="Times New Roman"/>
          <w:szCs w:val="24"/>
        </w:rPr>
        <w:t>7</w:t>
      </w:r>
      <w:r w:rsidR="00FD6A50">
        <w:rPr>
          <w:rFonts w:cs="Times New Roman"/>
          <w:szCs w:val="24"/>
        </w:rPr>
        <w:t>.</w:t>
      </w:r>
    </w:p>
    <w:p w:rsidR="00B45726" w:rsidRDefault="00B45726" w:rsidP="00850F71">
      <w:pPr>
        <w:rPr>
          <w:rFonts w:cs="Times New Roman"/>
          <w:szCs w:val="24"/>
        </w:rPr>
      </w:pPr>
    </w:p>
    <w:p w:rsidR="00B61D34" w:rsidRDefault="00C04CF9" w:rsidP="00850F71">
      <w:pPr>
        <w:ind w:firstLine="0"/>
      </w:pPr>
      <w:r>
        <w:rPr>
          <w:b/>
          <w:szCs w:val="24"/>
        </w:rPr>
        <w:t xml:space="preserve">Tabela </w:t>
      </w:r>
      <w:r w:rsidR="00850F71">
        <w:rPr>
          <w:b/>
          <w:szCs w:val="24"/>
        </w:rPr>
        <w:t>7</w:t>
      </w:r>
      <w:r>
        <w:rPr>
          <w:b/>
          <w:szCs w:val="24"/>
        </w:rPr>
        <w:t xml:space="preserve"> – Fatores determinantes da distribuição de pagamentos</w:t>
      </w:r>
    </w:p>
    <w:tbl>
      <w:tblPr>
        <w:tblStyle w:val="Tabelacomgrade"/>
        <w:tblW w:w="4961" w:type="pct"/>
        <w:tblBorders>
          <w:insideH w:val="single" w:sz="8" w:space="0" w:color="auto"/>
          <w:insideV w:val="single" w:sz="8" w:space="0" w:color="auto"/>
        </w:tblBorders>
        <w:tblLook w:val="04A0" w:firstRow="1" w:lastRow="0" w:firstColumn="1" w:lastColumn="0" w:noHBand="0" w:noVBand="1"/>
      </w:tblPr>
      <w:tblGrid>
        <w:gridCol w:w="1811"/>
        <w:gridCol w:w="2833"/>
        <w:gridCol w:w="1436"/>
        <w:gridCol w:w="1667"/>
        <w:gridCol w:w="1253"/>
      </w:tblGrid>
      <w:tr w:rsidR="00AC7469" w:rsidRPr="005D721B" w:rsidTr="00706EAB">
        <w:trPr>
          <w:trHeight w:val="20"/>
        </w:trPr>
        <w:tc>
          <w:tcPr>
            <w:tcW w:w="1006" w:type="pct"/>
            <w:tcBorders>
              <w:top w:val="single" w:sz="12" w:space="0" w:color="auto"/>
              <w:bottom w:val="single" w:sz="12" w:space="0" w:color="auto"/>
            </w:tcBorders>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Variáveis</w:t>
            </w:r>
          </w:p>
        </w:tc>
        <w:tc>
          <w:tcPr>
            <w:tcW w:w="1574" w:type="pct"/>
            <w:tcBorders>
              <w:top w:val="single" w:sz="12" w:space="0" w:color="auto"/>
              <w:bottom w:val="single" w:sz="12" w:space="0" w:color="auto"/>
            </w:tcBorders>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Relação Esperada</w:t>
            </w:r>
          </w:p>
        </w:tc>
        <w:tc>
          <w:tcPr>
            <w:tcW w:w="798" w:type="pct"/>
            <w:tcBorders>
              <w:top w:val="single" w:sz="12" w:space="0" w:color="auto"/>
              <w:bottom w:val="single" w:sz="12" w:space="0" w:color="auto"/>
            </w:tcBorders>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β</w:t>
            </w:r>
          </w:p>
        </w:tc>
        <w:tc>
          <w:tcPr>
            <w:tcW w:w="926" w:type="pct"/>
            <w:tcBorders>
              <w:top w:val="single" w:sz="12" w:space="0" w:color="auto"/>
              <w:bottom w:val="single" w:sz="12" w:space="0" w:color="auto"/>
            </w:tcBorders>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Wald</w:t>
            </w:r>
          </w:p>
        </w:tc>
        <w:tc>
          <w:tcPr>
            <w:tcW w:w="696" w:type="pct"/>
            <w:tcBorders>
              <w:top w:val="single" w:sz="12" w:space="0" w:color="auto"/>
              <w:bottom w:val="single" w:sz="12" w:space="0" w:color="auto"/>
            </w:tcBorders>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Sig</w:t>
            </w:r>
          </w:p>
        </w:tc>
      </w:tr>
      <w:tr w:rsidR="00AC7469" w:rsidRPr="005D721B" w:rsidTr="00706EAB">
        <w:trPr>
          <w:trHeight w:val="20"/>
        </w:trPr>
        <w:tc>
          <w:tcPr>
            <w:tcW w:w="1006" w:type="pct"/>
            <w:tcBorders>
              <w:top w:val="single" w:sz="12" w:space="0" w:color="auto"/>
            </w:tcBorders>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Constante</w:t>
            </w:r>
          </w:p>
        </w:tc>
        <w:tc>
          <w:tcPr>
            <w:tcW w:w="1574" w:type="pct"/>
            <w:tcBorders>
              <w:top w:val="single" w:sz="12" w:space="0" w:color="auto"/>
            </w:tcBorders>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Não se aplica</w:t>
            </w:r>
          </w:p>
        </w:tc>
        <w:tc>
          <w:tcPr>
            <w:tcW w:w="798" w:type="pct"/>
            <w:tcBorders>
              <w:top w:val="single" w:sz="12" w:space="0" w:color="auto"/>
            </w:tcBorders>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-3,7292</w:t>
            </w:r>
          </w:p>
        </w:tc>
        <w:tc>
          <w:tcPr>
            <w:tcW w:w="926" w:type="pct"/>
            <w:tcBorders>
              <w:top w:val="single" w:sz="12" w:space="0" w:color="auto"/>
            </w:tcBorders>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67,7277</w:t>
            </w:r>
          </w:p>
        </w:tc>
        <w:tc>
          <w:tcPr>
            <w:tcW w:w="696" w:type="pct"/>
            <w:tcBorders>
              <w:top w:val="single" w:sz="12" w:space="0" w:color="auto"/>
            </w:tcBorders>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0,0000</w:t>
            </w:r>
          </w:p>
        </w:tc>
      </w:tr>
      <w:tr w:rsidR="00AC7469" w:rsidRPr="005D721B" w:rsidTr="00706EAB">
        <w:trPr>
          <w:trHeight w:val="20"/>
        </w:trPr>
        <w:tc>
          <w:tcPr>
            <w:tcW w:w="100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RENT</w:t>
            </w:r>
          </w:p>
        </w:tc>
        <w:tc>
          <w:tcPr>
            <w:tcW w:w="1574" w:type="pct"/>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w:t>
            </w:r>
          </w:p>
        </w:tc>
        <w:tc>
          <w:tcPr>
            <w:tcW w:w="798"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3,1443</w:t>
            </w:r>
          </w:p>
        </w:tc>
        <w:tc>
          <w:tcPr>
            <w:tcW w:w="92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25,9704</w:t>
            </w:r>
          </w:p>
        </w:tc>
        <w:tc>
          <w:tcPr>
            <w:tcW w:w="69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0,0000</w:t>
            </w:r>
          </w:p>
        </w:tc>
      </w:tr>
      <w:tr w:rsidR="00AC7469" w:rsidRPr="005D721B" w:rsidTr="00706EAB">
        <w:trPr>
          <w:trHeight w:val="20"/>
        </w:trPr>
        <w:tc>
          <w:tcPr>
            <w:tcW w:w="100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LIQ</w:t>
            </w:r>
          </w:p>
        </w:tc>
        <w:tc>
          <w:tcPr>
            <w:tcW w:w="1574" w:type="pct"/>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w:t>
            </w:r>
          </w:p>
        </w:tc>
        <w:tc>
          <w:tcPr>
            <w:tcW w:w="798"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-0,0006</w:t>
            </w:r>
          </w:p>
        </w:tc>
        <w:tc>
          <w:tcPr>
            <w:tcW w:w="92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2,1617</w:t>
            </w:r>
          </w:p>
        </w:tc>
        <w:tc>
          <w:tcPr>
            <w:tcW w:w="69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0,1415</w:t>
            </w:r>
          </w:p>
        </w:tc>
      </w:tr>
      <w:tr w:rsidR="00AC7469" w:rsidRPr="005D721B" w:rsidTr="00706EAB">
        <w:trPr>
          <w:trHeight w:val="20"/>
        </w:trPr>
        <w:tc>
          <w:tcPr>
            <w:tcW w:w="100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END</w:t>
            </w:r>
          </w:p>
        </w:tc>
        <w:tc>
          <w:tcPr>
            <w:tcW w:w="1574" w:type="pct"/>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w:t>
            </w:r>
          </w:p>
        </w:tc>
        <w:tc>
          <w:tcPr>
            <w:tcW w:w="798"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-2,2291</w:t>
            </w:r>
          </w:p>
        </w:tc>
        <w:tc>
          <w:tcPr>
            <w:tcW w:w="92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59,8874</w:t>
            </w:r>
          </w:p>
        </w:tc>
        <w:tc>
          <w:tcPr>
            <w:tcW w:w="69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0,0000</w:t>
            </w:r>
          </w:p>
        </w:tc>
      </w:tr>
      <w:tr w:rsidR="00AC7469" w:rsidRPr="005D721B" w:rsidTr="00706EAB">
        <w:trPr>
          <w:trHeight w:val="20"/>
        </w:trPr>
        <w:tc>
          <w:tcPr>
            <w:tcW w:w="100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TAM</w:t>
            </w:r>
          </w:p>
        </w:tc>
        <w:tc>
          <w:tcPr>
            <w:tcW w:w="1574" w:type="pct"/>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w:t>
            </w:r>
          </w:p>
        </w:tc>
        <w:tc>
          <w:tcPr>
            <w:tcW w:w="798"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0,3672</w:t>
            </w:r>
          </w:p>
        </w:tc>
        <w:tc>
          <w:tcPr>
            <w:tcW w:w="92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115,7297</w:t>
            </w:r>
          </w:p>
        </w:tc>
        <w:tc>
          <w:tcPr>
            <w:tcW w:w="69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0,0000</w:t>
            </w:r>
          </w:p>
        </w:tc>
      </w:tr>
      <w:tr w:rsidR="00AC7469" w:rsidRPr="005D721B" w:rsidTr="00706EAB">
        <w:trPr>
          <w:trHeight w:val="20"/>
        </w:trPr>
        <w:tc>
          <w:tcPr>
            <w:tcW w:w="100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ROE</w:t>
            </w:r>
          </w:p>
        </w:tc>
        <w:tc>
          <w:tcPr>
            <w:tcW w:w="1574" w:type="pct"/>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w:t>
            </w:r>
          </w:p>
        </w:tc>
        <w:tc>
          <w:tcPr>
            <w:tcW w:w="798"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0,0926</w:t>
            </w:r>
          </w:p>
        </w:tc>
        <w:tc>
          <w:tcPr>
            <w:tcW w:w="92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0,9155</w:t>
            </w:r>
          </w:p>
        </w:tc>
        <w:tc>
          <w:tcPr>
            <w:tcW w:w="69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0,3387</w:t>
            </w:r>
          </w:p>
        </w:tc>
      </w:tr>
      <w:tr w:rsidR="00AC7469" w:rsidRPr="005D721B" w:rsidTr="00706EAB">
        <w:trPr>
          <w:trHeight w:val="20"/>
        </w:trPr>
        <w:tc>
          <w:tcPr>
            <w:tcW w:w="100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DIVANT</w:t>
            </w:r>
          </w:p>
        </w:tc>
        <w:tc>
          <w:tcPr>
            <w:tcW w:w="1574" w:type="pct"/>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w:t>
            </w:r>
          </w:p>
        </w:tc>
        <w:tc>
          <w:tcPr>
            <w:tcW w:w="798"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4,3955</w:t>
            </w:r>
          </w:p>
        </w:tc>
        <w:tc>
          <w:tcPr>
            <w:tcW w:w="92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11,4906</w:t>
            </w:r>
          </w:p>
        </w:tc>
        <w:tc>
          <w:tcPr>
            <w:tcW w:w="69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0,0007</w:t>
            </w:r>
          </w:p>
        </w:tc>
      </w:tr>
      <w:tr w:rsidR="00AC7469" w:rsidRPr="005D721B" w:rsidTr="00706EAB">
        <w:trPr>
          <w:trHeight w:val="20"/>
        </w:trPr>
        <w:tc>
          <w:tcPr>
            <w:tcW w:w="1006" w:type="pct"/>
            <w:vAlign w:val="center"/>
          </w:tcPr>
          <w:p w:rsidR="00AC7469" w:rsidRPr="005D721B" w:rsidRDefault="000111FF" w:rsidP="00850F71">
            <w:pPr>
              <w:ind w:firstLine="0"/>
              <w:contextualSpacing/>
              <w:jc w:val="center"/>
              <w:rPr>
                <w:rFonts w:cs="Times New Roman"/>
                <w:sz w:val="20"/>
                <w:szCs w:val="20"/>
              </w:rPr>
            </w:pPr>
            <w:r w:rsidRPr="005D721B">
              <w:rPr>
                <w:rFonts w:cs="Times New Roman"/>
                <w:sz w:val="20"/>
                <w:szCs w:val="20"/>
              </w:rPr>
              <w:t>ANO</w:t>
            </w:r>
            <w:r w:rsidR="00AC7469" w:rsidRPr="005D721B">
              <w:rPr>
                <w:rFonts w:cs="Times New Roman"/>
                <w:sz w:val="20"/>
                <w:szCs w:val="20"/>
              </w:rPr>
              <w:t>2011</w:t>
            </w:r>
          </w:p>
        </w:tc>
        <w:tc>
          <w:tcPr>
            <w:tcW w:w="1574" w:type="pct"/>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Não se aplica</w:t>
            </w:r>
          </w:p>
        </w:tc>
        <w:tc>
          <w:tcPr>
            <w:tcW w:w="798"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0,2163</w:t>
            </w:r>
          </w:p>
        </w:tc>
        <w:tc>
          <w:tcPr>
            <w:tcW w:w="92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0,9737</w:t>
            </w:r>
          </w:p>
        </w:tc>
        <w:tc>
          <w:tcPr>
            <w:tcW w:w="69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0,3238</w:t>
            </w:r>
          </w:p>
        </w:tc>
      </w:tr>
      <w:tr w:rsidR="00AC7469" w:rsidRPr="005D721B" w:rsidTr="00706EAB">
        <w:trPr>
          <w:trHeight w:val="20"/>
        </w:trPr>
        <w:tc>
          <w:tcPr>
            <w:tcW w:w="100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A</w:t>
            </w:r>
            <w:r w:rsidR="000111FF" w:rsidRPr="005D721B">
              <w:rPr>
                <w:rFonts w:cs="Times New Roman"/>
                <w:sz w:val="20"/>
                <w:szCs w:val="20"/>
              </w:rPr>
              <w:t>NO</w:t>
            </w:r>
            <w:r w:rsidRPr="005D721B">
              <w:rPr>
                <w:rFonts w:cs="Times New Roman"/>
                <w:sz w:val="20"/>
                <w:szCs w:val="20"/>
              </w:rPr>
              <w:t>2012</w:t>
            </w:r>
          </w:p>
        </w:tc>
        <w:tc>
          <w:tcPr>
            <w:tcW w:w="1574" w:type="pct"/>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Não se aplica</w:t>
            </w:r>
          </w:p>
        </w:tc>
        <w:tc>
          <w:tcPr>
            <w:tcW w:w="798"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0,0805</w:t>
            </w:r>
          </w:p>
        </w:tc>
        <w:tc>
          <w:tcPr>
            <w:tcW w:w="92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0,1402</w:t>
            </w:r>
          </w:p>
        </w:tc>
        <w:tc>
          <w:tcPr>
            <w:tcW w:w="69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0,7081</w:t>
            </w:r>
          </w:p>
        </w:tc>
      </w:tr>
      <w:tr w:rsidR="00AC7469" w:rsidRPr="005D721B" w:rsidTr="00706EAB">
        <w:trPr>
          <w:trHeight w:val="20"/>
        </w:trPr>
        <w:tc>
          <w:tcPr>
            <w:tcW w:w="1006" w:type="pct"/>
            <w:vAlign w:val="center"/>
          </w:tcPr>
          <w:p w:rsidR="00AC7469" w:rsidRPr="005D721B" w:rsidRDefault="000111FF" w:rsidP="00850F71">
            <w:pPr>
              <w:ind w:firstLine="0"/>
              <w:contextualSpacing/>
              <w:jc w:val="center"/>
              <w:rPr>
                <w:rFonts w:cs="Times New Roman"/>
                <w:sz w:val="20"/>
                <w:szCs w:val="20"/>
              </w:rPr>
            </w:pPr>
            <w:r w:rsidRPr="005D721B">
              <w:rPr>
                <w:rFonts w:cs="Times New Roman"/>
                <w:sz w:val="20"/>
                <w:szCs w:val="20"/>
              </w:rPr>
              <w:t>ANO</w:t>
            </w:r>
            <w:r w:rsidR="00AC7469" w:rsidRPr="005D721B">
              <w:rPr>
                <w:rFonts w:cs="Times New Roman"/>
                <w:sz w:val="20"/>
                <w:szCs w:val="20"/>
              </w:rPr>
              <w:t>2013</w:t>
            </w:r>
          </w:p>
        </w:tc>
        <w:tc>
          <w:tcPr>
            <w:tcW w:w="1574" w:type="pct"/>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Não se aplica</w:t>
            </w:r>
          </w:p>
        </w:tc>
        <w:tc>
          <w:tcPr>
            <w:tcW w:w="798"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0,0970</w:t>
            </w:r>
          </w:p>
        </w:tc>
        <w:tc>
          <w:tcPr>
            <w:tcW w:w="92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0,2034</w:t>
            </w:r>
          </w:p>
        </w:tc>
        <w:tc>
          <w:tcPr>
            <w:tcW w:w="69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0,6520</w:t>
            </w:r>
          </w:p>
        </w:tc>
      </w:tr>
      <w:tr w:rsidR="00AC7469" w:rsidRPr="005D721B" w:rsidTr="00706EAB">
        <w:trPr>
          <w:trHeight w:val="20"/>
        </w:trPr>
        <w:tc>
          <w:tcPr>
            <w:tcW w:w="1006" w:type="pct"/>
            <w:vAlign w:val="center"/>
          </w:tcPr>
          <w:p w:rsidR="00AC7469" w:rsidRPr="005D721B" w:rsidRDefault="000111FF" w:rsidP="00850F71">
            <w:pPr>
              <w:ind w:firstLine="0"/>
              <w:contextualSpacing/>
              <w:jc w:val="center"/>
              <w:rPr>
                <w:rFonts w:cs="Times New Roman"/>
                <w:sz w:val="20"/>
                <w:szCs w:val="20"/>
              </w:rPr>
            </w:pPr>
            <w:r w:rsidRPr="005D721B">
              <w:rPr>
                <w:rFonts w:cs="Times New Roman"/>
                <w:sz w:val="20"/>
                <w:szCs w:val="20"/>
              </w:rPr>
              <w:t>ANO</w:t>
            </w:r>
            <w:r w:rsidR="00AC7469" w:rsidRPr="005D721B">
              <w:rPr>
                <w:rFonts w:cs="Times New Roman"/>
                <w:sz w:val="20"/>
                <w:szCs w:val="20"/>
              </w:rPr>
              <w:t>2014</w:t>
            </w:r>
          </w:p>
        </w:tc>
        <w:tc>
          <w:tcPr>
            <w:tcW w:w="1574" w:type="pct"/>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Não se aplica</w:t>
            </w:r>
          </w:p>
        </w:tc>
        <w:tc>
          <w:tcPr>
            <w:tcW w:w="798"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0,2453</w:t>
            </w:r>
          </w:p>
        </w:tc>
        <w:tc>
          <w:tcPr>
            <w:tcW w:w="92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1,2947</w:t>
            </w:r>
          </w:p>
        </w:tc>
        <w:tc>
          <w:tcPr>
            <w:tcW w:w="69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0,2552</w:t>
            </w:r>
          </w:p>
        </w:tc>
      </w:tr>
      <w:tr w:rsidR="00AC7469" w:rsidRPr="005D721B" w:rsidTr="00706EAB">
        <w:trPr>
          <w:trHeight w:val="20"/>
        </w:trPr>
        <w:tc>
          <w:tcPr>
            <w:tcW w:w="1006" w:type="pct"/>
            <w:vAlign w:val="center"/>
          </w:tcPr>
          <w:p w:rsidR="00AC7469" w:rsidRPr="005D721B" w:rsidRDefault="000111FF" w:rsidP="00850F71">
            <w:pPr>
              <w:ind w:firstLine="0"/>
              <w:contextualSpacing/>
              <w:jc w:val="center"/>
              <w:rPr>
                <w:rFonts w:cs="Times New Roman"/>
                <w:sz w:val="20"/>
                <w:szCs w:val="20"/>
              </w:rPr>
            </w:pPr>
            <w:r w:rsidRPr="005D721B">
              <w:rPr>
                <w:rFonts w:cs="Times New Roman"/>
                <w:sz w:val="20"/>
                <w:szCs w:val="20"/>
              </w:rPr>
              <w:t>ANO</w:t>
            </w:r>
            <w:r w:rsidR="00AC7469" w:rsidRPr="005D721B">
              <w:rPr>
                <w:rFonts w:cs="Times New Roman"/>
                <w:sz w:val="20"/>
                <w:szCs w:val="20"/>
              </w:rPr>
              <w:t>2015</w:t>
            </w:r>
          </w:p>
        </w:tc>
        <w:tc>
          <w:tcPr>
            <w:tcW w:w="1574" w:type="pct"/>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Não se aplica</w:t>
            </w:r>
          </w:p>
        </w:tc>
        <w:tc>
          <w:tcPr>
            <w:tcW w:w="798"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0,0666</w:t>
            </w:r>
          </w:p>
        </w:tc>
        <w:tc>
          <w:tcPr>
            <w:tcW w:w="92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0,1005</w:t>
            </w:r>
          </w:p>
        </w:tc>
        <w:tc>
          <w:tcPr>
            <w:tcW w:w="69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0,7512</w:t>
            </w:r>
          </w:p>
        </w:tc>
      </w:tr>
      <w:tr w:rsidR="00AC7469" w:rsidRPr="005D721B" w:rsidTr="00706EAB">
        <w:trPr>
          <w:trHeight w:val="20"/>
        </w:trPr>
        <w:tc>
          <w:tcPr>
            <w:tcW w:w="1006" w:type="pct"/>
            <w:vAlign w:val="center"/>
          </w:tcPr>
          <w:p w:rsidR="00AC7469" w:rsidRPr="005D721B" w:rsidRDefault="000111FF" w:rsidP="00850F71">
            <w:pPr>
              <w:ind w:firstLine="0"/>
              <w:contextualSpacing/>
              <w:jc w:val="center"/>
              <w:rPr>
                <w:rFonts w:cs="Times New Roman"/>
                <w:sz w:val="20"/>
                <w:szCs w:val="20"/>
              </w:rPr>
            </w:pPr>
            <w:r w:rsidRPr="005D721B">
              <w:rPr>
                <w:rFonts w:cs="Times New Roman"/>
                <w:sz w:val="20"/>
                <w:szCs w:val="20"/>
              </w:rPr>
              <w:t>ANO</w:t>
            </w:r>
            <w:r w:rsidR="00AC7469" w:rsidRPr="005D721B">
              <w:rPr>
                <w:rFonts w:cs="Times New Roman"/>
                <w:sz w:val="20"/>
                <w:szCs w:val="20"/>
              </w:rPr>
              <w:t>2016</w:t>
            </w:r>
          </w:p>
        </w:tc>
        <w:tc>
          <w:tcPr>
            <w:tcW w:w="1574" w:type="pct"/>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Não se aplica</w:t>
            </w:r>
          </w:p>
        </w:tc>
        <w:tc>
          <w:tcPr>
            <w:tcW w:w="798"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-0,0698</w:t>
            </w:r>
          </w:p>
        </w:tc>
        <w:tc>
          <w:tcPr>
            <w:tcW w:w="92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0,1136</w:t>
            </w:r>
          </w:p>
        </w:tc>
        <w:tc>
          <w:tcPr>
            <w:tcW w:w="696" w:type="pct"/>
            <w:vAlign w:val="center"/>
          </w:tcPr>
          <w:p w:rsidR="00AC7469" w:rsidRPr="005D721B" w:rsidRDefault="00AC7469" w:rsidP="00850F71">
            <w:pPr>
              <w:ind w:firstLine="0"/>
              <w:contextualSpacing/>
              <w:jc w:val="center"/>
              <w:rPr>
                <w:rFonts w:cs="Times New Roman"/>
                <w:sz w:val="20"/>
                <w:szCs w:val="20"/>
              </w:rPr>
            </w:pPr>
            <w:r w:rsidRPr="005D721B">
              <w:rPr>
                <w:rFonts w:cs="Times New Roman"/>
                <w:sz w:val="20"/>
                <w:szCs w:val="20"/>
              </w:rPr>
              <w:t>0,7361</w:t>
            </w:r>
          </w:p>
        </w:tc>
      </w:tr>
      <w:tr w:rsidR="00AC7469" w:rsidRPr="005D721B" w:rsidTr="00706EAB">
        <w:trPr>
          <w:trHeight w:val="20"/>
        </w:trPr>
        <w:tc>
          <w:tcPr>
            <w:tcW w:w="5000" w:type="pct"/>
            <w:gridSpan w:val="5"/>
          </w:tcPr>
          <w:p w:rsidR="00AC7469" w:rsidRPr="005D721B" w:rsidRDefault="00AC7469" w:rsidP="00850F71">
            <w:pPr>
              <w:ind w:firstLine="0"/>
              <w:contextualSpacing/>
              <w:jc w:val="left"/>
              <w:rPr>
                <w:rFonts w:cs="Times New Roman"/>
                <w:sz w:val="20"/>
                <w:szCs w:val="20"/>
              </w:rPr>
            </w:pPr>
            <w:r w:rsidRPr="005D721B">
              <w:rPr>
                <w:rFonts w:cs="Times New Roman"/>
                <w:sz w:val="20"/>
                <w:szCs w:val="20"/>
              </w:rPr>
              <w:t>Teste do Rácio de Verosimilhança: α: 1.956,373</w:t>
            </w:r>
          </w:p>
        </w:tc>
      </w:tr>
      <w:tr w:rsidR="00AC7469" w:rsidRPr="005D721B" w:rsidTr="00706EAB">
        <w:trPr>
          <w:trHeight w:val="20"/>
        </w:trPr>
        <w:tc>
          <w:tcPr>
            <w:tcW w:w="5000" w:type="pct"/>
            <w:gridSpan w:val="5"/>
          </w:tcPr>
          <w:p w:rsidR="00AC7469" w:rsidRPr="005D721B" w:rsidRDefault="00AC7469" w:rsidP="00850F71">
            <w:pPr>
              <w:ind w:firstLine="0"/>
              <w:contextualSpacing/>
              <w:jc w:val="left"/>
              <w:rPr>
                <w:rFonts w:cs="Times New Roman"/>
                <w:sz w:val="20"/>
                <w:szCs w:val="20"/>
              </w:rPr>
            </w:pPr>
            <w:r w:rsidRPr="005D721B">
              <w:rPr>
                <w:rFonts w:cs="Times New Roman"/>
                <w:sz w:val="20"/>
                <w:szCs w:val="20"/>
              </w:rPr>
              <w:t>Teste de ajustamento de Hosmer e Lemeshow: α: 0,000</w:t>
            </w:r>
          </w:p>
        </w:tc>
      </w:tr>
      <w:tr w:rsidR="00AC7469" w:rsidRPr="00C04CF9" w:rsidTr="00706EAB">
        <w:trPr>
          <w:trHeight w:val="20"/>
        </w:trPr>
        <w:tc>
          <w:tcPr>
            <w:tcW w:w="5000" w:type="pct"/>
            <w:gridSpan w:val="5"/>
          </w:tcPr>
          <w:p w:rsidR="00AC7469" w:rsidRPr="00C04CF9" w:rsidRDefault="00AC7469" w:rsidP="00850F71">
            <w:pPr>
              <w:ind w:firstLine="0"/>
              <w:contextualSpacing/>
              <w:jc w:val="left"/>
              <w:rPr>
                <w:rFonts w:cs="Times New Roman"/>
                <w:sz w:val="20"/>
                <w:szCs w:val="20"/>
              </w:rPr>
            </w:pPr>
            <w:r w:rsidRPr="005D721B">
              <w:rPr>
                <w:rFonts w:cs="Times New Roman"/>
                <w:sz w:val="20"/>
                <w:szCs w:val="20"/>
              </w:rPr>
              <w:t>Pseudo R</w:t>
            </w:r>
            <w:r w:rsidRPr="005D721B">
              <w:rPr>
                <w:rFonts w:cs="Times New Roman"/>
                <w:sz w:val="20"/>
                <w:szCs w:val="20"/>
                <w:vertAlign w:val="superscript"/>
              </w:rPr>
              <w:t>2</w:t>
            </w:r>
            <w:r w:rsidRPr="005D721B">
              <w:rPr>
                <w:rFonts w:cs="Times New Roman"/>
                <w:sz w:val="20"/>
                <w:szCs w:val="20"/>
              </w:rPr>
              <w:t xml:space="preserve"> Nagelkerke: α: 0,223</w:t>
            </w:r>
          </w:p>
        </w:tc>
      </w:tr>
    </w:tbl>
    <w:p w:rsidR="00C04CF9" w:rsidRDefault="00C04CF9" w:rsidP="00850F71">
      <w:pPr>
        <w:spacing w:line="276" w:lineRule="auto"/>
        <w:ind w:firstLine="0"/>
        <w:jc w:val="left"/>
        <w:rPr>
          <w:sz w:val="20"/>
          <w:szCs w:val="20"/>
        </w:rPr>
      </w:pPr>
      <w:r w:rsidRPr="005035B7">
        <w:rPr>
          <w:b/>
          <w:sz w:val="20"/>
          <w:szCs w:val="20"/>
        </w:rPr>
        <w:t>Fonte:</w:t>
      </w:r>
      <w:r>
        <w:rPr>
          <w:sz w:val="20"/>
          <w:szCs w:val="20"/>
        </w:rPr>
        <w:t xml:space="preserve"> d</w:t>
      </w:r>
      <w:r w:rsidRPr="005035B7">
        <w:rPr>
          <w:sz w:val="20"/>
          <w:szCs w:val="20"/>
        </w:rPr>
        <w:t>ados da pesquisa.</w:t>
      </w:r>
    </w:p>
    <w:p w:rsidR="00706EAB" w:rsidRPr="00706EAB" w:rsidRDefault="00706EAB" w:rsidP="00850F71">
      <w:pPr>
        <w:spacing w:line="276" w:lineRule="auto"/>
        <w:ind w:firstLine="0"/>
        <w:jc w:val="left"/>
        <w:rPr>
          <w:szCs w:val="24"/>
        </w:rPr>
      </w:pPr>
    </w:p>
    <w:p w:rsidR="00963D16" w:rsidRDefault="00963D16" w:rsidP="00850F71">
      <w:r>
        <w:t xml:space="preserve">Os resultados apresentados na Tabela </w:t>
      </w:r>
      <w:r w:rsidR="00850F71">
        <w:t>7</w:t>
      </w:r>
      <w:r>
        <w:t xml:space="preserve"> indicam como fatores com maior probabilidade de influenciar de forma positiva e significativa na decisão das empresas em distribuir parte dos seus resultados em forma de pagamento de dividendos a rentabilidade (RENT)</w:t>
      </w:r>
      <w:r w:rsidR="00062094">
        <w:t xml:space="preserve">, </w:t>
      </w:r>
      <w:r>
        <w:t>o tamanho (TAM) da empresa, mensurada pelos seus ativos</w:t>
      </w:r>
      <w:r w:rsidR="00062094">
        <w:t>, e a distribuição dos dividendos no período anterior</w:t>
      </w:r>
      <w:r w:rsidR="001C7436">
        <w:t xml:space="preserve"> </w:t>
      </w:r>
      <w:r w:rsidR="00062094">
        <w:t>(DIVANT)</w:t>
      </w:r>
      <w:r>
        <w:t xml:space="preserve">. Estes </w:t>
      </w:r>
      <w:r w:rsidR="00062094">
        <w:t xml:space="preserve">três </w:t>
      </w:r>
      <w:r>
        <w:t xml:space="preserve">fatores foram os que apresentaram os coeficientes mais elevados. </w:t>
      </w:r>
      <w:r>
        <w:lastRenderedPageBreak/>
        <w:t>A lucratividade também apresentou coeficiente positivo, no entanto não significativo. Tais resultados são suportados pela literatura revisitada.</w:t>
      </w:r>
    </w:p>
    <w:p w:rsidR="00B61D34" w:rsidRDefault="00963D16" w:rsidP="00850F71">
      <w:r>
        <w:t xml:space="preserve">Em </w:t>
      </w:r>
      <w:r w:rsidR="00850F71">
        <w:t>contrapartida</w:t>
      </w:r>
      <w:r>
        <w:t xml:space="preserve">, </w:t>
      </w:r>
      <w:r w:rsidR="000111FF">
        <w:t xml:space="preserve">a liquidez (LIQ) e o endividamento (END), apresentaram seus coeficientes negativos, indicando a probabilidade de influenciar negativamente a decisão das organizações na decisão acerca da distribuição dos dividendos. Deve-se destacar que o elevado coeficiente negativo e significativo apresentado pelo endividamento (END), é um resultado esperado e suportado pela literatura revisita. No entanto, apesar de não significativo, </w:t>
      </w:r>
      <w:r w:rsidR="00850F71">
        <w:t>esperava-se</w:t>
      </w:r>
      <w:r w:rsidR="000111FF">
        <w:t xml:space="preserve"> um coeficiente positivo para a liquidez (LIQ), ou seja, esperava-se que a liquidez possuísse uma probabilidade de influenciar positivamente na decisão das empresas em distribuir parte dos seus resultados em forma de pagamento de dividendos.</w:t>
      </w:r>
    </w:p>
    <w:p w:rsidR="00062094" w:rsidRDefault="00062094" w:rsidP="00850F71">
      <w:r>
        <w:t xml:space="preserve">De forma sucinta, pode-se afirmar que os determinantes que apresentaram maior probabilidade de influenciar </w:t>
      </w:r>
      <w:r w:rsidR="001C7436">
        <w:t xml:space="preserve">de forma positiva e significativa </w:t>
      </w:r>
      <w:r>
        <w:t>na política de dividendos das organizações são a</w:t>
      </w:r>
      <w:r w:rsidR="001C7436">
        <w:t xml:space="preserve"> rentabilidade (RENT) e os dividendos pagos no exercício anterior (DIVANT), e de forma negativa o endividamento (END). Os demais fatores apresentaram baixo poder explicativo da probabilidade de influenciar na política de dividendos.</w:t>
      </w:r>
    </w:p>
    <w:p w:rsidR="000111FF" w:rsidRDefault="000111FF" w:rsidP="00850F71">
      <w:r>
        <w:t>Um fator importante a ser destacado por esta pesquisa são os indicativos da probabilidade da distribuição de dividendos no decorrer do período analisado, observando-se especialmente seus coeficientes (ANO2011, ANO2012, ANO2013, ANO2014, ANO2015 E ANO2016). Apesar d</w:t>
      </w:r>
      <w:r w:rsidR="00062094">
        <w:t xml:space="preserve">estas variáveis não apresentarem significância estatística, percebe-se que a evolução e/ou retração dos coeficientes no decorrer do período analisado. Esse resultado sinaliza que a forma como as empresas decidem sua política de dividendos não é uniforme, ou seja, ela é definida de forma estratégica e que podem estar alinhadas como os objetivos e ou resultados esperados pelas </w:t>
      </w:r>
      <w:r w:rsidR="001C7436">
        <w:t>organizações</w:t>
      </w:r>
      <w:r w:rsidR="00062094">
        <w:t>.</w:t>
      </w:r>
    </w:p>
    <w:p w:rsidR="001C7436" w:rsidRDefault="001C7436" w:rsidP="00850F71">
      <w:pPr>
        <w:ind w:firstLine="0"/>
        <w:jc w:val="left"/>
      </w:pPr>
    </w:p>
    <w:p w:rsidR="009A1C3F" w:rsidRDefault="009A1C3F" w:rsidP="00850F71">
      <w:pPr>
        <w:pStyle w:val="Ttulo1"/>
        <w:spacing w:before="0"/>
        <w:rPr>
          <w:rFonts w:cs="Times New Roman"/>
          <w:szCs w:val="24"/>
        </w:rPr>
      </w:pPr>
      <w:r w:rsidRPr="004B39B7">
        <w:rPr>
          <w:rFonts w:cs="Times New Roman"/>
          <w:szCs w:val="24"/>
        </w:rPr>
        <w:t>CONSIDERAÇÕES FINAIS</w:t>
      </w:r>
    </w:p>
    <w:p w:rsidR="007F11B8" w:rsidRDefault="007F11B8" w:rsidP="00850F71">
      <w:r>
        <w:t xml:space="preserve">Conforme os apontamentos de Almeida </w:t>
      </w:r>
      <w:r w:rsidRPr="007F11B8">
        <w:rPr>
          <w:i/>
        </w:rPr>
        <w:t>et al</w:t>
      </w:r>
      <w:r>
        <w:t xml:space="preserve">. (2015), a política de dividendos é parte importante do conjunto de decisões financeiras das organizações que impacta no fluxo de caixa das organizações, bem como modifica a forma como as empresas montam suas estratégias de financiamento e investimentos, </w:t>
      </w:r>
      <w:r w:rsidR="00850F71">
        <w:t>que,</w:t>
      </w:r>
      <w:r>
        <w:t xml:space="preserve"> por conseguinte, impactará no seu des</w:t>
      </w:r>
      <w:r w:rsidR="005373CB">
        <w:t>empenho econômico e financeiro.</w:t>
      </w:r>
    </w:p>
    <w:p w:rsidR="007F11B8" w:rsidRDefault="007F11B8" w:rsidP="00850F71">
      <w:r>
        <w:t xml:space="preserve">É nesse contexto que surgiram diversas teorias que tentaram, de certa forma, explicar a forma como as organizações elaboram e/ou alteram suas estratégias de política de dividendos, no entanto a temática é ainda controversa, o que tem estimulado o desenvolvimento de novos estudos. Montalvan </w:t>
      </w:r>
      <w:r w:rsidRPr="007F11B8">
        <w:rPr>
          <w:i/>
        </w:rPr>
        <w:t>et al</w:t>
      </w:r>
      <w:r>
        <w:t xml:space="preserve">. (2017) são partícipes da perspectiva de que </w:t>
      </w:r>
      <w:r w:rsidR="005D721B">
        <w:t xml:space="preserve">apesar da intensificação das pesquisas e das recentes </w:t>
      </w:r>
      <w:r>
        <w:t xml:space="preserve">teorias </w:t>
      </w:r>
      <w:r w:rsidR="005D721B">
        <w:t xml:space="preserve">terem </w:t>
      </w:r>
      <w:r>
        <w:t xml:space="preserve">fornecido </w:t>
      </w:r>
      <w:r w:rsidR="005D721B">
        <w:t xml:space="preserve">fortes </w:t>
      </w:r>
      <w:r>
        <w:t>evidências empíricas</w:t>
      </w:r>
      <w:r w:rsidR="005D721B">
        <w:t xml:space="preserve"> sobre a temática, </w:t>
      </w:r>
      <w:r>
        <w:t xml:space="preserve">ainda há falta de consenso </w:t>
      </w:r>
      <w:r w:rsidR="005D721B">
        <w:t xml:space="preserve">dos resultados apresentados, </w:t>
      </w:r>
      <w:r>
        <w:t>justificando por que a política de dividendos tem sido um dos tópicos mais debatidos na literatura financeira.</w:t>
      </w:r>
    </w:p>
    <w:p w:rsidR="005D721B" w:rsidRDefault="005D721B" w:rsidP="00850F71">
      <w:r>
        <w:t xml:space="preserve">Diante disso, a presente pesquisa objetivou </w:t>
      </w:r>
      <w:r w:rsidR="007F11B8">
        <w:t>investigar os determinantes da política de dividendos em empresas brasileiras de capital aberto listadas na BM&amp;FBovespa.</w:t>
      </w:r>
      <w:r>
        <w:t xml:space="preserve"> O </w:t>
      </w:r>
      <w:r w:rsidR="007F11B8">
        <w:t xml:space="preserve">foco </w:t>
      </w:r>
      <w:r>
        <w:t xml:space="preserve">principal do estudo foi </w:t>
      </w:r>
      <w:r w:rsidR="007F11B8">
        <w:t>investigar os determinantes da política de dividendos em empresas em um mercado em emergente, como o caso brasileiro.</w:t>
      </w:r>
      <w:r>
        <w:t xml:space="preserve"> Sendo assim realizou-se uma pesquisa descritiva, com abordagem quantitativa, p</w:t>
      </w:r>
      <w:r w:rsidR="005373CB">
        <w:t>or meio de pesquisa documental.</w:t>
      </w:r>
    </w:p>
    <w:p w:rsidR="005D721B" w:rsidRDefault="005D721B" w:rsidP="00850F71">
      <w:r>
        <w:t xml:space="preserve">A população da pesquisa compreendeu as empresas de capital aberto ativas em 2017, listadas na BM&amp;FBovespa, tendo como amostra analisada 293 empresas entre os anos de 2010 e 2016, totalizando 1.746 observações. Como variáveis de análise, considerou-se como variável dependente os dividendos (DIV) pagos e como variáveis a rentabilidade (RENT), liquidez </w:t>
      </w:r>
      <w:r>
        <w:lastRenderedPageBreak/>
        <w:t xml:space="preserve">(LIQ), endividamento (END), tamanho da empresa (TAM), lucratividade (ROE) e os dividendos </w:t>
      </w:r>
      <w:r w:rsidR="00A36193">
        <w:t>pago no exercício anterior</w:t>
      </w:r>
      <w:r>
        <w:t xml:space="preserve"> (DIVANT).</w:t>
      </w:r>
    </w:p>
    <w:p w:rsidR="00A36193" w:rsidRDefault="00A36193" w:rsidP="00850F71">
      <w:r>
        <w:t>Como principal resultado destaca-se que, na amostra analisada, em torno de 60% das empresas distribuíram seus resultados em forma de pagamento de dividendos, percentual superior em comparação com estudos recentes sobre a temática. Tal resultado deve-se analisar com cautela por possíveis vieses de amostra. Ainda em relação às empresas que pagaram dividendos, os resultados da pesquisa apontaram que houve um aumento significativo no valor médio dos valores efetivamente p</w:t>
      </w:r>
      <w:r w:rsidR="005373CB">
        <w:t>agos aos seus investidores.</w:t>
      </w:r>
    </w:p>
    <w:p w:rsidR="007F11B8" w:rsidRDefault="00A36193" w:rsidP="00850F71">
      <w:r>
        <w:t xml:space="preserve">Outro aspecto apontado por esta pesquisa, é que, </w:t>
      </w:r>
      <w:r w:rsidR="007F11B8">
        <w:t xml:space="preserve">as </w:t>
      </w:r>
      <w:r>
        <w:t xml:space="preserve">principais </w:t>
      </w:r>
      <w:r w:rsidR="007F11B8">
        <w:t xml:space="preserve">características </w:t>
      </w:r>
      <w:r>
        <w:t xml:space="preserve">apresentadas pelas organizações que </w:t>
      </w:r>
      <w:r w:rsidR="007F11B8">
        <w:t>distribuíram dividendos são as maiores em termos de tamanho, são mais rentáveis e mais lucrativas, cujas diferenças de médias foram estatisticamente diferentes.  Em contrapartida, as empresas que não distribuíram dividendos são as que possuem maior índice de liquidez e maior nível de endividamento, apesar deste último não apresentar diferença de média significativa.</w:t>
      </w:r>
    </w:p>
    <w:p w:rsidR="007F11B8" w:rsidRDefault="00A36193" w:rsidP="00850F71">
      <w:r>
        <w:t>Como forma de responder a questão de pesquisa elaborada por esta pesquisa, que foi investigar os determinantes da política de dividendos em empresas brasileiras de capital aberto listadas na BM&amp;FBovespa</w:t>
      </w:r>
      <w:r w:rsidR="005103E8">
        <w:t xml:space="preserve">, conclui-se que os </w:t>
      </w:r>
      <w:r w:rsidR="007F11B8">
        <w:t>determinantes que apresentaram maior probabilidade de influenciar de forma positiva e significativa na política de dividendos das organizações são a rentabilidade (RENT) e os dividendos pagos no exercício anterior (DIVANT), e de forma negativa o endividamento (END). Os demais fatores</w:t>
      </w:r>
      <w:r w:rsidR="005103E8">
        <w:t xml:space="preserve">, liquidez (LIQ), tamanho (TAM) e endividamento (END) </w:t>
      </w:r>
      <w:r w:rsidR="007F11B8">
        <w:t>apresentaram baixo poder explicativo da probabilidade de influenciar na política de dividendos.</w:t>
      </w:r>
    </w:p>
    <w:p w:rsidR="007F11B8" w:rsidRDefault="005103E8" w:rsidP="00850F71">
      <w:r>
        <w:t xml:space="preserve">Pretendeu-se com esta pesquisa contribuir para </w:t>
      </w:r>
      <w:r w:rsidR="00A36193">
        <w:t xml:space="preserve">estabelecer um </w:t>
      </w:r>
      <w:r w:rsidR="00A36193" w:rsidRPr="005103E8">
        <w:rPr>
          <w:i/>
        </w:rPr>
        <w:t>link</w:t>
      </w:r>
      <w:r w:rsidR="00A36193">
        <w:t xml:space="preserve"> entre os determinantes da política de dividendos e as teorias explicativas para as políticas de dividendos adotadas por empresas que operam no Brasil. </w:t>
      </w:r>
      <w:r>
        <w:t xml:space="preserve">Ademais, buscou-se </w:t>
      </w:r>
      <w:r w:rsidR="007F11B8">
        <w:t>contribuir para com a literatura de finanças acerca desta temática, sendo esta de maior relevância, não somente para o meio acadêmico, mas também empresarial. Contudo, espera-se que este estudo auxilie as organizações no que concerne ao estabelecimento de suas estratégias de política de dividendos, já que as organizações, por meio destas políticas podem enviar sinais ao mercado</w:t>
      </w:r>
      <w:r>
        <w:t xml:space="preserve"> impactando em suas </w:t>
      </w:r>
      <w:r w:rsidR="007F11B8">
        <w:t>decisões de invest</w:t>
      </w:r>
      <w:r>
        <w:t>imos e financiamentos.</w:t>
      </w:r>
    </w:p>
    <w:p w:rsidR="005103E8" w:rsidRDefault="005103E8" w:rsidP="00850F71">
      <w:r>
        <w:t xml:space="preserve">Como limitação do estudo destaca-se a dimensão do mercado acionário brasileiro, o alto percentual de empresas que não distribuem ou não informam a distribuição de dividendos, o que diminui o universo de empresas a </w:t>
      </w:r>
      <w:r w:rsidR="00E34430">
        <w:t>ser</w:t>
      </w:r>
      <w:r>
        <w:t xml:space="preserve"> </w:t>
      </w:r>
      <w:r w:rsidR="00E34430">
        <w:t>estudada, a falta de informações que poderiam aumentar e/ou diversificar o número de variáveis</w:t>
      </w:r>
      <w:r>
        <w:t xml:space="preserve"> com potenciais explicativos</w:t>
      </w:r>
      <w:r w:rsidR="005373CB">
        <w:t xml:space="preserve"> para a política de dividendos. No entanto, tais limitações não invalidam os resultados alcançados por esta pesquisa. Tais limitações reforçam a necessidade de novas pesquisas.</w:t>
      </w:r>
    </w:p>
    <w:p w:rsidR="00963175" w:rsidRDefault="005373CB" w:rsidP="00850F71">
      <w:r>
        <w:t xml:space="preserve">Contrapondo tais limitações, sugere-se que para pesquisas futuras, sejam analisadas, além das informações econômicas e financeiras das organizações, variáveis de mercado e variáveis macroeconômicas como possíveis determinantes da política de dividendos das organizações. Percebeu-se na </w:t>
      </w:r>
      <w:r w:rsidR="005103E8">
        <w:t>literatura revisitada</w:t>
      </w:r>
      <w:r>
        <w:t xml:space="preserve"> que </w:t>
      </w:r>
      <w:r w:rsidR="005103E8">
        <w:t xml:space="preserve">diversas são as teorias e fatores que </w:t>
      </w:r>
      <w:r>
        <w:t xml:space="preserve">podem </w:t>
      </w:r>
      <w:r w:rsidR="005103E8">
        <w:t>influencia</w:t>
      </w:r>
      <w:r>
        <w:t>r n</w:t>
      </w:r>
      <w:r w:rsidR="005103E8">
        <w:t>a política de dividendos das organizações. No entanto, não foram observados quais os direcionadores de tais políticas, uma vez que os estudos não os diferenciam entre uma perspectiv</w:t>
      </w:r>
      <w:r w:rsidR="00E34430">
        <w:t>a organizacional ou de mercado.</w:t>
      </w:r>
    </w:p>
    <w:p w:rsidR="00E34430" w:rsidRDefault="00E34430" w:rsidP="00850F71">
      <w:pPr>
        <w:rPr>
          <w:rFonts w:cs="Times New Roman"/>
          <w:szCs w:val="24"/>
        </w:rPr>
      </w:pPr>
    </w:p>
    <w:p w:rsidR="0075660F" w:rsidRDefault="00541688" w:rsidP="00850F71">
      <w:pPr>
        <w:pStyle w:val="Ttulo1"/>
        <w:numPr>
          <w:ilvl w:val="0"/>
          <w:numId w:val="0"/>
        </w:numPr>
        <w:spacing w:before="0"/>
        <w:rPr>
          <w:rFonts w:cs="Times New Roman"/>
          <w:szCs w:val="24"/>
        </w:rPr>
      </w:pPr>
      <w:r w:rsidRPr="00FC7150">
        <w:rPr>
          <w:rFonts w:cs="Times New Roman"/>
          <w:szCs w:val="24"/>
        </w:rPr>
        <w:t>REFERÊ</w:t>
      </w:r>
      <w:r w:rsidR="005C51B7" w:rsidRPr="00FC7150">
        <w:rPr>
          <w:rFonts w:cs="Times New Roman"/>
          <w:szCs w:val="24"/>
        </w:rPr>
        <w:t>NCIAS</w:t>
      </w:r>
    </w:p>
    <w:p w:rsidR="0010298C" w:rsidRPr="00811F2A" w:rsidRDefault="0010298C" w:rsidP="00850F71">
      <w:pPr>
        <w:ind w:firstLine="0"/>
        <w:rPr>
          <w:rFonts w:cs="Times New Roman"/>
          <w:szCs w:val="24"/>
        </w:rPr>
      </w:pPr>
      <w:r w:rsidRPr="001F2854">
        <w:rPr>
          <w:rFonts w:cs="Times New Roman"/>
          <w:szCs w:val="24"/>
          <w:shd w:val="clear" w:color="auto" w:fill="FFFFFF"/>
          <w:lang w:val="en-US"/>
        </w:rPr>
        <w:t>Almeida, L. A. G., Pereira, E. T., &amp; Tavares, F. O. (2015). Determinantes da política de dividendos: evidência de Portugal.</w:t>
      </w:r>
      <w:r>
        <w:rPr>
          <w:rFonts w:cs="Times New Roman"/>
          <w:szCs w:val="24"/>
          <w:shd w:val="clear" w:color="auto" w:fill="FFFFFF"/>
          <w:lang w:val="en-US"/>
        </w:rPr>
        <w:t xml:space="preserve"> </w:t>
      </w:r>
      <w:r w:rsidRPr="001F2854">
        <w:rPr>
          <w:rFonts w:cs="Times New Roman"/>
          <w:i/>
          <w:szCs w:val="24"/>
        </w:rPr>
        <w:t>Revista Brasileira de Gestão de Negócios</w:t>
      </w:r>
      <w:r>
        <w:rPr>
          <w:rFonts w:cs="Times New Roman"/>
          <w:szCs w:val="24"/>
        </w:rPr>
        <w:t xml:space="preserve">, </w:t>
      </w:r>
      <w:r w:rsidRPr="001F2854">
        <w:rPr>
          <w:rFonts w:cs="Times New Roman"/>
          <w:i/>
          <w:szCs w:val="24"/>
        </w:rPr>
        <w:t>17</w:t>
      </w:r>
      <w:r w:rsidRPr="00811F2A">
        <w:rPr>
          <w:rFonts w:cs="Times New Roman"/>
          <w:szCs w:val="24"/>
        </w:rPr>
        <w:t>(54), 701-719.</w:t>
      </w:r>
    </w:p>
    <w:p w:rsidR="0010298C" w:rsidRDefault="0010298C" w:rsidP="00850F71">
      <w:pPr>
        <w:ind w:firstLine="0"/>
        <w:rPr>
          <w:rFonts w:cs="Times New Roman"/>
          <w:szCs w:val="24"/>
          <w:shd w:val="clear" w:color="auto" w:fill="FFFFFF"/>
          <w:lang w:val="en-US"/>
        </w:rPr>
      </w:pPr>
      <w:r w:rsidRPr="00811F2A">
        <w:rPr>
          <w:rFonts w:cs="Times New Roman"/>
          <w:szCs w:val="24"/>
          <w:shd w:val="clear" w:color="auto" w:fill="FFFFFF"/>
          <w:lang w:val="en-US"/>
        </w:rPr>
        <w:lastRenderedPageBreak/>
        <w:t xml:space="preserve">Almeida, L. A. G., Tavares, F. O., &amp; Pereira, E. T. (2015). </w:t>
      </w:r>
      <w:r>
        <w:rPr>
          <w:rFonts w:cs="Times New Roman"/>
          <w:szCs w:val="24"/>
          <w:shd w:val="clear" w:color="auto" w:fill="FFFFFF"/>
          <w:lang w:val="en-US"/>
        </w:rPr>
        <w:t>E</w:t>
      </w:r>
      <w:r w:rsidRPr="00811F2A">
        <w:rPr>
          <w:rFonts w:cs="Times New Roman"/>
          <w:szCs w:val="24"/>
          <w:shd w:val="clear" w:color="auto" w:fill="FFFFFF"/>
          <w:lang w:val="en-US"/>
        </w:rPr>
        <w:t>feito subprime na</w:t>
      </w:r>
      <w:r>
        <w:rPr>
          <w:rFonts w:cs="Times New Roman"/>
          <w:szCs w:val="24"/>
          <w:shd w:val="clear" w:color="auto" w:fill="FFFFFF"/>
          <w:lang w:val="en-US"/>
        </w:rPr>
        <w:t xml:space="preserve"> distribuição de dividendos em P</w:t>
      </w:r>
      <w:r w:rsidRPr="00811F2A">
        <w:rPr>
          <w:rFonts w:cs="Times New Roman"/>
          <w:szCs w:val="24"/>
          <w:shd w:val="clear" w:color="auto" w:fill="FFFFFF"/>
          <w:lang w:val="en-US"/>
        </w:rPr>
        <w:t xml:space="preserve">ortugal. </w:t>
      </w:r>
      <w:r w:rsidRPr="00811F2A">
        <w:rPr>
          <w:rFonts w:cs="Times New Roman"/>
          <w:i/>
          <w:szCs w:val="24"/>
          <w:shd w:val="clear" w:color="auto" w:fill="FFFFFF"/>
          <w:lang w:val="en-US"/>
        </w:rPr>
        <w:t>Revista de Administração FACES Journal, 14</w:t>
      </w:r>
      <w:r w:rsidRPr="00811F2A">
        <w:rPr>
          <w:rFonts w:cs="Times New Roman"/>
          <w:szCs w:val="24"/>
          <w:shd w:val="clear" w:color="auto" w:fill="FFFFFF"/>
          <w:lang w:val="en-US"/>
        </w:rPr>
        <w:t>(4), 10-25.</w:t>
      </w:r>
    </w:p>
    <w:p w:rsidR="0010298C" w:rsidRDefault="0010298C" w:rsidP="00850F71">
      <w:pPr>
        <w:ind w:firstLine="0"/>
        <w:rPr>
          <w:rFonts w:cs="Times New Roman"/>
          <w:szCs w:val="24"/>
          <w:shd w:val="clear" w:color="auto" w:fill="FFFFFF"/>
          <w:lang w:val="en-US"/>
        </w:rPr>
      </w:pPr>
      <w:r w:rsidRPr="00811F2A">
        <w:rPr>
          <w:rFonts w:cs="Times New Roman"/>
          <w:szCs w:val="24"/>
          <w:shd w:val="clear" w:color="auto" w:fill="FFFFFF"/>
          <w:lang w:val="en-US"/>
        </w:rPr>
        <w:t>Baker, M., &amp; Wurgler, J. (2004). Appeari</w:t>
      </w:r>
      <w:r>
        <w:rPr>
          <w:rFonts w:cs="Times New Roman"/>
          <w:szCs w:val="24"/>
          <w:shd w:val="clear" w:color="auto" w:fill="FFFFFF"/>
          <w:lang w:val="en-US"/>
        </w:rPr>
        <w:t>ng and disappearing dividends: t</w:t>
      </w:r>
      <w:r w:rsidRPr="00811F2A">
        <w:rPr>
          <w:rFonts w:cs="Times New Roman"/>
          <w:szCs w:val="24"/>
          <w:shd w:val="clear" w:color="auto" w:fill="FFFFFF"/>
          <w:lang w:val="en-US"/>
        </w:rPr>
        <w:t xml:space="preserve">he link to catering incentives. </w:t>
      </w:r>
      <w:r w:rsidRPr="00811F2A">
        <w:rPr>
          <w:rFonts w:cs="Times New Roman"/>
          <w:i/>
          <w:szCs w:val="24"/>
          <w:shd w:val="clear" w:color="auto" w:fill="FFFFFF"/>
          <w:lang w:val="en-US"/>
        </w:rPr>
        <w:t>Journal of Financial Economics, 73</w:t>
      </w:r>
      <w:r w:rsidRPr="00811F2A">
        <w:rPr>
          <w:rFonts w:cs="Times New Roman"/>
          <w:szCs w:val="24"/>
          <w:shd w:val="clear" w:color="auto" w:fill="FFFFFF"/>
          <w:lang w:val="en-US"/>
        </w:rPr>
        <w:t>(2), 271-288.</w:t>
      </w:r>
    </w:p>
    <w:p w:rsidR="0010298C" w:rsidRDefault="0010298C" w:rsidP="00850F71">
      <w:pPr>
        <w:ind w:firstLine="0"/>
        <w:rPr>
          <w:rFonts w:cs="Times New Roman"/>
          <w:szCs w:val="24"/>
          <w:shd w:val="clear" w:color="auto" w:fill="FFFFFF"/>
          <w:lang w:val="en-US"/>
        </w:rPr>
      </w:pPr>
      <w:r w:rsidRPr="00F5357F">
        <w:rPr>
          <w:rFonts w:cs="Times New Roman"/>
          <w:szCs w:val="24"/>
          <w:shd w:val="clear" w:color="auto" w:fill="FFFFFF"/>
          <w:lang w:val="en-US"/>
        </w:rPr>
        <w:t xml:space="preserve">Fama, E. F., &amp; French, K. R. (2001). Disappearing dividends: changing firm characteristics or lower propensity to pay?. </w:t>
      </w:r>
      <w:r w:rsidRPr="00F5357F">
        <w:rPr>
          <w:rFonts w:cs="Times New Roman"/>
          <w:i/>
          <w:szCs w:val="24"/>
          <w:shd w:val="clear" w:color="auto" w:fill="FFFFFF"/>
          <w:lang w:val="en-US"/>
        </w:rPr>
        <w:t>Journal of Financial economics, 60</w:t>
      </w:r>
      <w:r w:rsidRPr="00F5357F">
        <w:rPr>
          <w:rFonts w:cs="Times New Roman"/>
          <w:szCs w:val="24"/>
          <w:shd w:val="clear" w:color="auto" w:fill="FFFFFF"/>
          <w:lang w:val="en-US"/>
        </w:rPr>
        <w:t>(1), 3-43.</w:t>
      </w:r>
    </w:p>
    <w:p w:rsidR="0010298C" w:rsidRDefault="0010298C" w:rsidP="00850F71">
      <w:pPr>
        <w:ind w:firstLine="0"/>
        <w:rPr>
          <w:rFonts w:cs="Times New Roman"/>
          <w:szCs w:val="24"/>
          <w:shd w:val="clear" w:color="auto" w:fill="FFFFFF"/>
          <w:lang w:val="en-US"/>
        </w:rPr>
      </w:pPr>
      <w:r w:rsidRPr="00562024">
        <w:rPr>
          <w:rFonts w:cs="Times New Roman"/>
          <w:szCs w:val="24"/>
          <w:shd w:val="clear" w:color="auto" w:fill="FFFFFF"/>
          <w:lang w:val="en-US"/>
        </w:rPr>
        <w:t>Fávero, L. P.</w:t>
      </w:r>
      <w:r>
        <w:rPr>
          <w:rFonts w:cs="Times New Roman"/>
          <w:szCs w:val="24"/>
          <w:shd w:val="clear" w:color="auto" w:fill="FFFFFF"/>
          <w:lang w:val="en-US"/>
        </w:rPr>
        <w:t xml:space="preserve"> </w:t>
      </w:r>
      <w:r w:rsidRPr="00562024">
        <w:rPr>
          <w:rFonts w:cs="Times New Roman"/>
          <w:szCs w:val="24"/>
          <w:shd w:val="clear" w:color="auto" w:fill="FFFFFF"/>
          <w:lang w:val="en-US"/>
        </w:rPr>
        <w:t>(</w:t>
      </w:r>
      <w:r>
        <w:rPr>
          <w:rFonts w:cs="Times New Roman"/>
          <w:szCs w:val="24"/>
          <w:shd w:val="clear" w:color="auto" w:fill="FFFFFF"/>
          <w:lang w:val="en-US"/>
        </w:rPr>
        <w:t>2015</w:t>
      </w:r>
      <w:r w:rsidRPr="00562024">
        <w:rPr>
          <w:rFonts w:cs="Times New Roman"/>
          <w:szCs w:val="24"/>
          <w:shd w:val="clear" w:color="auto" w:fill="FFFFFF"/>
          <w:lang w:val="en-US"/>
        </w:rPr>
        <w:t xml:space="preserve">). </w:t>
      </w:r>
      <w:r w:rsidRPr="0010298C">
        <w:rPr>
          <w:rFonts w:cs="Times New Roman"/>
          <w:i/>
          <w:szCs w:val="24"/>
          <w:shd w:val="clear" w:color="auto" w:fill="FFFFFF"/>
          <w:lang w:val="en-US"/>
        </w:rPr>
        <w:t>Análise de dados. Modelos de Regressão com Excel, Stata e SPSS</w:t>
      </w:r>
      <w:r>
        <w:rPr>
          <w:rFonts w:cs="Times New Roman"/>
          <w:szCs w:val="24"/>
          <w:shd w:val="clear" w:color="auto" w:fill="FFFFFF"/>
          <w:lang w:val="en-US"/>
        </w:rPr>
        <w:t>. Rio de Janeiro: Elsevier</w:t>
      </w:r>
      <w:r w:rsidRPr="00562024">
        <w:rPr>
          <w:rFonts w:cs="Times New Roman"/>
          <w:szCs w:val="24"/>
          <w:shd w:val="clear" w:color="auto" w:fill="FFFFFF"/>
          <w:lang w:val="en-US"/>
        </w:rPr>
        <w:t>.</w:t>
      </w:r>
    </w:p>
    <w:p w:rsidR="0010298C" w:rsidRDefault="0010298C" w:rsidP="00850F71">
      <w:pPr>
        <w:ind w:firstLine="0"/>
        <w:rPr>
          <w:rFonts w:cs="Times New Roman"/>
          <w:szCs w:val="24"/>
          <w:shd w:val="clear" w:color="auto" w:fill="FFFFFF"/>
          <w:lang w:val="en-US"/>
        </w:rPr>
      </w:pPr>
      <w:r w:rsidRPr="006B7A94">
        <w:rPr>
          <w:rFonts w:cs="Times New Roman"/>
          <w:szCs w:val="24"/>
          <w:shd w:val="clear" w:color="auto" w:fill="FFFFFF"/>
          <w:lang w:val="en-US"/>
        </w:rPr>
        <w:t>Fávero, L. P., Belfiore</w:t>
      </w:r>
      <w:r>
        <w:rPr>
          <w:rFonts w:cs="Times New Roman"/>
          <w:szCs w:val="24"/>
          <w:shd w:val="clear" w:color="auto" w:fill="FFFFFF"/>
          <w:lang w:val="en-US"/>
        </w:rPr>
        <w:t>, P.</w:t>
      </w:r>
      <w:r w:rsidRPr="006B7A94">
        <w:rPr>
          <w:rFonts w:cs="Times New Roman"/>
          <w:szCs w:val="24"/>
          <w:shd w:val="clear" w:color="auto" w:fill="FFFFFF"/>
          <w:lang w:val="en-US"/>
        </w:rPr>
        <w:t>, Silva</w:t>
      </w:r>
      <w:r>
        <w:rPr>
          <w:rFonts w:cs="Times New Roman"/>
          <w:szCs w:val="24"/>
          <w:shd w:val="clear" w:color="auto" w:fill="FFFFFF"/>
          <w:lang w:val="en-US"/>
        </w:rPr>
        <w:t xml:space="preserve">, F. D, </w:t>
      </w:r>
      <w:r w:rsidRPr="006B7A94">
        <w:rPr>
          <w:rFonts w:cs="Times New Roman"/>
          <w:szCs w:val="24"/>
          <w:shd w:val="clear" w:color="auto" w:fill="FFFFFF"/>
          <w:lang w:val="en-US"/>
        </w:rPr>
        <w:t>&amp; Chan</w:t>
      </w:r>
      <w:r>
        <w:rPr>
          <w:rFonts w:cs="Times New Roman"/>
          <w:szCs w:val="24"/>
          <w:shd w:val="clear" w:color="auto" w:fill="FFFFFF"/>
          <w:lang w:val="en-US"/>
        </w:rPr>
        <w:t>, B. L.</w:t>
      </w:r>
      <w:r w:rsidRPr="006B7A94">
        <w:rPr>
          <w:rFonts w:cs="Times New Roman"/>
          <w:szCs w:val="24"/>
          <w:shd w:val="clear" w:color="auto" w:fill="FFFFFF"/>
          <w:lang w:val="en-US"/>
        </w:rPr>
        <w:t xml:space="preserve"> (2009).</w:t>
      </w:r>
      <w:r>
        <w:rPr>
          <w:rFonts w:cs="Times New Roman"/>
          <w:szCs w:val="24"/>
          <w:shd w:val="clear" w:color="auto" w:fill="FFFFFF"/>
          <w:lang w:val="en-US"/>
        </w:rPr>
        <w:t xml:space="preserve"> </w:t>
      </w:r>
      <w:r w:rsidRPr="006B7A94">
        <w:rPr>
          <w:rFonts w:cs="Times New Roman"/>
          <w:i/>
          <w:szCs w:val="24"/>
          <w:shd w:val="clear" w:color="auto" w:fill="FFFFFF"/>
          <w:lang w:val="en-US"/>
        </w:rPr>
        <w:t>Análise de dados: modelagem multivariada para tomada de decisões</w:t>
      </w:r>
      <w:r w:rsidRPr="006B7A94">
        <w:rPr>
          <w:rFonts w:cs="Times New Roman"/>
          <w:szCs w:val="24"/>
          <w:shd w:val="clear" w:color="auto" w:fill="FFFFFF"/>
          <w:lang w:val="en-US"/>
        </w:rPr>
        <w:t>. Rio de Janeiro: Elsevier, Campus.</w:t>
      </w:r>
    </w:p>
    <w:p w:rsidR="0010298C" w:rsidRDefault="0010298C" w:rsidP="00850F71">
      <w:pPr>
        <w:ind w:firstLine="0"/>
        <w:rPr>
          <w:rFonts w:cs="Times New Roman"/>
          <w:szCs w:val="24"/>
          <w:shd w:val="clear" w:color="auto" w:fill="FFFFFF"/>
          <w:lang w:val="en-US"/>
        </w:rPr>
      </w:pPr>
      <w:r w:rsidRPr="00D77208">
        <w:rPr>
          <w:rFonts w:cs="Times New Roman"/>
          <w:szCs w:val="24"/>
          <w:shd w:val="clear" w:color="auto" w:fill="FFFFFF"/>
          <w:lang w:val="en-US"/>
        </w:rPr>
        <w:t xml:space="preserve">Fernandes, D. J. M., &amp; Ribeiro, A. M. O. (2013). Fatores determinantes da política de distribuição de dividendos: evidência empírica para as empresas não financeiras da Euronext Lisbon. </w:t>
      </w:r>
      <w:r w:rsidRPr="00D615BB">
        <w:rPr>
          <w:rFonts w:cs="Times New Roman"/>
          <w:i/>
          <w:szCs w:val="24"/>
          <w:shd w:val="clear" w:color="auto" w:fill="FFFFFF"/>
          <w:lang w:val="en-US"/>
        </w:rPr>
        <w:t>Estudos do ISCA</w:t>
      </w:r>
      <w:r>
        <w:rPr>
          <w:rFonts w:cs="Times New Roman"/>
          <w:szCs w:val="24"/>
          <w:shd w:val="clear" w:color="auto" w:fill="FFFFFF"/>
          <w:lang w:val="en-US"/>
        </w:rPr>
        <w:t>, 6(7), 1-12.</w:t>
      </w:r>
    </w:p>
    <w:p w:rsidR="0010298C" w:rsidRDefault="0010298C" w:rsidP="00850F71">
      <w:pPr>
        <w:ind w:firstLine="0"/>
        <w:rPr>
          <w:rFonts w:cs="Times New Roman"/>
          <w:szCs w:val="24"/>
          <w:shd w:val="clear" w:color="auto" w:fill="FFFFFF"/>
          <w:lang w:val="en-US"/>
        </w:rPr>
      </w:pPr>
      <w:r w:rsidRPr="00811F2A">
        <w:rPr>
          <w:rFonts w:cs="Times New Roman"/>
          <w:szCs w:val="24"/>
          <w:shd w:val="clear" w:color="auto" w:fill="FFFFFF"/>
          <w:lang w:val="en-US"/>
        </w:rPr>
        <w:t xml:space="preserve">Fonteles, I. V., Júnior, C. A. P., de Vasconcelos, A. C., &amp; De Luca, M. M. M. (2013). Política de dividendos das empresas participantes do Índice Dividendos da BM&amp;FBovespa. </w:t>
      </w:r>
      <w:r w:rsidRPr="00811F2A">
        <w:rPr>
          <w:rFonts w:cs="Times New Roman"/>
          <w:i/>
          <w:szCs w:val="24"/>
          <w:shd w:val="clear" w:color="auto" w:fill="FFFFFF"/>
          <w:lang w:val="en-US"/>
        </w:rPr>
        <w:t>Contabilidade Vista &amp; Revista, 23</w:t>
      </w:r>
      <w:r w:rsidRPr="00811F2A">
        <w:rPr>
          <w:rFonts w:cs="Times New Roman"/>
          <w:szCs w:val="24"/>
          <w:shd w:val="clear" w:color="auto" w:fill="FFFFFF"/>
          <w:lang w:val="en-US"/>
        </w:rPr>
        <w:t>(3), 173-204.</w:t>
      </w:r>
    </w:p>
    <w:p w:rsidR="0010298C" w:rsidRDefault="0010298C" w:rsidP="00850F71">
      <w:pPr>
        <w:ind w:firstLine="0"/>
        <w:rPr>
          <w:rFonts w:cs="Times New Roman"/>
          <w:szCs w:val="24"/>
          <w:shd w:val="clear" w:color="auto" w:fill="FFFFFF"/>
          <w:lang w:val="en-US"/>
        </w:rPr>
      </w:pPr>
      <w:r w:rsidRPr="007C6828">
        <w:rPr>
          <w:rFonts w:cs="Times New Roman"/>
          <w:szCs w:val="24"/>
          <w:shd w:val="clear" w:color="auto" w:fill="FFFFFF"/>
          <w:lang w:val="en-US"/>
        </w:rPr>
        <w:t xml:space="preserve">Forti, C. A. B., Peixoto, F. M., &amp; </w:t>
      </w:r>
      <w:r>
        <w:rPr>
          <w:rFonts w:cs="Times New Roman"/>
          <w:szCs w:val="24"/>
          <w:shd w:val="clear" w:color="auto" w:fill="FFFFFF"/>
          <w:lang w:val="en-US"/>
        </w:rPr>
        <w:t xml:space="preserve">Alves, </w:t>
      </w:r>
      <w:r w:rsidRPr="007C6828">
        <w:rPr>
          <w:rFonts w:cs="Times New Roman"/>
          <w:szCs w:val="24"/>
          <w:shd w:val="clear" w:color="auto" w:fill="FFFFFF"/>
          <w:lang w:val="en-US"/>
        </w:rPr>
        <w:t>D.</w:t>
      </w:r>
      <w:r>
        <w:rPr>
          <w:rFonts w:cs="Times New Roman"/>
          <w:szCs w:val="24"/>
          <w:shd w:val="clear" w:color="auto" w:fill="FFFFFF"/>
          <w:lang w:val="en-US"/>
        </w:rPr>
        <w:t>, L.</w:t>
      </w:r>
      <w:r w:rsidRPr="007C6828">
        <w:rPr>
          <w:rFonts w:cs="Times New Roman"/>
          <w:szCs w:val="24"/>
          <w:shd w:val="clear" w:color="auto" w:fill="FFFFFF"/>
          <w:lang w:val="en-US"/>
        </w:rPr>
        <w:t xml:space="preserve"> (2015). Fatores Determinantes do Pagamento de Dividendos no Brasil. </w:t>
      </w:r>
      <w:r w:rsidRPr="0010298C">
        <w:rPr>
          <w:rFonts w:cs="Times New Roman"/>
          <w:i/>
          <w:szCs w:val="24"/>
          <w:shd w:val="clear" w:color="auto" w:fill="FFFFFF"/>
          <w:lang w:val="en-US"/>
        </w:rPr>
        <w:t>Revista Contabilidade &amp; Finanças, 26</w:t>
      </w:r>
      <w:r w:rsidRPr="007C6828">
        <w:rPr>
          <w:rFonts w:cs="Times New Roman"/>
          <w:szCs w:val="24"/>
          <w:shd w:val="clear" w:color="auto" w:fill="FFFFFF"/>
          <w:lang w:val="en-US"/>
        </w:rPr>
        <w:t>(68), 167-180.</w:t>
      </w:r>
    </w:p>
    <w:p w:rsidR="0010298C" w:rsidRDefault="0010298C" w:rsidP="00850F71">
      <w:pPr>
        <w:ind w:firstLine="0"/>
        <w:rPr>
          <w:rFonts w:cs="Times New Roman"/>
          <w:szCs w:val="24"/>
          <w:shd w:val="clear" w:color="auto" w:fill="FFFFFF"/>
          <w:lang w:val="en-US"/>
        </w:rPr>
      </w:pPr>
      <w:r w:rsidRPr="00811F2A">
        <w:rPr>
          <w:rFonts w:cs="Times New Roman"/>
          <w:szCs w:val="24"/>
          <w:shd w:val="clear" w:color="auto" w:fill="FFFFFF"/>
          <w:lang w:val="en-US"/>
        </w:rPr>
        <w:t xml:space="preserve">Gordon, M. J. (1959). </w:t>
      </w:r>
      <w:r>
        <w:rPr>
          <w:rFonts w:cs="Times New Roman"/>
          <w:szCs w:val="24"/>
          <w:shd w:val="clear" w:color="auto" w:fill="FFFFFF"/>
          <w:lang w:val="en-US"/>
        </w:rPr>
        <w:t>D</w:t>
      </w:r>
      <w:r w:rsidRPr="00811F2A">
        <w:rPr>
          <w:rFonts w:cs="Times New Roman"/>
          <w:szCs w:val="24"/>
          <w:shd w:val="clear" w:color="auto" w:fill="FFFFFF"/>
          <w:lang w:val="en-US"/>
        </w:rPr>
        <w:t xml:space="preserve">ividends, earnings, and stock prices. </w:t>
      </w:r>
      <w:r w:rsidRPr="00811F2A">
        <w:rPr>
          <w:rFonts w:cs="Times New Roman"/>
          <w:i/>
          <w:szCs w:val="24"/>
          <w:shd w:val="clear" w:color="auto" w:fill="FFFFFF"/>
          <w:lang w:val="en-US"/>
        </w:rPr>
        <w:t>The Review of Economics and Statistics, 41</w:t>
      </w:r>
      <w:r w:rsidRPr="00811F2A">
        <w:rPr>
          <w:rFonts w:cs="Times New Roman"/>
          <w:szCs w:val="24"/>
          <w:shd w:val="clear" w:color="auto" w:fill="FFFFFF"/>
          <w:lang w:val="en-US"/>
        </w:rPr>
        <w:t>(2 Part 1), 99-105.</w:t>
      </w:r>
    </w:p>
    <w:p w:rsidR="0010298C" w:rsidRDefault="0010298C" w:rsidP="00850F71">
      <w:pPr>
        <w:ind w:firstLine="0"/>
        <w:rPr>
          <w:rFonts w:cs="Times New Roman"/>
          <w:szCs w:val="24"/>
          <w:shd w:val="clear" w:color="auto" w:fill="FFFFFF"/>
          <w:lang w:val="en-US"/>
        </w:rPr>
      </w:pPr>
      <w:r w:rsidRPr="00F72A6A">
        <w:rPr>
          <w:rFonts w:cs="Times New Roman"/>
          <w:szCs w:val="24"/>
          <w:shd w:val="clear" w:color="auto" w:fill="FFFFFF"/>
          <w:lang w:val="en-US"/>
        </w:rPr>
        <w:t>Gordon, M. J., &amp; Shapiro, E. (1956). Capital equipment analysis: the requi</w:t>
      </w:r>
      <w:r>
        <w:rPr>
          <w:rFonts w:cs="Times New Roman"/>
          <w:szCs w:val="24"/>
          <w:shd w:val="clear" w:color="auto" w:fill="FFFFFF"/>
          <w:lang w:val="en-US"/>
        </w:rPr>
        <w:t xml:space="preserve">red rate of profit. </w:t>
      </w:r>
      <w:r w:rsidRPr="00F72A6A">
        <w:rPr>
          <w:rFonts w:cs="Times New Roman"/>
          <w:i/>
          <w:szCs w:val="24"/>
          <w:shd w:val="clear" w:color="auto" w:fill="FFFFFF"/>
          <w:lang w:val="en-US"/>
        </w:rPr>
        <w:t>Management Science, 3</w:t>
      </w:r>
      <w:r w:rsidRPr="00F72A6A">
        <w:rPr>
          <w:rFonts w:cs="Times New Roman"/>
          <w:szCs w:val="24"/>
          <w:shd w:val="clear" w:color="auto" w:fill="FFFFFF"/>
          <w:lang w:val="en-US"/>
        </w:rPr>
        <w:t>(1), 102-110.</w:t>
      </w:r>
    </w:p>
    <w:p w:rsidR="0010298C" w:rsidRDefault="0010298C" w:rsidP="00850F71">
      <w:pPr>
        <w:ind w:firstLine="0"/>
        <w:rPr>
          <w:rFonts w:cs="Times New Roman"/>
          <w:szCs w:val="24"/>
          <w:shd w:val="clear" w:color="auto" w:fill="FFFFFF"/>
          <w:lang w:val="en-US"/>
        </w:rPr>
      </w:pPr>
      <w:r w:rsidRPr="00811F2A">
        <w:rPr>
          <w:rFonts w:cs="Times New Roman"/>
          <w:szCs w:val="24"/>
          <w:shd w:val="clear" w:color="auto" w:fill="FFFFFF"/>
          <w:lang w:val="en-US"/>
        </w:rPr>
        <w:t>Groppelli, A. A., Nikbakht, E. (</w:t>
      </w:r>
      <w:r>
        <w:rPr>
          <w:rFonts w:cs="Times New Roman"/>
          <w:szCs w:val="24"/>
          <w:shd w:val="clear" w:color="auto" w:fill="FFFFFF"/>
          <w:lang w:val="en-US"/>
        </w:rPr>
        <w:t>2010</w:t>
      </w:r>
      <w:r w:rsidRPr="00811F2A">
        <w:rPr>
          <w:rFonts w:cs="Times New Roman"/>
          <w:szCs w:val="24"/>
          <w:shd w:val="clear" w:color="auto" w:fill="FFFFFF"/>
          <w:lang w:val="en-US"/>
        </w:rPr>
        <w:t xml:space="preserve">). </w:t>
      </w:r>
      <w:r w:rsidRPr="00811F2A">
        <w:rPr>
          <w:rFonts w:cs="Times New Roman"/>
          <w:i/>
          <w:szCs w:val="24"/>
          <w:shd w:val="clear" w:color="auto" w:fill="FFFFFF"/>
          <w:lang w:val="en-US"/>
        </w:rPr>
        <w:t>Administração financeira</w:t>
      </w:r>
      <w:r w:rsidRPr="00811F2A">
        <w:rPr>
          <w:rFonts w:cs="Times New Roman"/>
          <w:szCs w:val="24"/>
          <w:shd w:val="clear" w:color="auto" w:fill="FFFFFF"/>
          <w:lang w:val="en-US"/>
        </w:rPr>
        <w:t xml:space="preserve">. </w:t>
      </w:r>
      <w:r>
        <w:rPr>
          <w:rFonts w:cs="Times New Roman"/>
          <w:szCs w:val="24"/>
          <w:shd w:val="clear" w:color="auto" w:fill="FFFFFF"/>
          <w:lang w:val="en-US"/>
        </w:rPr>
        <w:t xml:space="preserve">3 ed. São Paulo: </w:t>
      </w:r>
      <w:r w:rsidRPr="00811F2A">
        <w:rPr>
          <w:rFonts w:cs="Times New Roman"/>
          <w:szCs w:val="24"/>
          <w:shd w:val="clear" w:color="auto" w:fill="FFFFFF"/>
          <w:lang w:val="en-US"/>
        </w:rPr>
        <w:t>Saraiva.</w:t>
      </w:r>
    </w:p>
    <w:p w:rsidR="0010298C" w:rsidRDefault="0010298C" w:rsidP="00850F71">
      <w:pPr>
        <w:ind w:firstLine="0"/>
        <w:rPr>
          <w:rFonts w:cs="Times New Roman"/>
          <w:szCs w:val="24"/>
          <w:shd w:val="clear" w:color="auto" w:fill="FFFFFF"/>
          <w:lang w:val="en-US"/>
        </w:rPr>
      </w:pPr>
      <w:r w:rsidRPr="00AC1C8A">
        <w:rPr>
          <w:rFonts w:cs="Times New Roman"/>
          <w:szCs w:val="24"/>
          <w:shd w:val="clear" w:color="auto" w:fill="FFFFFF"/>
          <w:lang w:val="en-US"/>
        </w:rPr>
        <w:t xml:space="preserve">Holanda, A. P., &amp; Dias Coelho, A. C. (2012). Dividendos </w:t>
      </w:r>
      <w:r>
        <w:rPr>
          <w:rFonts w:cs="Times New Roman"/>
          <w:szCs w:val="24"/>
          <w:shd w:val="clear" w:color="auto" w:fill="FFFFFF"/>
          <w:lang w:val="en-US"/>
        </w:rPr>
        <w:t xml:space="preserve">e Efeito Clientela: </w:t>
      </w:r>
      <w:r w:rsidRPr="00AC1C8A">
        <w:rPr>
          <w:rFonts w:cs="Times New Roman"/>
          <w:szCs w:val="24"/>
          <w:shd w:val="clear" w:color="auto" w:fill="FFFFFF"/>
          <w:lang w:val="en-US"/>
        </w:rPr>
        <w:t xml:space="preserve">Evidências </w:t>
      </w:r>
      <w:r>
        <w:rPr>
          <w:rFonts w:cs="Times New Roman"/>
          <w:szCs w:val="24"/>
          <w:shd w:val="clear" w:color="auto" w:fill="FFFFFF"/>
          <w:lang w:val="en-US"/>
        </w:rPr>
        <w:t>n</w:t>
      </w:r>
      <w:r w:rsidRPr="00AC1C8A">
        <w:rPr>
          <w:rFonts w:cs="Times New Roman"/>
          <w:szCs w:val="24"/>
          <w:shd w:val="clear" w:color="auto" w:fill="FFFFFF"/>
          <w:lang w:val="en-US"/>
        </w:rPr>
        <w:t xml:space="preserve">o Mercado Brasileiro. RAE: </w:t>
      </w:r>
      <w:r w:rsidRPr="00AC1C8A">
        <w:rPr>
          <w:rFonts w:cs="Times New Roman"/>
          <w:i/>
          <w:szCs w:val="24"/>
          <w:shd w:val="clear" w:color="auto" w:fill="FFFFFF"/>
          <w:lang w:val="en-US"/>
        </w:rPr>
        <w:t>Revista de Administração de Empresas, 52</w:t>
      </w:r>
      <w:r>
        <w:rPr>
          <w:rFonts w:cs="Times New Roman"/>
          <w:szCs w:val="24"/>
          <w:shd w:val="clear" w:color="auto" w:fill="FFFFFF"/>
          <w:lang w:val="en-US"/>
        </w:rPr>
        <w:t xml:space="preserve">(4), </w:t>
      </w:r>
      <w:r w:rsidRPr="00AC1C8A">
        <w:rPr>
          <w:rFonts w:cs="Times New Roman"/>
          <w:szCs w:val="24"/>
          <w:shd w:val="clear" w:color="auto" w:fill="FFFFFF"/>
          <w:lang w:val="en-US"/>
        </w:rPr>
        <w:t>448-463</w:t>
      </w:r>
      <w:r>
        <w:rPr>
          <w:rFonts w:cs="Times New Roman"/>
          <w:szCs w:val="24"/>
          <w:shd w:val="clear" w:color="auto" w:fill="FFFFFF"/>
          <w:lang w:val="en-US"/>
        </w:rPr>
        <w:t>.</w:t>
      </w:r>
    </w:p>
    <w:p w:rsidR="0010298C" w:rsidRDefault="0010298C" w:rsidP="00850F71">
      <w:pPr>
        <w:ind w:firstLine="0"/>
        <w:rPr>
          <w:rFonts w:cs="Times New Roman"/>
          <w:szCs w:val="24"/>
          <w:shd w:val="clear" w:color="auto" w:fill="FFFFFF"/>
          <w:lang w:val="en-US"/>
        </w:rPr>
      </w:pPr>
      <w:r w:rsidRPr="006B5AC0">
        <w:rPr>
          <w:rFonts w:cs="Times New Roman"/>
          <w:szCs w:val="24"/>
          <w:shd w:val="clear" w:color="auto" w:fill="FFFFFF"/>
          <w:lang w:val="en-US"/>
        </w:rPr>
        <w:t>Holanda, A.</w:t>
      </w:r>
      <w:r>
        <w:rPr>
          <w:rFonts w:cs="Times New Roman"/>
          <w:szCs w:val="24"/>
          <w:shd w:val="clear" w:color="auto" w:fill="FFFFFF"/>
          <w:lang w:val="en-US"/>
        </w:rPr>
        <w:t xml:space="preserve"> P.</w:t>
      </w:r>
      <w:r w:rsidRPr="006B5AC0">
        <w:rPr>
          <w:rFonts w:cs="Times New Roman"/>
          <w:szCs w:val="24"/>
          <w:shd w:val="clear" w:color="auto" w:fill="FFFFFF"/>
          <w:lang w:val="en-US"/>
        </w:rPr>
        <w:t xml:space="preserve">, &amp; Dias Coelho, A. C. (2012). Dividendos e efeito clientela: evidências no mercado brasileiro. </w:t>
      </w:r>
      <w:r w:rsidRPr="00C52C15">
        <w:rPr>
          <w:rFonts w:cs="Times New Roman"/>
          <w:i/>
          <w:szCs w:val="24"/>
          <w:shd w:val="clear" w:color="auto" w:fill="FFFFFF"/>
          <w:lang w:val="en-US"/>
        </w:rPr>
        <w:t>RAE-Revista de Administração de Empresas, 52</w:t>
      </w:r>
      <w:r>
        <w:rPr>
          <w:rFonts w:cs="Times New Roman"/>
          <w:szCs w:val="24"/>
          <w:shd w:val="clear" w:color="auto" w:fill="FFFFFF"/>
          <w:lang w:val="en-US"/>
        </w:rPr>
        <w:t xml:space="preserve">(4), </w:t>
      </w:r>
      <w:r w:rsidRPr="00C52C15">
        <w:rPr>
          <w:rFonts w:cs="Times New Roman"/>
          <w:szCs w:val="24"/>
          <w:shd w:val="clear" w:color="auto" w:fill="FFFFFF"/>
          <w:lang w:val="en-US"/>
        </w:rPr>
        <w:t>448-463</w:t>
      </w:r>
      <w:r>
        <w:rPr>
          <w:rFonts w:cs="Times New Roman"/>
          <w:szCs w:val="24"/>
          <w:shd w:val="clear" w:color="auto" w:fill="FFFFFF"/>
          <w:lang w:val="en-US"/>
        </w:rPr>
        <w:t>.</w:t>
      </w:r>
    </w:p>
    <w:p w:rsidR="0010298C" w:rsidRDefault="0010298C" w:rsidP="00850F71">
      <w:pPr>
        <w:ind w:firstLine="0"/>
        <w:rPr>
          <w:rFonts w:cs="Times New Roman"/>
          <w:szCs w:val="24"/>
          <w:shd w:val="clear" w:color="auto" w:fill="FFFFFF"/>
          <w:lang w:val="en-US"/>
        </w:rPr>
      </w:pPr>
      <w:r w:rsidRPr="00402F5B">
        <w:rPr>
          <w:rFonts w:cs="Times New Roman"/>
          <w:szCs w:val="24"/>
          <w:shd w:val="clear" w:color="auto" w:fill="FFFFFF"/>
          <w:lang w:val="en-US"/>
        </w:rPr>
        <w:t xml:space="preserve">Hussainey, K., Oscar Mgbame, C., &amp; Chijoke-Mgbame, A. M. (2011). Dividend policy and share price volatility: UK evidence. </w:t>
      </w:r>
      <w:r>
        <w:rPr>
          <w:rFonts w:cs="Times New Roman"/>
          <w:i/>
          <w:szCs w:val="24"/>
          <w:shd w:val="clear" w:color="auto" w:fill="FFFFFF"/>
          <w:lang w:val="en-US"/>
        </w:rPr>
        <w:t>The Journal of Risk F</w:t>
      </w:r>
      <w:r w:rsidRPr="00402F5B">
        <w:rPr>
          <w:rFonts w:cs="Times New Roman"/>
          <w:i/>
          <w:szCs w:val="24"/>
          <w:shd w:val="clear" w:color="auto" w:fill="FFFFFF"/>
          <w:lang w:val="en-US"/>
        </w:rPr>
        <w:t>inance, 12</w:t>
      </w:r>
      <w:r w:rsidRPr="00402F5B">
        <w:rPr>
          <w:rFonts w:cs="Times New Roman"/>
          <w:szCs w:val="24"/>
          <w:shd w:val="clear" w:color="auto" w:fill="FFFFFF"/>
          <w:lang w:val="en-US"/>
        </w:rPr>
        <w:t>(1), 57-68.</w:t>
      </w:r>
    </w:p>
    <w:p w:rsidR="0010298C" w:rsidRDefault="0010298C" w:rsidP="00850F71">
      <w:pPr>
        <w:ind w:firstLine="0"/>
        <w:rPr>
          <w:rFonts w:cs="Times New Roman"/>
          <w:szCs w:val="24"/>
          <w:shd w:val="clear" w:color="auto" w:fill="FFFFFF"/>
          <w:lang w:val="en-US"/>
        </w:rPr>
      </w:pPr>
      <w:r w:rsidRPr="002B50F2">
        <w:rPr>
          <w:rFonts w:cs="Times New Roman"/>
          <w:szCs w:val="24"/>
          <w:shd w:val="clear" w:color="auto" w:fill="FFFFFF"/>
          <w:lang w:val="en-US"/>
        </w:rPr>
        <w:t xml:space="preserve">Iquiapaza, R. A., Lamounier, W. M., &amp; Amaral, H. F. (2008). Asymmetric information and dividends payout at the São Paulo stock exchange. </w:t>
      </w:r>
      <w:r w:rsidRPr="002B50F2">
        <w:rPr>
          <w:rFonts w:cs="Times New Roman"/>
          <w:i/>
          <w:szCs w:val="24"/>
          <w:shd w:val="clear" w:color="auto" w:fill="FFFFFF"/>
          <w:lang w:val="en-US"/>
        </w:rPr>
        <w:t>Advances in Scientific and Applied Accounting, 1</w:t>
      </w:r>
      <w:r w:rsidRPr="002B50F2">
        <w:rPr>
          <w:rFonts w:cs="Times New Roman"/>
          <w:szCs w:val="24"/>
          <w:shd w:val="clear" w:color="auto" w:fill="FFFFFF"/>
          <w:lang w:val="en-US"/>
        </w:rPr>
        <w:t>(1), 1001-1014.</w:t>
      </w:r>
    </w:p>
    <w:p w:rsidR="0010298C" w:rsidRDefault="0010298C" w:rsidP="00850F71">
      <w:pPr>
        <w:ind w:firstLine="0"/>
        <w:rPr>
          <w:rFonts w:cs="Times New Roman"/>
          <w:szCs w:val="24"/>
          <w:shd w:val="clear" w:color="auto" w:fill="FFFFFF"/>
          <w:lang w:val="en-US"/>
        </w:rPr>
      </w:pPr>
      <w:r w:rsidRPr="00402F5B">
        <w:rPr>
          <w:rFonts w:cs="Times New Roman"/>
          <w:szCs w:val="24"/>
          <w:shd w:val="clear" w:color="auto" w:fill="FFFFFF"/>
          <w:lang w:val="en-US"/>
        </w:rPr>
        <w:t xml:space="preserve">Jensen, M. C. (1986). Agency costs of free cash flow, corporate finance, and takeovers. </w:t>
      </w:r>
      <w:r w:rsidRPr="00402F5B">
        <w:rPr>
          <w:rFonts w:cs="Times New Roman"/>
          <w:i/>
          <w:szCs w:val="24"/>
          <w:shd w:val="clear" w:color="auto" w:fill="FFFFFF"/>
          <w:lang w:val="en-US"/>
        </w:rPr>
        <w:t xml:space="preserve">The American </w:t>
      </w:r>
      <w:r>
        <w:rPr>
          <w:rFonts w:cs="Times New Roman"/>
          <w:i/>
          <w:szCs w:val="24"/>
          <w:shd w:val="clear" w:color="auto" w:fill="FFFFFF"/>
          <w:lang w:val="en-US"/>
        </w:rPr>
        <w:t>Economic R</w:t>
      </w:r>
      <w:r w:rsidRPr="00402F5B">
        <w:rPr>
          <w:rFonts w:cs="Times New Roman"/>
          <w:i/>
          <w:szCs w:val="24"/>
          <w:shd w:val="clear" w:color="auto" w:fill="FFFFFF"/>
          <w:lang w:val="en-US"/>
        </w:rPr>
        <w:t>eview, 76</w:t>
      </w:r>
      <w:r w:rsidRPr="00402F5B">
        <w:rPr>
          <w:rFonts w:cs="Times New Roman"/>
          <w:szCs w:val="24"/>
          <w:shd w:val="clear" w:color="auto" w:fill="FFFFFF"/>
          <w:lang w:val="en-US"/>
        </w:rPr>
        <w:t>(2), 323-329.</w:t>
      </w:r>
    </w:p>
    <w:p w:rsidR="0010298C" w:rsidRDefault="0010298C" w:rsidP="00850F71">
      <w:pPr>
        <w:ind w:firstLine="0"/>
        <w:rPr>
          <w:rFonts w:cs="Times New Roman"/>
          <w:szCs w:val="24"/>
          <w:shd w:val="clear" w:color="auto" w:fill="FFFFFF"/>
          <w:lang w:val="en-US"/>
        </w:rPr>
      </w:pPr>
      <w:r w:rsidRPr="00402F5B">
        <w:rPr>
          <w:rFonts w:cs="Times New Roman"/>
          <w:szCs w:val="24"/>
          <w:shd w:val="clear" w:color="auto" w:fill="FFFFFF"/>
          <w:lang w:val="en-US"/>
        </w:rPr>
        <w:t xml:space="preserve">Jensen, M. C., &amp; Meckling, W. </w:t>
      </w:r>
      <w:r>
        <w:rPr>
          <w:rFonts w:cs="Times New Roman"/>
          <w:szCs w:val="24"/>
          <w:shd w:val="clear" w:color="auto" w:fill="FFFFFF"/>
          <w:lang w:val="en-US"/>
        </w:rPr>
        <w:t>H. (1976). Theory of the firm: m</w:t>
      </w:r>
      <w:r w:rsidRPr="00402F5B">
        <w:rPr>
          <w:rFonts w:cs="Times New Roman"/>
          <w:szCs w:val="24"/>
          <w:shd w:val="clear" w:color="auto" w:fill="FFFFFF"/>
          <w:lang w:val="en-US"/>
        </w:rPr>
        <w:t xml:space="preserve">anagerial behavior, agency costs and ownership structure. </w:t>
      </w:r>
      <w:r>
        <w:rPr>
          <w:rFonts w:cs="Times New Roman"/>
          <w:i/>
          <w:szCs w:val="24"/>
          <w:shd w:val="clear" w:color="auto" w:fill="FFFFFF"/>
          <w:lang w:val="en-US"/>
        </w:rPr>
        <w:t>Journal of Financial E</w:t>
      </w:r>
      <w:r w:rsidRPr="00402F5B">
        <w:rPr>
          <w:rFonts w:cs="Times New Roman"/>
          <w:i/>
          <w:szCs w:val="24"/>
          <w:shd w:val="clear" w:color="auto" w:fill="FFFFFF"/>
          <w:lang w:val="en-US"/>
        </w:rPr>
        <w:t>conomics, 3</w:t>
      </w:r>
      <w:r w:rsidRPr="00402F5B">
        <w:rPr>
          <w:rFonts w:cs="Times New Roman"/>
          <w:szCs w:val="24"/>
          <w:shd w:val="clear" w:color="auto" w:fill="FFFFFF"/>
          <w:lang w:val="en-US"/>
        </w:rPr>
        <w:t>(4), 305-360.</w:t>
      </w:r>
    </w:p>
    <w:p w:rsidR="0010298C" w:rsidRDefault="0010298C" w:rsidP="00850F71">
      <w:pPr>
        <w:ind w:firstLine="0"/>
        <w:rPr>
          <w:rFonts w:cs="Times New Roman"/>
          <w:szCs w:val="24"/>
          <w:shd w:val="clear" w:color="auto" w:fill="FFFFFF"/>
          <w:lang w:val="en-US"/>
        </w:rPr>
      </w:pPr>
      <w:r w:rsidRPr="00BD71D9">
        <w:rPr>
          <w:rFonts w:cs="Times New Roman"/>
          <w:szCs w:val="24"/>
          <w:shd w:val="clear" w:color="auto" w:fill="FFFFFF"/>
          <w:lang w:val="en-US"/>
        </w:rPr>
        <w:t>Kania, S. L.</w:t>
      </w:r>
      <w:r>
        <w:rPr>
          <w:rFonts w:cs="Times New Roman"/>
          <w:szCs w:val="24"/>
          <w:shd w:val="clear" w:color="auto" w:fill="FFFFFF"/>
          <w:lang w:val="en-US"/>
        </w:rPr>
        <w:t xml:space="preserve">; &amp; </w:t>
      </w:r>
      <w:r w:rsidRPr="007C6828">
        <w:rPr>
          <w:rFonts w:cs="Times New Roman"/>
          <w:szCs w:val="24"/>
          <w:shd w:val="clear" w:color="auto" w:fill="FFFFFF"/>
          <w:lang w:val="en-US"/>
        </w:rPr>
        <w:t>Bacon, F</w:t>
      </w:r>
      <w:r>
        <w:rPr>
          <w:rFonts w:cs="Times New Roman"/>
          <w:szCs w:val="24"/>
          <w:shd w:val="clear" w:color="auto" w:fill="FFFFFF"/>
          <w:lang w:val="en-US"/>
        </w:rPr>
        <w:t>.</w:t>
      </w:r>
      <w:r w:rsidRPr="007C6828">
        <w:rPr>
          <w:rFonts w:cs="Times New Roman"/>
          <w:szCs w:val="24"/>
          <w:shd w:val="clear" w:color="auto" w:fill="FFFFFF"/>
          <w:lang w:val="en-US"/>
        </w:rPr>
        <w:t xml:space="preserve"> W.</w:t>
      </w:r>
      <w:r w:rsidRPr="00BD71D9">
        <w:rPr>
          <w:rFonts w:cs="Times New Roman"/>
          <w:szCs w:val="24"/>
          <w:shd w:val="clear" w:color="auto" w:fill="FFFFFF"/>
          <w:lang w:val="en-US"/>
        </w:rPr>
        <w:t xml:space="preserve"> (2005). What factors motivate the corporate dividend decision?.</w:t>
      </w:r>
      <w:r>
        <w:rPr>
          <w:rFonts w:cs="Times New Roman"/>
          <w:szCs w:val="24"/>
          <w:shd w:val="clear" w:color="auto" w:fill="FFFFFF"/>
          <w:lang w:val="en-US"/>
        </w:rPr>
        <w:t xml:space="preserve"> </w:t>
      </w:r>
      <w:r w:rsidRPr="007C6828">
        <w:rPr>
          <w:rFonts w:cs="Times New Roman"/>
          <w:i/>
          <w:szCs w:val="24"/>
          <w:shd w:val="clear" w:color="auto" w:fill="FFFFFF"/>
          <w:lang w:val="en-US"/>
        </w:rPr>
        <w:t>ASBBS E-Journal, 1</w:t>
      </w:r>
      <w:r>
        <w:rPr>
          <w:rFonts w:cs="Times New Roman"/>
          <w:szCs w:val="24"/>
          <w:shd w:val="clear" w:color="auto" w:fill="FFFFFF"/>
          <w:lang w:val="en-US"/>
        </w:rPr>
        <w:t>(</w:t>
      </w:r>
      <w:r w:rsidRPr="00BD71D9">
        <w:rPr>
          <w:rFonts w:cs="Times New Roman"/>
          <w:szCs w:val="24"/>
          <w:shd w:val="clear" w:color="auto" w:fill="FFFFFF"/>
          <w:lang w:val="en-US"/>
        </w:rPr>
        <w:t>1</w:t>
      </w:r>
      <w:r>
        <w:rPr>
          <w:rFonts w:cs="Times New Roman"/>
          <w:szCs w:val="24"/>
          <w:shd w:val="clear" w:color="auto" w:fill="FFFFFF"/>
          <w:lang w:val="en-US"/>
        </w:rPr>
        <w:t>), 97-107.</w:t>
      </w:r>
    </w:p>
    <w:p w:rsidR="0010298C" w:rsidRDefault="0010298C" w:rsidP="00850F71">
      <w:pPr>
        <w:ind w:firstLine="0"/>
        <w:rPr>
          <w:rFonts w:cs="Times New Roman"/>
          <w:szCs w:val="24"/>
          <w:shd w:val="clear" w:color="auto" w:fill="FFFFFF"/>
          <w:lang w:val="en-US"/>
        </w:rPr>
      </w:pPr>
      <w:r w:rsidRPr="00402F5B">
        <w:rPr>
          <w:rFonts w:cs="Times New Roman"/>
          <w:szCs w:val="24"/>
          <w:shd w:val="clear" w:color="auto" w:fill="FFFFFF"/>
          <w:lang w:val="en-US"/>
        </w:rPr>
        <w:t xml:space="preserve">Lintner, J. (1956). Distribution of incomes of corporations among dividends, retained earnings, and taxes. </w:t>
      </w:r>
      <w:r w:rsidRPr="00402F5B">
        <w:rPr>
          <w:rFonts w:cs="Times New Roman"/>
          <w:i/>
          <w:szCs w:val="24"/>
          <w:shd w:val="clear" w:color="auto" w:fill="FFFFFF"/>
          <w:lang w:val="en-US"/>
        </w:rPr>
        <w:t>The American Economic Review, 46</w:t>
      </w:r>
      <w:r w:rsidRPr="00402F5B">
        <w:rPr>
          <w:rFonts w:cs="Times New Roman"/>
          <w:szCs w:val="24"/>
          <w:shd w:val="clear" w:color="auto" w:fill="FFFFFF"/>
          <w:lang w:val="en-US"/>
        </w:rPr>
        <w:t>(2), 97-113.</w:t>
      </w:r>
    </w:p>
    <w:p w:rsidR="0010298C" w:rsidRDefault="0010298C" w:rsidP="00850F71">
      <w:pPr>
        <w:ind w:firstLine="0"/>
        <w:rPr>
          <w:rFonts w:cs="Times New Roman"/>
          <w:szCs w:val="24"/>
          <w:shd w:val="clear" w:color="auto" w:fill="FFFFFF"/>
          <w:lang w:val="en-US"/>
        </w:rPr>
      </w:pPr>
      <w:r w:rsidRPr="00402F5B">
        <w:rPr>
          <w:rFonts w:cs="Times New Roman"/>
          <w:szCs w:val="24"/>
          <w:shd w:val="clear" w:color="auto" w:fill="FFFFFF"/>
          <w:lang w:val="en-US"/>
        </w:rPr>
        <w:t xml:space="preserve">Lintner, J. (1962). Dividends, earnings, leverage, stock prices and the supply of capital to corporations. </w:t>
      </w:r>
      <w:r w:rsidRPr="00402F5B">
        <w:rPr>
          <w:rFonts w:cs="Times New Roman"/>
          <w:i/>
          <w:szCs w:val="24"/>
          <w:shd w:val="clear" w:color="auto" w:fill="FFFFFF"/>
          <w:lang w:val="en-US"/>
        </w:rPr>
        <w:t xml:space="preserve">The </w:t>
      </w:r>
      <w:r>
        <w:rPr>
          <w:rFonts w:cs="Times New Roman"/>
          <w:i/>
          <w:szCs w:val="24"/>
          <w:shd w:val="clear" w:color="auto" w:fill="FFFFFF"/>
          <w:lang w:val="en-US"/>
        </w:rPr>
        <w:t>R</w:t>
      </w:r>
      <w:r w:rsidRPr="00402F5B">
        <w:rPr>
          <w:rFonts w:cs="Times New Roman"/>
          <w:i/>
          <w:szCs w:val="24"/>
          <w:shd w:val="clear" w:color="auto" w:fill="FFFFFF"/>
          <w:lang w:val="en-US"/>
        </w:rPr>
        <w:t>eview of Economics and Statistics, 4</w:t>
      </w:r>
      <w:r>
        <w:rPr>
          <w:rFonts w:cs="Times New Roman"/>
          <w:szCs w:val="24"/>
          <w:shd w:val="clear" w:color="auto" w:fill="FFFFFF"/>
          <w:lang w:val="en-US"/>
        </w:rPr>
        <w:t xml:space="preserve">(3), </w:t>
      </w:r>
      <w:r w:rsidRPr="00402F5B">
        <w:rPr>
          <w:rFonts w:cs="Times New Roman"/>
          <w:szCs w:val="24"/>
          <w:shd w:val="clear" w:color="auto" w:fill="FFFFFF"/>
          <w:lang w:val="en-US"/>
        </w:rPr>
        <w:t>243-269.</w:t>
      </w:r>
    </w:p>
    <w:p w:rsidR="0010298C" w:rsidRDefault="0010298C" w:rsidP="00850F71">
      <w:pPr>
        <w:ind w:firstLine="0"/>
        <w:rPr>
          <w:rFonts w:cs="Times New Roman"/>
          <w:szCs w:val="24"/>
          <w:shd w:val="clear" w:color="auto" w:fill="FFFFFF"/>
          <w:lang w:val="en-US"/>
        </w:rPr>
      </w:pPr>
      <w:r w:rsidRPr="00402F5B">
        <w:rPr>
          <w:rFonts w:cs="Times New Roman"/>
          <w:szCs w:val="24"/>
          <w:shd w:val="clear" w:color="auto" w:fill="FFFFFF"/>
          <w:lang w:val="en-US"/>
        </w:rPr>
        <w:t xml:space="preserve">Martins, A. I., &amp; Famá, R. (2012). O que revelam os estudos realizados no Brasil sobre política de dividendos?. </w:t>
      </w:r>
      <w:r w:rsidRPr="00402F5B">
        <w:rPr>
          <w:rFonts w:cs="Times New Roman"/>
          <w:i/>
          <w:szCs w:val="24"/>
          <w:shd w:val="clear" w:color="auto" w:fill="FFFFFF"/>
          <w:lang w:val="en-US"/>
        </w:rPr>
        <w:t>Revista de Administração de Empresas, 52</w:t>
      </w:r>
      <w:r w:rsidRPr="00402F5B">
        <w:rPr>
          <w:rFonts w:cs="Times New Roman"/>
          <w:szCs w:val="24"/>
          <w:shd w:val="clear" w:color="auto" w:fill="FFFFFF"/>
          <w:lang w:val="en-US"/>
        </w:rPr>
        <w:t>(1), 24-39.</w:t>
      </w:r>
    </w:p>
    <w:p w:rsidR="0010298C" w:rsidRDefault="0010298C" w:rsidP="00850F71">
      <w:pPr>
        <w:ind w:firstLine="0"/>
        <w:rPr>
          <w:rFonts w:cs="Times New Roman"/>
          <w:szCs w:val="24"/>
          <w:shd w:val="clear" w:color="auto" w:fill="FFFFFF"/>
          <w:lang w:val="en-US"/>
        </w:rPr>
      </w:pPr>
      <w:r w:rsidRPr="00402F5B">
        <w:rPr>
          <w:rFonts w:cs="Times New Roman"/>
          <w:szCs w:val="24"/>
          <w:shd w:val="clear" w:color="auto" w:fill="FFFFFF"/>
          <w:lang w:val="en-US"/>
        </w:rPr>
        <w:t>Miller, M. H., &amp; Modigliani, F. (1961). Dividend policy, growth</w:t>
      </w:r>
      <w:r>
        <w:rPr>
          <w:rFonts w:cs="Times New Roman"/>
          <w:szCs w:val="24"/>
          <w:shd w:val="clear" w:color="auto" w:fill="FFFFFF"/>
          <w:lang w:val="en-US"/>
        </w:rPr>
        <w:t xml:space="preserve">, and the valuation of shares. </w:t>
      </w:r>
      <w:r w:rsidRPr="00402F5B">
        <w:rPr>
          <w:rFonts w:cs="Times New Roman"/>
          <w:i/>
          <w:szCs w:val="24"/>
          <w:shd w:val="clear" w:color="auto" w:fill="FFFFFF"/>
          <w:lang w:val="en-US"/>
        </w:rPr>
        <w:t>The Journal of Business, 34</w:t>
      </w:r>
      <w:r w:rsidRPr="00402F5B">
        <w:rPr>
          <w:rFonts w:cs="Times New Roman"/>
          <w:szCs w:val="24"/>
          <w:shd w:val="clear" w:color="auto" w:fill="FFFFFF"/>
          <w:lang w:val="en-US"/>
        </w:rPr>
        <w:t>(4), 411-433.</w:t>
      </w:r>
    </w:p>
    <w:p w:rsidR="0010298C" w:rsidRDefault="0010298C" w:rsidP="00850F71">
      <w:pPr>
        <w:ind w:firstLine="0"/>
        <w:rPr>
          <w:rFonts w:cs="Times New Roman"/>
          <w:szCs w:val="24"/>
          <w:shd w:val="clear" w:color="auto" w:fill="FFFFFF"/>
          <w:lang w:val="en-US"/>
        </w:rPr>
      </w:pPr>
      <w:r w:rsidRPr="00402F5B">
        <w:rPr>
          <w:rFonts w:cs="Times New Roman"/>
          <w:szCs w:val="24"/>
          <w:shd w:val="clear" w:color="auto" w:fill="FFFFFF"/>
          <w:lang w:val="en-US"/>
        </w:rPr>
        <w:lastRenderedPageBreak/>
        <w:t xml:space="preserve">Miller, M. H., &amp; Rock, K. (1985). Dividend policy under asymmetric information. </w:t>
      </w:r>
      <w:r>
        <w:rPr>
          <w:rFonts w:cs="Times New Roman"/>
          <w:i/>
          <w:szCs w:val="24"/>
          <w:shd w:val="clear" w:color="auto" w:fill="FFFFFF"/>
          <w:lang w:val="en-US"/>
        </w:rPr>
        <w:t>The Journal of F</w:t>
      </w:r>
      <w:r w:rsidRPr="00402F5B">
        <w:rPr>
          <w:rFonts w:cs="Times New Roman"/>
          <w:i/>
          <w:szCs w:val="24"/>
          <w:shd w:val="clear" w:color="auto" w:fill="FFFFFF"/>
          <w:lang w:val="en-US"/>
        </w:rPr>
        <w:t>inance, 40</w:t>
      </w:r>
      <w:r w:rsidRPr="00402F5B">
        <w:rPr>
          <w:rFonts w:cs="Times New Roman"/>
          <w:szCs w:val="24"/>
          <w:shd w:val="clear" w:color="auto" w:fill="FFFFFF"/>
          <w:lang w:val="en-US"/>
        </w:rPr>
        <w:t>(4), 1031-1051.</w:t>
      </w:r>
    </w:p>
    <w:p w:rsidR="0010298C" w:rsidRDefault="0010298C" w:rsidP="00850F71">
      <w:pPr>
        <w:ind w:firstLine="0"/>
        <w:rPr>
          <w:rFonts w:cs="Times New Roman"/>
          <w:szCs w:val="24"/>
          <w:shd w:val="clear" w:color="auto" w:fill="FFFFFF"/>
          <w:lang w:val="en-US"/>
        </w:rPr>
      </w:pPr>
      <w:r w:rsidRPr="00402F5B">
        <w:rPr>
          <w:rFonts w:cs="Times New Roman"/>
          <w:szCs w:val="24"/>
          <w:shd w:val="clear" w:color="auto" w:fill="FFFFFF"/>
          <w:lang w:val="en-US"/>
        </w:rPr>
        <w:t xml:space="preserve">Montalvan, S. M., Barilla, C. D., Ruiz, G. D., &amp; Figueroa, D. L. (2017). </w:t>
      </w:r>
      <w:r>
        <w:rPr>
          <w:rFonts w:cs="Times New Roman"/>
          <w:szCs w:val="24"/>
          <w:shd w:val="clear" w:color="auto" w:fill="FFFFFF"/>
          <w:lang w:val="en-US"/>
        </w:rPr>
        <w:t>C</w:t>
      </w:r>
      <w:r w:rsidRPr="00402F5B">
        <w:rPr>
          <w:rFonts w:cs="Times New Roman"/>
          <w:szCs w:val="24"/>
          <w:shd w:val="clear" w:color="auto" w:fill="FFFFFF"/>
          <w:lang w:val="en-US"/>
        </w:rPr>
        <w:t>orporate gov</w:t>
      </w:r>
      <w:r>
        <w:rPr>
          <w:rFonts w:cs="Times New Roman"/>
          <w:szCs w:val="24"/>
          <w:shd w:val="clear" w:color="auto" w:fill="FFFFFF"/>
          <w:lang w:val="en-US"/>
        </w:rPr>
        <w:t>ernance and dividend policy in P</w:t>
      </w:r>
      <w:r w:rsidRPr="00402F5B">
        <w:rPr>
          <w:rFonts w:cs="Times New Roman"/>
          <w:szCs w:val="24"/>
          <w:shd w:val="clear" w:color="auto" w:fill="FFFFFF"/>
          <w:lang w:val="en-US"/>
        </w:rPr>
        <w:t xml:space="preserve">eru: is there any link?. </w:t>
      </w:r>
      <w:r w:rsidRPr="00402F5B">
        <w:rPr>
          <w:rFonts w:cs="Times New Roman"/>
          <w:i/>
          <w:szCs w:val="24"/>
          <w:shd w:val="clear" w:color="auto" w:fill="FFFFFF"/>
          <w:lang w:val="en-US"/>
        </w:rPr>
        <w:t>Revista Mexicana de Economía y Finanzas, 12</w:t>
      </w:r>
      <w:r w:rsidRPr="00402F5B">
        <w:rPr>
          <w:rFonts w:cs="Times New Roman"/>
          <w:szCs w:val="24"/>
          <w:shd w:val="clear" w:color="auto" w:fill="FFFFFF"/>
          <w:lang w:val="en-US"/>
        </w:rPr>
        <w:t>(2), 103-116.</w:t>
      </w:r>
    </w:p>
    <w:p w:rsidR="0010298C" w:rsidRDefault="0010298C" w:rsidP="00850F71">
      <w:pPr>
        <w:ind w:firstLine="0"/>
        <w:rPr>
          <w:rFonts w:cs="Times New Roman"/>
          <w:szCs w:val="24"/>
          <w:shd w:val="clear" w:color="auto" w:fill="FFFFFF"/>
          <w:lang w:val="en-US"/>
        </w:rPr>
      </w:pPr>
      <w:r w:rsidRPr="00402F5B">
        <w:rPr>
          <w:rFonts w:cs="Times New Roman"/>
          <w:szCs w:val="24"/>
          <w:shd w:val="clear" w:color="auto" w:fill="FFFFFF"/>
          <w:lang w:val="en-US"/>
        </w:rPr>
        <w:t>Mubin, M., Ahmed, M., Aslam, M. F., Lal, I., &amp; Hussain, A. (2013). Determinants of Dividend with Industry-wise Effect–Evidence from KSE 100 Index.</w:t>
      </w:r>
      <w:r>
        <w:rPr>
          <w:rFonts w:cs="Times New Roman"/>
          <w:szCs w:val="24"/>
          <w:shd w:val="clear" w:color="auto" w:fill="FFFFFF"/>
          <w:lang w:val="en-US"/>
        </w:rPr>
        <w:t xml:space="preserve"> </w:t>
      </w:r>
      <w:r w:rsidRPr="0010298C">
        <w:rPr>
          <w:rFonts w:cs="Times New Roman"/>
          <w:i/>
          <w:szCs w:val="24"/>
          <w:shd w:val="clear" w:color="auto" w:fill="FFFFFF"/>
          <w:lang w:val="en-US"/>
        </w:rPr>
        <w:t>Research Journal of Finance and Accounting, 5</w:t>
      </w:r>
      <w:r>
        <w:rPr>
          <w:rFonts w:cs="Times New Roman"/>
          <w:szCs w:val="24"/>
          <w:shd w:val="clear" w:color="auto" w:fill="FFFFFF"/>
          <w:lang w:val="en-US"/>
        </w:rPr>
        <w:t>(3), 62-69.</w:t>
      </w:r>
    </w:p>
    <w:p w:rsidR="0010298C" w:rsidRDefault="0010298C" w:rsidP="00850F71">
      <w:pPr>
        <w:ind w:firstLine="0"/>
        <w:rPr>
          <w:rFonts w:cs="Times New Roman"/>
          <w:szCs w:val="24"/>
          <w:shd w:val="clear" w:color="auto" w:fill="FFFFFF"/>
          <w:lang w:val="en-US"/>
        </w:rPr>
      </w:pPr>
      <w:r w:rsidRPr="00E23AA8">
        <w:rPr>
          <w:rFonts w:cs="Times New Roman"/>
          <w:szCs w:val="24"/>
          <w:shd w:val="clear" w:color="auto" w:fill="FFFFFF"/>
          <w:lang w:val="en-US"/>
        </w:rPr>
        <w:t>Myers, S. C., &amp; Majluf, N. S. (1984). Corporate financing and investment decisions when firms have information that inv</w:t>
      </w:r>
      <w:r>
        <w:rPr>
          <w:rFonts w:cs="Times New Roman"/>
          <w:szCs w:val="24"/>
          <w:shd w:val="clear" w:color="auto" w:fill="FFFFFF"/>
          <w:lang w:val="en-US"/>
        </w:rPr>
        <w:t xml:space="preserve">estors do not have. </w:t>
      </w:r>
      <w:r w:rsidRPr="00E23AA8">
        <w:rPr>
          <w:rFonts w:cs="Times New Roman"/>
          <w:i/>
          <w:szCs w:val="24"/>
          <w:shd w:val="clear" w:color="auto" w:fill="FFFFFF"/>
          <w:lang w:val="en-US"/>
        </w:rPr>
        <w:t>Journal of Financial Economics, 13</w:t>
      </w:r>
      <w:r w:rsidRPr="00E23AA8">
        <w:rPr>
          <w:rFonts w:cs="Times New Roman"/>
          <w:szCs w:val="24"/>
          <w:shd w:val="clear" w:color="auto" w:fill="FFFFFF"/>
          <w:lang w:val="en-US"/>
        </w:rPr>
        <w:t>(2), 187-221.</w:t>
      </w:r>
    </w:p>
    <w:p w:rsidR="0010298C" w:rsidRDefault="0010298C" w:rsidP="00850F71">
      <w:pPr>
        <w:ind w:firstLine="0"/>
        <w:rPr>
          <w:rFonts w:cs="Times New Roman"/>
          <w:szCs w:val="24"/>
          <w:shd w:val="clear" w:color="auto" w:fill="FFFFFF"/>
          <w:lang w:val="en-US"/>
        </w:rPr>
      </w:pPr>
      <w:r w:rsidRPr="00FE6408">
        <w:rPr>
          <w:rFonts w:cs="Times New Roman"/>
          <w:szCs w:val="24"/>
          <w:shd w:val="clear" w:color="auto" w:fill="FFFFFF"/>
          <w:lang w:val="en-US"/>
        </w:rPr>
        <w:t xml:space="preserve">Nuhu, E. (2014). Revisiting the Determinants of Dividend Payout Ratios in Ghana. </w:t>
      </w:r>
      <w:r w:rsidRPr="00AF5047">
        <w:rPr>
          <w:rFonts w:cs="Times New Roman"/>
          <w:i/>
          <w:szCs w:val="24"/>
          <w:shd w:val="clear" w:color="auto" w:fill="FFFFFF"/>
          <w:lang w:val="en-US"/>
        </w:rPr>
        <w:t>International Journal of Business and Social Science, 5</w:t>
      </w:r>
      <w:r>
        <w:rPr>
          <w:rFonts w:cs="Times New Roman"/>
          <w:szCs w:val="24"/>
          <w:shd w:val="clear" w:color="auto" w:fill="FFFFFF"/>
          <w:lang w:val="en-US"/>
        </w:rPr>
        <w:t>(8), 230-238.</w:t>
      </w:r>
    </w:p>
    <w:p w:rsidR="0010298C" w:rsidRDefault="0010298C" w:rsidP="00850F71">
      <w:pPr>
        <w:ind w:firstLine="0"/>
        <w:rPr>
          <w:rFonts w:cs="Times New Roman"/>
          <w:szCs w:val="24"/>
          <w:shd w:val="clear" w:color="auto" w:fill="FFFFFF"/>
          <w:lang w:val="en-US"/>
        </w:rPr>
      </w:pPr>
      <w:r w:rsidRPr="00E23AA8">
        <w:rPr>
          <w:rFonts w:cs="Times New Roman"/>
          <w:szCs w:val="24"/>
          <w:shd w:val="clear" w:color="auto" w:fill="FFFFFF"/>
          <w:lang w:val="en-US"/>
        </w:rPr>
        <w:t xml:space="preserve">Pereira, P. M., &amp; Vieira, E. (2016). O efeito fiscal nos dividendos: evidência nas empresas do PSI20. </w:t>
      </w:r>
      <w:r w:rsidRPr="00E23AA8">
        <w:rPr>
          <w:rFonts w:cs="Times New Roman"/>
          <w:i/>
          <w:szCs w:val="24"/>
          <w:shd w:val="clear" w:color="auto" w:fill="FFFFFF"/>
          <w:lang w:val="en-US"/>
        </w:rPr>
        <w:t>European Journal of Applied Business and Management, 2</w:t>
      </w:r>
      <w:r>
        <w:rPr>
          <w:rFonts w:cs="Times New Roman"/>
          <w:szCs w:val="24"/>
          <w:shd w:val="clear" w:color="auto" w:fill="FFFFFF"/>
          <w:lang w:val="en-US"/>
        </w:rPr>
        <w:t>(2), 115-135.</w:t>
      </w:r>
    </w:p>
    <w:p w:rsidR="0010298C" w:rsidRDefault="0010298C" w:rsidP="00850F71">
      <w:pPr>
        <w:ind w:firstLine="0"/>
        <w:rPr>
          <w:rFonts w:cs="Times New Roman"/>
          <w:szCs w:val="24"/>
          <w:shd w:val="clear" w:color="auto" w:fill="FFFFFF"/>
          <w:lang w:val="en-US"/>
        </w:rPr>
      </w:pPr>
      <w:r w:rsidRPr="001D10D0">
        <w:rPr>
          <w:rFonts w:cs="Times New Roman"/>
          <w:szCs w:val="24"/>
          <w:shd w:val="clear" w:color="auto" w:fill="FFFFFF"/>
          <w:lang w:val="en-US"/>
        </w:rPr>
        <w:t>Procianoy, J</w:t>
      </w:r>
      <w:r>
        <w:rPr>
          <w:rFonts w:cs="Times New Roman"/>
          <w:szCs w:val="24"/>
          <w:shd w:val="clear" w:color="auto" w:fill="FFFFFF"/>
          <w:lang w:val="en-US"/>
        </w:rPr>
        <w:t xml:space="preserve">. </w:t>
      </w:r>
      <w:r w:rsidRPr="001D10D0">
        <w:rPr>
          <w:rFonts w:cs="Times New Roman"/>
          <w:szCs w:val="24"/>
          <w:shd w:val="clear" w:color="auto" w:fill="FFFFFF"/>
          <w:lang w:val="en-US"/>
        </w:rPr>
        <w:t>L</w:t>
      </w:r>
      <w:r>
        <w:rPr>
          <w:rFonts w:cs="Times New Roman"/>
          <w:szCs w:val="24"/>
          <w:shd w:val="clear" w:color="auto" w:fill="FFFFFF"/>
          <w:lang w:val="en-US"/>
        </w:rPr>
        <w:t xml:space="preserve">. </w:t>
      </w:r>
      <w:r w:rsidRPr="001D10D0">
        <w:rPr>
          <w:rFonts w:cs="Times New Roman"/>
          <w:szCs w:val="24"/>
          <w:shd w:val="clear" w:color="auto" w:fill="FFFFFF"/>
          <w:lang w:val="en-US"/>
        </w:rPr>
        <w:t xml:space="preserve"> &amp; Vancin, D. </w:t>
      </w:r>
      <w:r>
        <w:rPr>
          <w:rFonts w:cs="Times New Roman"/>
          <w:szCs w:val="24"/>
          <w:shd w:val="clear" w:color="auto" w:fill="FFFFFF"/>
          <w:lang w:val="en-US"/>
        </w:rPr>
        <w:t>(</w:t>
      </w:r>
      <w:r w:rsidRPr="001D10D0">
        <w:rPr>
          <w:rFonts w:cs="Times New Roman"/>
          <w:szCs w:val="24"/>
          <w:shd w:val="clear" w:color="auto" w:fill="FFFFFF"/>
          <w:lang w:val="en-US"/>
        </w:rPr>
        <w:t>2014</w:t>
      </w:r>
      <w:r>
        <w:rPr>
          <w:rFonts w:cs="Times New Roman"/>
          <w:szCs w:val="24"/>
          <w:shd w:val="clear" w:color="auto" w:fill="FFFFFF"/>
          <w:lang w:val="en-US"/>
        </w:rPr>
        <w:t>)</w:t>
      </w:r>
      <w:r w:rsidRPr="001D10D0">
        <w:rPr>
          <w:rFonts w:cs="Times New Roman"/>
          <w:szCs w:val="24"/>
          <w:shd w:val="clear" w:color="auto" w:fill="FFFFFF"/>
          <w:lang w:val="en-US"/>
        </w:rPr>
        <w:t>. Dividends: Publicly Listed</w:t>
      </w:r>
      <w:r>
        <w:rPr>
          <w:rFonts w:cs="Times New Roman"/>
          <w:szCs w:val="24"/>
          <w:shd w:val="clear" w:color="auto" w:fill="FFFFFF"/>
          <w:lang w:val="en-US"/>
        </w:rPr>
        <w:t xml:space="preserve"> </w:t>
      </w:r>
      <w:r w:rsidRPr="001D10D0">
        <w:rPr>
          <w:rFonts w:cs="Times New Roman"/>
          <w:szCs w:val="24"/>
          <w:shd w:val="clear" w:color="auto" w:fill="FFFFFF"/>
          <w:lang w:val="en-US"/>
        </w:rPr>
        <w:t>Brazilian</w:t>
      </w:r>
      <w:r>
        <w:rPr>
          <w:rFonts w:cs="Times New Roman"/>
          <w:szCs w:val="24"/>
          <w:shd w:val="clear" w:color="auto" w:fill="FFFFFF"/>
          <w:lang w:val="en-US"/>
        </w:rPr>
        <w:t xml:space="preserve"> </w:t>
      </w:r>
      <w:r w:rsidRPr="001D10D0">
        <w:rPr>
          <w:rFonts w:cs="Times New Roman"/>
          <w:szCs w:val="24"/>
          <w:shd w:val="clear" w:color="auto" w:fill="FFFFFF"/>
          <w:lang w:val="en-US"/>
        </w:rPr>
        <w:t xml:space="preserve">Companies’ Propensity to Pay or Not to Pay. </w:t>
      </w:r>
      <w:r w:rsidRPr="001D10D0">
        <w:rPr>
          <w:rFonts w:cs="Times New Roman"/>
          <w:i/>
          <w:szCs w:val="24"/>
          <w:shd w:val="clear" w:color="auto" w:fill="FFFFFF"/>
          <w:lang w:val="en-US"/>
        </w:rPr>
        <w:t>Available at SSRN 2447972</w:t>
      </w:r>
      <w:r>
        <w:rPr>
          <w:rFonts w:cs="Times New Roman"/>
          <w:szCs w:val="24"/>
          <w:shd w:val="clear" w:color="auto" w:fill="FFFFFF"/>
          <w:lang w:val="en-US"/>
        </w:rPr>
        <w:t>.</w:t>
      </w:r>
    </w:p>
    <w:p w:rsidR="0010298C" w:rsidRDefault="0010298C" w:rsidP="00850F71">
      <w:pPr>
        <w:ind w:firstLine="0"/>
        <w:rPr>
          <w:rFonts w:cs="Times New Roman"/>
          <w:szCs w:val="24"/>
          <w:shd w:val="clear" w:color="auto" w:fill="FFFFFF"/>
          <w:lang w:val="en-US"/>
        </w:rPr>
      </w:pPr>
      <w:r w:rsidRPr="00970C7B">
        <w:rPr>
          <w:rFonts w:cs="Times New Roman"/>
          <w:szCs w:val="24"/>
          <w:shd w:val="clear" w:color="auto" w:fill="FFFFFF"/>
          <w:lang w:val="en-US"/>
        </w:rPr>
        <w:t xml:space="preserve">Ribeiro, A. (2010). Determinantes da política de dividendos: Evidência empírica para as empresas não financeiras cotadas na Euronext Lisbon. </w:t>
      </w:r>
      <w:r w:rsidRPr="00970C7B">
        <w:rPr>
          <w:rFonts w:cs="Times New Roman"/>
          <w:i/>
          <w:szCs w:val="24"/>
          <w:shd w:val="clear" w:color="auto" w:fill="FFFFFF"/>
          <w:lang w:val="en-US"/>
        </w:rPr>
        <w:t>Revista de Gestão dos Países de Língua Portuguesa, 9</w:t>
      </w:r>
      <w:r w:rsidRPr="00970C7B">
        <w:rPr>
          <w:rFonts w:cs="Times New Roman"/>
          <w:szCs w:val="24"/>
          <w:shd w:val="clear" w:color="auto" w:fill="FFFFFF"/>
          <w:lang w:val="en-US"/>
        </w:rPr>
        <w:t>(1-2), 15-25.</w:t>
      </w:r>
    </w:p>
    <w:p w:rsidR="0010298C" w:rsidRDefault="0010298C" w:rsidP="00850F71">
      <w:pPr>
        <w:ind w:firstLine="0"/>
        <w:rPr>
          <w:rFonts w:cs="Times New Roman"/>
          <w:szCs w:val="24"/>
          <w:shd w:val="clear" w:color="auto" w:fill="FFFFFF"/>
          <w:lang w:val="en-US"/>
        </w:rPr>
      </w:pPr>
      <w:r w:rsidRPr="00246839">
        <w:rPr>
          <w:rFonts w:cs="Times New Roman"/>
          <w:szCs w:val="24"/>
          <w:shd w:val="clear" w:color="auto" w:fill="FFFFFF"/>
          <w:lang w:val="en-US"/>
        </w:rPr>
        <w:t xml:space="preserve">Rozeff, M. S. (1982). Growth, beta and agency costs as determinants of dividend payout ratios. </w:t>
      </w:r>
      <w:r w:rsidRPr="00246839">
        <w:rPr>
          <w:rFonts w:cs="Times New Roman"/>
          <w:i/>
          <w:szCs w:val="24"/>
          <w:shd w:val="clear" w:color="auto" w:fill="FFFFFF"/>
          <w:lang w:val="en-US"/>
        </w:rPr>
        <w:t>Journal of financial Research, 5</w:t>
      </w:r>
      <w:r w:rsidRPr="00246839">
        <w:rPr>
          <w:rFonts w:cs="Times New Roman"/>
          <w:szCs w:val="24"/>
          <w:shd w:val="clear" w:color="auto" w:fill="FFFFFF"/>
          <w:lang w:val="en-US"/>
        </w:rPr>
        <w:t>(3), 249-259.</w:t>
      </w:r>
    </w:p>
    <w:p w:rsidR="0010298C" w:rsidRDefault="0010298C" w:rsidP="00850F71">
      <w:pPr>
        <w:ind w:firstLine="0"/>
        <w:rPr>
          <w:rFonts w:cs="Times New Roman"/>
          <w:szCs w:val="24"/>
          <w:shd w:val="clear" w:color="auto" w:fill="FFFFFF"/>
          <w:lang w:val="en-US"/>
        </w:rPr>
      </w:pPr>
      <w:r w:rsidRPr="009C7E80">
        <w:rPr>
          <w:rFonts w:cs="Times New Roman"/>
          <w:szCs w:val="24"/>
          <w:shd w:val="clear" w:color="auto" w:fill="FFFFFF"/>
          <w:lang w:val="en-US"/>
        </w:rPr>
        <w:t xml:space="preserve">Salsa, M. L. C. R. (2010). Política de dividendos e ciclo de vida das empresas. </w:t>
      </w:r>
      <w:r w:rsidRPr="009C7E80">
        <w:rPr>
          <w:rFonts w:cs="Times New Roman"/>
          <w:i/>
          <w:szCs w:val="24"/>
          <w:shd w:val="clear" w:color="auto" w:fill="FFFFFF"/>
          <w:lang w:val="en-US"/>
        </w:rPr>
        <w:t xml:space="preserve">Revista Encontros Científicos-Tourism &amp; Management Studies, </w:t>
      </w:r>
      <w:r w:rsidRPr="009C7E80">
        <w:rPr>
          <w:rFonts w:cs="Times New Roman"/>
          <w:szCs w:val="24"/>
          <w:shd w:val="clear" w:color="auto" w:fill="FFFFFF"/>
          <w:lang w:val="en-US"/>
        </w:rPr>
        <w:t>(6), 162-174.</w:t>
      </w:r>
    </w:p>
    <w:p w:rsidR="0010298C" w:rsidRDefault="0010298C" w:rsidP="00850F71">
      <w:pPr>
        <w:ind w:firstLine="0"/>
        <w:rPr>
          <w:rFonts w:cs="Times New Roman"/>
          <w:szCs w:val="24"/>
          <w:shd w:val="clear" w:color="auto" w:fill="FFFFFF"/>
          <w:lang w:val="en-US"/>
        </w:rPr>
      </w:pPr>
      <w:r w:rsidRPr="00335C5A">
        <w:rPr>
          <w:rFonts w:cs="Times New Roman"/>
          <w:szCs w:val="24"/>
          <w:shd w:val="clear" w:color="auto" w:fill="FFFFFF"/>
          <w:lang w:val="en-US"/>
        </w:rPr>
        <w:t>Souza, D. H</w:t>
      </w:r>
      <w:r>
        <w:rPr>
          <w:rFonts w:cs="Times New Roman"/>
          <w:szCs w:val="24"/>
          <w:shd w:val="clear" w:color="auto" w:fill="FFFFFF"/>
          <w:lang w:val="en-US"/>
        </w:rPr>
        <w:t xml:space="preserve"> de O., Peixoto, F. M., &amp; </w:t>
      </w:r>
      <w:r w:rsidRPr="00335C5A">
        <w:rPr>
          <w:rFonts w:cs="Times New Roman"/>
          <w:szCs w:val="24"/>
          <w:shd w:val="clear" w:color="auto" w:fill="FFFFFF"/>
          <w:lang w:val="en-US"/>
        </w:rPr>
        <w:t>Santos, M. A.</w:t>
      </w:r>
      <w:r>
        <w:rPr>
          <w:rFonts w:cs="Times New Roman"/>
          <w:szCs w:val="24"/>
          <w:shd w:val="clear" w:color="auto" w:fill="FFFFFF"/>
          <w:lang w:val="en-US"/>
        </w:rPr>
        <w:t xml:space="preserve"> dos.</w:t>
      </w:r>
      <w:r w:rsidRPr="00335C5A">
        <w:rPr>
          <w:rFonts w:cs="Times New Roman"/>
          <w:szCs w:val="24"/>
          <w:shd w:val="clear" w:color="auto" w:fill="FFFFFF"/>
          <w:lang w:val="en-US"/>
        </w:rPr>
        <w:t xml:space="preserve"> (2016). Efeitos Da Governança Corporativa Na Distribuição De Dividendos: Um Estudo Em Empresas Brasileiras</w:t>
      </w:r>
      <w:r w:rsidRPr="00335C5A">
        <w:rPr>
          <w:rFonts w:cs="Times New Roman"/>
          <w:i/>
          <w:szCs w:val="24"/>
          <w:shd w:val="clear" w:color="auto" w:fill="FFFFFF"/>
          <w:lang w:val="en-US"/>
        </w:rPr>
        <w:t>. Advances in Scientific and Applied Accounting, 9</w:t>
      </w:r>
      <w:r w:rsidRPr="00335C5A">
        <w:rPr>
          <w:rFonts w:cs="Times New Roman"/>
          <w:szCs w:val="24"/>
          <w:shd w:val="clear" w:color="auto" w:fill="FFFFFF"/>
          <w:lang w:val="en-US"/>
        </w:rPr>
        <w:t>(1), 058-079.</w:t>
      </w:r>
    </w:p>
    <w:p w:rsidR="0010298C" w:rsidRDefault="0010298C" w:rsidP="00850F71">
      <w:pPr>
        <w:ind w:firstLine="0"/>
        <w:rPr>
          <w:rFonts w:cs="Times New Roman"/>
          <w:szCs w:val="24"/>
          <w:shd w:val="clear" w:color="auto" w:fill="FFFFFF"/>
          <w:lang w:val="en-US"/>
        </w:rPr>
      </w:pPr>
      <w:r w:rsidRPr="00E23AA8">
        <w:rPr>
          <w:rFonts w:cs="Times New Roman"/>
          <w:szCs w:val="24"/>
          <w:shd w:val="clear" w:color="auto" w:fill="FFFFFF"/>
          <w:lang w:val="en-US"/>
        </w:rPr>
        <w:t>Vancin, D. F., &amp; Procianoy, J. L. (2016). Os fatores determinantes do pagamento de dividendos: o efeito do obrigatório mínimo legal e contratual nas</w:t>
      </w:r>
      <w:r>
        <w:rPr>
          <w:rFonts w:cs="Times New Roman"/>
          <w:szCs w:val="24"/>
          <w:shd w:val="clear" w:color="auto" w:fill="FFFFFF"/>
          <w:lang w:val="en-US"/>
        </w:rPr>
        <w:t xml:space="preserve"> empresas brasileiras. </w:t>
      </w:r>
      <w:r w:rsidRPr="00E23AA8">
        <w:rPr>
          <w:rFonts w:cs="Times New Roman"/>
          <w:i/>
          <w:szCs w:val="24"/>
          <w:shd w:val="clear" w:color="auto" w:fill="FFFFFF"/>
          <w:lang w:val="en-US"/>
        </w:rPr>
        <w:t>Revista Brasileira de Finanças, 14</w:t>
      </w:r>
      <w:r>
        <w:rPr>
          <w:rFonts w:cs="Times New Roman"/>
          <w:szCs w:val="24"/>
          <w:shd w:val="clear" w:color="auto" w:fill="FFFFFF"/>
          <w:lang w:val="en-US"/>
        </w:rPr>
        <w:t>(</w:t>
      </w:r>
      <w:r w:rsidRPr="00E23AA8">
        <w:rPr>
          <w:rFonts w:cs="Times New Roman"/>
          <w:szCs w:val="24"/>
          <w:shd w:val="clear" w:color="auto" w:fill="FFFFFF"/>
          <w:lang w:val="en-US"/>
        </w:rPr>
        <w:t>1</w:t>
      </w:r>
      <w:r>
        <w:rPr>
          <w:rFonts w:cs="Times New Roman"/>
          <w:szCs w:val="24"/>
          <w:shd w:val="clear" w:color="auto" w:fill="FFFFFF"/>
          <w:lang w:val="en-US"/>
        </w:rPr>
        <w:t xml:space="preserve">), </w:t>
      </w:r>
      <w:r w:rsidRPr="00E23AA8">
        <w:rPr>
          <w:rFonts w:cs="Times New Roman"/>
          <w:szCs w:val="24"/>
          <w:shd w:val="clear" w:color="auto" w:fill="FFFFFF"/>
          <w:lang w:val="en-US"/>
        </w:rPr>
        <w:t>89-123.</w:t>
      </w:r>
    </w:p>
    <w:p w:rsidR="0010298C" w:rsidRDefault="0010298C" w:rsidP="00850F71">
      <w:pPr>
        <w:ind w:firstLine="0"/>
        <w:rPr>
          <w:rFonts w:cs="Times New Roman"/>
          <w:szCs w:val="24"/>
          <w:shd w:val="clear" w:color="auto" w:fill="FFFFFF"/>
          <w:lang w:val="en-US"/>
        </w:rPr>
      </w:pPr>
      <w:r>
        <w:rPr>
          <w:rFonts w:cs="Times New Roman"/>
          <w:szCs w:val="24"/>
          <w:shd w:val="clear" w:color="auto" w:fill="FFFFFF"/>
          <w:lang w:val="en-US"/>
        </w:rPr>
        <w:t>Viana Jú</w:t>
      </w:r>
      <w:r w:rsidRPr="00E23AA8">
        <w:rPr>
          <w:rFonts w:cs="Times New Roman"/>
          <w:szCs w:val="24"/>
          <w:shd w:val="clear" w:color="auto" w:fill="FFFFFF"/>
          <w:lang w:val="en-US"/>
        </w:rPr>
        <w:t xml:space="preserve">nior, D. B. C., &amp; Ponte, V. M. R. (2016). </w:t>
      </w:r>
      <w:r>
        <w:rPr>
          <w:rFonts w:cs="Times New Roman"/>
          <w:szCs w:val="24"/>
          <w:shd w:val="clear" w:color="auto" w:fill="FFFFFF"/>
          <w:lang w:val="en-US"/>
        </w:rPr>
        <w:t>P</w:t>
      </w:r>
      <w:r w:rsidRPr="00E23AA8">
        <w:rPr>
          <w:rFonts w:cs="Times New Roman"/>
          <w:szCs w:val="24"/>
          <w:shd w:val="clear" w:color="auto" w:fill="FFFFFF"/>
          <w:lang w:val="en-US"/>
        </w:rPr>
        <w:t xml:space="preserve">olíticas de dividendos: um estudo comparativo entre empresas brasileiras e norte-americanas. </w:t>
      </w:r>
      <w:r w:rsidRPr="00E23AA8">
        <w:rPr>
          <w:rFonts w:cs="Times New Roman"/>
          <w:i/>
          <w:szCs w:val="24"/>
          <w:shd w:val="clear" w:color="auto" w:fill="FFFFFF"/>
          <w:lang w:val="en-US"/>
        </w:rPr>
        <w:t>Revista Universo Contábil, 12</w:t>
      </w:r>
      <w:r w:rsidRPr="00E23AA8">
        <w:rPr>
          <w:rFonts w:cs="Times New Roman"/>
          <w:szCs w:val="24"/>
          <w:shd w:val="clear" w:color="auto" w:fill="FFFFFF"/>
          <w:lang w:val="en-US"/>
        </w:rPr>
        <w:t>(1), 25</w:t>
      </w:r>
      <w:r>
        <w:rPr>
          <w:rFonts w:cs="Times New Roman"/>
          <w:szCs w:val="24"/>
          <w:shd w:val="clear" w:color="auto" w:fill="FFFFFF"/>
          <w:lang w:val="en-US"/>
        </w:rPr>
        <w:t>-44</w:t>
      </w:r>
      <w:r w:rsidRPr="00E23AA8">
        <w:rPr>
          <w:rFonts w:cs="Times New Roman"/>
          <w:szCs w:val="24"/>
          <w:shd w:val="clear" w:color="auto" w:fill="FFFFFF"/>
          <w:lang w:val="en-US"/>
        </w:rPr>
        <w:t>.</w:t>
      </w:r>
    </w:p>
    <w:sectPr w:rsidR="0010298C" w:rsidSect="009665D5">
      <w:headerReference w:type="default" r:id="rId8"/>
      <w:foot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B07" w:rsidRDefault="00166B07" w:rsidP="00042185">
      <w:r>
        <w:separator/>
      </w:r>
    </w:p>
  </w:endnote>
  <w:endnote w:type="continuationSeparator" w:id="0">
    <w:p w:rsidR="00166B07" w:rsidRDefault="00166B07" w:rsidP="00042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ejaVu 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90101"/>
      <w:docPartObj>
        <w:docPartGallery w:val="Page Numbers (Bottom of Page)"/>
        <w:docPartUnique/>
      </w:docPartObj>
    </w:sdtPr>
    <w:sdtEndPr/>
    <w:sdtContent>
      <w:p w:rsidR="00DD6441" w:rsidRDefault="00DD6441">
        <w:pPr>
          <w:pStyle w:val="Rodap"/>
          <w:jc w:val="right"/>
        </w:pPr>
        <w:r>
          <w:fldChar w:fldCharType="begin"/>
        </w:r>
        <w:r>
          <w:instrText>PAGE   \* MERGEFORMAT</w:instrText>
        </w:r>
        <w:r>
          <w:fldChar w:fldCharType="separate"/>
        </w:r>
        <w:r>
          <w:t>2</w:t>
        </w:r>
        <w:r>
          <w:fldChar w:fldCharType="end"/>
        </w:r>
      </w:p>
    </w:sdtContent>
  </w:sdt>
  <w:p w:rsidR="003331F7" w:rsidRDefault="003331F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B07" w:rsidRDefault="00166B07" w:rsidP="00042185">
      <w:r>
        <w:separator/>
      </w:r>
    </w:p>
  </w:footnote>
  <w:footnote w:type="continuationSeparator" w:id="0">
    <w:p w:rsidR="00166B07" w:rsidRDefault="00166B07" w:rsidP="00042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1F7" w:rsidRPr="00260097" w:rsidRDefault="003331F7" w:rsidP="003331F7">
    <w:pPr>
      <w:pStyle w:val="Cabealho"/>
      <w:ind w:firstLine="0"/>
    </w:pPr>
    <w:r>
      <w:rPr>
        <w:noProof/>
        <w:lang w:eastAsia="pt-BR"/>
      </w:rPr>
      <w:drawing>
        <wp:inline distT="0" distB="0" distL="0" distR="0" wp14:anchorId="6D61756A" wp14:editId="4EE2540D">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5651"/>
    <w:multiLevelType w:val="hybridMultilevel"/>
    <w:tmpl w:val="3D8480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F54CEF"/>
    <w:multiLevelType w:val="multilevel"/>
    <w:tmpl w:val="B7C696C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11D1507"/>
    <w:multiLevelType w:val="hybridMultilevel"/>
    <w:tmpl w:val="CF9064CA"/>
    <w:lvl w:ilvl="0" w:tplc="047A1314">
      <w:start w:val="1"/>
      <w:numFmt w:val="bullet"/>
      <w:lvlText w:val="•"/>
      <w:lvlJc w:val="left"/>
      <w:pPr>
        <w:tabs>
          <w:tab w:val="num" w:pos="720"/>
        </w:tabs>
        <w:ind w:left="720" w:hanging="360"/>
      </w:pPr>
      <w:rPr>
        <w:rFonts w:ascii="Times New Roman" w:hAnsi="Times New Roman" w:hint="default"/>
      </w:rPr>
    </w:lvl>
    <w:lvl w:ilvl="1" w:tplc="6566517E" w:tentative="1">
      <w:start w:val="1"/>
      <w:numFmt w:val="bullet"/>
      <w:lvlText w:val="•"/>
      <w:lvlJc w:val="left"/>
      <w:pPr>
        <w:tabs>
          <w:tab w:val="num" w:pos="1440"/>
        </w:tabs>
        <w:ind w:left="1440" w:hanging="360"/>
      </w:pPr>
      <w:rPr>
        <w:rFonts w:ascii="Times New Roman" w:hAnsi="Times New Roman" w:hint="default"/>
      </w:rPr>
    </w:lvl>
    <w:lvl w:ilvl="2" w:tplc="B2CA6A6C" w:tentative="1">
      <w:start w:val="1"/>
      <w:numFmt w:val="bullet"/>
      <w:lvlText w:val="•"/>
      <w:lvlJc w:val="left"/>
      <w:pPr>
        <w:tabs>
          <w:tab w:val="num" w:pos="2160"/>
        </w:tabs>
        <w:ind w:left="2160" w:hanging="360"/>
      </w:pPr>
      <w:rPr>
        <w:rFonts w:ascii="Times New Roman" w:hAnsi="Times New Roman" w:hint="default"/>
      </w:rPr>
    </w:lvl>
    <w:lvl w:ilvl="3" w:tplc="09DEC6B4" w:tentative="1">
      <w:start w:val="1"/>
      <w:numFmt w:val="bullet"/>
      <w:lvlText w:val="•"/>
      <w:lvlJc w:val="left"/>
      <w:pPr>
        <w:tabs>
          <w:tab w:val="num" w:pos="2880"/>
        </w:tabs>
        <w:ind w:left="2880" w:hanging="360"/>
      </w:pPr>
      <w:rPr>
        <w:rFonts w:ascii="Times New Roman" w:hAnsi="Times New Roman" w:hint="default"/>
      </w:rPr>
    </w:lvl>
    <w:lvl w:ilvl="4" w:tplc="8B5A7EF2" w:tentative="1">
      <w:start w:val="1"/>
      <w:numFmt w:val="bullet"/>
      <w:lvlText w:val="•"/>
      <w:lvlJc w:val="left"/>
      <w:pPr>
        <w:tabs>
          <w:tab w:val="num" w:pos="3600"/>
        </w:tabs>
        <w:ind w:left="3600" w:hanging="360"/>
      </w:pPr>
      <w:rPr>
        <w:rFonts w:ascii="Times New Roman" w:hAnsi="Times New Roman" w:hint="default"/>
      </w:rPr>
    </w:lvl>
    <w:lvl w:ilvl="5" w:tplc="6AAE2752" w:tentative="1">
      <w:start w:val="1"/>
      <w:numFmt w:val="bullet"/>
      <w:lvlText w:val="•"/>
      <w:lvlJc w:val="left"/>
      <w:pPr>
        <w:tabs>
          <w:tab w:val="num" w:pos="4320"/>
        </w:tabs>
        <w:ind w:left="4320" w:hanging="360"/>
      </w:pPr>
      <w:rPr>
        <w:rFonts w:ascii="Times New Roman" w:hAnsi="Times New Roman" w:hint="default"/>
      </w:rPr>
    </w:lvl>
    <w:lvl w:ilvl="6" w:tplc="BEA698CC" w:tentative="1">
      <w:start w:val="1"/>
      <w:numFmt w:val="bullet"/>
      <w:lvlText w:val="•"/>
      <w:lvlJc w:val="left"/>
      <w:pPr>
        <w:tabs>
          <w:tab w:val="num" w:pos="5040"/>
        </w:tabs>
        <w:ind w:left="5040" w:hanging="360"/>
      </w:pPr>
      <w:rPr>
        <w:rFonts w:ascii="Times New Roman" w:hAnsi="Times New Roman" w:hint="default"/>
      </w:rPr>
    </w:lvl>
    <w:lvl w:ilvl="7" w:tplc="450EAE2E" w:tentative="1">
      <w:start w:val="1"/>
      <w:numFmt w:val="bullet"/>
      <w:lvlText w:val="•"/>
      <w:lvlJc w:val="left"/>
      <w:pPr>
        <w:tabs>
          <w:tab w:val="num" w:pos="5760"/>
        </w:tabs>
        <w:ind w:left="5760" w:hanging="360"/>
      </w:pPr>
      <w:rPr>
        <w:rFonts w:ascii="Times New Roman" w:hAnsi="Times New Roman" w:hint="default"/>
      </w:rPr>
    </w:lvl>
    <w:lvl w:ilvl="8" w:tplc="B1AC88B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248548B"/>
    <w:multiLevelType w:val="hybridMultilevel"/>
    <w:tmpl w:val="434E9B6E"/>
    <w:lvl w:ilvl="0" w:tplc="49FE19D2">
      <w:start w:val="1"/>
      <w:numFmt w:val="bullet"/>
      <w:lvlText w:val=""/>
      <w:lvlJc w:val="left"/>
      <w:pPr>
        <w:tabs>
          <w:tab w:val="num" w:pos="720"/>
        </w:tabs>
        <w:ind w:left="720" w:hanging="360"/>
      </w:pPr>
      <w:rPr>
        <w:rFonts w:ascii="Wingdings 2" w:hAnsi="Wingdings 2" w:hint="default"/>
      </w:rPr>
    </w:lvl>
    <w:lvl w:ilvl="1" w:tplc="014AE3A0" w:tentative="1">
      <w:start w:val="1"/>
      <w:numFmt w:val="bullet"/>
      <w:lvlText w:val=""/>
      <w:lvlJc w:val="left"/>
      <w:pPr>
        <w:tabs>
          <w:tab w:val="num" w:pos="1440"/>
        </w:tabs>
        <w:ind w:left="1440" w:hanging="360"/>
      </w:pPr>
      <w:rPr>
        <w:rFonts w:ascii="Wingdings 2" w:hAnsi="Wingdings 2" w:hint="default"/>
      </w:rPr>
    </w:lvl>
    <w:lvl w:ilvl="2" w:tplc="FDEE2AE8" w:tentative="1">
      <w:start w:val="1"/>
      <w:numFmt w:val="bullet"/>
      <w:lvlText w:val=""/>
      <w:lvlJc w:val="left"/>
      <w:pPr>
        <w:tabs>
          <w:tab w:val="num" w:pos="2160"/>
        </w:tabs>
        <w:ind w:left="2160" w:hanging="360"/>
      </w:pPr>
      <w:rPr>
        <w:rFonts w:ascii="Wingdings 2" w:hAnsi="Wingdings 2" w:hint="default"/>
      </w:rPr>
    </w:lvl>
    <w:lvl w:ilvl="3" w:tplc="88DE5520" w:tentative="1">
      <w:start w:val="1"/>
      <w:numFmt w:val="bullet"/>
      <w:lvlText w:val=""/>
      <w:lvlJc w:val="left"/>
      <w:pPr>
        <w:tabs>
          <w:tab w:val="num" w:pos="2880"/>
        </w:tabs>
        <w:ind w:left="2880" w:hanging="360"/>
      </w:pPr>
      <w:rPr>
        <w:rFonts w:ascii="Wingdings 2" w:hAnsi="Wingdings 2" w:hint="default"/>
      </w:rPr>
    </w:lvl>
    <w:lvl w:ilvl="4" w:tplc="0C9890E6" w:tentative="1">
      <w:start w:val="1"/>
      <w:numFmt w:val="bullet"/>
      <w:lvlText w:val=""/>
      <w:lvlJc w:val="left"/>
      <w:pPr>
        <w:tabs>
          <w:tab w:val="num" w:pos="3600"/>
        </w:tabs>
        <w:ind w:left="3600" w:hanging="360"/>
      </w:pPr>
      <w:rPr>
        <w:rFonts w:ascii="Wingdings 2" w:hAnsi="Wingdings 2" w:hint="default"/>
      </w:rPr>
    </w:lvl>
    <w:lvl w:ilvl="5" w:tplc="7102C2A0" w:tentative="1">
      <w:start w:val="1"/>
      <w:numFmt w:val="bullet"/>
      <w:lvlText w:val=""/>
      <w:lvlJc w:val="left"/>
      <w:pPr>
        <w:tabs>
          <w:tab w:val="num" w:pos="4320"/>
        </w:tabs>
        <w:ind w:left="4320" w:hanging="360"/>
      </w:pPr>
      <w:rPr>
        <w:rFonts w:ascii="Wingdings 2" w:hAnsi="Wingdings 2" w:hint="default"/>
      </w:rPr>
    </w:lvl>
    <w:lvl w:ilvl="6" w:tplc="28C0A7E8" w:tentative="1">
      <w:start w:val="1"/>
      <w:numFmt w:val="bullet"/>
      <w:lvlText w:val=""/>
      <w:lvlJc w:val="left"/>
      <w:pPr>
        <w:tabs>
          <w:tab w:val="num" w:pos="5040"/>
        </w:tabs>
        <w:ind w:left="5040" w:hanging="360"/>
      </w:pPr>
      <w:rPr>
        <w:rFonts w:ascii="Wingdings 2" w:hAnsi="Wingdings 2" w:hint="default"/>
      </w:rPr>
    </w:lvl>
    <w:lvl w:ilvl="7" w:tplc="1CE00CE6" w:tentative="1">
      <w:start w:val="1"/>
      <w:numFmt w:val="bullet"/>
      <w:lvlText w:val=""/>
      <w:lvlJc w:val="left"/>
      <w:pPr>
        <w:tabs>
          <w:tab w:val="num" w:pos="5760"/>
        </w:tabs>
        <w:ind w:left="5760" w:hanging="360"/>
      </w:pPr>
      <w:rPr>
        <w:rFonts w:ascii="Wingdings 2" w:hAnsi="Wingdings 2" w:hint="default"/>
      </w:rPr>
    </w:lvl>
    <w:lvl w:ilvl="8" w:tplc="51F6DE4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31C29D8"/>
    <w:multiLevelType w:val="hybridMultilevel"/>
    <w:tmpl w:val="3D8480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45640E"/>
    <w:multiLevelType w:val="hybridMultilevel"/>
    <w:tmpl w:val="6B4CB1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F2"/>
    <w:rsid w:val="00000BDF"/>
    <w:rsid w:val="00000EFA"/>
    <w:rsid w:val="00001A6B"/>
    <w:rsid w:val="00001F08"/>
    <w:rsid w:val="00002D1B"/>
    <w:rsid w:val="000036BF"/>
    <w:rsid w:val="00003D74"/>
    <w:rsid w:val="00003DF0"/>
    <w:rsid w:val="0000460F"/>
    <w:rsid w:val="000111FF"/>
    <w:rsid w:val="0001161D"/>
    <w:rsid w:val="00013477"/>
    <w:rsid w:val="0001507D"/>
    <w:rsid w:val="00015791"/>
    <w:rsid w:val="00015EB5"/>
    <w:rsid w:val="00017AE7"/>
    <w:rsid w:val="00017D9B"/>
    <w:rsid w:val="00020B60"/>
    <w:rsid w:val="000212B0"/>
    <w:rsid w:val="00022B18"/>
    <w:rsid w:val="00022FAE"/>
    <w:rsid w:val="000233D7"/>
    <w:rsid w:val="0002359B"/>
    <w:rsid w:val="00023613"/>
    <w:rsid w:val="00023A67"/>
    <w:rsid w:val="00023B83"/>
    <w:rsid w:val="00023CAA"/>
    <w:rsid w:val="00023F43"/>
    <w:rsid w:val="00023F90"/>
    <w:rsid w:val="000241A0"/>
    <w:rsid w:val="000247E4"/>
    <w:rsid w:val="00025C5F"/>
    <w:rsid w:val="00025F1C"/>
    <w:rsid w:val="0002643A"/>
    <w:rsid w:val="0002678B"/>
    <w:rsid w:val="00026A66"/>
    <w:rsid w:val="00027107"/>
    <w:rsid w:val="00027450"/>
    <w:rsid w:val="000276F8"/>
    <w:rsid w:val="0003053C"/>
    <w:rsid w:val="00031789"/>
    <w:rsid w:val="0003191B"/>
    <w:rsid w:val="0003191F"/>
    <w:rsid w:val="00031E78"/>
    <w:rsid w:val="0003476D"/>
    <w:rsid w:val="00034BF6"/>
    <w:rsid w:val="00037F1F"/>
    <w:rsid w:val="00040363"/>
    <w:rsid w:val="0004067B"/>
    <w:rsid w:val="000409C2"/>
    <w:rsid w:val="0004206D"/>
    <w:rsid w:val="00042185"/>
    <w:rsid w:val="00042ABB"/>
    <w:rsid w:val="00043047"/>
    <w:rsid w:val="0004339F"/>
    <w:rsid w:val="00043825"/>
    <w:rsid w:val="00043A09"/>
    <w:rsid w:val="000444EF"/>
    <w:rsid w:val="00044665"/>
    <w:rsid w:val="00045DFE"/>
    <w:rsid w:val="0004680A"/>
    <w:rsid w:val="000507C0"/>
    <w:rsid w:val="00050EF0"/>
    <w:rsid w:val="00051106"/>
    <w:rsid w:val="00052975"/>
    <w:rsid w:val="00053A76"/>
    <w:rsid w:val="00053F26"/>
    <w:rsid w:val="000549FD"/>
    <w:rsid w:val="000551B0"/>
    <w:rsid w:val="00055587"/>
    <w:rsid w:val="00056B9D"/>
    <w:rsid w:val="00056E14"/>
    <w:rsid w:val="000576BF"/>
    <w:rsid w:val="00060726"/>
    <w:rsid w:val="00061ACD"/>
    <w:rsid w:val="00061C20"/>
    <w:rsid w:val="00062094"/>
    <w:rsid w:val="000623D3"/>
    <w:rsid w:val="0006307B"/>
    <w:rsid w:val="00063494"/>
    <w:rsid w:val="00065658"/>
    <w:rsid w:val="0006757B"/>
    <w:rsid w:val="00067C3E"/>
    <w:rsid w:val="000708FA"/>
    <w:rsid w:val="00072F96"/>
    <w:rsid w:val="0007352F"/>
    <w:rsid w:val="000744B3"/>
    <w:rsid w:val="00074D69"/>
    <w:rsid w:val="00075CB9"/>
    <w:rsid w:val="00076026"/>
    <w:rsid w:val="00076710"/>
    <w:rsid w:val="000770F0"/>
    <w:rsid w:val="00077C76"/>
    <w:rsid w:val="0008094B"/>
    <w:rsid w:val="00081814"/>
    <w:rsid w:val="000829C5"/>
    <w:rsid w:val="00082F2A"/>
    <w:rsid w:val="00083857"/>
    <w:rsid w:val="000841DA"/>
    <w:rsid w:val="00086094"/>
    <w:rsid w:val="00086C35"/>
    <w:rsid w:val="00087354"/>
    <w:rsid w:val="0008736D"/>
    <w:rsid w:val="000873A5"/>
    <w:rsid w:val="000876B2"/>
    <w:rsid w:val="0008780A"/>
    <w:rsid w:val="00087BBE"/>
    <w:rsid w:val="00090B0C"/>
    <w:rsid w:val="00090FF0"/>
    <w:rsid w:val="00091342"/>
    <w:rsid w:val="0009140E"/>
    <w:rsid w:val="00092B26"/>
    <w:rsid w:val="000931EB"/>
    <w:rsid w:val="00093BA6"/>
    <w:rsid w:val="000946B9"/>
    <w:rsid w:val="000951BA"/>
    <w:rsid w:val="000957F1"/>
    <w:rsid w:val="000961DE"/>
    <w:rsid w:val="00097D80"/>
    <w:rsid w:val="000A168D"/>
    <w:rsid w:val="000A264A"/>
    <w:rsid w:val="000A3274"/>
    <w:rsid w:val="000A336F"/>
    <w:rsid w:val="000A34F4"/>
    <w:rsid w:val="000A35A1"/>
    <w:rsid w:val="000A4475"/>
    <w:rsid w:val="000A55BF"/>
    <w:rsid w:val="000A5C8C"/>
    <w:rsid w:val="000A5E5C"/>
    <w:rsid w:val="000A5F45"/>
    <w:rsid w:val="000A6BF1"/>
    <w:rsid w:val="000A758B"/>
    <w:rsid w:val="000A76B3"/>
    <w:rsid w:val="000A7CCF"/>
    <w:rsid w:val="000B0D3A"/>
    <w:rsid w:val="000B0E4E"/>
    <w:rsid w:val="000B1531"/>
    <w:rsid w:val="000B2298"/>
    <w:rsid w:val="000B2469"/>
    <w:rsid w:val="000B2C69"/>
    <w:rsid w:val="000B342E"/>
    <w:rsid w:val="000B3503"/>
    <w:rsid w:val="000B42CC"/>
    <w:rsid w:val="000B47A2"/>
    <w:rsid w:val="000B5214"/>
    <w:rsid w:val="000B59D9"/>
    <w:rsid w:val="000B646F"/>
    <w:rsid w:val="000B6724"/>
    <w:rsid w:val="000B681D"/>
    <w:rsid w:val="000C08A7"/>
    <w:rsid w:val="000C08D8"/>
    <w:rsid w:val="000C1A1E"/>
    <w:rsid w:val="000C27F6"/>
    <w:rsid w:val="000C3017"/>
    <w:rsid w:val="000C6905"/>
    <w:rsid w:val="000C6E17"/>
    <w:rsid w:val="000C7710"/>
    <w:rsid w:val="000D098D"/>
    <w:rsid w:val="000D28B0"/>
    <w:rsid w:val="000D35D4"/>
    <w:rsid w:val="000D477E"/>
    <w:rsid w:val="000D4831"/>
    <w:rsid w:val="000D4A20"/>
    <w:rsid w:val="000D6098"/>
    <w:rsid w:val="000D622E"/>
    <w:rsid w:val="000D6940"/>
    <w:rsid w:val="000D6AAE"/>
    <w:rsid w:val="000D6C7C"/>
    <w:rsid w:val="000D73D7"/>
    <w:rsid w:val="000D76E7"/>
    <w:rsid w:val="000E0216"/>
    <w:rsid w:val="000E03D5"/>
    <w:rsid w:val="000E0478"/>
    <w:rsid w:val="000E0E10"/>
    <w:rsid w:val="000E1FD0"/>
    <w:rsid w:val="000E22F4"/>
    <w:rsid w:val="000E2A8A"/>
    <w:rsid w:val="000E2FF9"/>
    <w:rsid w:val="000E305B"/>
    <w:rsid w:val="000E51E9"/>
    <w:rsid w:val="000E5A60"/>
    <w:rsid w:val="000E71FB"/>
    <w:rsid w:val="000E775A"/>
    <w:rsid w:val="000E7FA0"/>
    <w:rsid w:val="000F185D"/>
    <w:rsid w:val="000F205B"/>
    <w:rsid w:val="000F36DC"/>
    <w:rsid w:val="000F380C"/>
    <w:rsid w:val="000F391D"/>
    <w:rsid w:val="000F453C"/>
    <w:rsid w:val="000F5D2C"/>
    <w:rsid w:val="000F5D44"/>
    <w:rsid w:val="000F5F0C"/>
    <w:rsid w:val="000F6091"/>
    <w:rsid w:val="000F6411"/>
    <w:rsid w:val="000F6AA5"/>
    <w:rsid w:val="000F77E0"/>
    <w:rsid w:val="000F79D3"/>
    <w:rsid w:val="001002E3"/>
    <w:rsid w:val="00100AC1"/>
    <w:rsid w:val="00100E24"/>
    <w:rsid w:val="00100E66"/>
    <w:rsid w:val="001017CD"/>
    <w:rsid w:val="001019E2"/>
    <w:rsid w:val="00101C5A"/>
    <w:rsid w:val="001024B1"/>
    <w:rsid w:val="0010298C"/>
    <w:rsid w:val="001036AE"/>
    <w:rsid w:val="00103A93"/>
    <w:rsid w:val="00104602"/>
    <w:rsid w:val="0010554E"/>
    <w:rsid w:val="00105653"/>
    <w:rsid w:val="001059C9"/>
    <w:rsid w:val="00105DF0"/>
    <w:rsid w:val="00105F9E"/>
    <w:rsid w:val="00106679"/>
    <w:rsid w:val="001067FA"/>
    <w:rsid w:val="001068A0"/>
    <w:rsid w:val="001074EF"/>
    <w:rsid w:val="001077C2"/>
    <w:rsid w:val="00110A0F"/>
    <w:rsid w:val="00112002"/>
    <w:rsid w:val="001127F9"/>
    <w:rsid w:val="0011283D"/>
    <w:rsid w:val="0011329B"/>
    <w:rsid w:val="00113CC5"/>
    <w:rsid w:val="00114061"/>
    <w:rsid w:val="00114249"/>
    <w:rsid w:val="00114836"/>
    <w:rsid w:val="00114CF6"/>
    <w:rsid w:val="0011528E"/>
    <w:rsid w:val="00115BD9"/>
    <w:rsid w:val="00116365"/>
    <w:rsid w:val="00117155"/>
    <w:rsid w:val="001175B0"/>
    <w:rsid w:val="00117A4E"/>
    <w:rsid w:val="00117C14"/>
    <w:rsid w:val="001202DC"/>
    <w:rsid w:val="00120584"/>
    <w:rsid w:val="001209E4"/>
    <w:rsid w:val="0012169E"/>
    <w:rsid w:val="0012184D"/>
    <w:rsid w:val="00121DA8"/>
    <w:rsid w:val="00122C5D"/>
    <w:rsid w:val="0012465D"/>
    <w:rsid w:val="001253F8"/>
    <w:rsid w:val="0012655F"/>
    <w:rsid w:val="00126970"/>
    <w:rsid w:val="00126F99"/>
    <w:rsid w:val="0013008E"/>
    <w:rsid w:val="00130861"/>
    <w:rsid w:val="0013131D"/>
    <w:rsid w:val="00131DD0"/>
    <w:rsid w:val="00133105"/>
    <w:rsid w:val="001337D0"/>
    <w:rsid w:val="00134399"/>
    <w:rsid w:val="00134AA7"/>
    <w:rsid w:val="00135015"/>
    <w:rsid w:val="0013542B"/>
    <w:rsid w:val="001354D1"/>
    <w:rsid w:val="00136E85"/>
    <w:rsid w:val="0013732D"/>
    <w:rsid w:val="00137853"/>
    <w:rsid w:val="001406F0"/>
    <w:rsid w:val="00140FA9"/>
    <w:rsid w:val="00141407"/>
    <w:rsid w:val="00141AA8"/>
    <w:rsid w:val="001439CE"/>
    <w:rsid w:val="001455DC"/>
    <w:rsid w:val="00145A3D"/>
    <w:rsid w:val="00146571"/>
    <w:rsid w:val="0014744C"/>
    <w:rsid w:val="00150BD0"/>
    <w:rsid w:val="00150ECF"/>
    <w:rsid w:val="00151456"/>
    <w:rsid w:val="001519E7"/>
    <w:rsid w:val="00151ACD"/>
    <w:rsid w:val="00152941"/>
    <w:rsid w:val="00153124"/>
    <w:rsid w:val="00153F82"/>
    <w:rsid w:val="00154F5B"/>
    <w:rsid w:val="001552E9"/>
    <w:rsid w:val="00155853"/>
    <w:rsid w:val="00157FA5"/>
    <w:rsid w:val="0016011C"/>
    <w:rsid w:val="001608BB"/>
    <w:rsid w:val="00161D75"/>
    <w:rsid w:val="001626F9"/>
    <w:rsid w:val="00163B96"/>
    <w:rsid w:val="00163EFD"/>
    <w:rsid w:val="00166B07"/>
    <w:rsid w:val="00166DBA"/>
    <w:rsid w:val="0017061F"/>
    <w:rsid w:val="00170ABE"/>
    <w:rsid w:val="00171912"/>
    <w:rsid w:val="0017278E"/>
    <w:rsid w:val="00173C71"/>
    <w:rsid w:val="00174B4B"/>
    <w:rsid w:val="00174D5F"/>
    <w:rsid w:val="00175824"/>
    <w:rsid w:val="00176520"/>
    <w:rsid w:val="00177483"/>
    <w:rsid w:val="00177B5C"/>
    <w:rsid w:val="00186CFA"/>
    <w:rsid w:val="00187ADB"/>
    <w:rsid w:val="00190F89"/>
    <w:rsid w:val="0019186C"/>
    <w:rsid w:val="00191D64"/>
    <w:rsid w:val="001938CC"/>
    <w:rsid w:val="00193A3B"/>
    <w:rsid w:val="0019475D"/>
    <w:rsid w:val="001956AE"/>
    <w:rsid w:val="001967A6"/>
    <w:rsid w:val="0019709D"/>
    <w:rsid w:val="00197826"/>
    <w:rsid w:val="00197BAA"/>
    <w:rsid w:val="001A209C"/>
    <w:rsid w:val="001A2831"/>
    <w:rsid w:val="001A4732"/>
    <w:rsid w:val="001A49CF"/>
    <w:rsid w:val="001A4C8F"/>
    <w:rsid w:val="001A4F30"/>
    <w:rsid w:val="001A5F47"/>
    <w:rsid w:val="001A6A0A"/>
    <w:rsid w:val="001A6D3F"/>
    <w:rsid w:val="001B14E3"/>
    <w:rsid w:val="001B3DF0"/>
    <w:rsid w:val="001B3DF2"/>
    <w:rsid w:val="001B4C36"/>
    <w:rsid w:val="001B59FC"/>
    <w:rsid w:val="001B5BDF"/>
    <w:rsid w:val="001B6620"/>
    <w:rsid w:val="001B7866"/>
    <w:rsid w:val="001B7888"/>
    <w:rsid w:val="001C0188"/>
    <w:rsid w:val="001C04FB"/>
    <w:rsid w:val="001C2024"/>
    <w:rsid w:val="001C2446"/>
    <w:rsid w:val="001C6633"/>
    <w:rsid w:val="001C7436"/>
    <w:rsid w:val="001C7951"/>
    <w:rsid w:val="001D0553"/>
    <w:rsid w:val="001D0856"/>
    <w:rsid w:val="001D10D0"/>
    <w:rsid w:val="001D1628"/>
    <w:rsid w:val="001D2910"/>
    <w:rsid w:val="001D2986"/>
    <w:rsid w:val="001D2FD8"/>
    <w:rsid w:val="001D34A0"/>
    <w:rsid w:val="001D375E"/>
    <w:rsid w:val="001D451C"/>
    <w:rsid w:val="001D4C8E"/>
    <w:rsid w:val="001D530D"/>
    <w:rsid w:val="001D62C2"/>
    <w:rsid w:val="001D7997"/>
    <w:rsid w:val="001E04DE"/>
    <w:rsid w:val="001E0731"/>
    <w:rsid w:val="001E0989"/>
    <w:rsid w:val="001E1C8C"/>
    <w:rsid w:val="001E2136"/>
    <w:rsid w:val="001E284F"/>
    <w:rsid w:val="001E4346"/>
    <w:rsid w:val="001E457F"/>
    <w:rsid w:val="001E465E"/>
    <w:rsid w:val="001E46BF"/>
    <w:rsid w:val="001E525D"/>
    <w:rsid w:val="001E5B48"/>
    <w:rsid w:val="001E7219"/>
    <w:rsid w:val="001E754D"/>
    <w:rsid w:val="001F02C2"/>
    <w:rsid w:val="001F0B2A"/>
    <w:rsid w:val="001F0DD3"/>
    <w:rsid w:val="001F1E8A"/>
    <w:rsid w:val="001F1EE9"/>
    <w:rsid w:val="001F1F1D"/>
    <w:rsid w:val="001F2854"/>
    <w:rsid w:val="001F2F39"/>
    <w:rsid w:val="001F2FA3"/>
    <w:rsid w:val="001F4EDC"/>
    <w:rsid w:val="001F6C42"/>
    <w:rsid w:val="00200A75"/>
    <w:rsid w:val="002015B8"/>
    <w:rsid w:val="00201B8C"/>
    <w:rsid w:val="002028E4"/>
    <w:rsid w:val="00205185"/>
    <w:rsid w:val="002055A5"/>
    <w:rsid w:val="00205893"/>
    <w:rsid w:val="00205BB4"/>
    <w:rsid w:val="002068E5"/>
    <w:rsid w:val="00206CD9"/>
    <w:rsid w:val="00206DE1"/>
    <w:rsid w:val="00206E12"/>
    <w:rsid w:val="00206FA7"/>
    <w:rsid w:val="00210D98"/>
    <w:rsid w:val="00211363"/>
    <w:rsid w:val="00212E48"/>
    <w:rsid w:val="00213562"/>
    <w:rsid w:val="00216FC2"/>
    <w:rsid w:val="0021777F"/>
    <w:rsid w:val="002177BB"/>
    <w:rsid w:val="00222880"/>
    <w:rsid w:val="00222B9F"/>
    <w:rsid w:val="0022386E"/>
    <w:rsid w:val="00223DA8"/>
    <w:rsid w:val="002242B6"/>
    <w:rsid w:val="00224B17"/>
    <w:rsid w:val="002257E4"/>
    <w:rsid w:val="00225BDF"/>
    <w:rsid w:val="00226229"/>
    <w:rsid w:val="00226BFD"/>
    <w:rsid w:val="00226CF1"/>
    <w:rsid w:val="002305B6"/>
    <w:rsid w:val="0023121B"/>
    <w:rsid w:val="002315F9"/>
    <w:rsid w:val="00231637"/>
    <w:rsid w:val="0023254E"/>
    <w:rsid w:val="00232843"/>
    <w:rsid w:val="00233127"/>
    <w:rsid w:val="00233377"/>
    <w:rsid w:val="00233AB2"/>
    <w:rsid w:val="002351A3"/>
    <w:rsid w:val="0023548D"/>
    <w:rsid w:val="0023644B"/>
    <w:rsid w:val="00236B9F"/>
    <w:rsid w:val="00236BB3"/>
    <w:rsid w:val="0023781C"/>
    <w:rsid w:val="00237909"/>
    <w:rsid w:val="00240143"/>
    <w:rsid w:val="00241B38"/>
    <w:rsid w:val="0024238C"/>
    <w:rsid w:val="0024391B"/>
    <w:rsid w:val="00243E91"/>
    <w:rsid w:val="002448EF"/>
    <w:rsid w:val="00245D63"/>
    <w:rsid w:val="00245DED"/>
    <w:rsid w:val="00246716"/>
    <w:rsid w:val="002467B0"/>
    <w:rsid w:val="00246839"/>
    <w:rsid w:val="0024693E"/>
    <w:rsid w:val="0025060B"/>
    <w:rsid w:val="00250966"/>
    <w:rsid w:val="002512D0"/>
    <w:rsid w:val="002514EB"/>
    <w:rsid w:val="00252059"/>
    <w:rsid w:val="0025298C"/>
    <w:rsid w:val="00252A19"/>
    <w:rsid w:val="0025305D"/>
    <w:rsid w:val="00253307"/>
    <w:rsid w:val="00253E7E"/>
    <w:rsid w:val="00255279"/>
    <w:rsid w:val="002564D5"/>
    <w:rsid w:val="00256826"/>
    <w:rsid w:val="002574F1"/>
    <w:rsid w:val="00257C90"/>
    <w:rsid w:val="00260097"/>
    <w:rsid w:val="00263225"/>
    <w:rsid w:val="00265E1A"/>
    <w:rsid w:val="002669C3"/>
    <w:rsid w:val="00267FD7"/>
    <w:rsid w:val="00270043"/>
    <w:rsid w:val="002700F3"/>
    <w:rsid w:val="00271B60"/>
    <w:rsid w:val="002727C8"/>
    <w:rsid w:val="002735D2"/>
    <w:rsid w:val="00273C0F"/>
    <w:rsid w:val="00273C24"/>
    <w:rsid w:val="002742AA"/>
    <w:rsid w:val="00276A78"/>
    <w:rsid w:val="00276CC5"/>
    <w:rsid w:val="002815D1"/>
    <w:rsid w:val="002816EB"/>
    <w:rsid w:val="0028226B"/>
    <w:rsid w:val="00283D5D"/>
    <w:rsid w:val="00283D8C"/>
    <w:rsid w:val="002844B0"/>
    <w:rsid w:val="0028470A"/>
    <w:rsid w:val="002847B3"/>
    <w:rsid w:val="00285669"/>
    <w:rsid w:val="00285810"/>
    <w:rsid w:val="00285AE3"/>
    <w:rsid w:val="002868DF"/>
    <w:rsid w:val="00290AD8"/>
    <w:rsid w:val="0029309F"/>
    <w:rsid w:val="002939F8"/>
    <w:rsid w:val="00293D8B"/>
    <w:rsid w:val="00294795"/>
    <w:rsid w:val="0029546E"/>
    <w:rsid w:val="00295558"/>
    <w:rsid w:val="002971E1"/>
    <w:rsid w:val="002977C7"/>
    <w:rsid w:val="00297A7D"/>
    <w:rsid w:val="002A16A0"/>
    <w:rsid w:val="002A19B8"/>
    <w:rsid w:val="002A21C9"/>
    <w:rsid w:val="002A2B76"/>
    <w:rsid w:val="002A34F2"/>
    <w:rsid w:val="002A4051"/>
    <w:rsid w:val="002A43EA"/>
    <w:rsid w:val="002A4792"/>
    <w:rsid w:val="002A4EC3"/>
    <w:rsid w:val="002A4F46"/>
    <w:rsid w:val="002A5C41"/>
    <w:rsid w:val="002A692A"/>
    <w:rsid w:val="002A6AFA"/>
    <w:rsid w:val="002A6D84"/>
    <w:rsid w:val="002A7769"/>
    <w:rsid w:val="002B0735"/>
    <w:rsid w:val="002B1EAD"/>
    <w:rsid w:val="002B25C9"/>
    <w:rsid w:val="002B2FF6"/>
    <w:rsid w:val="002B3217"/>
    <w:rsid w:val="002B4221"/>
    <w:rsid w:val="002B437E"/>
    <w:rsid w:val="002B444A"/>
    <w:rsid w:val="002B50F2"/>
    <w:rsid w:val="002B5C17"/>
    <w:rsid w:val="002B5D6F"/>
    <w:rsid w:val="002B60CE"/>
    <w:rsid w:val="002B623C"/>
    <w:rsid w:val="002B6CDF"/>
    <w:rsid w:val="002B7484"/>
    <w:rsid w:val="002C002D"/>
    <w:rsid w:val="002C0D94"/>
    <w:rsid w:val="002C2FB1"/>
    <w:rsid w:val="002C3D18"/>
    <w:rsid w:val="002C4564"/>
    <w:rsid w:val="002C4940"/>
    <w:rsid w:val="002C4AFA"/>
    <w:rsid w:val="002C50F3"/>
    <w:rsid w:val="002D025C"/>
    <w:rsid w:val="002D0E49"/>
    <w:rsid w:val="002D13BC"/>
    <w:rsid w:val="002D1BF1"/>
    <w:rsid w:val="002D1CBE"/>
    <w:rsid w:val="002D223C"/>
    <w:rsid w:val="002D2CD8"/>
    <w:rsid w:val="002D353A"/>
    <w:rsid w:val="002D48DF"/>
    <w:rsid w:val="002D6AF4"/>
    <w:rsid w:val="002D7BD3"/>
    <w:rsid w:val="002D7BD6"/>
    <w:rsid w:val="002E00BC"/>
    <w:rsid w:val="002E1D28"/>
    <w:rsid w:val="002E2769"/>
    <w:rsid w:val="002E534C"/>
    <w:rsid w:val="002E5427"/>
    <w:rsid w:val="002E59B8"/>
    <w:rsid w:val="002E5BF1"/>
    <w:rsid w:val="002E6272"/>
    <w:rsid w:val="002E62CC"/>
    <w:rsid w:val="002E6A00"/>
    <w:rsid w:val="002E7BD0"/>
    <w:rsid w:val="002F0522"/>
    <w:rsid w:val="002F1355"/>
    <w:rsid w:val="002F1B51"/>
    <w:rsid w:val="002F39A3"/>
    <w:rsid w:val="002F3BDC"/>
    <w:rsid w:val="002F42C3"/>
    <w:rsid w:val="002F521D"/>
    <w:rsid w:val="002F5C61"/>
    <w:rsid w:val="002F78D5"/>
    <w:rsid w:val="00301E8E"/>
    <w:rsid w:val="00302235"/>
    <w:rsid w:val="0030332E"/>
    <w:rsid w:val="0030408F"/>
    <w:rsid w:val="003047CD"/>
    <w:rsid w:val="00306F2F"/>
    <w:rsid w:val="00307399"/>
    <w:rsid w:val="00307A96"/>
    <w:rsid w:val="003108B1"/>
    <w:rsid w:val="0031097E"/>
    <w:rsid w:val="00311350"/>
    <w:rsid w:val="003126EC"/>
    <w:rsid w:val="0031342F"/>
    <w:rsid w:val="0031379B"/>
    <w:rsid w:val="003145EB"/>
    <w:rsid w:val="00314C48"/>
    <w:rsid w:val="00314EC7"/>
    <w:rsid w:val="00315AE5"/>
    <w:rsid w:val="00316124"/>
    <w:rsid w:val="00317BF0"/>
    <w:rsid w:val="0032057B"/>
    <w:rsid w:val="00321B9F"/>
    <w:rsid w:val="00321DE4"/>
    <w:rsid w:val="00322C79"/>
    <w:rsid w:val="00323536"/>
    <w:rsid w:val="00324632"/>
    <w:rsid w:val="00324C2E"/>
    <w:rsid w:val="003262CA"/>
    <w:rsid w:val="003271F9"/>
    <w:rsid w:val="00327721"/>
    <w:rsid w:val="00332E0B"/>
    <w:rsid w:val="003331F7"/>
    <w:rsid w:val="00333216"/>
    <w:rsid w:val="00333706"/>
    <w:rsid w:val="003345FF"/>
    <w:rsid w:val="003353E3"/>
    <w:rsid w:val="00335C5A"/>
    <w:rsid w:val="00336D94"/>
    <w:rsid w:val="00340129"/>
    <w:rsid w:val="0034095F"/>
    <w:rsid w:val="00340FAD"/>
    <w:rsid w:val="00340FCB"/>
    <w:rsid w:val="00341A8A"/>
    <w:rsid w:val="00342055"/>
    <w:rsid w:val="00342D48"/>
    <w:rsid w:val="003432E7"/>
    <w:rsid w:val="00344837"/>
    <w:rsid w:val="00346101"/>
    <w:rsid w:val="0035022A"/>
    <w:rsid w:val="00350CAC"/>
    <w:rsid w:val="00351535"/>
    <w:rsid w:val="00351B54"/>
    <w:rsid w:val="00354A2C"/>
    <w:rsid w:val="00355503"/>
    <w:rsid w:val="003557D3"/>
    <w:rsid w:val="00362773"/>
    <w:rsid w:val="00362837"/>
    <w:rsid w:val="00362C9D"/>
    <w:rsid w:val="00363CF6"/>
    <w:rsid w:val="003643CA"/>
    <w:rsid w:val="00364DFB"/>
    <w:rsid w:val="00365AFD"/>
    <w:rsid w:val="00365F36"/>
    <w:rsid w:val="003668B7"/>
    <w:rsid w:val="00366E14"/>
    <w:rsid w:val="0036799A"/>
    <w:rsid w:val="00370788"/>
    <w:rsid w:val="00370835"/>
    <w:rsid w:val="003714A4"/>
    <w:rsid w:val="00371B3A"/>
    <w:rsid w:val="003728E1"/>
    <w:rsid w:val="003730EC"/>
    <w:rsid w:val="00373272"/>
    <w:rsid w:val="0037624B"/>
    <w:rsid w:val="00376A91"/>
    <w:rsid w:val="00376ABA"/>
    <w:rsid w:val="00377204"/>
    <w:rsid w:val="00377B9F"/>
    <w:rsid w:val="00380049"/>
    <w:rsid w:val="00380BF8"/>
    <w:rsid w:val="00380DD0"/>
    <w:rsid w:val="003826C1"/>
    <w:rsid w:val="003829A2"/>
    <w:rsid w:val="00382B00"/>
    <w:rsid w:val="00382D60"/>
    <w:rsid w:val="00382E87"/>
    <w:rsid w:val="003832A9"/>
    <w:rsid w:val="0038456C"/>
    <w:rsid w:val="00384751"/>
    <w:rsid w:val="003865B9"/>
    <w:rsid w:val="00386FCF"/>
    <w:rsid w:val="0039006C"/>
    <w:rsid w:val="003910B3"/>
    <w:rsid w:val="00391A3A"/>
    <w:rsid w:val="00391E7E"/>
    <w:rsid w:val="00392402"/>
    <w:rsid w:val="00392FDC"/>
    <w:rsid w:val="0039318D"/>
    <w:rsid w:val="0039532F"/>
    <w:rsid w:val="00397078"/>
    <w:rsid w:val="003973F4"/>
    <w:rsid w:val="00397637"/>
    <w:rsid w:val="00397830"/>
    <w:rsid w:val="00397F3B"/>
    <w:rsid w:val="003A0E11"/>
    <w:rsid w:val="003A119D"/>
    <w:rsid w:val="003A128A"/>
    <w:rsid w:val="003A210F"/>
    <w:rsid w:val="003A3569"/>
    <w:rsid w:val="003A36E7"/>
    <w:rsid w:val="003A493E"/>
    <w:rsid w:val="003A6323"/>
    <w:rsid w:val="003A6464"/>
    <w:rsid w:val="003A6589"/>
    <w:rsid w:val="003A69FF"/>
    <w:rsid w:val="003B059C"/>
    <w:rsid w:val="003B2357"/>
    <w:rsid w:val="003B2493"/>
    <w:rsid w:val="003B43F3"/>
    <w:rsid w:val="003B4CB5"/>
    <w:rsid w:val="003B5306"/>
    <w:rsid w:val="003B6187"/>
    <w:rsid w:val="003B7E44"/>
    <w:rsid w:val="003C00B1"/>
    <w:rsid w:val="003C0AFA"/>
    <w:rsid w:val="003C0D2D"/>
    <w:rsid w:val="003C10E8"/>
    <w:rsid w:val="003C151C"/>
    <w:rsid w:val="003C1659"/>
    <w:rsid w:val="003C1769"/>
    <w:rsid w:val="003C1AD3"/>
    <w:rsid w:val="003C4E1B"/>
    <w:rsid w:val="003C4EFA"/>
    <w:rsid w:val="003C65FC"/>
    <w:rsid w:val="003C7524"/>
    <w:rsid w:val="003C7DD1"/>
    <w:rsid w:val="003D08C4"/>
    <w:rsid w:val="003D1C30"/>
    <w:rsid w:val="003D2951"/>
    <w:rsid w:val="003D2B9D"/>
    <w:rsid w:val="003D4101"/>
    <w:rsid w:val="003D5D65"/>
    <w:rsid w:val="003D6B89"/>
    <w:rsid w:val="003D7DF5"/>
    <w:rsid w:val="003E0634"/>
    <w:rsid w:val="003E0C2A"/>
    <w:rsid w:val="003E2ADD"/>
    <w:rsid w:val="003E2F21"/>
    <w:rsid w:val="003E3081"/>
    <w:rsid w:val="003E4577"/>
    <w:rsid w:val="003E5620"/>
    <w:rsid w:val="003E69DE"/>
    <w:rsid w:val="003E717C"/>
    <w:rsid w:val="003F0777"/>
    <w:rsid w:val="003F154D"/>
    <w:rsid w:val="003F1A68"/>
    <w:rsid w:val="003F2792"/>
    <w:rsid w:val="003F435E"/>
    <w:rsid w:val="003F475F"/>
    <w:rsid w:val="003F5798"/>
    <w:rsid w:val="00401966"/>
    <w:rsid w:val="004019F0"/>
    <w:rsid w:val="00401BC5"/>
    <w:rsid w:val="004024BA"/>
    <w:rsid w:val="00402F5B"/>
    <w:rsid w:val="004032D6"/>
    <w:rsid w:val="00405292"/>
    <w:rsid w:val="004062D5"/>
    <w:rsid w:val="00406C50"/>
    <w:rsid w:val="00406F4A"/>
    <w:rsid w:val="00407243"/>
    <w:rsid w:val="004074B6"/>
    <w:rsid w:val="004076CF"/>
    <w:rsid w:val="00410361"/>
    <w:rsid w:val="00410449"/>
    <w:rsid w:val="00410664"/>
    <w:rsid w:val="00410F10"/>
    <w:rsid w:val="00411324"/>
    <w:rsid w:val="0041186A"/>
    <w:rsid w:val="004123FD"/>
    <w:rsid w:val="00412661"/>
    <w:rsid w:val="004139E8"/>
    <w:rsid w:val="0041537A"/>
    <w:rsid w:val="00416963"/>
    <w:rsid w:val="00416CCA"/>
    <w:rsid w:val="00417047"/>
    <w:rsid w:val="004174D7"/>
    <w:rsid w:val="0041799E"/>
    <w:rsid w:val="00417B6F"/>
    <w:rsid w:val="00420DCE"/>
    <w:rsid w:val="00420FA2"/>
    <w:rsid w:val="004212D9"/>
    <w:rsid w:val="004212DB"/>
    <w:rsid w:val="00421CEF"/>
    <w:rsid w:val="00422535"/>
    <w:rsid w:val="004240F3"/>
    <w:rsid w:val="00425D2F"/>
    <w:rsid w:val="00425DE5"/>
    <w:rsid w:val="00426907"/>
    <w:rsid w:val="00426E04"/>
    <w:rsid w:val="00427008"/>
    <w:rsid w:val="00427AC9"/>
    <w:rsid w:val="00430ED0"/>
    <w:rsid w:val="00431909"/>
    <w:rsid w:val="00435EF9"/>
    <w:rsid w:val="004369AF"/>
    <w:rsid w:val="00437AA7"/>
    <w:rsid w:val="004403AB"/>
    <w:rsid w:val="00440610"/>
    <w:rsid w:val="00440714"/>
    <w:rsid w:val="00440EFB"/>
    <w:rsid w:val="00441E34"/>
    <w:rsid w:val="00443861"/>
    <w:rsid w:val="00445073"/>
    <w:rsid w:val="00445749"/>
    <w:rsid w:val="0044576E"/>
    <w:rsid w:val="00445C21"/>
    <w:rsid w:val="0044724D"/>
    <w:rsid w:val="00447C58"/>
    <w:rsid w:val="00451E9D"/>
    <w:rsid w:val="00451F90"/>
    <w:rsid w:val="00453EF1"/>
    <w:rsid w:val="004547A6"/>
    <w:rsid w:val="0045493E"/>
    <w:rsid w:val="00454D0B"/>
    <w:rsid w:val="00455780"/>
    <w:rsid w:val="004569F9"/>
    <w:rsid w:val="00456B28"/>
    <w:rsid w:val="004571BA"/>
    <w:rsid w:val="00457375"/>
    <w:rsid w:val="0046372E"/>
    <w:rsid w:val="00464F7D"/>
    <w:rsid w:val="004650E4"/>
    <w:rsid w:val="004700D3"/>
    <w:rsid w:val="0047049B"/>
    <w:rsid w:val="004706AF"/>
    <w:rsid w:val="00470C48"/>
    <w:rsid w:val="0047165C"/>
    <w:rsid w:val="00471DB8"/>
    <w:rsid w:val="00473025"/>
    <w:rsid w:val="00473406"/>
    <w:rsid w:val="0047349C"/>
    <w:rsid w:val="004737EB"/>
    <w:rsid w:val="0047465E"/>
    <w:rsid w:val="004759E4"/>
    <w:rsid w:val="00475FE6"/>
    <w:rsid w:val="00476355"/>
    <w:rsid w:val="00476988"/>
    <w:rsid w:val="00476C0F"/>
    <w:rsid w:val="00476CA2"/>
    <w:rsid w:val="00480431"/>
    <w:rsid w:val="00481F21"/>
    <w:rsid w:val="0048285D"/>
    <w:rsid w:val="0048292D"/>
    <w:rsid w:val="00482EDF"/>
    <w:rsid w:val="004831F6"/>
    <w:rsid w:val="00483469"/>
    <w:rsid w:val="004846A2"/>
    <w:rsid w:val="00484944"/>
    <w:rsid w:val="00484E49"/>
    <w:rsid w:val="004867DB"/>
    <w:rsid w:val="0049084F"/>
    <w:rsid w:val="00490989"/>
    <w:rsid w:val="00491476"/>
    <w:rsid w:val="004919B0"/>
    <w:rsid w:val="00492B44"/>
    <w:rsid w:val="00492EA6"/>
    <w:rsid w:val="00493851"/>
    <w:rsid w:val="00493DF1"/>
    <w:rsid w:val="00494A2A"/>
    <w:rsid w:val="00494E92"/>
    <w:rsid w:val="00494EB3"/>
    <w:rsid w:val="00495680"/>
    <w:rsid w:val="00496BD1"/>
    <w:rsid w:val="004973F4"/>
    <w:rsid w:val="004A014A"/>
    <w:rsid w:val="004A0DE4"/>
    <w:rsid w:val="004A1869"/>
    <w:rsid w:val="004A25BD"/>
    <w:rsid w:val="004A4075"/>
    <w:rsid w:val="004A4505"/>
    <w:rsid w:val="004A484E"/>
    <w:rsid w:val="004A51E8"/>
    <w:rsid w:val="004A554A"/>
    <w:rsid w:val="004A6C26"/>
    <w:rsid w:val="004A7076"/>
    <w:rsid w:val="004A7696"/>
    <w:rsid w:val="004B15FA"/>
    <w:rsid w:val="004B1D78"/>
    <w:rsid w:val="004B1EAC"/>
    <w:rsid w:val="004B1FF4"/>
    <w:rsid w:val="004B39B7"/>
    <w:rsid w:val="004B3DED"/>
    <w:rsid w:val="004B49A6"/>
    <w:rsid w:val="004B54FE"/>
    <w:rsid w:val="004B5BA4"/>
    <w:rsid w:val="004B5BD0"/>
    <w:rsid w:val="004B6B2B"/>
    <w:rsid w:val="004B7034"/>
    <w:rsid w:val="004C0C72"/>
    <w:rsid w:val="004C0EE0"/>
    <w:rsid w:val="004C1243"/>
    <w:rsid w:val="004C2247"/>
    <w:rsid w:val="004C3FC8"/>
    <w:rsid w:val="004C4AEC"/>
    <w:rsid w:val="004C5868"/>
    <w:rsid w:val="004C5B1C"/>
    <w:rsid w:val="004C68C4"/>
    <w:rsid w:val="004C7AC6"/>
    <w:rsid w:val="004C7EB3"/>
    <w:rsid w:val="004D0100"/>
    <w:rsid w:val="004D03D6"/>
    <w:rsid w:val="004D0DFC"/>
    <w:rsid w:val="004D1258"/>
    <w:rsid w:val="004D1FBF"/>
    <w:rsid w:val="004D23FB"/>
    <w:rsid w:val="004D248D"/>
    <w:rsid w:val="004D2E46"/>
    <w:rsid w:val="004D331F"/>
    <w:rsid w:val="004D3BC5"/>
    <w:rsid w:val="004D3F18"/>
    <w:rsid w:val="004D4072"/>
    <w:rsid w:val="004D5156"/>
    <w:rsid w:val="004D5747"/>
    <w:rsid w:val="004D72AF"/>
    <w:rsid w:val="004D7387"/>
    <w:rsid w:val="004E03A0"/>
    <w:rsid w:val="004E03C6"/>
    <w:rsid w:val="004E0578"/>
    <w:rsid w:val="004E0C7F"/>
    <w:rsid w:val="004E0E24"/>
    <w:rsid w:val="004E148D"/>
    <w:rsid w:val="004E3704"/>
    <w:rsid w:val="004E3B33"/>
    <w:rsid w:val="004E3D63"/>
    <w:rsid w:val="004E552C"/>
    <w:rsid w:val="004E5531"/>
    <w:rsid w:val="004E5636"/>
    <w:rsid w:val="004E7607"/>
    <w:rsid w:val="004E7D3C"/>
    <w:rsid w:val="004F0109"/>
    <w:rsid w:val="004F0AFC"/>
    <w:rsid w:val="004F0E7A"/>
    <w:rsid w:val="004F1E88"/>
    <w:rsid w:val="004F32F5"/>
    <w:rsid w:val="004F3F77"/>
    <w:rsid w:val="004F4A2E"/>
    <w:rsid w:val="004F4B61"/>
    <w:rsid w:val="004F50E5"/>
    <w:rsid w:val="004F52D4"/>
    <w:rsid w:val="004F551E"/>
    <w:rsid w:val="004F5FC8"/>
    <w:rsid w:val="004F608D"/>
    <w:rsid w:val="004F6C28"/>
    <w:rsid w:val="004F741B"/>
    <w:rsid w:val="0050008E"/>
    <w:rsid w:val="00501BA2"/>
    <w:rsid w:val="0050253C"/>
    <w:rsid w:val="005035B7"/>
    <w:rsid w:val="00503C1A"/>
    <w:rsid w:val="00503E0F"/>
    <w:rsid w:val="00506ED2"/>
    <w:rsid w:val="005102E4"/>
    <w:rsid w:val="005103E8"/>
    <w:rsid w:val="0051042D"/>
    <w:rsid w:val="0051146E"/>
    <w:rsid w:val="005119C3"/>
    <w:rsid w:val="00511E7E"/>
    <w:rsid w:val="005129FC"/>
    <w:rsid w:val="0051478D"/>
    <w:rsid w:val="00514E4D"/>
    <w:rsid w:val="005155F0"/>
    <w:rsid w:val="00515634"/>
    <w:rsid w:val="00516038"/>
    <w:rsid w:val="0051693A"/>
    <w:rsid w:val="00517455"/>
    <w:rsid w:val="00520A93"/>
    <w:rsid w:val="0052120D"/>
    <w:rsid w:val="00521F09"/>
    <w:rsid w:val="00522AF8"/>
    <w:rsid w:val="00522C22"/>
    <w:rsid w:val="00525148"/>
    <w:rsid w:val="00525320"/>
    <w:rsid w:val="00526231"/>
    <w:rsid w:val="00526D24"/>
    <w:rsid w:val="00527C8B"/>
    <w:rsid w:val="0053122D"/>
    <w:rsid w:val="00531A24"/>
    <w:rsid w:val="00531CEC"/>
    <w:rsid w:val="00534157"/>
    <w:rsid w:val="00534AF0"/>
    <w:rsid w:val="00535043"/>
    <w:rsid w:val="00536DD2"/>
    <w:rsid w:val="005373CB"/>
    <w:rsid w:val="00537E2E"/>
    <w:rsid w:val="005407FB"/>
    <w:rsid w:val="005415AE"/>
    <w:rsid w:val="00541688"/>
    <w:rsid w:val="005422E4"/>
    <w:rsid w:val="00543374"/>
    <w:rsid w:val="00543E78"/>
    <w:rsid w:val="0054442F"/>
    <w:rsid w:val="00544C2F"/>
    <w:rsid w:val="00546135"/>
    <w:rsid w:val="00546622"/>
    <w:rsid w:val="00546895"/>
    <w:rsid w:val="005470EF"/>
    <w:rsid w:val="00550140"/>
    <w:rsid w:val="005512B9"/>
    <w:rsid w:val="00551773"/>
    <w:rsid w:val="005521C9"/>
    <w:rsid w:val="0055220A"/>
    <w:rsid w:val="0055231F"/>
    <w:rsid w:val="00552B03"/>
    <w:rsid w:val="00553EF9"/>
    <w:rsid w:val="005540C2"/>
    <w:rsid w:val="00555613"/>
    <w:rsid w:val="0055609C"/>
    <w:rsid w:val="00557745"/>
    <w:rsid w:val="00561161"/>
    <w:rsid w:val="00561ECF"/>
    <w:rsid w:val="00562024"/>
    <w:rsid w:val="005631C8"/>
    <w:rsid w:val="0056345E"/>
    <w:rsid w:val="005635EC"/>
    <w:rsid w:val="00563A2D"/>
    <w:rsid w:val="00564E15"/>
    <w:rsid w:val="005656F7"/>
    <w:rsid w:val="00565A99"/>
    <w:rsid w:val="00566983"/>
    <w:rsid w:val="00567720"/>
    <w:rsid w:val="00567A86"/>
    <w:rsid w:val="00574B0B"/>
    <w:rsid w:val="0057554D"/>
    <w:rsid w:val="005777F9"/>
    <w:rsid w:val="005803DE"/>
    <w:rsid w:val="005806EB"/>
    <w:rsid w:val="00580814"/>
    <w:rsid w:val="00581374"/>
    <w:rsid w:val="0058200A"/>
    <w:rsid w:val="00582D38"/>
    <w:rsid w:val="005834E1"/>
    <w:rsid w:val="0058353F"/>
    <w:rsid w:val="00583FE6"/>
    <w:rsid w:val="005841AB"/>
    <w:rsid w:val="00584749"/>
    <w:rsid w:val="0058645C"/>
    <w:rsid w:val="00586BD6"/>
    <w:rsid w:val="00587EA6"/>
    <w:rsid w:val="00590BA5"/>
    <w:rsid w:val="00590D26"/>
    <w:rsid w:val="0059121E"/>
    <w:rsid w:val="00591645"/>
    <w:rsid w:val="0059199D"/>
    <w:rsid w:val="00591F6E"/>
    <w:rsid w:val="005925F7"/>
    <w:rsid w:val="0059270C"/>
    <w:rsid w:val="00592716"/>
    <w:rsid w:val="00594457"/>
    <w:rsid w:val="005945BE"/>
    <w:rsid w:val="005958E9"/>
    <w:rsid w:val="00595C95"/>
    <w:rsid w:val="0059777D"/>
    <w:rsid w:val="005A063A"/>
    <w:rsid w:val="005A0A78"/>
    <w:rsid w:val="005A0EBC"/>
    <w:rsid w:val="005A14A3"/>
    <w:rsid w:val="005A14EC"/>
    <w:rsid w:val="005A22A8"/>
    <w:rsid w:val="005A3F7F"/>
    <w:rsid w:val="005A4122"/>
    <w:rsid w:val="005A7EDF"/>
    <w:rsid w:val="005B01ED"/>
    <w:rsid w:val="005B02A5"/>
    <w:rsid w:val="005B0731"/>
    <w:rsid w:val="005B09B0"/>
    <w:rsid w:val="005B1938"/>
    <w:rsid w:val="005B1BD7"/>
    <w:rsid w:val="005B1E2D"/>
    <w:rsid w:val="005B1E41"/>
    <w:rsid w:val="005B264C"/>
    <w:rsid w:val="005B2DC9"/>
    <w:rsid w:val="005B3FFC"/>
    <w:rsid w:val="005B4490"/>
    <w:rsid w:val="005B4B81"/>
    <w:rsid w:val="005B55D5"/>
    <w:rsid w:val="005B5A56"/>
    <w:rsid w:val="005B5BD1"/>
    <w:rsid w:val="005B682D"/>
    <w:rsid w:val="005B727C"/>
    <w:rsid w:val="005C02EE"/>
    <w:rsid w:val="005C0C1B"/>
    <w:rsid w:val="005C0CC4"/>
    <w:rsid w:val="005C2170"/>
    <w:rsid w:val="005C25C7"/>
    <w:rsid w:val="005C26F3"/>
    <w:rsid w:val="005C2E65"/>
    <w:rsid w:val="005C2E72"/>
    <w:rsid w:val="005C2E8B"/>
    <w:rsid w:val="005C3416"/>
    <w:rsid w:val="005C3A23"/>
    <w:rsid w:val="005C42BD"/>
    <w:rsid w:val="005C43AB"/>
    <w:rsid w:val="005C51B7"/>
    <w:rsid w:val="005C64D5"/>
    <w:rsid w:val="005C679E"/>
    <w:rsid w:val="005C75BD"/>
    <w:rsid w:val="005D10AB"/>
    <w:rsid w:val="005D1174"/>
    <w:rsid w:val="005D2B60"/>
    <w:rsid w:val="005D2B85"/>
    <w:rsid w:val="005D2DA2"/>
    <w:rsid w:val="005D43F7"/>
    <w:rsid w:val="005D5166"/>
    <w:rsid w:val="005D721B"/>
    <w:rsid w:val="005D7325"/>
    <w:rsid w:val="005D7C8D"/>
    <w:rsid w:val="005E0282"/>
    <w:rsid w:val="005E3B5B"/>
    <w:rsid w:val="005E435E"/>
    <w:rsid w:val="005E6020"/>
    <w:rsid w:val="005E6102"/>
    <w:rsid w:val="005E69D5"/>
    <w:rsid w:val="005E6A38"/>
    <w:rsid w:val="005E6C0D"/>
    <w:rsid w:val="005F1929"/>
    <w:rsid w:val="005F1CC4"/>
    <w:rsid w:val="005F2686"/>
    <w:rsid w:val="005F2E09"/>
    <w:rsid w:val="005F2FFB"/>
    <w:rsid w:val="005F65E7"/>
    <w:rsid w:val="005F69CA"/>
    <w:rsid w:val="005F69D1"/>
    <w:rsid w:val="005F6B99"/>
    <w:rsid w:val="005F6BD5"/>
    <w:rsid w:val="00600060"/>
    <w:rsid w:val="006003BD"/>
    <w:rsid w:val="006004FD"/>
    <w:rsid w:val="006006F0"/>
    <w:rsid w:val="00600B28"/>
    <w:rsid w:val="00604021"/>
    <w:rsid w:val="00604F0D"/>
    <w:rsid w:val="00605650"/>
    <w:rsid w:val="00606A81"/>
    <w:rsid w:val="006076C1"/>
    <w:rsid w:val="00610436"/>
    <w:rsid w:val="00610A10"/>
    <w:rsid w:val="00610AEB"/>
    <w:rsid w:val="00610ED1"/>
    <w:rsid w:val="006114E3"/>
    <w:rsid w:val="00613180"/>
    <w:rsid w:val="00613DD2"/>
    <w:rsid w:val="0061639A"/>
    <w:rsid w:val="00616DFC"/>
    <w:rsid w:val="006205AC"/>
    <w:rsid w:val="00622035"/>
    <w:rsid w:val="00622575"/>
    <w:rsid w:val="006228D4"/>
    <w:rsid w:val="00622AD8"/>
    <w:rsid w:val="00622C51"/>
    <w:rsid w:val="0062374D"/>
    <w:rsid w:val="00623846"/>
    <w:rsid w:val="00624A13"/>
    <w:rsid w:val="00625032"/>
    <w:rsid w:val="0062527C"/>
    <w:rsid w:val="00626769"/>
    <w:rsid w:val="0063085F"/>
    <w:rsid w:val="00630BA4"/>
    <w:rsid w:val="006315BF"/>
    <w:rsid w:val="0063188A"/>
    <w:rsid w:val="00632D6C"/>
    <w:rsid w:val="00632F4A"/>
    <w:rsid w:val="0063307D"/>
    <w:rsid w:val="00633A04"/>
    <w:rsid w:val="00634A22"/>
    <w:rsid w:val="006359CF"/>
    <w:rsid w:val="00635A26"/>
    <w:rsid w:val="00636DAA"/>
    <w:rsid w:val="00637657"/>
    <w:rsid w:val="00637935"/>
    <w:rsid w:val="0063799D"/>
    <w:rsid w:val="00637B03"/>
    <w:rsid w:val="00637B72"/>
    <w:rsid w:val="0064085D"/>
    <w:rsid w:val="00642E5C"/>
    <w:rsid w:val="00643A6C"/>
    <w:rsid w:val="00644290"/>
    <w:rsid w:val="00644C47"/>
    <w:rsid w:val="006451F9"/>
    <w:rsid w:val="00646CAA"/>
    <w:rsid w:val="00647D75"/>
    <w:rsid w:val="006504DE"/>
    <w:rsid w:val="0065161C"/>
    <w:rsid w:val="00651F69"/>
    <w:rsid w:val="0065271D"/>
    <w:rsid w:val="00653162"/>
    <w:rsid w:val="0065335A"/>
    <w:rsid w:val="00653372"/>
    <w:rsid w:val="006535E8"/>
    <w:rsid w:val="00654511"/>
    <w:rsid w:val="00654CB9"/>
    <w:rsid w:val="00656A78"/>
    <w:rsid w:val="0066091E"/>
    <w:rsid w:val="00660CD8"/>
    <w:rsid w:val="00661952"/>
    <w:rsid w:val="00665605"/>
    <w:rsid w:val="00666F80"/>
    <w:rsid w:val="0066701D"/>
    <w:rsid w:val="006678EA"/>
    <w:rsid w:val="006703C7"/>
    <w:rsid w:val="0067084A"/>
    <w:rsid w:val="0067169E"/>
    <w:rsid w:val="00672541"/>
    <w:rsid w:val="00674F5A"/>
    <w:rsid w:val="006753D7"/>
    <w:rsid w:val="00680D13"/>
    <w:rsid w:val="00681223"/>
    <w:rsid w:val="00681243"/>
    <w:rsid w:val="006816BE"/>
    <w:rsid w:val="00681DDA"/>
    <w:rsid w:val="00681DE2"/>
    <w:rsid w:val="006828AA"/>
    <w:rsid w:val="00682CB5"/>
    <w:rsid w:val="0068336C"/>
    <w:rsid w:val="00685342"/>
    <w:rsid w:val="00685FE9"/>
    <w:rsid w:val="006868C6"/>
    <w:rsid w:val="0068751F"/>
    <w:rsid w:val="006902C8"/>
    <w:rsid w:val="00693471"/>
    <w:rsid w:val="00693C96"/>
    <w:rsid w:val="00694440"/>
    <w:rsid w:val="0069596C"/>
    <w:rsid w:val="00695D9E"/>
    <w:rsid w:val="00695E15"/>
    <w:rsid w:val="00696065"/>
    <w:rsid w:val="0069638D"/>
    <w:rsid w:val="006963AB"/>
    <w:rsid w:val="00696C4F"/>
    <w:rsid w:val="00696F5D"/>
    <w:rsid w:val="00697021"/>
    <w:rsid w:val="00697261"/>
    <w:rsid w:val="006A0410"/>
    <w:rsid w:val="006A091B"/>
    <w:rsid w:val="006A0DAF"/>
    <w:rsid w:val="006A4105"/>
    <w:rsid w:val="006A6699"/>
    <w:rsid w:val="006A6753"/>
    <w:rsid w:val="006A704F"/>
    <w:rsid w:val="006A7E0E"/>
    <w:rsid w:val="006B06FE"/>
    <w:rsid w:val="006B0880"/>
    <w:rsid w:val="006B1FB1"/>
    <w:rsid w:val="006B32E4"/>
    <w:rsid w:val="006B36DC"/>
    <w:rsid w:val="006B3F3C"/>
    <w:rsid w:val="006B55F7"/>
    <w:rsid w:val="006B56D9"/>
    <w:rsid w:val="006B5AC0"/>
    <w:rsid w:val="006B6ED3"/>
    <w:rsid w:val="006B74E7"/>
    <w:rsid w:val="006B7593"/>
    <w:rsid w:val="006B775B"/>
    <w:rsid w:val="006B7A94"/>
    <w:rsid w:val="006C0312"/>
    <w:rsid w:val="006C051C"/>
    <w:rsid w:val="006C0A35"/>
    <w:rsid w:val="006C3413"/>
    <w:rsid w:val="006C4B47"/>
    <w:rsid w:val="006C4BFB"/>
    <w:rsid w:val="006C639F"/>
    <w:rsid w:val="006C76D9"/>
    <w:rsid w:val="006C77F7"/>
    <w:rsid w:val="006C7F0A"/>
    <w:rsid w:val="006D1412"/>
    <w:rsid w:val="006D1724"/>
    <w:rsid w:val="006D17BA"/>
    <w:rsid w:val="006D18A3"/>
    <w:rsid w:val="006D1D78"/>
    <w:rsid w:val="006D23C1"/>
    <w:rsid w:val="006D34B9"/>
    <w:rsid w:val="006D4507"/>
    <w:rsid w:val="006D5E47"/>
    <w:rsid w:val="006D62DB"/>
    <w:rsid w:val="006D76D3"/>
    <w:rsid w:val="006D7FD2"/>
    <w:rsid w:val="006E0DEC"/>
    <w:rsid w:val="006E0F19"/>
    <w:rsid w:val="006E2994"/>
    <w:rsid w:val="006E2A64"/>
    <w:rsid w:val="006E3D7C"/>
    <w:rsid w:val="006E3FB0"/>
    <w:rsid w:val="006E49AF"/>
    <w:rsid w:val="006E4A9F"/>
    <w:rsid w:val="006E4AE2"/>
    <w:rsid w:val="006E5D36"/>
    <w:rsid w:val="006E68C7"/>
    <w:rsid w:val="006F019D"/>
    <w:rsid w:val="006F041B"/>
    <w:rsid w:val="006F2923"/>
    <w:rsid w:val="006F2EA9"/>
    <w:rsid w:val="006F411D"/>
    <w:rsid w:val="006F6003"/>
    <w:rsid w:val="0070110E"/>
    <w:rsid w:val="007017E2"/>
    <w:rsid w:val="007018A1"/>
    <w:rsid w:val="00701EA3"/>
    <w:rsid w:val="00702111"/>
    <w:rsid w:val="007023DD"/>
    <w:rsid w:val="0070307B"/>
    <w:rsid w:val="007030B4"/>
    <w:rsid w:val="00703262"/>
    <w:rsid w:val="00703D90"/>
    <w:rsid w:val="00704484"/>
    <w:rsid w:val="00704D55"/>
    <w:rsid w:val="00705940"/>
    <w:rsid w:val="00705AFB"/>
    <w:rsid w:val="00705B63"/>
    <w:rsid w:val="00705E0E"/>
    <w:rsid w:val="007063C3"/>
    <w:rsid w:val="007065F1"/>
    <w:rsid w:val="00706EAB"/>
    <w:rsid w:val="0070747E"/>
    <w:rsid w:val="00707C13"/>
    <w:rsid w:val="00710F62"/>
    <w:rsid w:val="00711351"/>
    <w:rsid w:val="00713F81"/>
    <w:rsid w:val="007141B8"/>
    <w:rsid w:val="00714414"/>
    <w:rsid w:val="007148D1"/>
    <w:rsid w:val="00714991"/>
    <w:rsid w:val="00715156"/>
    <w:rsid w:val="00715D02"/>
    <w:rsid w:val="00720709"/>
    <w:rsid w:val="00720B27"/>
    <w:rsid w:val="00720F42"/>
    <w:rsid w:val="00722AFA"/>
    <w:rsid w:val="00722B33"/>
    <w:rsid w:val="00723309"/>
    <w:rsid w:val="00723CE0"/>
    <w:rsid w:val="00724232"/>
    <w:rsid w:val="00724AB8"/>
    <w:rsid w:val="00725375"/>
    <w:rsid w:val="00726A05"/>
    <w:rsid w:val="00730297"/>
    <w:rsid w:val="00730BF3"/>
    <w:rsid w:val="00730CD4"/>
    <w:rsid w:val="00731ABA"/>
    <w:rsid w:val="00731C79"/>
    <w:rsid w:val="00732A1B"/>
    <w:rsid w:val="00732C09"/>
    <w:rsid w:val="00732FB1"/>
    <w:rsid w:val="00733656"/>
    <w:rsid w:val="0073387F"/>
    <w:rsid w:val="00734C95"/>
    <w:rsid w:val="00735647"/>
    <w:rsid w:val="00735F6D"/>
    <w:rsid w:val="007361AE"/>
    <w:rsid w:val="007365FC"/>
    <w:rsid w:val="0073699C"/>
    <w:rsid w:val="00737649"/>
    <w:rsid w:val="007404AF"/>
    <w:rsid w:val="00740876"/>
    <w:rsid w:val="00741C54"/>
    <w:rsid w:val="00741E4B"/>
    <w:rsid w:val="0074274F"/>
    <w:rsid w:val="00743022"/>
    <w:rsid w:val="0074307A"/>
    <w:rsid w:val="007439F0"/>
    <w:rsid w:val="0074436F"/>
    <w:rsid w:val="007448BD"/>
    <w:rsid w:val="00744AF2"/>
    <w:rsid w:val="00744D58"/>
    <w:rsid w:val="00744E24"/>
    <w:rsid w:val="00745950"/>
    <w:rsid w:val="00746516"/>
    <w:rsid w:val="00746FDD"/>
    <w:rsid w:val="007474CF"/>
    <w:rsid w:val="00750A94"/>
    <w:rsid w:val="00750D06"/>
    <w:rsid w:val="00751088"/>
    <w:rsid w:val="007512E3"/>
    <w:rsid w:val="007513F2"/>
    <w:rsid w:val="00751733"/>
    <w:rsid w:val="0075186B"/>
    <w:rsid w:val="00751C28"/>
    <w:rsid w:val="007522A7"/>
    <w:rsid w:val="00752603"/>
    <w:rsid w:val="00752B70"/>
    <w:rsid w:val="00752DF3"/>
    <w:rsid w:val="007531CE"/>
    <w:rsid w:val="00754063"/>
    <w:rsid w:val="00754AD7"/>
    <w:rsid w:val="0075525F"/>
    <w:rsid w:val="00756442"/>
    <w:rsid w:val="0075660F"/>
    <w:rsid w:val="00757480"/>
    <w:rsid w:val="00757FC9"/>
    <w:rsid w:val="00761A56"/>
    <w:rsid w:val="00761C9A"/>
    <w:rsid w:val="0076313E"/>
    <w:rsid w:val="00764DC2"/>
    <w:rsid w:val="0076541B"/>
    <w:rsid w:val="007654DD"/>
    <w:rsid w:val="00765595"/>
    <w:rsid w:val="00765AE5"/>
    <w:rsid w:val="00765E50"/>
    <w:rsid w:val="00766DB2"/>
    <w:rsid w:val="00767BE7"/>
    <w:rsid w:val="007710FE"/>
    <w:rsid w:val="00772588"/>
    <w:rsid w:val="0077376E"/>
    <w:rsid w:val="00774539"/>
    <w:rsid w:val="00774C82"/>
    <w:rsid w:val="0077548F"/>
    <w:rsid w:val="007757A7"/>
    <w:rsid w:val="00775A9B"/>
    <w:rsid w:val="00775AF8"/>
    <w:rsid w:val="0077697E"/>
    <w:rsid w:val="00777B10"/>
    <w:rsid w:val="007800C3"/>
    <w:rsid w:val="007808E9"/>
    <w:rsid w:val="00780FA2"/>
    <w:rsid w:val="007811C7"/>
    <w:rsid w:val="007812F8"/>
    <w:rsid w:val="0078132B"/>
    <w:rsid w:val="007825A6"/>
    <w:rsid w:val="007827D8"/>
    <w:rsid w:val="0078390A"/>
    <w:rsid w:val="00783B29"/>
    <w:rsid w:val="0078403A"/>
    <w:rsid w:val="007874B3"/>
    <w:rsid w:val="00787690"/>
    <w:rsid w:val="00790A25"/>
    <w:rsid w:val="00791416"/>
    <w:rsid w:val="007918F6"/>
    <w:rsid w:val="0079356E"/>
    <w:rsid w:val="007942C6"/>
    <w:rsid w:val="0079559E"/>
    <w:rsid w:val="00795726"/>
    <w:rsid w:val="00797033"/>
    <w:rsid w:val="007972AF"/>
    <w:rsid w:val="00797B2A"/>
    <w:rsid w:val="00797B38"/>
    <w:rsid w:val="00797BA2"/>
    <w:rsid w:val="007A08FD"/>
    <w:rsid w:val="007A109F"/>
    <w:rsid w:val="007A2786"/>
    <w:rsid w:val="007A2925"/>
    <w:rsid w:val="007A2DF3"/>
    <w:rsid w:val="007A3477"/>
    <w:rsid w:val="007A3D3C"/>
    <w:rsid w:val="007A4295"/>
    <w:rsid w:val="007A4350"/>
    <w:rsid w:val="007A4C7C"/>
    <w:rsid w:val="007A6A2D"/>
    <w:rsid w:val="007A6DCF"/>
    <w:rsid w:val="007A6F29"/>
    <w:rsid w:val="007B03A3"/>
    <w:rsid w:val="007B0D2D"/>
    <w:rsid w:val="007B2453"/>
    <w:rsid w:val="007B4EFD"/>
    <w:rsid w:val="007B6AD2"/>
    <w:rsid w:val="007B6D17"/>
    <w:rsid w:val="007B6FCC"/>
    <w:rsid w:val="007C1E29"/>
    <w:rsid w:val="007C2320"/>
    <w:rsid w:val="007C4C14"/>
    <w:rsid w:val="007C5B09"/>
    <w:rsid w:val="007C5C89"/>
    <w:rsid w:val="007C6828"/>
    <w:rsid w:val="007C6995"/>
    <w:rsid w:val="007C7237"/>
    <w:rsid w:val="007D02C0"/>
    <w:rsid w:val="007D0983"/>
    <w:rsid w:val="007D0B5F"/>
    <w:rsid w:val="007D28AD"/>
    <w:rsid w:val="007D39D0"/>
    <w:rsid w:val="007D5344"/>
    <w:rsid w:val="007D679D"/>
    <w:rsid w:val="007D67C0"/>
    <w:rsid w:val="007D72A6"/>
    <w:rsid w:val="007D7E7D"/>
    <w:rsid w:val="007E0896"/>
    <w:rsid w:val="007E0BAE"/>
    <w:rsid w:val="007E16A0"/>
    <w:rsid w:val="007E23C6"/>
    <w:rsid w:val="007E2EDB"/>
    <w:rsid w:val="007E6865"/>
    <w:rsid w:val="007E689E"/>
    <w:rsid w:val="007E7351"/>
    <w:rsid w:val="007F0E1D"/>
    <w:rsid w:val="007F113D"/>
    <w:rsid w:val="007F11B8"/>
    <w:rsid w:val="007F18BC"/>
    <w:rsid w:val="007F3759"/>
    <w:rsid w:val="007F3F20"/>
    <w:rsid w:val="007F5149"/>
    <w:rsid w:val="007F6118"/>
    <w:rsid w:val="007F7392"/>
    <w:rsid w:val="00802303"/>
    <w:rsid w:val="00804DEC"/>
    <w:rsid w:val="0080521F"/>
    <w:rsid w:val="008052F9"/>
    <w:rsid w:val="0080548D"/>
    <w:rsid w:val="008060CB"/>
    <w:rsid w:val="0080612E"/>
    <w:rsid w:val="00807BA4"/>
    <w:rsid w:val="00807CD4"/>
    <w:rsid w:val="0081198C"/>
    <w:rsid w:val="00811F2A"/>
    <w:rsid w:val="00811F6E"/>
    <w:rsid w:val="008123CA"/>
    <w:rsid w:val="00813D53"/>
    <w:rsid w:val="00814F0D"/>
    <w:rsid w:val="008152F7"/>
    <w:rsid w:val="008152FF"/>
    <w:rsid w:val="00815CEE"/>
    <w:rsid w:val="00817075"/>
    <w:rsid w:val="008174CF"/>
    <w:rsid w:val="00817B47"/>
    <w:rsid w:val="00820DE9"/>
    <w:rsid w:val="00821F35"/>
    <w:rsid w:val="00822935"/>
    <w:rsid w:val="00822F3A"/>
    <w:rsid w:val="008234B8"/>
    <w:rsid w:val="008246A0"/>
    <w:rsid w:val="00825B9A"/>
    <w:rsid w:val="008264D2"/>
    <w:rsid w:val="0082651E"/>
    <w:rsid w:val="008271BD"/>
    <w:rsid w:val="008271C0"/>
    <w:rsid w:val="00827E6E"/>
    <w:rsid w:val="008306D3"/>
    <w:rsid w:val="00830AE5"/>
    <w:rsid w:val="00831669"/>
    <w:rsid w:val="00831C19"/>
    <w:rsid w:val="00831DBF"/>
    <w:rsid w:val="00833DA7"/>
    <w:rsid w:val="008343B7"/>
    <w:rsid w:val="00834D0D"/>
    <w:rsid w:val="00835DF9"/>
    <w:rsid w:val="00835E9E"/>
    <w:rsid w:val="00836319"/>
    <w:rsid w:val="008363AC"/>
    <w:rsid w:val="00836E41"/>
    <w:rsid w:val="0084104E"/>
    <w:rsid w:val="00841619"/>
    <w:rsid w:val="00841928"/>
    <w:rsid w:val="00842635"/>
    <w:rsid w:val="00842E40"/>
    <w:rsid w:val="00843F84"/>
    <w:rsid w:val="00844AEE"/>
    <w:rsid w:val="008451D0"/>
    <w:rsid w:val="0084639D"/>
    <w:rsid w:val="00847BC7"/>
    <w:rsid w:val="00850ED7"/>
    <w:rsid w:val="00850F71"/>
    <w:rsid w:val="0085132D"/>
    <w:rsid w:val="00851E7F"/>
    <w:rsid w:val="008527A4"/>
    <w:rsid w:val="00852B12"/>
    <w:rsid w:val="008536F5"/>
    <w:rsid w:val="00853769"/>
    <w:rsid w:val="00855732"/>
    <w:rsid w:val="00855752"/>
    <w:rsid w:val="00855EAA"/>
    <w:rsid w:val="00856D1C"/>
    <w:rsid w:val="00860CBE"/>
    <w:rsid w:val="00861563"/>
    <w:rsid w:val="008632E9"/>
    <w:rsid w:val="00863A3F"/>
    <w:rsid w:val="00864100"/>
    <w:rsid w:val="0086490E"/>
    <w:rsid w:val="00864B54"/>
    <w:rsid w:val="00866303"/>
    <w:rsid w:val="00867421"/>
    <w:rsid w:val="00867B12"/>
    <w:rsid w:val="00871950"/>
    <w:rsid w:val="00872055"/>
    <w:rsid w:val="00872395"/>
    <w:rsid w:val="00872C91"/>
    <w:rsid w:val="00873BEF"/>
    <w:rsid w:val="00873FCC"/>
    <w:rsid w:val="0087467D"/>
    <w:rsid w:val="00874868"/>
    <w:rsid w:val="00874AC0"/>
    <w:rsid w:val="00874AE2"/>
    <w:rsid w:val="00874EFF"/>
    <w:rsid w:val="008760C2"/>
    <w:rsid w:val="0087636A"/>
    <w:rsid w:val="00876CD9"/>
    <w:rsid w:val="00877B08"/>
    <w:rsid w:val="008811C7"/>
    <w:rsid w:val="008814D6"/>
    <w:rsid w:val="00881646"/>
    <w:rsid w:val="00882778"/>
    <w:rsid w:val="00882C78"/>
    <w:rsid w:val="00883278"/>
    <w:rsid w:val="00883641"/>
    <w:rsid w:val="00883E89"/>
    <w:rsid w:val="00884B25"/>
    <w:rsid w:val="008853DE"/>
    <w:rsid w:val="00885538"/>
    <w:rsid w:val="00886417"/>
    <w:rsid w:val="008870DF"/>
    <w:rsid w:val="00890481"/>
    <w:rsid w:val="00892E26"/>
    <w:rsid w:val="008931E2"/>
    <w:rsid w:val="00893FC7"/>
    <w:rsid w:val="00894964"/>
    <w:rsid w:val="00896154"/>
    <w:rsid w:val="00897ADF"/>
    <w:rsid w:val="00897C72"/>
    <w:rsid w:val="008A014F"/>
    <w:rsid w:val="008A19CF"/>
    <w:rsid w:val="008A443C"/>
    <w:rsid w:val="008A5C2A"/>
    <w:rsid w:val="008A6C96"/>
    <w:rsid w:val="008B10BB"/>
    <w:rsid w:val="008B10DA"/>
    <w:rsid w:val="008B28B2"/>
    <w:rsid w:val="008B3D09"/>
    <w:rsid w:val="008B3E58"/>
    <w:rsid w:val="008B5996"/>
    <w:rsid w:val="008B5FFB"/>
    <w:rsid w:val="008B60F3"/>
    <w:rsid w:val="008B6139"/>
    <w:rsid w:val="008C00FC"/>
    <w:rsid w:val="008C174D"/>
    <w:rsid w:val="008C2762"/>
    <w:rsid w:val="008C2D2D"/>
    <w:rsid w:val="008C3414"/>
    <w:rsid w:val="008C4B8A"/>
    <w:rsid w:val="008C505F"/>
    <w:rsid w:val="008C51F9"/>
    <w:rsid w:val="008C552C"/>
    <w:rsid w:val="008C657A"/>
    <w:rsid w:val="008C7EDF"/>
    <w:rsid w:val="008C7FDF"/>
    <w:rsid w:val="008D0813"/>
    <w:rsid w:val="008D0F29"/>
    <w:rsid w:val="008D2486"/>
    <w:rsid w:val="008D2C19"/>
    <w:rsid w:val="008D48CF"/>
    <w:rsid w:val="008D4993"/>
    <w:rsid w:val="008D584C"/>
    <w:rsid w:val="008D5D67"/>
    <w:rsid w:val="008D6E64"/>
    <w:rsid w:val="008E087E"/>
    <w:rsid w:val="008E09FB"/>
    <w:rsid w:val="008E0A1A"/>
    <w:rsid w:val="008E1236"/>
    <w:rsid w:val="008E1A94"/>
    <w:rsid w:val="008E1E7A"/>
    <w:rsid w:val="008E255C"/>
    <w:rsid w:val="008E2AC3"/>
    <w:rsid w:val="008E3410"/>
    <w:rsid w:val="008E366B"/>
    <w:rsid w:val="008E489C"/>
    <w:rsid w:val="008E49D2"/>
    <w:rsid w:val="008E5A14"/>
    <w:rsid w:val="008E6290"/>
    <w:rsid w:val="008E7600"/>
    <w:rsid w:val="008F0314"/>
    <w:rsid w:val="008F0653"/>
    <w:rsid w:val="008F0A1D"/>
    <w:rsid w:val="008F1BB1"/>
    <w:rsid w:val="008F298B"/>
    <w:rsid w:val="008F3CF6"/>
    <w:rsid w:val="008F43D3"/>
    <w:rsid w:val="008F4800"/>
    <w:rsid w:val="008F5552"/>
    <w:rsid w:val="008F5AE1"/>
    <w:rsid w:val="008F733D"/>
    <w:rsid w:val="00900C03"/>
    <w:rsid w:val="009016A5"/>
    <w:rsid w:val="009020C7"/>
    <w:rsid w:val="00904A0C"/>
    <w:rsid w:val="00905065"/>
    <w:rsid w:val="009050F9"/>
    <w:rsid w:val="00905567"/>
    <w:rsid w:val="00905A5E"/>
    <w:rsid w:val="009064F2"/>
    <w:rsid w:val="009068E6"/>
    <w:rsid w:val="00906D20"/>
    <w:rsid w:val="00906EE2"/>
    <w:rsid w:val="00907AF0"/>
    <w:rsid w:val="00910313"/>
    <w:rsid w:val="009105C0"/>
    <w:rsid w:val="00910AB8"/>
    <w:rsid w:val="009121AA"/>
    <w:rsid w:val="009122CA"/>
    <w:rsid w:val="00912409"/>
    <w:rsid w:val="00913965"/>
    <w:rsid w:val="00913AA0"/>
    <w:rsid w:val="00915CE2"/>
    <w:rsid w:val="00915E4A"/>
    <w:rsid w:val="00920112"/>
    <w:rsid w:val="00920BDB"/>
    <w:rsid w:val="00923028"/>
    <w:rsid w:val="009245E5"/>
    <w:rsid w:val="00924ED4"/>
    <w:rsid w:val="009251FF"/>
    <w:rsid w:val="00925ECA"/>
    <w:rsid w:val="009268BF"/>
    <w:rsid w:val="0092795F"/>
    <w:rsid w:val="00930D93"/>
    <w:rsid w:val="0093289A"/>
    <w:rsid w:val="00933DD0"/>
    <w:rsid w:val="00934874"/>
    <w:rsid w:val="00935377"/>
    <w:rsid w:val="009355C7"/>
    <w:rsid w:val="00936531"/>
    <w:rsid w:val="00940414"/>
    <w:rsid w:val="00940BB7"/>
    <w:rsid w:val="00941901"/>
    <w:rsid w:val="00941E6F"/>
    <w:rsid w:val="0094280F"/>
    <w:rsid w:val="009439AD"/>
    <w:rsid w:val="0094442D"/>
    <w:rsid w:val="009456B1"/>
    <w:rsid w:val="00947990"/>
    <w:rsid w:val="00947A3C"/>
    <w:rsid w:val="009516F2"/>
    <w:rsid w:val="00951814"/>
    <w:rsid w:val="00951F84"/>
    <w:rsid w:val="00953223"/>
    <w:rsid w:val="00953FA9"/>
    <w:rsid w:val="009542DA"/>
    <w:rsid w:val="00954A66"/>
    <w:rsid w:val="00954BB5"/>
    <w:rsid w:val="00956383"/>
    <w:rsid w:val="009564EA"/>
    <w:rsid w:val="0095678B"/>
    <w:rsid w:val="009607A0"/>
    <w:rsid w:val="00960B68"/>
    <w:rsid w:val="00961E13"/>
    <w:rsid w:val="00963175"/>
    <w:rsid w:val="00963D16"/>
    <w:rsid w:val="00964455"/>
    <w:rsid w:val="00964858"/>
    <w:rsid w:val="00965AA8"/>
    <w:rsid w:val="00965B36"/>
    <w:rsid w:val="00966007"/>
    <w:rsid w:val="009665D5"/>
    <w:rsid w:val="00967467"/>
    <w:rsid w:val="00967519"/>
    <w:rsid w:val="00967CB9"/>
    <w:rsid w:val="009707EA"/>
    <w:rsid w:val="009709CE"/>
    <w:rsid w:val="00970C7B"/>
    <w:rsid w:val="00970DBB"/>
    <w:rsid w:val="0097281D"/>
    <w:rsid w:val="00973300"/>
    <w:rsid w:val="00973579"/>
    <w:rsid w:val="009736B1"/>
    <w:rsid w:val="00973807"/>
    <w:rsid w:val="0097685F"/>
    <w:rsid w:val="00977074"/>
    <w:rsid w:val="00981743"/>
    <w:rsid w:val="009818A3"/>
    <w:rsid w:val="009874B9"/>
    <w:rsid w:val="009877DB"/>
    <w:rsid w:val="00992442"/>
    <w:rsid w:val="009925A5"/>
    <w:rsid w:val="009937E0"/>
    <w:rsid w:val="00993F3A"/>
    <w:rsid w:val="0099451A"/>
    <w:rsid w:val="00995DBA"/>
    <w:rsid w:val="00996FB4"/>
    <w:rsid w:val="00997323"/>
    <w:rsid w:val="009A0635"/>
    <w:rsid w:val="009A09FD"/>
    <w:rsid w:val="009A11CE"/>
    <w:rsid w:val="009A15B5"/>
    <w:rsid w:val="009A1799"/>
    <w:rsid w:val="009A1C3F"/>
    <w:rsid w:val="009A4EE1"/>
    <w:rsid w:val="009A54AA"/>
    <w:rsid w:val="009A66CC"/>
    <w:rsid w:val="009A6975"/>
    <w:rsid w:val="009A721D"/>
    <w:rsid w:val="009A7C1A"/>
    <w:rsid w:val="009A7E1E"/>
    <w:rsid w:val="009B0675"/>
    <w:rsid w:val="009B0A7F"/>
    <w:rsid w:val="009B16FB"/>
    <w:rsid w:val="009B316D"/>
    <w:rsid w:val="009B4474"/>
    <w:rsid w:val="009B4750"/>
    <w:rsid w:val="009B51B9"/>
    <w:rsid w:val="009B5ACC"/>
    <w:rsid w:val="009B5CC0"/>
    <w:rsid w:val="009B61D0"/>
    <w:rsid w:val="009B6827"/>
    <w:rsid w:val="009B6FE6"/>
    <w:rsid w:val="009C127C"/>
    <w:rsid w:val="009C530B"/>
    <w:rsid w:val="009C5386"/>
    <w:rsid w:val="009C5C40"/>
    <w:rsid w:val="009C63CE"/>
    <w:rsid w:val="009C67FA"/>
    <w:rsid w:val="009C6AC8"/>
    <w:rsid w:val="009C700A"/>
    <w:rsid w:val="009C7431"/>
    <w:rsid w:val="009C7E80"/>
    <w:rsid w:val="009D0451"/>
    <w:rsid w:val="009D176C"/>
    <w:rsid w:val="009D277E"/>
    <w:rsid w:val="009D3EA7"/>
    <w:rsid w:val="009D3F20"/>
    <w:rsid w:val="009D494A"/>
    <w:rsid w:val="009D5231"/>
    <w:rsid w:val="009D60F8"/>
    <w:rsid w:val="009D7C60"/>
    <w:rsid w:val="009E1445"/>
    <w:rsid w:val="009E21E7"/>
    <w:rsid w:val="009E5FB2"/>
    <w:rsid w:val="009E6095"/>
    <w:rsid w:val="009F0AC8"/>
    <w:rsid w:val="009F1458"/>
    <w:rsid w:val="009F25CC"/>
    <w:rsid w:val="009F2A15"/>
    <w:rsid w:val="009F3DFA"/>
    <w:rsid w:val="009F41C4"/>
    <w:rsid w:val="009F422C"/>
    <w:rsid w:val="009F4236"/>
    <w:rsid w:val="009F58BA"/>
    <w:rsid w:val="009F5D1E"/>
    <w:rsid w:val="009F5E5F"/>
    <w:rsid w:val="009F6692"/>
    <w:rsid w:val="00A01196"/>
    <w:rsid w:val="00A027E3"/>
    <w:rsid w:val="00A04F7E"/>
    <w:rsid w:val="00A04FBD"/>
    <w:rsid w:val="00A05C40"/>
    <w:rsid w:val="00A063AF"/>
    <w:rsid w:val="00A067F0"/>
    <w:rsid w:val="00A1068C"/>
    <w:rsid w:val="00A10DC3"/>
    <w:rsid w:val="00A126EA"/>
    <w:rsid w:val="00A146BD"/>
    <w:rsid w:val="00A14BA9"/>
    <w:rsid w:val="00A171E5"/>
    <w:rsid w:val="00A20576"/>
    <w:rsid w:val="00A22D45"/>
    <w:rsid w:val="00A2483E"/>
    <w:rsid w:val="00A2627C"/>
    <w:rsid w:val="00A2656B"/>
    <w:rsid w:val="00A27647"/>
    <w:rsid w:val="00A27E14"/>
    <w:rsid w:val="00A30DA4"/>
    <w:rsid w:val="00A316A7"/>
    <w:rsid w:val="00A31C18"/>
    <w:rsid w:val="00A33038"/>
    <w:rsid w:val="00A331E9"/>
    <w:rsid w:val="00A33293"/>
    <w:rsid w:val="00A34D7E"/>
    <w:rsid w:val="00A34E24"/>
    <w:rsid w:val="00A34F57"/>
    <w:rsid w:val="00A35036"/>
    <w:rsid w:val="00A3586B"/>
    <w:rsid w:val="00A35AED"/>
    <w:rsid w:val="00A36193"/>
    <w:rsid w:val="00A36AC7"/>
    <w:rsid w:val="00A36D99"/>
    <w:rsid w:val="00A37876"/>
    <w:rsid w:val="00A409C1"/>
    <w:rsid w:val="00A41124"/>
    <w:rsid w:val="00A42658"/>
    <w:rsid w:val="00A43900"/>
    <w:rsid w:val="00A448F4"/>
    <w:rsid w:val="00A45763"/>
    <w:rsid w:val="00A45D1F"/>
    <w:rsid w:val="00A46219"/>
    <w:rsid w:val="00A465F4"/>
    <w:rsid w:val="00A46621"/>
    <w:rsid w:val="00A46ACC"/>
    <w:rsid w:val="00A5004F"/>
    <w:rsid w:val="00A50EE3"/>
    <w:rsid w:val="00A51100"/>
    <w:rsid w:val="00A516DF"/>
    <w:rsid w:val="00A5454A"/>
    <w:rsid w:val="00A547C4"/>
    <w:rsid w:val="00A55E3C"/>
    <w:rsid w:val="00A5651C"/>
    <w:rsid w:val="00A57298"/>
    <w:rsid w:val="00A620D7"/>
    <w:rsid w:val="00A621E0"/>
    <w:rsid w:val="00A6229D"/>
    <w:rsid w:val="00A64707"/>
    <w:rsid w:val="00A647C6"/>
    <w:rsid w:val="00A64CA7"/>
    <w:rsid w:val="00A64FC8"/>
    <w:rsid w:val="00A65B91"/>
    <w:rsid w:val="00A65E4F"/>
    <w:rsid w:val="00A67F64"/>
    <w:rsid w:val="00A702DB"/>
    <w:rsid w:val="00A70585"/>
    <w:rsid w:val="00A733B9"/>
    <w:rsid w:val="00A7437C"/>
    <w:rsid w:val="00A76166"/>
    <w:rsid w:val="00A76305"/>
    <w:rsid w:val="00A77537"/>
    <w:rsid w:val="00A775B7"/>
    <w:rsid w:val="00A77EAB"/>
    <w:rsid w:val="00A80EDF"/>
    <w:rsid w:val="00A81FDC"/>
    <w:rsid w:val="00A821FC"/>
    <w:rsid w:val="00A82EF2"/>
    <w:rsid w:val="00A832F1"/>
    <w:rsid w:val="00A83C95"/>
    <w:rsid w:val="00A84470"/>
    <w:rsid w:val="00A845AD"/>
    <w:rsid w:val="00A85C46"/>
    <w:rsid w:val="00A90050"/>
    <w:rsid w:val="00A91C06"/>
    <w:rsid w:val="00A94B77"/>
    <w:rsid w:val="00A957B1"/>
    <w:rsid w:val="00A95A51"/>
    <w:rsid w:val="00A95CC1"/>
    <w:rsid w:val="00A96C2D"/>
    <w:rsid w:val="00A96F0A"/>
    <w:rsid w:val="00AA04DE"/>
    <w:rsid w:val="00AA0E2D"/>
    <w:rsid w:val="00AA2A52"/>
    <w:rsid w:val="00AA32B7"/>
    <w:rsid w:val="00AA359B"/>
    <w:rsid w:val="00AA5578"/>
    <w:rsid w:val="00AA5742"/>
    <w:rsid w:val="00AA5C53"/>
    <w:rsid w:val="00AA6FAA"/>
    <w:rsid w:val="00AA73C1"/>
    <w:rsid w:val="00AB0A53"/>
    <w:rsid w:val="00AB0BB7"/>
    <w:rsid w:val="00AB1694"/>
    <w:rsid w:val="00AB18CE"/>
    <w:rsid w:val="00AB23F0"/>
    <w:rsid w:val="00AB2F2F"/>
    <w:rsid w:val="00AB3AC4"/>
    <w:rsid w:val="00AB4304"/>
    <w:rsid w:val="00AB4773"/>
    <w:rsid w:val="00AB48F9"/>
    <w:rsid w:val="00AB4E75"/>
    <w:rsid w:val="00AB58D0"/>
    <w:rsid w:val="00AC027A"/>
    <w:rsid w:val="00AC1C8A"/>
    <w:rsid w:val="00AC27E5"/>
    <w:rsid w:val="00AC29ED"/>
    <w:rsid w:val="00AC2A8F"/>
    <w:rsid w:val="00AC2EBC"/>
    <w:rsid w:val="00AC400D"/>
    <w:rsid w:val="00AC453E"/>
    <w:rsid w:val="00AC6DD5"/>
    <w:rsid w:val="00AC6DEA"/>
    <w:rsid w:val="00AC7460"/>
    <w:rsid w:val="00AC7469"/>
    <w:rsid w:val="00AC7DFE"/>
    <w:rsid w:val="00AD1766"/>
    <w:rsid w:val="00AD1A70"/>
    <w:rsid w:val="00AD1DE2"/>
    <w:rsid w:val="00AD20E3"/>
    <w:rsid w:val="00AD33D8"/>
    <w:rsid w:val="00AD3423"/>
    <w:rsid w:val="00AD3B2C"/>
    <w:rsid w:val="00AD519A"/>
    <w:rsid w:val="00AD539A"/>
    <w:rsid w:val="00AD53D3"/>
    <w:rsid w:val="00AD58F6"/>
    <w:rsid w:val="00AD5DEC"/>
    <w:rsid w:val="00AD6A24"/>
    <w:rsid w:val="00AD6A68"/>
    <w:rsid w:val="00AD7D9A"/>
    <w:rsid w:val="00AD7E93"/>
    <w:rsid w:val="00AE0492"/>
    <w:rsid w:val="00AE26B8"/>
    <w:rsid w:val="00AE2988"/>
    <w:rsid w:val="00AE3F7D"/>
    <w:rsid w:val="00AE54E3"/>
    <w:rsid w:val="00AE57AC"/>
    <w:rsid w:val="00AE6FF2"/>
    <w:rsid w:val="00AE708A"/>
    <w:rsid w:val="00AE73AF"/>
    <w:rsid w:val="00AE7E39"/>
    <w:rsid w:val="00AF01B2"/>
    <w:rsid w:val="00AF13E8"/>
    <w:rsid w:val="00AF21BC"/>
    <w:rsid w:val="00AF2383"/>
    <w:rsid w:val="00AF2720"/>
    <w:rsid w:val="00AF2817"/>
    <w:rsid w:val="00AF2935"/>
    <w:rsid w:val="00AF4604"/>
    <w:rsid w:val="00AF4FFF"/>
    <w:rsid w:val="00AF5047"/>
    <w:rsid w:val="00AF5372"/>
    <w:rsid w:val="00AF5732"/>
    <w:rsid w:val="00AF5DC8"/>
    <w:rsid w:val="00AF6629"/>
    <w:rsid w:val="00AF6941"/>
    <w:rsid w:val="00AF6D30"/>
    <w:rsid w:val="00AF7900"/>
    <w:rsid w:val="00AF7A0C"/>
    <w:rsid w:val="00AF7F2F"/>
    <w:rsid w:val="00B000BB"/>
    <w:rsid w:val="00B014E3"/>
    <w:rsid w:val="00B031AC"/>
    <w:rsid w:val="00B03EE9"/>
    <w:rsid w:val="00B04DE1"/>
    <w:rsid w:val="00B05308"/>
    <w:rsid w:val="00B05B63"/>
    <w:rsid w:val="00B06C1C"/>
    <w:rsid w:val="00B06FF7"/>
    <w:rsid w:val="00B07077"/>
    <w:rsid w:val="00B10020"/>
    <w:rsid w:val="00B10082"/>
    <w:rsid w:val="00B105FF"/>
    <w:rsid w:val="00B1074D"/>
    <w:rsid w:val="00B10B35"/>
    <w:rsid w:val="00B10E0A"/>
    <w:rsid w:val="00B1142A"/>
    <w:rsid w:val="00B11F54"/>
    <w:rsid w:val="00B12ED2"/>
    <w:rsid w:val="00B156B9"/>
    <w:rsid w:val="00B2016B"/>
    <w:rsid w:val="00B2018D"/>
    <w:rsid w:val="00B21735"/>
    <w:rsid w:val="00B223D3"/>
    <w:rsid w:val="00B22873"/>
    <w:rsid w:val="00B2418F"/>
    <w:rsid w:val="00B2444F"/>
    <w:rsid w:val="00B25796"/>
    <w:rsid w:val="00B304C4"/>
    <w:rsid w:val="00B3064E"/>
    <w:rsid w:val="00B30D72"/>
    <w:rsid w:val="00B30DDE"/>
    <w:rsid w:val="00B3164D"/>
    <w:rsid w:val="00B3316D"/>
    <w:rsid w:val="00B33431"/>
    <w:rsid w:val="00B338EE"/>
    <w:rsid w:val="00B3585A"/>
    <w:rsid w:val="00B35B0A"/>
    <w:rsid w:val="00B3623C"/>
    <w:rsid w:val="00B3779D"/>
    <w:rsid w:val="00B41E4A"/>
    <w:rsid w:val="00B42049"/>
    <w:rsid w:val="00B44A1D"/>
    <w:rsid w:val="00B44BCC"/>
    <w:rsid w:val="00B4528B"/>
    <w:rsid w:val="00B45726"/>
    <w:rsid w:val="00B45EA4"/>
    <w:rsid w:val="00B45EF6"/>
    <w:rsid w:val="00B46039"/>
    <w:rsid w:val="00B463FC"/>
    <w:rsid w:val="00B46ADB"/>
    <w:rsid w:val="00B46BFC"/>
    <w:rsid w:val="00B46F87"/>
    <w:rsid w:val="00B47D41"/>
    <w:rsid w:val="00B47FD4"/>
    <w:rsid w:val="00B500CC"/>
    <w:rsid w:val="00B50EFB"/>
    <w:rsid w:val="00B5112C"/>
    <w:rsid w:val="00B511D6"/>
    <w:rsid w:val="00B51975"/>
    <w:rsid w:val="00B528E8"/>
    <w:rsid w:val="00B53F1B"/>
    <w:rsid w:val="00B53F40"/>
    <w:rsid w:val="00B54235"/>
    <w:rsid w:val="00B55491"/>
    <w:rsid w:val="00B55E1E"/>
    <w:rsid w:val="00B55FF0"/>
    <w:rsid w:val="00B61564"/>
    <w:rsid w:val="00B6169D"/>
    <w:rsid w:val="00B61D22"/>
    <w:rsid w:val="00B61D34"/>
    <w:rsid w:val="00B6222C"/>
    <w:rsid w:val="00B63366"/>
    <w:rsid w:val="00B64DBA"/>
    <w:rsid w:val="00B64ED9"/>
    <w:rsid w:val="00B657F9"/>
    <w:rsid w:val="00B6613D"/>
    <w:rsid w:val="00B66C03"/>
    <w:rsid w:val="00B66C66"/>
    <w:rsid w:val="00B676E2"/>
    <w:rsid w:val="00B67B24"/>
    <w:rsid w:val="00B70B64"/>
    <w:rsid w:val="00B71265"/>
    <w:rsid w:val="00B71CDA"/>
    <w:rsid w:val="00B7204A"/>
    <w:rsid w:val="00B7228B"/>
    <w:rsid w:val="00B7276C"/>
    <w:rsid w:val="00B731D5"/>
    <w:rsid w:val="00B7357F"/>
    <w:rsid w:val="00B741FE"/>
    <w:rsid w:val="00B750BB"/>
    <w:rsid w:val="00B77126"/>
    <w:rsid w:val="00B7726F"/>
    <w:rsid w:val="00B77751"/>
    <w:rsid w:val="00B77DAB"/>
    <w:rsid w:val="00B803D4"/>
    <w:rsid w:val="00B82E02"/>
    <w:rsid w:val="00B835DD"/>
    <w:rsid w:val="00B841A6"/>
    <w:rsid w:val="00B84A5A"/>
    <w:rsid w:val="00B84CEF"/>
    <w:rsid w:val="00B86317"/>
    <w:rsid w:val="00B8643D"/>
    <w:rsid w:val="00B90579"/>
    <w:rsid w:val="00B924F5"/>
    <w:rsid w:val="00B9493E"/>
    <w:rsid w:val="00B96214"/>
    <w:rsid w:val="00BA0336"/>
    <w:rsid w:val="00BA0B94"/>
    <w:rsid w:val="00BA14D6"/>
    <w:rsid w:val="00BA210E"/>
    <w:rsid w:val="00BA4D4B"/>
    <w:rsid w:val="00BA53F0"/>
    <w:rsid w:val="00BA5CAF"/>
    <w:rsid w:val="00BA5F62"/>
    <w:rsid w:val="00BA6558"/>
    <w:rsid w:val="00BA6A04"/>
    <w:rsid w:val="00BA6A7C"/>
    <w:rsid w:val="00BA6D1F"/>
    <w:rsid w:val="00BA7F3E"/>
    <w:rsid w:val="00BB01D5"/>
    <w:rsid w:val="00BB10E0"/>
    <w:rsid w:val="00BB1784"/>
    <w:rsid w:val="00BB1AE9"/>
    <w:rsid w:val="00BB2C74"/>
    <w:rsid w:val="00BB32CE"/>
    <w:rsid w:val="00BB40E3"/>
    <w:rsid w:val="00BB425C"/>
    <w:rsid w:val="00BB7A83"/>
    <w:rsid w:val="00BC060A"/>
    <w:rsid w:val="00BC0F7B"/>
    <w:rsid w:val="00BC1AF6"/>
    <w:rsid w:val="00BC1BC6"/>
    <w:rsid w:val="00BC1C96"/>
    <w:rsid w:val="00BC1D8F"/>
    <w:rsid w:val="00BC1E0F"/>
    <w:rsid w:val="00BC1F39"/>
    <w:rsid w:val="00BC2021"/>
    <w:rsid w:val="00BC2287"/>
    <w:rsid w:val="00BC32E7"/>
    <w:rsid w:val="00BC3453"/>
    <w:rsid w:val="00BC3762"/>
    <w:rsid w:val="00BC4AD8"/>
    <w:rsid w:val="00BC568F"/>
    <w:rsid w:val="00BC65BA"/>
    <w:rsid w:val="00BD008B"/>
    <w:rsid w:val="00BD0B11"/>
    <w:rsid w:val="00BD128A"/>
    <w:rsid w:val="00BD12E0"/>
    <w:rsid w:val="00BD1373"/>
    <w:rsid w:val="00BD14CB"/>
    <w:rsid w:val="00BD1994"/>
    <w:rsid w:val="00BD1B0D"/>
    <w:rsid w:val="00BD20A3"/>
    <w:rsid w:val="00BD33AF"/>
    <w:rsid w:val="00BD350A"/>
    <w:rsid w:val="00BD3EB1"/>
    <w:rsid w:val="00BD4168"/>
    <w:rsid w:val="00BD6537"/>
    <w:rsid w:val="00BD71D9"/>
    <w:rsid w:val="00BD7D5F"/>
    <w:rsid w:val="00BD7F3E"/>
    <w:rsid w:val="00BE1214"/>
    <w:rsid w:val="00BE1A9B"/>
    <w:rsid w:val="00BE2360"/>
    <w:rsid w:val="00BE298A"/>
    <w:rsid w:val="00BE2BBA"/>
    <w:rsid w:val="00BE35EF"/>
    <w:rsid w:val="00BE3CFE"/>
    <w:rsid w:val="00BE5130"/>
    <w:rsid w:val="00BE6638"/>
    <w:rsid w:val="00BE6A6B"/>
    <w:rsid w:val="00BF0742"/>
    <w:rsid w:val="00BF0EAC"/>
    <w:rsid w:val="00BF1496"/>
    <w:rsid w:val="00BF1D09"/>
    <w:rsid w:val="00BF22C6"/>
    <w:rsid w:val="00BF3381"/>
    <w:rsid w:val="00BF3593"/>
    <w:rsid w:val="00BF35BA"/>
    <w:rsid w:val="00BF4042"/>
    <w:rsid w:val="00BF7B47"/>
    <w:rsid w:val="00C013EF"/>
    <w:rsid w:val="00C02CD8"/>
    <w:rsid w:val="00C032BD"/>
    <w:rsid w:val="00C04CF9"/>
    <w:rsid w:val="00C05852"/>
    <w:rsid w:val="00C073EB"/>
    <w:rsid w:val="00C1049C"/>
    <w:rsid w:val="00C122C3"/>
    <w:rsid w:val="00C129C5"/>
    <w:rsid w:val="00C12B8A"/>
    <w:rsid w:val="00C12C1A"/>
    <w:rsid w:val="00C12CE6"/>
    <w:rsid w:val="00C1505C"/>
    <w:rsid w:val="00C15A79"/>
    <w:rsid w:val="00C17C93"/>
    <w:rsid w:val="00C17FC4"/>
    <w:rsid w:val="00C21360"/>
    <w:rsid w:val="00C21A7D"/>
    <w:rsid w:val="00C22E0F"/>
    <w:rsid w:val="00C236F9"/>
    <w:rsid w:val="00C24A6A"/>
    <w:rsid w:val="00C27ECE"/>
    <w:rsid w:val="00C3009D"/>
    <w:rsid w:val="00C30187"/>
    <w:rsid w:val="00C3095F"/>
    <w:rsid w:val="00C309FC"/>
    <w:rsid w:val="00C31508"/>
    <w:rsid w:val="00C324E8"/>
    <w:rsid w:val="00C32D05"/>
    <w:rsid w:val="00C336FB"/>
    <w:rsid w:val="00C33BE1"/>
    <w:rsid w:val="00C3417C"/>
    <w:rsid w:val="00C3641D"/>
    <w:rsid w:val="00C36C00"/>
    <w:rsid w:val="00C37290"/>
    <w:rsid w:val="00C37711"/>
    <w:rsid w:val="00C4025E"/>
    <w:rsid w:val="00C40E95"/>
    <w:rsid w:val="00C40EDD"/>
    <w:rsid w:val="00C40FCE"/>
    <w:rsid w:val="00C41495"/>
    <w:rsid w:val="00C41D3B"/>
    <w:rsid w:val="00C42AC1"/>
    <w:rsid w:val="00C444D5"/>
    <w:rsid w:val="00C44722"/>
    <w:rsid w:val="00C44AE1"/>
    <w:rsid w:val="00C44CA6"/>
    <w:rsid w:val="00C466B3"/>
    <w:rsid w:val="00C46E14"/>
    <w:rsid w:val="00C473CD"/>
    <w:rsid w:val="00C5194F"/>
    <w:rsid w:val="00C51CCE"/>
    <w:rsid w:val="00C51DE5"/>
    <w:rsid w:val="00C52C15"/>
    <w:rsid w:val="00C52F87"/>
    <w:rsid w:val="00C53694"/>
    <w:rsid w:val="00C55171"/>
    <w:rsid w:val="00C5635A"/>
    <w:rsid w:val="00C56BEE"/>
    <w:rsid w:val="00C5721D"/>
    <w:rsid w:val="00C57B90"/>
    <w:rsid w:val="00C6014D"/>
    <w:rsid w:val="00C609FE"/>
    <w:rsid w:val="00C60E5E"/>
    <w:rsid w:val="00C62A4B"/>
    <w:rsid w:val="00C630AC"/>
    <w:rsid w:val="00C630EB"/>
    <w:rsid w:val="00C65DC3"/>
    <w:rsid w:val="00C65EB2"/>
    <w:rsid w:val="00C65EE6"/>
    <w:rsid w:val="00C6683F"/>
    <w:rsid w:val="00C66ED9"/>
    <w:rsid w:val="00C67734"/>
    <w:rsid w:val="00C67973"/>
    <w:rsid w:val="00C70644"/>
    <w:rsid w:val="00C70C5B"/>
    <w:rsid w:val="00C713B7"/>
    <w:rsid w:val="00C723DC"/>
    <w:rsid w:val="00C726A9"/>
    <w:rsid w:val="00C72C94"/>
    <w:rsid w:val="00C7305E"/>
    <w:rsid w:val="00C741B9"/>
    <w:rsid w:val="00C74277"/>
    <w:rsid w:val="00C747D2"/>
    <w:rsid w:val="00C74D0B"/>
    <w:rsid w:val="00C75457"/>
    <w:rsid w:val="00C7720A"/>
    <w:rsid w:val="00C776BE"/>
    <w:rsid w:val="00C77789"/>
    <w:rsid w:val="00C800EA"/>
    <w:rsid w:val="00C81555"/>
    <w:rsid w:val="00C8204C"/>
    <w:rsid w:val="00C82894"/>
    <w:rsid w:val="00C85177"/>
    <w:rsid w:val="00C85BAD"/>
    <w:rsid w:val="00C85F07"/>
    <w:rsid w:val="00C85F43"/>
    <w:rsid w:val="00C86C3B"/>
    <w:rsid w:val="00C87012"/>
    <w:rsid w:val="00C87147"/>
    <w:rsid w:val="00C908D0"/>
    <w:rsid w:val="00C91ED7"/>
    <w:rsid w:val="00C92D49"/>
    <w:rsid w:val="00C92F14"/>
    <w:rsid w:val="00C94210"/>
    <w:rsid w:val="00C9466E"/>
    <w:rsid w:val="00C94B7B"/>
    <w:rsid w:val="00C951E6"/>
    <w:rsid w:val="00C95232"/>
    <w:rsid w:val="00C96772"/>
    <w:rsid w:val="00CA01A3"/>
    <w:rsid w:val="00CA0CF4"/>
    <w:rsid w:val="00CA0DC3"/>
    <w:rsid w:val="00CA1B19"/>
    <w:rsid w:val="00CA3020"/>
    <w:rsid w:val="00CA3ED6"/>
    <w:rsid w:val="00CA4E3E"/>
    <w:rsid w:val="00CA5AD4"/>
    <w:rsid w:val="00CA617B"/>
    <w:rsid w:val="00CA7696"/>
    <w:rsid w:val="00CA793F"/>
    <w:rsid w:val="00CA7C75"/>
    <w:rsid w:val="00CB04BA"/>
    <w:rsid w:val="00CB092B"/>
    <w:rsid w:val="00CB21C8"/>
    <w:rsid w:val="00CB29B2"/>
    <w:rsid w:val="00CB6144"/>
    <w:rsid w:val="00CB6214"/>
    <w:rsid w:val="00CB6898"/>
    <w:rsid w:val="00CB76B5"/>
    <w:rsid w:val="00CC0D4F"/>
    <w:rsid w:val="00CC0D5D"/>
    <w:rsid w:val="00CC0E1E"/>
    <w:rsid w:val="00CC1DF0"/>
    <w:rsid w:val="00CC1FA5"/>
    <w:rsid w:val="00CC24ED"/>
    <w:rsid w:val="00CC2CB4"/>
    <w:rsid w:val="00CC363D"/>
    <w:rsid w:val="00CC369F"/>
    <w:rsid w:val="00CC44A7"/>
    <w:rsid w:val="00CC4AB2"/>
    <w:rsid w:val="00CC4D13"/>
    <w:rsid w:val="00CC4E5A"/>
    <w:rsid w:val="00CC6203"/>
    <w:rsid w:val="00CC7339"/>
    <w:rsid w:val="00CC74CA"/>
    <w:rsid w:val="00CC7C06"/>
    <w:rsid w:val="00CD0A2D"/>
    <w:rsid w:val="00CD10A1"/>
    <w:rsid w:val="00CD1F6C"/>
    <w:rsid w:val="00CD2FBE"/>
    <w:rsid w:val="00CD464C"/>
    <w:rsid w:val="00CD6A26"/>
    <w:rsid w:val="00CD7B70"/>
    <w:rsid w:val="00CE08FC"/>
    <w:rsid w:val="00CE09A9"/>
    <w:rsid w:val="00CE1254"/>
    <w:rsid w:val="00CE206B"/>
    <w:rsid w:val="00CE227A"/>
    <w:rsid w:val="00CE23B9"/>
    <w:rsid w:val="00CE343A"/>
    <w:rsid w:val="00CE3E15"/>
    <w:rsid w:val="00CE4536"/>
    <w:rsid w:val="00CE4C9F"/>
    <w:rsid w:val="00CE54F5"/>
    <w:rsid w:val="00CE6F84"/>
    <w:rsid w:val="00CE75BB"/>
    <w:rsid w:val="00CF2895"/>
    <w:rsid w:val="00CF309F"/>
    <w:rsid w:val="00CF3670"/>
    <w:rsid w:val="00CF508F"/>
    <w:rsid w:val="00CF7CFA"/>
    <w:rsid w:val="00D00601"/>
    <w:rsid w:val="00D039AE"/>
    <w:rsid w:val="00D05E45"/>
    <w:rsid w:val="00D05F7A"/>
    <w:rsid w:val="00D07094"/>
    <w:rsid w:val="00D076B0"/>
    <w:rsid w:val="00D10703"/>
    <w:rsid w:val="00D1090D"/>
    <w:rsid w:val="00D11636"/>
    <w:rsid w:val="00D13CAB"/>
    <w:rsid w:val="00D13FD4"/>
    <w:rsid w:val="00D14181"/>
    <w:rsid w:val="00D14295"/>
    <w:rsid w:val="00D1685C"/>
    <w:rsid w:val="00D203F2"/>
    <w:rsid w:val="00D21B29"/>
    <w:rsid w:val="00D22203"/>
    <w:rsid w:val="00D24D70"/>
    <w:rsid w:val="00D2513B"/>
    <w:rsid w:val="00D25EFC"/>
    <w:rsid w:val="00D26F78"/>
    <w:rsid w:val="00D27B75"/>
    <w:rsid w:val="00D3192B"/>
    <w:rsid w:val="00D31F91"/>
    <w:rsid w:val="00D3326A"/>
    <w:rsid w:val="00D349FC"/>
    <w:rsid w:val="00D3584F"/>
    <w:rsid w:val="00D35E8F"/>
    <w:rsid w:val="00D36210"/>
    <w:rsid w:val="00D364E5"/>
    <w:rsid w:val="00D36B27"/>
    <w:rsid w:val="00D370CD"/>
    <w:rsid w:val="00D40067"/>
    <w:rsid w:val="00D4065C"/>
    <w:rsid w:val="00D411BA"/>
    <w:rsid w:val="00D42C7C"/>
    <w:rsid w:val="00D42D47"/>
    <w:rsid w:val="00D42DC0"/>
    <w:rsid w:val="00D434B0"/>
    <w:rsid w:val="00D441D2"/>
    <w:rsid w:val="00D44FD1"/>
    <w:rsid w:val="00D459BD"/>
    <w:rsid w:val="00D464B3"/>
    <w:rsid w:val="00D465C2"/>
    <w:rsid w:val="00D47BA8"/>
    <w:rsid w:val="00D5131D"/>
    <w:rsid w:val="00D51973"/>
    <w:rsid w:val="00D52230"/>
    <w:rsid w:val="00D53E19"/>
    <w:rsid w:val="00D54DFF"/>
    <w:rsid w:val="00D54FC6"/>
    <w:rsid w:val="00D55FF4"/>
    <w:rsid w:val="00D56DEE"/>
    <w:rsid w:val="00D56F01"/>
    <w:rsid w:val="00D571C9"/>
    <w:rsid w:val="00D5795B"/>
    <w:rsid w:val="00D6042B"/>
    <w:rsid w:val="00D60C59"/>
    <w:rsid w:val="00D61021"/>
    <w:rsid w:val="00D6136E"/>
    <w:rsid w:val="00D615BB"/>
    <w:rsid w:val="00D62033"/>
    <w:rsid w:val="00D6423B"/>
    <w:rsid w:val="00D66AB1"/>
    <w:rsid w:val="00D66B25"/>
    <w:rsid w:val="00D66B31"/>
    <w:rsid w:val="00D66B4E"/>
    <w:rsid w:val="00D66F22"/>
    <w:rsid w:val="00D67121"/>
    <w:rsid w:val="00D70335"/>
    <w:rsid w:val="00D7110C"/>
    <w:rsid w:val="00D71546"/>
    <w:rsid w:val="00D72304"/>
    <w:rsid w:val="00D77208"/>
    <w:rsid w:val="00D77B0C"/>
    <w:rsid w:val="00D80360"/>
    <w:rsid w:val="00D80A4D"/>
    <w:rsid w:val="00D83700"/>
    <w:rsid w:val="00D83DFD"/>
    <w:rsid w:val="00D84456"/>
    <w:rsid w:val="00D856D7"/>
    <w:rsid w:val="00D86FA6"/>
    <w:rsid w:val="00D870CA"/>
    <w:rsid w:val="00D87282"/>
    <w:rsid w:val="00D8731D"/>
    <w:rsid w:val="00D87A8B"/>
    <w:rsid w:val="00D90711"/>
    <w:rsid w:val="00D91448"/>
    <w:rsid w:val="00D9178A"/>
    <w:rsid w:val="00D91EA7"/>
    <w:rsid w:val="00D91F22"/>
    <w:rsid w:val="00D92150"/>
    <w:rsid w:val="00D92416"/>
    <w:rsid w:val="00D93512"/>
    <w:rsid w:val="00D94993"/>
    <w:rsid w:val="00D950A1"/>
    <w:rsid w:val="00D955D2"/>
    <w:rsid w:val="00D96BEB"/>
    <w:rsid w:val="00D96CC7"/>
    <w:rsid w:val="00D96F1A"/>
    <w:rsid w:val="00D97A5D"/>
    <w:rsid w:val="00DA000A"/>
    <w:rsid w:val="00DA06FC"/>
    <w:rsid w:val="00DA1244"/>
    <w:rsid w:val="00DA1D00"/>
    <w:rsid w:val="00DA252E"/>
    <w:rsid w:val="00DA457C"/>
    <w:rsid w:val="00DA50CD"/>
    <w:rsid w:val="00DA6516"/>
    <w:rsid w:val="00DA67EA"/>
    <w:rsid w:val="00DA68E7"/>
    <w:rsid w:val="00DA7B3D"/>
    <w:rsid w:val="00DB0B0E"/>
    <w:rsid w:val="00DB0F3A"/>
    <w:rsid w:val="00DB0FD9"/>
    <w:rsid w:val="00DB28B2"/>
    <w:rsid w:val="00DB2C68"/>
    <w:rsid w:val="00DB34B3"/>
    <w:rsid w:val="00DB37CA"/>
    <w:rsid w:val="00DB392F"/>
    <w:rsid w:val="00DB41F9"/>
    <w:rsid w:val="00DB4D7B"/>
    <w:rsid w:val="00DB4DAE"/>
    <w:rsid w:val="00DB5047"/>
    <w:rsid w:val="00DB5812"/>
    <w:rsid w:val="00DB5D51"/>
    <w:rsid w:val="00DB5FEF"/>
    <w:rsid w:val="00DB62D9"/>
    <w:rsid w:val="00DB74CB"/>
    <w:rsid w:val="00DC07E6"/>
    <w:rsid w:val="00DC0F39"/>
    <w:rsid w:val="00DC0FD9"/>
    <w:rsid w:val="00DC100D"/>
    <w:rsid w:val="00DC145F"/>
    <w:rsid w:val="00DC24FB"/>
    <w:rsid w:val="00DC2DD6"/>
    <w:rsid w:val="00DC3197"/>
    <w:rsid w:val="00DC3368"/>
    <w:rsid w:val="00DC556F"/>
    <w:rsid w:val="00DD03F5"/>
    <w:rsid w:val="00DD084C"/>
    <w:rsid w:val="00DD18C4"/>
    <w:rsid w:val="00DD279B"/>
    <w:rsid w:val="00DD3F00"/>
    <w:rsid w:val="00DD6182"/>
    <w:rsid w:val="00DD6441"/>
    <w:rsid w:val="00DD6546"/>
    <w:rsid w:val="00DD6CA4"/>
    <w:rsid w:val="00DD7541"/>
    <w:rsid w:val="00DD764D"/>
    <w:rsid w:val="00DE05FF"/>
    <w:rsid w:val="00DE1757"/>
    <w:rsid w:val="00DE24E3"/>
    <w:rsid w:val="00DE2E5A"/>
    <w:rsid w:val="00DE37FC"/>
    <w:rsid w:val="00DE4727"/>
    <w:rsid w:val="00DE4984"/>
    <w:rsid w:val="00DE4EB1"/>
    <w:rsid w:val="00DE6413"/>
    <w:rsid w:val="00DE77B2"/>
    <w:rsid w:val="00DE7C7F"/>
    <w:rsid w:val="00DF0247"/>
    <w:rsid w:val="00DF0664"/>
    <w:rsid w:val="00DF0A11"/>
    <w:rsid w:val="00DF0C5F"/>
    <w:rsid w:val="00DF27E0"/>
    <w:rsid w:val="00DF34E5"/>
    <w:rsid w:val="00DF3E55"/>
    <w:rsid w:val="00DF3F7C"/>
    <w:rsid w:val="00DF44C0"/>
    <w:rsid w:val="00DF4DC3"/>
    <w:rsid w:val="00DF52EB"/>
    <w:rsid w:val="00DF5417"/>
    <w:rsid w:val="00DF541A"/>
    <w:rsid w:val="00DF5CB5"/>
    <w:rsid w:val="00DF5E8B"/>
    <w:rsid w:val="00DF66D6"/>
    <w:rsid w:val="00DF6985"/>
    <w:rsid w:val="00DF6D5B"/>
    <w:rsid w:val="00DF7640"/>
    <w:rsid w:val="00E00BCB"/>
    <w:rsid w:val="00E01911"/>
    <w:rsid w:val="00E03858"/>
    <w:rsid w:val="00E03BB8"/>
    <w:rsid w:val="00E05C59"/>
    <w:rsid w:val="00E06111"/>
    <w:rsid w:val="00E0680A"/>
    <w:rsid w:val="00E074DB"/>
    <w:rsid w:val="00E11B6B"/>
    <w:rsid w:val="00E12610"/>
    <w:rsid w:val="00E12B87"/>
    <w:rsid w:val="00E12CF6"/>
    <w:rsid w:val="00E12FDA"/>
    <w:rsid w:val="00E13310"/>
    <w:rsid w:val="00E13914"/>
    <w:rsid w:val="00E14DA1"/>
    <w:rsid w:val="00E15184"/>
    <w:rsid w:val="00E154C0"/>
    <w:rsid w:val="00E169E9"/>
    <w:rsid w:val="00E169F9"/>
    <w:rsid w:val="00E173BE"/>
    <w:rsid w:val="00E179BB"/>
    <w:rsid w:val="00E20341"/>
    <w:rsid w:val="00E20A74"/>
    <w:rsid w:val="00E20ADA"/>
    <w:rsid w:val="00E218F4"/>
    <w:rsid w:val="00E21C56"/>
    <w:rsid w:val="00E21FF5"/>
    <w:rsid w:val="00E22F09"/>
    <w:rsid w:val="00E23AA8"/>
    <w:rsid w:val="00E243EC"/>
    <w:rsid w:val="00E2452D"/>
    <w:rsid w:val="00E24E2A"/>
    <w:rsid w:val="00E25D1C"/>
    <w:rsid w:val="00E32527"/>
    <w:rsid w:val="00E32579"/>
    <w:rsid w:val="00E338FD"/>
    <w:rsid w:val="00E34430"/>
    <w:rsid w:val="00E34F63"/>
    <w:rsid w:val="00E35397"/>
    <w:rsid w:val="00E35568"/>
    <w:rsid w:val="00E3662E"/>
    <w:rsid w:val="00E36ED6"/>
    <w:rsid w:val="00E40862"/>
    <w:rsid w:val="00E40984"/>
    <w:rsid w:val="00E418B8"/>
    <w:rsid w:val="00E4296F"/>
    <w:rsid w:val="00E42BA1"/>
    <w:rsid w:val="00E43672"/>
    <w:rsid w:val="00E43BCD"/>
    <w:rsid w:val="00E43CC1"/>
    <w:rsid w:val="00E44F5D"/>
    <w:rsid w:val="00E4566C"/>
    <w:rsid w:val="00E457DA"/>
    <w:rsid w:val="00E45FD7"/>
    <w:rsid w:val="00E50181"/>
    <w:rsid w:val="00E51A17"/>
    <w:rsid w:val="00E52A02"/>
    <w:rsid w:val="00E52C99"/>
    <w:rsid w:val="00E53BFD"/>
    <w:rsid w:val="00E53F5E"/>
    <w:rsid w:val="00E53F98"/>
    <w:rsid w:val="00E54CF5"/>
    <w:rsid w:val="00E54D08"/>
    <w:rsid w:val="00E54F8D"/>
    <w:rsid w:val="00E55247"/>
    <w:rsid w:val="00E5533E"/>
    <w:rsid w:val="00E55F98"/>
    <w:rsid w:val="00E56F97"/>
    <w:rsid w:val="00E6018A"/>
    <w:rsid w:val="00E6030B"/>
    <w:rsid w:val="00E610E4"/>
    <w:rsid w:val="00E61645"/>
    <w:rsid w:val="00E621BB"/>
    <w:rsid w:val="00E623E9"/>
    <w:rsid w:val="00E62763"/>
    <w:rsid w:val="00E62D88"/>
    <w:rsid w:val="00E63531"/>
    <w:rsid w:val="00E655C3"/>
    <w:rsid w:val="00E65DC7"/>
    <w:rsid w:val="00E66681"/>
    <w:rsid w:val="00E66B79"/>
    <w:rsid w:val="00E67D0C"/>
    <w:rsid w:val="00E70C87"/>
    <w:rsid w:val="00E7131C"/>
    <w:rsid w:val="00E74E5D"/>
    <w:rsid w:val="00E75114"/>
    <w:rsid w:val="00E7529A"/>
    <w:rsid w:val="00E774E7"/>
    <w:rsid w:val="00E77665"/>
    <w:rsid w:val="00E77BF6"/>
    <w:rsid w:val="00E77D7E"/>
    <w:rsid w:val="00E80396"/>
    <w:rsid w:val="00E80F95"/>
    <w:rsid w:val="00E8182B"/>
    <w:rsid w:val="00E824F8"/>
    <w:rsid w:val="00E843E2"/>
    <w:rsid w:val="00E84CAA"/>
    <w:rsid w:val="00E85C4F"/>
    <w:rsid w:val="00E86D09"/>
    <w:rsid w:val="00E874BC"/>
    <w:rsid w:val="00E87BE2"/>
    <w:rsid w:val="00E904A2"/>
    <w:rsid w:val="00E90584"/>
    <w:rsid w:val="00E90620"/>
    <w:rsid w:val="00E90723"/>
    <w:rsid w:val="00E9080B"/>
    <w:rsid w:val="00E90AE3"/>
    <w:rsid w:val="00E91E66"/>
    <w:rsid w:val="00E92076"/>
    <w:rsid w:val="00E925F4"/>
    <w:rsid w:val="00E931C3"/>
    <w:rsid w:val="00E93E05"/>
    <w:rsid w:val="00E94068"/>
    <w:rsid w:val="00E94142"/>
    <w:rsid w:val="00E9421A"/>
    <w:rsid w:val="00E9696E"/>
    <w:rsid w:val="00E97AFF"/>
    <w:rsid w:val="00E97F4A"/>
    <w:rsid w:val="00E97FBB"/>
    <w:rsid w:val="00EA0662"/>
    <w:rsid w:val="00EA08DE"/>
    <w:rsid w:val="00EA0FE3"/>
    <w:rsid w:val="00EA10CD"/>
    <w:rsid w:val="00EA1745"/>
    <w:rsid w:val="00EA225A"/>
    <w:rsid w:val="00EA22A3"/>
    <w:rsid w:val="00EA2939"/>
    <w:rsid w:val="00EA2FB1"/>
    <w:rsid w:val="00EA3492"/>
    <w:rsid w:val="00EA35B9"/>
    <w:rsid w:val="00EA54DF"/>
    <w:rsid w:val="00EA5E40"/>
    <w:rsid w:val="00EA66CF"/>
    <w:rsid w:val="00EA6C71"/>
    <w:rsid w:val="00EB1275"/>
    <w:rsid w:val="00EB147F"/>
    <w:rsid w:val="00EB2F04"/>
    <w:rsid w:val="00EB36DD"/>
    <w:rsid w:val="00EB37A1"/>
    <w:rsid w:val="00EB443B"/>
    <w:rsid w:val="00EB4DAF"/>
    <w:rsid w:val="00EB4FA1"/>
    <w:rsid w:val="00EB5EB4"/>
    <w:rsid w:val="00EB68B1"/>
    <w:rsid w:val="00EB6E31"/>
    <w:rsid w:val="00EC03DE"/>
    <w:rsid w:val="00EC12E3"/>
    <w:rsid w:val="00EC2318"/>
    <w:rsid w:val="00EC2FF7"/>
    <w:rsid w:val="00EC411E"/>
    <w:rsid w:val="00EC4CF7"/>
    <w:rsid w:val="00EC4E15"/>
    <w:rsid w:val="00EC50CA"/>
    <w:rsid w:val="00EC5162"/>
    <w:rsid w:val="00EC5568"/>
    <w:rsid w:val="00EC6335"/>
    <w:rsid w:val="00EC77FD"/>
    <w:rsid w:val="00EC7807"/>
    <w:rsid w:val="00EC7B64"/>
    <w:rsid w:val="00ED0436"/>
    <w:rsid w:val="00ED0839"/>
    <w:rsid w:val="00ED15DD"/>
    <w:rsid w:val="00ED1B6D"/>
    <w:rsid w:val="00ED22C4"/>
    <w:rsid w:val="00ED32A5"/>
    <w:rsid w:val="00ED369A"/>
    <w:rsid w:val="00ED37A6"/>
    <w:rsid w:val="00ED3E57"/>
    <w:rsid w:val="00ED3E7E"/>
    <w:rsid w:val="00ED4DA6"/>
    <w:rsid w:val="00ED521B"/>
    <w:rsid w:val="00ED5EA3"/>
    <w:rsid w:val="00ED6AC6"/>
    <w:rsid w:val="00ED6EC0"/>
    <w:rsid w:val="00ED7694"/>
    <w:rsid w:val="00EE1444"/>
    <w:rsid w:val="00EE14E9"/>
    <w:rsid w:val="00EE1CD4"/>
    <w:rsid w:val="00EE1F62"/>
    <w:rsid w:val="00EE35DC"/>
    <w:rsid w:val="00EE369C"/>
    <w:rsid w:val="00EE3FA1"/>
    <w:rsid w:val="00EE43F3"/>
    <w:rsid w:val="00EE49CA"/>
    <w:rsid w:val="00EE4C89"/>
    <w:rsid w:val="00EE4D23"/>
    <w:rsid w:val="00EE513B"/>
    <w:rsid w:val="00EE633E"/>
    <w:rsid w:val="00EE673A"/>
    <w:rsid w:val="00EE6CE6"/>
    <w:rsid w:val="00EE72D4"/>
    <w:rsid w:val="00EE77CC"/>
    <w:rsid w:val="00EE7C6D"/>
    <w:rsid w:val="00EF0B98"/>
    <w:rsid w:val="00EF2459"/>
    <w:rsid w:val="00EF2574"/>
    <w:rsid w:val="00EF43A5"/>
    <w:rsid w:val="00F0005D"/>
    <w:rsid w:val="00F019B7"/>
    <w:rsid w:val="00F01FC7"/>
    <w:rsid w:val="00F02B3F"/>
    <w:rsid w:val="00F02C8C"/>
    <w:rsid w:val="00F03811"/>
    <w:rsid w:val="00F03BD9"/>
    <w:rsid w:val="00F03E52"/>
    <w:rsid w:val="00F05029"/>
    <w:rsid w:val="00F0519F"/>
    <w:rsid w:val="00F06054"/>
    <w:rsid w:val="00F06B31"/>
    <w:rsid w:val="00F0796C"/>
    <w:rsid w:val="00F1079E"/>
    <w:rsid w:val="00F1087E"/>
    <w:rsid w:val="00F112A7"/>
    <w:rsid w:val="00F1201A"/>
    <w:rsid w:val="00F12184"/>
    <w:rsid w:val="00F12636"/>
    <w:rsid w:val="00F12898"/>
    <w:rsid w:val="00F12D72"/>
    <w:rsid w:val="00F13361"/>
    <w:rsid w:val="00F13910"/>
    <w:rsid w:val="00F13973"/>
    <w:rsid w:val="00F21D20"/>
    <w:rsid w:val="00F23F12"/>
    <w:rsid w:val="00F23FFA"/>
    <w:rsid w:val="00F24139"/>
    <w:rsid w:val="00F247CC"/>
    <w:rsid w:val="00F24E9F"/>
    <w:rsid w:val="00F31304"/>
    <w:rsid w:val="00F31F5E"/>
    <w:rsid w:val="00F32DE5"/>
    <w:rsid w:val="00F330DD"/>
    <w:rsid w:val="00F33221"/>
    <w:rsid w:val="00F341A6"/>
    <w:rsid w:val="00F360C0"/>
    <w:rsid w:val="00F360C7"/>
    <w:rsid w:val="00F435B2"/>
    <w:rsid w:val="00F43928"/>
    <w:rsid w:val="00F43AC9"/>
    <w:rsid w:val="00F43D42"/>
    <w:rsid w:val="00F444E1"/>
    <w:rsid w:val="00F44CAB"/>
    <w:rsid w:val="00F45168"/>
    <w:rsid w:val="00F452B7"/>
    <w:rsid w:val="00F4625F"/>
    <w:rsid w:val="00F466B9"/>
    <w:rsid w:val="00F4679B"/>
    <w:rsid w:val="00F46E40"/>
    <w:rsid w:val="00F47CDE"/>
    <w:rsid w:val="00F50380"/>
    <w:rsid w:val="00F50A1B"/>
    <w:rsid w:val="00F50AA6"/>
    <w:rsid w:val="00F50CAA"/>
    <w:rsid w:val="00F50E75"/>
    <w:rsid w:val="00F51B89"/>
    <w:rsid w:val="00F51D05"/>
    <w:rsid w:val="00F52995"/>
    <w:rsid w:val="00F52CAD"/>
    <w:rsid w:val="00F5357F"/>
    <w:rsid w:val="00F536BD"/>
    <w:rsid w:val="00F540B7"/>
    <w:rsid w:val="00F54652"/>
    <w:rsid w:val="00F54B16"/>
    <w:rsid w:val="00F55C05"/>
    <w:rsid w:val="00F56AEC"/>
    <w:rsid w:val="00F600C7"/>
    <w:rsid w:val="00F608EE"/>
    <w:rsid w:val="00F60B6F"/>
    <w:rsid w:val="00F62F86"/>
    <w:rsid w:val="00F63322"/>
    <w:rsid w:val="00F645BD"/>
    <w:rsid w:val="00F64C9C"/>
    <w:rsid w:val="00F66381"/>
    <w:rsid w:val="00F665A8"/>
    <w:rsid w:val="00F6747F"/>
    <w:rsid w:val="00F67613"/>
    <w:rsid w:val="00F679AE"/>
    <w:rsid w:val="00F67F0A"/>
    <w:rsid w:val="00F70660"/>
    <w:rsid w:val="00F70CE7"/>
    <w:rsid w:val="00F70F57"/>
    <w:rsid w:val="00F71406"/>
    <w:rsid w:val="00F716A1"/>
    <w:rsid w:val="00F724BC"/>
    <w:rsid w:val="00F7284A"/>
    <w:rsid w:val="00F728A1"/>
    <w:rsid w:val="00F72A6A"/>
    <w:rsid w:val="00F72BDC"/>
    <w:rsid w:val="00F72F04"/>
    <w:rsid w:val="00F737B8"/>
    <w:rsid w:val="00F7389C"/>
    <w:rsid w:val="00F73967"/>
    <w:rsid w:val="00F73D31"/>
    <w:rsid w:val="00F75B84"/>
    <w:rsid w:val="00F768E7"/>
    <w:rsid w:val="00F77376"/>
    <w:rsid w:val="00F77590"/>
    <w:rsid w:val="00F77FBE"/>
    <w:rsid w:val="00F8245E"/>
    <w:rsid w:val="00F82AD3"/>
    <w:rsid w:val="00F84903"/>
    <w:rsid w:val="00F86A62"/>
    <w:rsid w:val="00F877C3"/>
    <w:rsid w:val="00F90219"/>
    <w:rsid w:val="00F90A02"/>
    <w:rsid w:val="00F90A3A"/>
    <w:rsid w:val="00F90BD1"/>
    <w:rsid w:val="00F90CFE"/>
    <w:rsid w:val="00F913E7"/>
    <w:rsid w:val="00F918EA"/>
    <w:rsid w:val="00F91C0C"/>
    <w:rsid w:val="00F91D91"/>
    <w:rsid w:val="00F92DF9"/>
    <w:rsid w:val="00F93643"/>
    <w:rsid w:val="00F93DED"/>
    <w:rsid w:val="00F949B8"/>
    <w:rsid w:val="00F94AE6"/>
    <w:rsid w:val="00F953E1"/>
    <w:rsid w:val="00F95468"/>
    <w:rsid w:val="00F9572C"/>
    <w:rsid w:val="00F95966"/>
    <w:rsid w:val="00F960C8"/>
    <w:rsid w:val="00F97958"/>
    <w:rsid w:val="00FA00A4"/>
    <w:rsid w:val="00FA0284"/>
    <w:rsid w:val="00FA0A51"/>
    <w:rsid w:val="00FA0D83"/>
    <w:rsid w:val="00FA1867"/>
    <w:rsid w:val="00FA2ED7"/>
    <w:rsid w:val="00FA3A81"/>
    <w:rsid w:val="00FA4F3D"/>
    <w:rsid w:val="00FA5F35"/>
    <w:rsid w:val="00FA786D"/>
    <w:rsid w:val="00FA7E5D"/>
    <w:rsid w:val="00FB17CF"/>
    <w:rsid w:val="00FB1AE4"/>
    <w:rsid w:val="00FB2B45"/>
    <w:rsid w:val="00FB394E"/>
    <w:rsid w:val="00FB4063"/>
    <w:rsid w:val="00FB622F"/>
    <w:rsid w:val="00FB6846"/>
    <w:rsid w:val="00FB6F37"/>
    <w:rsid w:val="00FC0BA9"/>
    <w:rsid w:val="00FC2C33"/>
    <w:rsid w:val="00FC3A46"/>
    <w:rsid w:val="00FC4D84"/>
    <w:rsid w:val="00FC52BF"/>
    <w:rsid w:val="00FC53E1"/>
    <w:rsid w:val="00FC5E0D"/>
    <w:rsid w:val="00FC6E52"/>
    <w:rsid w:val="00FC7150"/>
    <w:rsid w:val="00FD0172"/>
    <w:rsid w:val="00FD0352"/>
    <w:rsid w:val="00FD2564"/>
    <w:rsid w:val="00FD3A62"/>
    <w:rsid w:val="00FD52C3"/>
    <w:rsid w:val="00FD6A50"/>
    <w:rsid w:val="00FD6CED"/>
    <w:rsid w:val="00FD6D9F"/>
    <w:rsid w:val="00FD72D0"/>
    <w:rsid w:val="00FD7DB6"/>
    <w:rsid w:val="00FE25C4"/>
    <w:rsid w:val="00FE2E9D"/>
    <w:rsid w:val="00FE4CCE"/>
    <w:rsid w:val="00FE6408"/>
    <w:rsid w:val="00FE6444"/>
    <w:rsid w:val="00FE6840"/>
    <w:rsid w:val="00FE705D"/>
    <w:rsid w:val="00FF1D31"/>
    <w:rsid w:val="00FF2386"/>
    <w:rsid w:val="00FF26DE"/>
    <w:rsid w:val="00FF3632"/>
    <w:rsid w:val="00FF409A"/>
    <w:rsid w:val="00FF6997"/>
    <w:rsid w:val="00FF69E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F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5DC"/>
    <w:pPr>
      <w:spacing w:after="0" w:line="24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7D02C0"/>
    <w:pPr>
      <w:keepNext/>
      <w:keepLines/>
      <w:numPr>
        <w:numId w:val="4"/>
      </w:numPr>
      <w:spacing w:before="280"/>
      <w:ind w:left="284" w:hanging="284"/>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7D02C0"/>
    <w:pPr>
      <w:keepNext/>
      <w:keepLines/>
      <w:numPr>
        <w:ilvl w:val="1"/>
        <w:numId w:val="4"/>
      </w:numPr>
      <w:spacing w:before="280"/>
      <w:ind w:left="426" w:hanging="426"/>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056E1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056E1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056E1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056E1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056E1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056E14"/>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056E14"/>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nhideWhenUsed/>
    <w:rsid w:val="007B4EFD"/>
    <w:rPr>
      <w:color w:val="0000FF"/>
      <w:u w:val="single"/>
    </w:rPr>
  </w:style>
  <w:style w:type="paragraph" w:styleId="Textodenotadefim">
    <w:name w:val="endnote text"/>
    <w:basedOn w:val="Normal"/>
    <w:link w:val="TextodenotadefimChar"/>
    <w:uiPriority w:val="99"/>
    <w:unhideWhenUsed/>
    <w:rsid w:val="00042185"/>
    <w:rPr>
      <w:sz w:val="20"/>
      <w:szCs w:val="20"/>
    </w:rPr>
  </w:style>
  <w:style w:type="character" w:customStyle="1" w:styleId="TextodenotadefimChar">
    <w:name w:val="Texto de nota de fim Char"/>
    <w:basedOn w:val="Fontepargpadro"/>
    <w:link w:val="Textodenotadefim"/>
    <w:uiPriority w:val="99"/>
    <w:rsid w:val="00042185"/>
    <w:rPr>
      <w:rFonts w:ascii="Times New Roman" w:hAnsi="Times New Roman"/>
      <w:sz w:val="20"/>
      <w:szCs w:val="20"/>
    </w:rPr>
  </w:style>
  <w:style w:type="character" w:styleId="Refdenotadefim">
    <w:name w:val="endnote reference"/>
    <w:basedOn w:val="Fontepargpadro"/>
    <w:uiPriority w:val="99"/>
    <w:semiHidden/>
    <w:unhideWhenUsed/>
    <w:rsid w:val="00042185"/>
    <w:rPr>
      <w:vertAlign w:val="superscript"/>
    </w:rPr>
  </w:style>
  <w:style w:type="table" w:styleId="Tabelacomgrade">
    <w:name w:val="Table Grid"/>
    <w:basedOn w:val="Tabelanormal"/>
    <w:uiPriority w:val="59"/>
    <w:rsid w:val="006E4AE2"/>
    <w:pPr>
      <w:spacing w:after="0" w:line="240" w:lineRule="auto"/>
    </w:pPr>
    <w:tblPr>
      <w:tblBorders>
        <w:top w:val="single" w:sz="12" w:space="0" w:color="auto"/>
        <w:bottom w:val="single" w:sz="12" w:space="0" w:color="auto"/>
        <w:insideH w:val="single" w:sz="2" w:space="0" w:color="auto"/>
      </w:tblBorders>
    </w:tblPr>
  </w:style>
  <w:style w:type="paragraph" w:styleId="Legenda">
    <w:name w:val="caption"/>
    <w:next w:val="Normal"/>
    <w:uiPriority w:val="35"/>
    <w:unhideWhenUsed/>
    <w:qFormat/>
    <w:rsid w:val="00961E13"/>
    <w:pPr>
      <w:spacing w:before="280" w:after="0" w:line="240" w:lineRule="auto"/>
      <w:jc w:val="both"/>
    </w:pPr>
    <w:rPr>
      <w:rFonts w:ascii="Times New Roman" w:hAnsi="Times New Roman"/>
      <w:b/>
      <w:bCs/>
      <w:sz w:val="20"/>
      <w:szCs w:val="18"/>
    </w:rPr>
  </w:style>
  <w:style w:type="paragraph" w:styleId="Cabealho">
    <w:name w:val="header"/>
    <w:basedOn w:val="Normal"/>
    <w:link w:val="CabealhoChar"/>
    <w:uiPriority w:val="99"/>
    <w:unhideWhenUsed/>
    <w:rsid w:val="00276A78"/>
    <w:pPr>
      <w:tabs>
        <w:tab w:val="center" w:pos="4252"/>
        <w:tab w:val="right" w:pos="8504"/>
      </w:tabs>
    </w:pPr>
  </w:style>
  <w:style w:type="character" w:customStyle="1" w:styleId="CabealhoChar">
    <w:name w:val="Cabeçalho Char"/>
    <w:basedOn w:val="Fontepargpadro"/>
    <w:link w:val="Cabealho"/>
    <w:uiPriority w:val="99"/>
    <w:rsid w:val="00276A78"/>
    <w:rPr>
      <w:rFonts w:ascii="Times New Roman" w:hAnsi="Times New Roman"/>
      <w:sz w:val="24"/>
    </w:rPr>
  </w:style>
  <w:style w:type="paragraph" w:styleId="Rodap">
    <w:name w:val="footer"/>
    <w:basedOn w:val="Normal"/>
    <w:link w:val="RodapChar"/>
    <w:uiPriority w:val="99"/>
    <w:unhideWhenUsed/>
    <w:rsid w:val="00276A78"/>
    <w:pPr>
      <w:tabs>
        <w:tab w:val="center" w:pos="4252"/>
        <w:tab w:val="right" w:pos="8504"/>
      </w:tabs>
    </w:pPr>
  </w:style>
  <w:style w:type="character" w:customStyle="1" w:styleId="RodapChar">
    <w:name w:val="Rodapé Char"/>
    <w:basedOn w:val="Fontepargpadro"/>
    <w:link w:val="Rodap"/>
    <w:uiPriority w:val="99"/>
    <w:rsid w:val="00276A78"/>
    <w:rPr>
      <w:rFonts w:ascii="Times New Roman" w:hAnsi="Times New Roman"/>
      <w:sz w:val="24"/>
    </w:rPr>
  </w:style>
  <w:style w:type="paragraph" w:styleId="NormalWeb">
    <w:name w:val="Normal (Web)"/>
    <w:basedOn w:val="Normal"/>
    <w:uiPriority w:val="99"/>
    <w:unhideWhenUsed/>
    <w:rsid w:val="00CF3670"/>
    <w:pPr>
      <w:spacing w:before="100" w:beforeAutospacing="1" w:after="100" w:afterAutospacing="1"/>
    </w:pPr>
    <w:rPr>
      <w:rFonts w:eastAsia="Times New Roman" w:cs="Times New Roman"/>
      <w:szCs w:val="24"/>
      <w:lang w:eastAsia="pt-BR"/>
    </w:rPr>
  </w:style>
  <w:style w:type="paragraph" w:styleId="PargrafodaLista">
    <w:name w:val="List Paragraph"/>
    <w:basedOn w:val="Normal"/>
    <w:uiPriority w:val="34"/>
    <w:qFormat/>
    <w:rsid w:val="00CF3670"/>
    <w:pPr>
      <w:ind w:left="720"/>
      <w:contextualSpacing/>
    </w:pPr>
    <w:rPr>
      <w:rFonts w:eastAsia="Times New Roman" w:cs="Times New Roman"/>
      <w:szCs w:val="24"/>
      <w:lang w:eastAsia="pt-BR"/>
    </w:rPr>
  </w:style>
  <w:style w:type="paragraph" w:customStyle="1" w:styleId="Default">
    <w:name w:val="Default"/>
    <w:rsid w:val="00193A3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ontepargpadro"/>
    <w:rsid w:val="00193A3B"/>
  </w:style>
  <w:style w:type="paragraph" w:styleId="SemEspaamento">
    <w:name w:val="No Spacing"/>
    <w:uiPriority w:val="1"/>
    <w:qFormat/>
    <w:rsid w:val="000212B0"/>
    <w:pPr>
      <w:spacing w:after="0" w:line="240" w:lineRule="auto"/>
    </w:pPr>
    <w:rPr>
      <w:rFonts w:ascii="Times New Roman" w:hAnsi="Times New Roman"/>
      <w:sz w:val="24"/>
    </w:rPr>
  </w:style>
  <w:style w:type="character" w:styleId="Refdecomentrio">
    <w:name w:val="annotation reference"/>
    <w:basedOn w:val="Fontepargpadro"/>
    <w:uiPriority w:val="99"/>
    <w:semiHidden/>
    <w:unhideWhenUsed/>
    <w:rsid w:val="0046372E"/>
    <w:rPr>
      <w:sz w:val="16"/>
      <w:szCs w:val="16"/>
    </w:rPr>
  </w:style>
  <w:style w:type="paragraph" w:styleId="Textodecomentrio">
    <w:name w:val="annotation text"/>
    <w:basedOn w:val="Normal"/>
    <w:link w:val="TextodecomentrioChar"/>
    <w:uiPriority w:val="99"/>
    <w:semiHidden/>
    <w:unhideWhenUsed/>
    <w:rsid w:val="0046372E"/>
    <w:rPr>
      <w:sz w:val="20"/>
      <w:szCs w:val="20"/>
    </w:rPr>
  </w:style>
  <w:style w:type="character" w:customStyle="1" w:styleId="TextodecomentrioChar">
    <w:name w:val="Texto de comentário Char"/>
    <w:basedOn w:val="Fontepargpadro"/>
    <w:link w:val="Textodecomentrio"/>
    <w:uiPriority w:val="99"/>
    <w:semiHidden/>
    <w:rsid w:val="0046372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6372E"/>
    <w:rPr>
      <w:b/>
      <w:bCs/>
    </w:rPr>
  </w:style>
  <w:style w:type="character" w:customStyle="1" w:styleId="AssuntodocomentrioChar">
    <w:name w:val="Assunto do comentário Char"/>
    <w:basedOn w:val="TextodecomentrioChar"/>
    <w:link w:val="Assuntodocomentrio"/>
    <w:uiPriority w:val="99"/>
    <w:semiHidden/>
    <w:rsid w:val="0046372E"/>
    <w:rPr>
      <w:rFonts w:ascii="Times New Roman" w:hAnsi="Times New Roman"/>
      <w:b/>
      <w:bCs/>
      <w:sz w:val="20"/>
      <w:szCs w:val="20"/>
    </w:rPr>
  </w:style>
  <w:style w:type="paragraph" w:styleId="Textodebalo">
    <w:name w:val="Balloon Text"/>
    <w:basedOn w:val="Normal"/>
    <w:link w:val="TextodebaloChar"/>
    <w:uiPriority w:val="99"/>
    <w:semiHidden/>
    <w:unhideWhenUsed/>
    <w:rsid w:val="0046372E"/>
    <w:rPr>
      <w:rFonts w:ascii="Tahoma" w:hAnsi="Tahoma" w:cs="Tahoma"/>
      <w:sz w:val="16"/>
      <w:szCs w:val="16"/>
    </w:rPr>
  </w:style>
  <w:style w:type="character" w:customStyle="1" w:styleId="TextodebaloChar">
    <w:name w:val="Texto de balão Char"/>
    <w:basedOn w:val="Fontepargpadro"/>
    <w:link w:val="Textodebalo"/>
    <w:uiPriority w:val="99"/>
    <w:semiHidden/>
    <w:rsid w:val="0046372E"/>
    <w:rPr>
      <w:rFonts w:ascii="Tahoma" w:hAnsi="Tahoma" w:cs="Tahoma"/>
      <w:sz w:val="16"/>
      <w:szCs w:val="16"/>
    </w:rPr>
  </w:style>
  <w:style w:type="paragraph" w:customStyle="1" w:styleId="Refernciaartigos">
    <w:name w:val="Referência (artigos)"/>
    <w:basedOn w:val="Normal"/>
    <w:link w:val="RefernciaartigosChar"/>
    <w:qFormat/>
    <w:rsid w:val="00EC50CA"/>
    <w:pPr>
      <w:spacing w:before="280"/>
      <w:ind w:firstLine="0"/>
    </w:pPr>
    <w:rPr>
      <w:rFonts w:cs="Times New Roman"/>
      <w:szCs w:val="24"/>
    </w:rPr>
  </w:style>
  <w:style w:type="character" w:customStyle="1" w:styleId="RefernciaartigosChar">
    <w:name w:val="Referência (artigos) Char"/>
    <w:basedOn w:val="Fontepargpadro"/>
    <w:link w:val="Refernciaartigos"/>
    <w:rsid w:val="00EC50CA"/>
    <w:rPr>
      <w:rFonts w:ascii="Times New Roman" w:hAnsi="Times New Roman" w:cs="Times New Roman"/>
      <w:sz w:val="24"/>
      <w:szCs w:val="24"/>
    </w:rPr>
  </w:style>
  <w:style w:type="character" w:styleId="TextodoEspaoReservado">
    <w:name w:val="Placeholder Text"/>
    <w:basedOn w:val="Fontepargpadro"/>
    <w:uiPriority w:val="99"/>
    <w:semiHidden/>
    <w:rsid w:val="00BE298A"/>
    <w:rPr>
      <w:color w:val="808080"/>
    </w:rPr>
  </w:style>
  <w:style w:type="paragraph" w:customStyle="1" w:styleId="Frmula">
    <w:name w:val="Fórmula"/>
    <w:basedOn w:val="Normal"/>
    <w:link w:val="FrmulaChar"/>
    <w:qFormat/>
    <w:rsid w:val="00D61021"/>
    <w:pPr>
      <w:autoSpaceDE w:val="0"/>
      <w:autoSpaceDN w:val="0"/>
      <w:adjustRightInd w:val="0"/>
      <w:spacing w:before="280" w:after="280"/>
    </w:pPr>
    <w:rPr>
      <w:rFonts w:ascii="Cambria Math" w:cs="Times New Roman"/>
      <w:szCs w:val="24"/>
    </w:rPr>
  </w:style>
  <w:style w:type="character" w:customStyle="1" w:styleId="Ttulo1Char">
    <w:name w:val="Título 1 Char"/>
    <w:basedOn w:val="Fontepargpadro"/>
    <w:link w:val="Ttulo1"/>
    <w:uiPriority w:val="9"/>
    <w:rsid w:val="007D02C0"/>
    <w:rPr>
      <w:rFonts w:ascii="Times New Roman" w:eastAsiaTheme="majorEastAsia" w:hAnsi="Times New Roman" w:cstheme="majorBidi"/>
      <w:b/>
      <w:bCs/>
      <w:caps/>
      <w:sz w:val="24"/>
      <w:szCs w:val="28"/>
    </w:rPr>
  </w:style>
  <w:style w:type="character" w:customStyle="1" w:styleId="FrmulaChar">
    <w:name w:val="Fórmula Char"/>
    <w:basedOn w:val="Fontepargpadro"/>
    <w:link w:val="Frmula"/>
    <w:rsid w:val="00D61021"/>
    <w:rPr>
      <w:rFonts w:ascii="Cambria Math" w:hAnsi="Times New Roman" w:cs="Times New Roman"/>
      <w:sz w:val="24"/>
      <w:szCs w:val="24"/>
    </w:rPr>
  </w:style>
  <w:style w:type="character" w:customStyle="1" w:styleId="Ttulo2Char">
    <w:name w:val="Título 2 Char"/>
    <w:basedOn w:val="Fontepargpadro"/>
    <w:link w:val="Ttulo2"/>
    <w:uiPriority w:val="9"/>
    <w:rsid w:val="007D02C0"/>
    <w:rPr>
      <w:rFonts w:ascii="Times New Roman" w:eastAsiaTheme="majorEastAsia" w:hAnsi="Times New Roman" w:cstheme="majorBidi"/>
      <w:b/>
      <w:bCs/>
      <w:sz w:val="24"/>
      <w:szCs w:val="26"/>
    </w:rPr>
  </w:style>
  <w:style w:type="character" w:customStyle="1" w:styleId="Ttulo3Char">
    <w:name w:val="Título 3 Char"/>
    <w:basedOn w:val="Fontepargpadro"/>
    <w:link w:val="Ttulo3"/>
    <w:uiPriority w:val="9"/>
    <w:rsid w:val="00056E14"/>
    <w:rPr>
      <w:rFonts w:asciiTheme="majorHAnsi" w:eastAsiaTheme="majorEastAsia" w:hAnsiTheme="majorHAnsi" w:cstheme="majorBidi"/>
      <w:b/>
      <w:bCs/>
      <w:color w:val="4F81BD" w:themeColor="accent1"/>
      <w:sz w:val="24"/>
    </w:rPr>
  </w:style>
  <w:style w:type="character" w:customStyle="1" w:styleId="Ttulo4Char">
    <w:name w:val="Título 4 Char"/>
    <w:basedOn w:val="Fontepargpadro"/>
    <w:link w:val="Ttulo4"/>
    <w:uiPriority w:val="9"/>
    <w:semiHidden/>
    <w:rsid w:val="00056E14"/>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056E14"/>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056E14"/>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056E14"/>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056E14"/>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056E14"/>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har"/>
    <w:uiPriority w:val="29"/>
    <w:qFormat/>
    <w:rsid w:val="00DD279B"/>
    <w:pPr>
      <w:spacing w:before="120" w:after="120"/>
      <w:ind w:left="2268" w:firstLine="0"/>
    </w:pPr>
    <w:rPr>
      <w:iCs/>
      <w:color w:val="000000" w:themeColor="text1"/>
      <w:sz w:val="20"/>
    </w:rPr>
  </w:style>
  <w:style w:type="character" w:customStyle="1" w:styleId="CitaoChar">
    <w:name w:val="Citação Char"/>
    <w:basedOn w:val="Fontepargpadro"/>
    <w:link w:val="Citao"/>
    <w:uiPriority w:val="29"/>
    <w:rsid w:val="00DD279B"/>
    <w:rPr>
      <w:rFonts w:ascii="Times New Roman" w:hAnsi="Times New Roman"/>
      <w:iCs/>
      <w:color w:val="000000" w:themeColor="text1"/>
      <w:sz w:val="20"/>
    </w:rPr>
  </w:style>
  <w:style w:type="character" w:styleId="HiperlinkVisitado">
    <w:name w:val="FollowedHyperlink"/>
    <w:basedOn w:val="Fontepargpadro"/>
    <w:uiPriority w:val="99"/>
    <w:semiHidden/>
    <w:unhideWhenUsed/>
    <w:rsid w:val="005E69D5"/>
    <w:rPr>
      <w:color w:val="800080" w:themeColor="followedHyperlink"/>
      <w:u w:val="single"/>
    </w:rPr>
  </w:style>
  <w:style w:type="table" w:customStyle="1" w:styleId="TabelaSimples11">
    <w:name w:val="Tabela Simples 11"/>
    <w:basedOn w:val="Tabelanormal"/>
    <w:uiPriority w:val="41"/>
    <w:rsid w:val="00E154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Clara1">
    <w:name w:val="Tabela de Grade Clara1"/>
    <w:basedOn w:val="Tabelanormal"/>
    <w:uiPriority w:val="40"/>
    <w:rsid w:val="00E154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01">
    <w:name w:val="fontstyle01"/>
    <w:basedOn w:val="Fontepargpadro"/>
    <w:rsid w:val="0008780A"/>
    <w:rPr>
      <w:rFonts w:ascii="Helvetica" w:hAnsi="Helvetica" w:cs="Helvetica" w:hint="default"/>
      <w:b w:val="0"/>
      <w:bCs w:val="0"/>
      <w:i w:val="0"/>
      <w:iCs w:val="0"/>
      <w:color w:val="231F20"/>
      <w:sz w:val="20"/>
      <w:szCs w:val="20"/>
    </w:rPr>
  </w:style>
  <w:style w:type="character" w:customStyle="1" w:styleId="Textodocorpo2">
    <w:name w:val="Texto do corpo (2)_"/>
    <w:basedOn w:val="Fontepargpadro"/>
    <w:rsid w:val="0008780A"/>
    <w:rPr>
      <w:rFonts w:ascii="Sylfaen" w:hAnsi="Sylfaen"/>
      <w:b w:val="0"/>
      <w:i w:val="0"/>
      <w:caps w:val="0"/>
      <w:smallCaps w:val="0"/>
      <w:strike w:val="0"/>
      <w:dstrike w:val="0"/>
      <w:sz w:val="22"/>
      <w:u w:val="none"/>
    </w:rPr>
  </w:style>
  <w:style w:type="paragraph" w:customStyle="1" w:styleId="Textodocorpo21">
    <w:name w:val="Texto do corpo (2)1"/>
    <w:basedOn w:val="Normal"/>
    <w:rsid w:val="0008780A"/>
    <w:pPr>
      <w:shd w:val="clear" w:color="auto" w:fill="FFFFFF"/>
      <w:suppressAutoHyphens/>
      <w:spacing w:line="288" w:lineRule="exact"/>
      <w:ind w:firstLine="0"/>
      <w:jc w:val="left"/>
    </w:pPr>
    <w:rPr>
      <w:rFonts w:ascii="Sylfaen" w:eastAsia="Arial Unicode MS" w:hAnsi="Sylfaen" w:cs="DejaVu Sans"/>
      <w:color w:val="000000"/>
      <w:kern w:val="1"/>
      <w:sz w:val="22"/>
      <w:szCs w:val="24"/>
      <w:lang w:val="en-US" w:bidi="hi-IN"/>
    </w:rPr>
  </w:style>
  <w:style w:type="paragraph" w:customStyle="1" w:styleId="Tabela">
    <w:name w:val="Tabela"/>
    <w:aliases w:val="Gráficos,Quadros,Tabelas,Figuras"/>
    <w:basedOn w:val="Normal"/>
    <w:qFormat/>
    <w:rsid w:val="00430ED0"/>
    <w:pPr>
      <w:ind w:firstLine="0"/>
      <w:jc w:val="center"/>
    </w:pPr>
    <w:rPr>
      <w:rFonts w:eastAsia="Times New Roman" w:cs="Times New Roman"/>
      <w:color w:val="000000"/>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591">
      <w:bodyDiv w:val="1"/>
      <w:marLeft w:val="0"/>
      <w:marRight w:val="0"/>
      <w:marTop w:val="0"/>
      <w:marBottom w:val="0"/>
      <w:divBdr>
        <w:top w:val="none" w:sz="0" w:space="0" w:color="auto"/>
        <w:left w:val="none" w:sz="0" w:space="0" w:color="auto"/>
        <w:bottom w:val="none" w:sz="0" w:space="0" w:color="auto"/>
        <w:right w:val="none" w:sz="0" w:space="0" w:color="auto"/>
      </w:divBdr>
    </w:div>
    <w:div w:id="21246430">
      <w:bodyDiv w:val="1"/>
      <w:marLeft w:val="0"/>
      <w:marRight w:val="0"/>
      <w:marTop w:val="0"/>
      <w:marBottom w:val="0"/>
      <w:divBdr>
        <w:top w:val="none" w:sz="0" w:space="0" w:color="auto"/>
        <w:left w:val="none" w:sz="0" w:space="0" w:color="auto"/>
        <w:bottom w:val="none" w:sz="0" w:space="0" w:color="auto"/>
        <w:right w:val="none" w:sz="0" w:space="0" w:color="auto"/>
      </w:divBdr>
    </w:div>
    <w:div w:id="63338172">
      <w:bodyDiv w:val="1"/>
      <w:marLeft w:val="0"/>
      <w:marRight w:val="0"/>
      <w:marTop w:val="0"/>
      <w:marBottom w:val="0"/>
      <w:divBdr>
        <w:top w:val="none" w:sz="0" w:space="0" w:color="auto"/>
        <w:left w:val="none" w:sz="0" w:space="0" w:color="auto"/>
        <w:bottom w:val="none" w:sz="0" w:space="0" w:color="auto"/>
        <w:right w:val="none" w:sz="0" w:space="0" w:color="auto"/>
      </w:divBdr>
    </w:div>
    <w:div w:id="88738910">
      <w:bodyDiv w:val="1"/>
      <w:marLeft w:val="0"/>
      <w:marRight w:val="0"/>
      <w:marTop w:val="0"/>
      <w:marBottom w:val="0"/>
      <w:divBdr>
        <w:top w:val="none" w:sz="0" w:space="0" w:color="auto"/>
        <w:left w:val="none" w:sz="0" w:space="0" w:color="auto"/>
        <w:bottom w:val="none" w:sz="0" w:space="0" w:color="auto"/>
        <w:right w:val="none" w:sz="0" w:space="0" w:color="auto"/>
      </w:divBdr>
    </w:div>
    <w:div w:id="173110677">
      <w:bodyDiv w:val="1"/>
      <w:marLeft w:val="0"/>
      <w:marRight w:val="0"/>
      <w:marTop w:val="0"/>
      <w:marBottom w:val="0"/>
      <w:divBdr>
        <w:top w:val="none" w:sz="0" w:space="0" w:color="auto"/>
        <w:left w:val="none" w:sz="0" w:space="0" w:color="auto"/>
        <w:bottom w:val="none" w:sz="0" w:space="0" w:color="auto"/>
        <w:right w:val="none" w:sz="0" w:space="0" w:color="auto"/>
      </w:divBdr>
      <w:divsChild>
        <w:div w:id="40062715">
          <w:marLeft w:val="0"/>
          <w:marRight w:val="0"/>
          <w:marTop w:val="0"/>
          <w:marBottom w:val="0"/>
          <w:divBdr>
            <w:top w:val="none" w:sz="0" w:space="0" w:color="auto"/>
            <w:left w:val="none" w:sz="0" w:space="0" w:color="auto"/>
            <w:bottom w:val="none" w:sz="0" w:space="0" w:color="auto"/>
            <w:right w:val="none" w:sz="0" w:space="0" w:color="auto"/>
          </w:divBdr>
        </w:div>
      </w:divsChild>
    </w:div>
    <w:div w:id="184756732">
      <w:bodyDiv w:val="1"/>
      <w:marLeft w:val="0"/>
      <w:marRight w:val="0"/>
      <w:marTop w:val="0"/>
      <w:marBottom w:val="0"/>
      <w:divBdr>
        <w:top w:val="none" w:sz="0" w:space="0" w:color="auto"/>
        <w:left w:val="none" w:sz="0" w:space="0" w:color="auto"/>
        <w:bottom w:val="none" w:sz="0" w:space="0" w:color="auto"/>
        <w:right w:val="none" w:sz="0" w:space="0" w:color="auto"/>
      </w:divBdr>
    </w:div>
    <w:div w:id="187568747">
      <w:bodyDiv w:val="1"/>
      <w:marLeft w:val="0"/>
      <w:marRight w:val="0"/>
      <w:marTop w:val="0"/>
      <w:marBottom w:val="0"/>
      <w:divBdr>
        <w:top w:val="none" w:sz="0" w:space="0" w:color="auto"/>
        <w:left w:val="none" w:sz="0" w:space="0" w:color="auto"/>
        <w:bottom w:val="none" w:sz="0" w:space="0" w:color="auto"/>
        <w:right w:val="none" w:sz="0" w:space="0" w:color="auto"/>
      </w:divBdr>
      <w:divsChild>
        <w:div w:id="1038891492">
          <w:marLeft w:val="0"/>
          <w:marRight w:val="0"/>
          <w:marTop w:val="0"/>
          <w:marBottom w:val="0"/>
          <w:divBdr>
            <w:top w:val="none" w:sz="0" w:space="0" w:color="auto"/>
            <w:left w:val="none" w:sz="0" w:space="0" w:color="auto"/>
            <w:bottom w:val="none" w:sz="0" w:space="0" w:color="auto"/>
            <w:right w:val="none" w:sz="0" w:space="0" w:color="auto"/>
          </w:divBdr>
        </w:div>
      </w:divsChild>
    </w:div>
    <w:div w:id="225338282">
      <w:bodyDiv w:val="1"/>
      <w:marLeft w:val="0"/>
      <w:marRight w:val="0"/>
      <w:marTop w:val="0"/>
      <w:marBottom w:val="0"/>
      <w:divBdr>
        <w:top w:val="none" w:sz="0" w:space="0" w:color="auto"/>
        <w:left w:val="none" w:sz="0" w:space="0" w:color="auto"/>
        <w:bottom w:val="none" w:sz="0" w:space="0" w:color="auto"/>
        <w:right w:val="none" w:sz="0" w:space="0" w:color="auto"/>
      </w:divBdr>
      <w:divsChild>
        <w:div w:id="2134784655">
          <w:marLeft w:val="0"/>
          <w:marRight w:val="0"/>
          <w:marTop w:val="0"/>
          <w:marBottom w:val="0"/>
          <w:divBdr>
            <w:top w:val="none" w:sz="0" w:space="0" w:color="auto"/>
            <w:left w:val="none" w:sz="0" w:space="0" w:color="auto"/>
            <w:bottom w:val="none" w:sz="0" w:space="0" w:color="auto"/>
            <w:right w:val="none" w:sz="0" w:space="0" w:color="auto"/>
          </w:divBdr>
        </w:div>
      </w:divsChild>
    </w:div>
    <w:div w:id="280572037">
      <w:bodyDiv w:val="1"/>
      <w:marLeft w:val="0"/>
      <w:marRight w:val="0"/>
      <w:marTop w:val="0"/>
      <w:marBottom w:val="0"/>
      <w:divBdr>
        <w:top w:val="none" w:sz="0" w:space="0" w:color="auto"/>
        <w:left w:val="none" w:sz="0" w:space="0" w:color="auto"/>
        <w:bottom w:val="none" w:sz="0" w:space="0" w:color="auto"/>
        <w:right w:val="none" w:sz="0" w:space="0" w:color="auto"/>
      </w:divBdr>
    </w:div>
    <w:div w:id="310838056">
      <w:bodyDiv w:val="1"/>
      <w:marLeft w:val="0"/>
      <w:marRight w:val="0"/>
      <w:marTop w:val="0"/>
      <w:marBottom w:val="0"/>
      <w:divBdr>
        <w:top w:val="none" w:sz="0" w:space="0" w:color="auto"/>
        <w:left w:val="none" w:sz="0" w:space="0" w:color="auto"/>
        <w:bottom w:val="none" w:sz="0" w:space="0" w:color="auto"/>
        <w:right w:val="none" w:sz="0" w:space="0" w:color="auto"/>
      </w:divBdr>
      <w:divsChild>
        <w:div w:id="153571447">
          <w:marLeft w:val="0"/>
          <w:marRight w:val="0"/>
          <w:marTop w:val="0"/>
          <w:marBottom w:val="0"/>
          <w:divBdr>
            <w:top w:val="none" w:sz="0" w:space="0" w:color="auto"/>
            <w:left w:val="none" w:sz="0" w:space="0" w:color="auto"/>
            <w:bottom w:val="none" w:sz="0" w:space="0" w:color="auto"/>
            <w:right w:val="none" w:sz="0" w:space="0" w:color="auto"/>
          </w:divBdr>
        </w:div>
      </w:divsChild>
    </w:div>
    <w:div w:id="443504298">
      <w:bodyDiv w:val="1"/>
      <w:marLeft w:val="0"/>
      <w:marRight w:val="0"/>
      <w:marTop w:val="0"/>
      <w:marBottom w:val="0"/>
      <w:divBdr>
        <w:top w:val="none" w:sz="0" w:space="0" w:color="auto"/>
        <w:left w:val="none" w:sz="0" w:space="0" w:color="auto"/>
        <w:bottom w:val="none" w:sz="0" w:space="0" w:color="auto"/>
        <w:right w:val="none" w:sz="0" w:space="0" w:color="auto"/>
      </w:divBdr>
    </w:div>
    <w:div w:id="477649313">
      <w:bodyDiv w:val="1"/>
      <w:marLeft w:val="0"/>
      <w:marRight w:val="0"/>
      <w:marTop w:val="0"/>
      <w:marBottom w:val="0"/>
      <w:divBdr>
        <w:top w:val="none" w:sz="0" w:space="0" w:color="auto"/>
        <w:left w:val="none" w:sz="0" w:space="0" w:color="auto"/>
        <w:bottom w:val="none" w:sz="0" w:space="0" w:color="auto"/>
        <w:right w:val="none" w:sz="0" w:space="0" w:color="auto"/>
      </w:divBdr>
    </w:div>
    <w:div w:id="502819264">
      <w:bodyDiv w:val="1"/>
      <w:marLeft w:val="0"/>
      <w:marRight w:val="0"/>
      <w:marTop w:val="0"/>
      <w:marBottom w:val="0"/>
      <w:divBdr>
        <w:top w:val="none" w:sz="0" w:space="0" w:color="auto"/>
        <w:left w:val="none" w:sz="0" w:space="0" w:color="auto"/>
        <w:bottom w:val="none" w:sz="0" w:space="0" w:color="auto"/>
        <w:right w:val="none" w:sz="0" w:space="0" w:color="auto"/>
      </w:divBdr>
    </w:div>
    <w:div w:id="525366481">
      <w:bodyDiv w:val="1"/>
      <w:marLeft w:val="0"/>
      <w:marRight w:val="0"/>
      <w:marTop w:val="0"/>
      <w:marBottom w:val="0"/>
      <w:divBdr>
        <w:top w:val="none" w:sz="0" w:space="0" w:color="auto"/>
        <w:left w:val="none" w:sz="0" w:space="0" w:color="auto"/>
        <w:bottom w:val="none" w:sz="0" w:space="0" w:color="auto"/>
        <w:right w:val="none" w:sz="0" w:space="0" w:color="auto"/>
      </w:divBdr>
    </w:div>
    <w:div w:id="538323896">
      <w:bodyDiv w:val="1"/>
      <w:marLeft w:val="0"/>
      <w:marRight w:val="0"/>
      <w:marTop w:val="0"/>
      <w:marBottom w:val="0"/>
      <w:divBdr>
        <w:top w:val="none" w:sz="0" w:space="0" w:color="auto"/>
        <w:left w:val="none" w:sz="0" w:space="0" w:color="auto"/>
        <w:bottom w:val="none" w:sz="0" w:space="0" w:color="auto"/>
        <w:right w:val="none" w:sz="0" w:space="0" w:color="auto"/>
      </w:divBdr>
    </w:div>
    <w:div w:id="558513991">
      <w:bodyDiv w:val="1"/>
      <w:marLeft w:val="0"/>
      <w:marRight w:val="0"/>
      <w:marTop w:val="0"/>
      <w:marBottom w:val="0"/>
      <w:divBdr>
        <w:top w:val="none" w:sz="0" w:space="0" w:color="auto"/>
        <w:left w:val="none" w:sz="0" w:space="0" w:color="auto"/>
        <w:bottom w:val="none" w:sz="0" w:space="0" w:color="auto"/>
        <w:right w:val="none" w:sz="0" w:space="0" w:color="auto"/>
      </w:divBdr>
    </w:div>
    <w:div w:id="598148130">
      <w:bodyDiv w:val="1"/>
      <w:marLeft w:val="0"/>
      <w:marRight w:val="0"/>
      <w:marTop w:val="0"/>
      <w:marBottom w:val="0"/>
      <w:divBdr>
        <w:top w:val="none" w:sz="0" w:space="0" w:color="auto"/>
        <w:left w:val="none" w:sz="0" w:space="0" w:color="auto"/>
        <w:bottom w:val="none" w:sz="0" w:space="0" w:color="auto"/>
        <w:right w:val="none" w:sz="0" w:space="0" w:color="auto"/>
      </w:divBdr>
    </w:div>
    <w:div w:id="667170900">
      <w:bodyDiv w:val="1"/>
      <w:marLeft w:val="0"/>
      <w:marRight w:val="0"/>
      <w:marTop w:val="0"/>
      <w:marBottom w:val="0"/>
      <w:divBdr>
        <w:top w:val="none" w:sz="0" w:space="0" w:color="auto"/>
        <w:left w:val="none" w:sz="0" w:space="0" w:color="auto"/>
        <w:bottom w:val="none" w:sz="0" w:space="0" w:color="auto"/>
        <w:right w:val="none" w:sz="0" w:space="0" w:color="auto"/>
      </w:divBdr>
    </w:div>
    <w:div w:id="682901607">
      <w:bodyDiv w:val="1"/>
      <w:marLeft w:val="0"/>
      <w:marRight w:val="0"/>
      <w:marTop w:val="0"/>
      <w:marBottom w:val="0"/>
      <w:divBdr>
        <w:top w:val="none" w:sz="0" w:space="0" w:color="auto"/>
        <w:left w:val="none" w:sz="0" w:space="0" w:color="auto"/>
        <w:bottom w:val="none" w:sz="0" w:space="0" w:color="auto"/>
        <w:right w:val="none" w:sz="0" w:space="0" w:color="auto"/>
      </w:divBdr>
    </w:div>
    <w:div w:id="708333332">
      <w:bodyDiv w:val="1"/>
      <w:marLeft w:val="0"/>
      <w:marRight w:val="0"/>
      <w:marTop w:val="0"/>
      <w:marBottom w:val="0"/>
      <w:divBdr>
        <w:top w:val="none" w:sz="0" w:space="0" w:color="auto"/>
        <w:left w:val="none" w:sz="0" w:space="0" w:color="auto"/>
        <w:bottom w:val="none" w:sz="0" w:space="0" w:color="auto"/>
        <w:right w:val="none" w:sz="0" w:space="0" w:color="auto"/>
      </w:divBdr>
    </w:div>
    <w:div w:id="769935160">
      <w:bodyDiv w:val="1"/>
      <w:marLeft w:val="0"/>
      <w:marRight w:val="0"/>
      <w:marTop w:val="0"/>
      <w:marBottom w:val="0"/>
      <w:divBdr>
        <w:top w:val="none" w:sz="0" w:space="0" w:color="auto"/>
        <w:left w:val="none" w:sz="0" w:space="0" w:color="auto"/>
        <w:bottom w:val="none" w:sz="0" w:space="0" w:color="auto"/>
        <w:right w:val="none" w:sz="0" w:space="0" w:color="auto"/>
      </w:divBdr>
    </w:div>
    <w:div w:id="847645970">
      <w:bodyDiv w:val="1"/>
      <w:marLeft w:val="0"/>
      <w:marRight w:val="0"/>
      <w:marTop w:val="0"/>
      <w:marBottom w:val="0"/>
      <w:divBdr>
        <w:top w:val="none" w:sz="0" w:space="0" w:color="auto"/>
        <w:left w:val="none" w:sz="0" w:space="0" w:color="auto"/>
        <w:bottom w:val="none" w:sz="0" w:space="0" w:color="auto"/>
        <w:right w:val="none" w:sz="0" w:space="0" w:color="auto"/>
      </w:divBdr>
    </w:div>
    <w:div w:id="945692896">
      <w:bodyDiv w:val="1"/>
      <w:marLeft w:val="0"/>
      <w:marRight w:val="0"/>
      <w:marTop w:val="0"/>
      <w:marBottom w:val="0"/>
      <w:divBdr>
        <w:top w:val="none" w:sz="0" w:space="0" w:color="auto"/>
        <w:left w:val="none" w:sz="0" w:space="0" w:color="auto"/>
        <w:bottom w:val="none" w:sz="0" w:space="0" w:color="auto"/>
        <w:right w:val="none" w:sz="0" w:space="0" w:color="auto"/>
      </w:divBdr>
    </w:div>
    <w:div w:id="1009867249">
      <w:bodyDiv w:val="1"/>
      <w:marLeft w:val="0"/>
      <w:marRight w:val="0"/>
      <w:marTop w:val="0"/>
      <w:marBottom w:val="0"/>
      <w:divBdr>
        <w:top w:val="none" w:sz="0" w:space="0" w:color="auto"/>
        <w:left w:val="none" w:sz="0" w:space="0" w:color="auto"/>
        <w:bottom w:val="none" w:sz="0" w:space="0" w:color="auto"/>
        <w:right w:val="none" w:sz="0" w:space="0" w:color="auto"/>
      </w:divBdr>
    </w:div>
    <w:div w:id="1055855380">
      <w:bodyDiv w:val="1"/>
      <w:marLeft w:val="0"/>
      <w:marRight w:val="0"/>
      <w:marTop w:val="0"/>
      <w:marBottom w:val="0"/>
      <w:divBdr>
        <w:top w:val="none" w:sz="0" w:space="0" w:color="auto"/>
        <w:left w:val="none" w:sz="0" w:space="0" w:color="auto"/>
        <w:bottom w:val="none" w:sz="0" w:space="0" w:color="auto"/>
        <w:right w:val="none" w:sz="0" w:space="0" w:color="auto"/>
      </w:divBdr>
    </w:div>
    <w:div w:id="1110048844">
      <w:bodyDiv w:val="1"/>
      <w:marLeft w:val="0"/>
      <w:marRight w:val="0"/>
      <w:marTop w:val="0"/>
      <w:marBottom w:val="0"/>
      <w:divBdr>
        <w:top w:val="none" w:sz="0" w:space="0" w:color="auto"/>
        <w:left w:val="none" w:sz="0" w:space="0" w:color="auto"/>
        <w:bottom w:val="none" w:sz="0" w:space="0" w:color="auto"/>
        <w:right w:val="none" w:sz="0" w:space="0" w:color="auto"/>
      </w:divBdr>
    </w:div>
    <w:div w:id="1141535967">
      <w:bodyDiv w:val="1"/>
      <w:marLeft w:val="0"/>
      <w:marRight w:val="0"/>
      <w:marTop w:val="0"/>
      <w:marBottom w:val="0"/>
      <w:divBdr>
        <w:top w:val="none" w:sz="0" w:space="0" w:color="auto"/>
        <w:left w:val="none" w:sz="0" w:space="0" w:color="auto"/>
        <w:bottom w:val="none" w:sz="0" w:space="0" w:color="auto"/>
        <w:right w:val="none" w:sz="0" w:space="0" w:color="auto"/>
      </w:divBdr>
    </w:div>
    <w:div w:id="1144737167">
      <w:bodyDiv w:val="1"/>
      <w:marLeft w:val="0"/>
      <w:marRight w:val="0"/>
      <w:marTop w:val="0"/>
      <w:marBottom w:val="0"/>
      <w:divBdr>
        <w:top w:val="none" w:sz="0" w:space="0" w:color="auto"/>
        <w:left w:val="none" w:sz="0" w:space="0" w:color="auto"/>
        <w:bottom w:val="none" w:sz="0" w:space="0" w:color="auto"/>
        <w:right w:val="none" w:sz="0" w:space="0" w:color="auto"/>
      </w:divBdr>
    </w:div>
    <w:div w:id="1162115232">
      <w:bodyDiv w:val="1"/>
      <w:marLeft w:val="0"/>
      <w:marRight w:val="0"/>
      <w:marTop w:val="0"/>
      <w:marBottom w:val="0"/>
      <w:divBdr>
        <w:top w:val="none" w:sz="0" w:space="0" w:color="auto"/>
        <w:left w:val="none" w:sz="0" w:space="0" w:color="auto"/>
        <w:bottom w:val="none" w:sz="0" w:space="0" w:color="auto"/>
        <w:right w:val="none" w:sz="0" w:space="0" w:color="auto"/>
      </w:divBdr>
    </w:div>
    <w:div w:id="1182819238">
      <w:bodyDiv w:val="1"/>
      <w:marLeft w:val="0"/>
      <w:marRight w:val="0"/>
      <w:marTop w:val="0"/>
      <w:marBottom w:val="0"/>
      <w:divBdr>
        <w:top w:val="none" w:sz="0" w:space="0" w:color="auto"/>
        <w:left w:val="none" w:sz="0" w:space="0" w:color="auto"/>
        <w:bottom w:val="none" w:sz="0" w:space="0" w:color="auto"/>
        <w:right w:val="none" w:sz="0" w:space="0" w:color="auto"/>
      </w:divBdr>
    </w:div>
    <w:div w:id="1225989799">
      <w:bodyDiv w:val="1"/>
      <w:marLeft w:val="0"/>
      <w:marRight w:val="0"/>
      <w:marTop w:val="0"/>
      <w:marBottom w:val="0"/>
      <w:divBdr>
        <w:top w:val="none" w:sz="0" w:space="0" w:color="auto"/>
        <w:left w:val="none" w:sz="0" w:space="0" w:color="auto"/>
        <w:bottom w:val="none" w:sz="0" w:space="0" w:color="auto"/>
        <w:right w:val="none" w:sz="0" w:space="0" w:color="auto"/>
      </w:divBdr>
      <w:divsChild>
        <w:div w:id="1767262985">
          <w:marLeft w:val="0"/>
          <w:marRight w:val="0"/>
          <w:marTop w:val="0"/>
          <w:marBottom w:val="0"/>
          <w:divBdr>
            <w:top w:val="none" w:sz="0" w:space="0" w:color="auto"/>
            <w:left w:val="none" w:sz="0" w:space="0" w:color="auto"/>
            <w:bottom w:val="none" w:sz="0" w:space="0" w:color="auto"/>
            <w:right w:val="none" w:sz="0" w:space="0" w:color="auto"/>
          </w:divBdr>
        </w:div>
      </w:divsChild>
    </w:div>
    <w:div w:id="1260259038">
      <w:bodyDiv w:val="1"/>
      <w:marLeft w:val="0"/>
      <w:marRight w:val="0"/>
      <w:marTop w:val="0"/>
      <w:marBottom w:val="0"/>
      <w:divBdr>
        <w:top w:val="none" w:sz="0" w:space="0" w:color="auto"/>
        <w:left w:val="none" w:sz="0" w:space="0" w:color="auto"/>
        <w:bottom w:val="none" w:sz="0" w:space="0" w:color="auto"/>
        <w:right w:val="none" w:sz="0" w:space="0" w:color="auto"/>
      </w:divBdr>
    </w:div>
    <w:div w:id="1293556077">
      <w:bodyDiv w:val="1"/>
      <w:marLeft w:val="0"/>
      <w:marRight w:val="0"/>
      <w:marTop w:val="0"/>
      <w:marBottom w:val="0"/>
      <w:divBdr>
        <w:top w:val="none" w:sz="0" w:space="0" w:color="auto"/>
        <w:left w:val="none" w:sz="0" w:space="0" w:color="auto"/>
        <w:bottom w:val="none" w:sz="0" w:space="0" w:color="auto"/>
        <w:right w:val="none" w:sz="0" w:space="0" w:color="auto"/>
      </w:divBdr>
    </w:div>
    <w:div w:id="1305889328">
      <w:bodyDiv w:val="1"/>
      <w:marLeft w:val="0"/>
      <w:marRight w:val="0"/>
      <w:marTop w:val="0"/>
      <w:marBottom w:val="0"/>
      <w:divBdr>
        <w:top w:val="none" w:sz="0" w:space="0" w:color="auto"/>
        <w:left w:val="none" w:sz="0" w:space="0" w:color="auto"/>
        <w:bottom w:val="none" w:sz="0" w:space="0" w:color="auto"/>
        <w:right w:val="none" w:sz="0" w:space="0" w:color="auto"/>
      </w:divBdr>
      <w:divsChild>
        <w:div w:id="1937590542">
          <w:marLeft w:val="0"/>
          <w:marRight w:val="0"/>
          <w:marTop w:val="0"/>
          <w:marBottom w:val="0"/>
          <w:divBdr>
            <w:top w:val="none" w:sz="0" w:space="0" w:color="auto"/>
            <w:left w:val="none" w:sz="0" w:space="0" w:color="auto"/>
            <w:bottom w:val="none" w:sz="0" w:space="0" w:color="auto"/>
            <w:right w:val="none" w:sz="0" w:space="0" w:color="auto"/>
          </w:divBdr>
        </w:div>
      </w:divsChild>
    </w:div>
    <w:div w:id="1306620444">
      <w:bodyDiv w:val="1"/>
      <w:marLeft w:val="0"/>
      <w:marRight w:val="0"/>
      <w:marTop w:val="0"/>
      <w:marBottom w:val="0"/>
      <w:divBdr>
        <w:top w:val="none" w:sz="0" w:space="0" w:color="auto"/>
        <w:left w:val="none" w:sz="0" w:space="0" w:color="auto"/>
        <w:bottom w:val="none" w:sz="0" w:space="0" w:color="auto"/>
        <w:right w:val="none" w:sz="0" w:space="0" w:color="auto"/>
      </w:divBdr>
    </w:div>
    <w:div w:id="1309433344">
      <w:bodyDiv w:val="1"/>
      <w:marLeft w:val="0"/>
      <w:marRight w:val="0"/>
      <w:marTop w:val="0"/>
      <w:marBottom w:val="0"/>
      <w:divBdr>
        <w:top w:val="none" w:sz="0" w:space="0" w:color="auto"/>
        <w:left w:val="none" w:sz="0" w:space="0" w:color="auto"/>
        <w:bottom w:val="none" w:sz="0" w:space="0" w:color="auto"/>
        <w:right w:val="none" w:sz="0" w:space="0" w:color="auto"/>
      </w:divBdr>
    </w:div>
    <w:div w:id="1371876951">
      <w:bodyDiv w:val="1"/>
      <w:marLeft w:val="0"/>
      <w:marRight w:val="0"/>
      <w:marTop w:val="0"/>
      <w:marBottom w:val="0"/>
      <w:divBdr>
        <w:top w:val="none" w:sz="0" w:space="0" w:color="auto"/>
        <w:left w:val="none" w:sz="0" w:space="0" w:color="auto"/>
        <w:bottom w:val="none" w:sz="0" w:space="0" w:color="auto"/>
        <w:right w:val="none" w:sz="0" w:space="0" w:color="auto"/>
      </w:divBdr>
    </w:div>
    <w:div w:id="1393233477">
      <w:bodyDiv w:val="1"/>
      <w:marLeft w:val="0"/>
      <w:marRight w:val="0"/>
      <w:marTop w:val="0"/>
      <w:marBottom w:val="0"/>
      <w:divBdr>
        <w:top w:val="none" w:sz="0" w:space="0" w:color="auto"/>
        <w:left w:val="none" w:sz="0" w:space="0" w:color="auto"/>
        <w:bottom w:val="none" w:sz="0" w:space="0" w:color="auto"/>
        <w:right w:val="none" w:sz="0" w:space="0" w:color="auto"/>
      </w:divBdr>
    </w:div>
    <w:div w:id="1457410543">
      <w:bodyDiv w:val="1"/>
      <w:marLeft w:val="0"/>
      <w:marRight w:val="0"/>
      <w:marTop w:val="0"/>
      <w:marBottom w:val="0"/>
      <w:divBdr>
        <w:top w:val="none" w:sz="0" w:space="0" w:color="auto"/>
        <w:left w:val="none" w:sz="0" w:space="0" w:color="auto"/>
        <w:bottom w:val="none" w:sz="0" w:space="0" w:color="auto"/>
        <w:right w:val="none" w:sz="0" w:space="0" w:color="auto"/>
      </w:divBdr>
    </w:div>
    <w:div w:id="1462964320">
      <w:bodyDiv w:val="1"/>
      <w:marLeft w:val="0"/>
      <w:marRight w:val="0"/>
      <w:marTop w:val="0"/>
      <w:marBottom w:val="0"/>
      <w:divBdr>
        <w:top w:val="none" w:sz="0" w:space="0" w:color="auto"/>
        <w:left w:val="none" w:sz="0" w:space="0" w:color="auto"/>
        <w:bottom w:val="none" w:sz="0" w:space="0" w:color="auto"/>
        <w:right w:val="none" w:sz="0" w:space="0" w:color="auto"/>
      </w:divBdr>
    </w:div>
    <w:div w:id="1774010906">
      <w:bodyDiv w:val="1"/>
      <w:marLeft w:val="0"/>
      <w:marRight w:val="0"/>
      <w:marTop w:val="0"/>
      <w:marBottom w:val="0"/>
      <w:divBdr>
        <w:top w:val="none" w:sz="0" w:space="0" w:color="auto"/>
        <w:left w:val="none" w:sz="0" w:space="0" w:color="auto"/>
        <w:bottom w:val="none" w:sz="0" w:space="0" w:color="auto"/>
        <w:right w:val="none" w:sz="0" w:space="0" w:color="auto"/>
      </w:divBdr>
    </w:div>
    <w:div w:id="1799492656">
      <w:bodyDiv w:val="1"/>
      <w:marLeft w:val="0"/>
      <w:marRight w:val="0"/>
      <w:marTop w:val="0"/>
      <w:marBottom w:val="0"/>
      <w:divBdr>
        <w:top w:val="none" w:sz="0" w:space="0" w:color="auto"/>
        <w:left w:val="none" w:sz="0" w:space="0" w:color="auto"/>
        <w:bottom w:val="none" w:sz="0" w:space="0" w:color="auto"/>
        <w:right w:val="none" w:sz="0" w:space="0" w:color="auto"/>
      </w:divBdr>
    </w:div>
    <w:div w:id="1848060873">
      <w:bodyDiv w:val="1"/>
      <w:marLeft w:val="0"/>
      <w:marRight w:val="0"/>
      <w:marTop w:val="0"/>
      <w:marBottom w:val="0"/>
      <w:divBdr>
        <w:top w:val="none" w:sz="0" w:space="0" w:color="auto"/>
        <w:left w:val="none" w:sz="0" w:space="0" w:color="auto"/>
        <w:bottom w:val="none" w:sz="0" w:space="0" w:color="auto"/>
        <w:right w:val="none" w:sz="0" w:space="0" w:color="auto"/>
      </w:divBdr>
    </w:div>
    <w:div w:id="1907763135">
      <w:bodyDiv w:val="1"/>
      <w:marLeft w:val="0"/>
      <w:marRight w:val="0"/>
      <w:marTop w:val="0"/>
      <w:marBottom w:val="0"/>
      <w:divBdr>
        <w:top w:val="none" w:sz="0" w:space="0" w:color="auto"/>
        <w:left w:val="none" w:sz="0" w:space="0" w:color="auto"/>
        <w:bottom w:val="none" w:sz="0" w:space="0" w:color="auto"/>
        <w:right w:val="none" w:sz="0" w:space="0" w:color="auto"/>
      </w:divBdr>
    </w:div>
    <w:div w:id="1910386193">
      <w:bodyDiv w:val="1"/>
      <w:marLeft w:val="0"/>
      <w:marRight w:val="0"/>
      <w:marTop w:val="0"/>
      <w:marBottom w:val="0"/>
      <w:divBdr>
        <w:top w:val="none" w:sz="0" w:space="0" w:color="auto"/>
        <w:left w:val="none" w:sz="0" w:space="0" w:color="auto"/>
        <w:bottom w:val="none" w:sz="0" w:space="0" w:color="auto"/>
        <w:right w:val="none" w:sz="0" w:space="0" w:color="auto"/>
      </w:divBdr>
    </w:div>
    <w:div w:id="1954092124">
      <w:bodyDiv w:val="1"/>
      <w:marLeft w:val="0"/>
      <w:marRight w:val="0"/>
      <w:marTop w:val="0"/>
      <w:marBottom w:val="0"/>
      <w:divBdr>
        <w:top w:val="none" w:sz="0" w:space="0" w:color="auto"/>
        <w:left w:val="none" w:sz="0" w:space="0" w:color="auto"/>
        <w:bottom w:val="none" w:sz="0" w:space="0" w:color="auto"/>
        <w:right w:val="none" w:sz="0" w:space="0" w:color="auto"/>
      </w:divBdr>
    </w:div>
    <w:div w:id="1965384055">
      <w:bodyDiv w:val="1"/>
      <w:marLeft w:val="0"/>
      <w:marRight w:val="0"/>
      <w:marTop w:val="0"/>
      <w:marBottom w:val="0"/>
      <w:divBdr>
        <w:top w:val="none" w:sz="0" w:space="0" w:color="auto"/>
        <w:left w:val="none" w:sz="0" w:space="0" w:color="auto"/>
        <w:bottom w:val="none" w:sz="0" w:space="0" w:color="auto"/>
        <w:right w:val="none" w:sz="0" w:space="0" w:color="auto"/>
      </w:divBdr>
    </w:div>
    <w:div w:id="209867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0C315-E408-48E2-859F-3DB7B7DB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9501</Words>
  <Characters>51310</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2018-05-04T13:11:00Z</dcterms:created>
  <dcterms:modified xsi:type="dcterms:W3CDTF">2018-05-04T14:56:00Z</dcterms:modified>
</cp:coreProperties>
</file>