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1756E" w14:textId="77777777" w:rsidR="0036377D" w:rsidRPr="00A972B0" w:rsidRDefault="0036377D" w:rsidP="00A972B0">
      <w:pPr>
        <w:spacing w:after="120"/>
        <w:jc w:val="both"/>
        <w:rPr>
          <w:b/>
          <w:sz w:val="24"/>
          <w:szCs w:val="24"/>
        </w:rPr>
      </w:pPr>
    </w:p>
    <w:p w14:paraId="6030277B" w14:textId="495EFD32" w:rsidR="00B41AC1" w:rsidRPr="00A972B0" w:rsidRDefault="006D1C41" w:rsidP="00D56875">
      <w:pPr>
        <w:spacing w:after="120"/>
        <w:jc w:val="center"/>
        <w:rPr>
          <w:color w:val="999999"/>
          <w:sz w:val="24"/>
          <w:szCs w:val="24"/>
        </w:rPr>
      </w:pPr>
      <w:r w:rsidRPr="00A972B0">
        <w:rPr>
          <w:b/>
          <w:spacing w:val="-3"/>
          <w:sz w:val="24"/>
          <w:szCs w:val="24"/>
        </w:rPr>
        <w:t xml:space="preserve">A Riqueza Socioemocional e o Declínio em uma Empresa Familiar:                               </w:t>
      </w:r>
      <w:r w:rsidR="00FB6E15">
        <w:rPr>
          <w:b/>
          <w:spacing w:val="-3"/>
          <w:sz w:val="24"/>
          <w:szCs w:val="24"/>
        </w:rPr>
        <w:t xml:space="preserve">         Um Estudo da Guerra S.</w:t>
      </w:r>
      <w:r w:rsidRPr="00A972B0">
        <w:rPr>
          <w:b/>
          <w:spacing w:val="-3"/>
          <w:sz w:val="24"/>
          <w:szCs w:val="24"/>
        </w:rPr>
        <w:t>A.</w:t>
      </w:r>
    </w:p>
    <w:p w14:paraId="326792FE" w14:textId="055C00BA" w:rsidR="00B41AC1" w:rsidRPr="00D15EA6" w:rsidRDefault="00D15EA6" w:rsidP="00A00E8E">
      <w:pPr>
        <w:jc w:val="right"/>
        <w:rPr>
          <w:sz w:val="24"/>
          <w:szCs w:val="24"/>
          <w:lang w:val="en-US"/>
        </w:rPr>
      </w:pPr>
      <w:r w:rsidRPr="00D15EA6">
        <w:rPr>
          <w:sz w:val="24"/>
          <w:szCs w:val="24"/>
          <w:lang w:val="en-US"/>
        </w:rPr>
        <w:t xml:space="preserve">Michele </w:t>
      </w:r>
      <w:proofErr w:type="spellStart"/>
      <w:r w:rsidRPr="00D15EA6">
        <w:rPr>
          <w:sz w:val="24"/>
          <w:szCs w:val="24"/>
          <w:lang w:val="en-US"/>
        </w:rPr>
        <w:t>Josiane</w:t>
      </w:r>
      <w:proofErr w:type="spellEnd"/>
      <w:r w:rsidRPr="00D15EA6">
        <w:rPr>
          <w:sz w:val="24"/>
          <w:szCs w:val="24"/>
          <w:lang w:val="en-US"/>
        </w:rPr>
        <w:t xml:space="preserve"> </w:t>
      </w:r>
      <w:proofErr w:type="spellStart"/>
      <w:r w:rsidRPr="00D15EA6">
        <w:rPr>
          <w:sz w:val="24"/>
          <w:szCs w:val="24"/>
          <w:lang w:val="en-US"/>
        </w:rPr>
        <w:t>Rutz</w:t>
      </w:r>
      <w:proofErr w:type="spellEnd"/>
      <w:r w:rsidRPr="00D15EA6">
        <w:rPr>
          <w:sz w:val="24"/>
          <w:szCs w:val="24"/>
          <w:lang w:val="en-US"/>
        </w:rPr>
        <w:t xml:space="preserve"> </w:t>
      </w:r>
      <w:proofErr w:type="spellStart"/>
      <w:r w:rsidRPr="00D15EA6">
        <w:rPr>
          <w:sz w:val="24"/>
          <w:szCs w:val="24"/>
          <w:lang w:val="en-US"/>
        </w:rPr>
        <w:t>Buchweitz</w:t>
      </w:r>
      <w:proofErr w:type="spellEnd"/>
      <w:r w:rsidRPr="00D15EA6">
        <w:rPr>
          <w:sz w:val="24"/>
          <w:szCs w:val="24"/>
          <w:lang w:val="en-US"/>
        </w:rPr>
        <w:t xml:space="preserve"> – FURG</w:t>
      </w:r>
    </w:p>
    <w:p w14:paraId="62967D84" w14:textId="2CCFFBFD" w:rsidR="00D15EA6" w:rsidRPr="00D15EA6" w:rsidRDefault="00D15EA6" w:rsidP="00D15EA6">
      <w:pPr>
        <w:spacing w:after="120"/>
        <w:jc w:val="right"/>
        <w:rPr>
          <w:sz w:val="24"/>
          <w:szCs w:val="24"/>
          <w:lang w:val="en-US"/>
        </w:rPr>
      </w:pPr>
      <w:r w:rsidRPr="00D15EA6">
        <w:rPr>
          <w:sz w:val="24"/>
          <w:szCs w:val="24"/>
          <w:lang w:val="en-US"/>
        </w:rPr>
        <w:t>michelejrb@gmail.com</w:t>
      </w:r>
    </w:p>
    <w:p w14:paraId="028CADF5" w14:textId="4BBC1823" w:rsidR="00D15EA6" w:rsidRPr="00D15EA6" w:rsidRDefault="00D15EA6" w:rsidP="00A00E8E">
      <w:pPr>
        <w:jc w:val="right"/>
        <w:rPr>
          <w:sz w:val="24"/>
          <w:szCs w:val="24"/>
        </w:rPr>
      </w:pPr>
      <w:r>
        <w:rPr>
          <w:sz w:val="24"/>
          <w:szCs w:val="24"/>
        </w:rPr>
        <w:t>Ana Paula Capuano da Cruz – FURG</w:t>
      </w:r>
      <w:r w:rsidRPr="00D15EA6">
        <w:t xml:space="preserve"> </w:t>
      </w:r>
    </w:p>
    <w:p w14:paraId="69FA3DB5" w14:textId="09F6D055" w:rsidR="00D15EA6" w:rsidRPr="00D15EA6" w:rsidRDefault="00D15EA6" w:rsidP="00D15EA6">
      <w:pPr>
        <w:spacing w:after="120"/>
        <w:jc w:val="right"/>
        <w:rPr>
          <w:sz w:val="24"/>
          <w:szCs w:val="24"/>
        </w:rPr>
      </w:pPr>
      <w:r w:rsidRPr="00D15EA6">
        <w:rPr>
          <w:sz w:val="24"/>
          <w:szCs w:val="24"/>
        </w:rPr>
        <w:t>anapaulacapuanocruz@hotmail.com</w:t>
      </w:r>
    </w:p>
    <w:p w14:paraId="401E4151" w14:textId="2BEBD15F" w:rsidR="00D15EA6" w:rsidRPr="00D15EA6" w:rsidRDefault="00FB6E15" w:rsidP="00A00E8E">
      <w:pPr>
        <w:jc w:val="right"/>
        <w:rPr>
          <w:sz w:val="24"/>
          <w:szCs w:val="24"/>
        </w:rPr>
      </w:pPr>
      <w:r>
        <w:rPr>
          <w:sz w:val="24"/>
          <w:szCs w:val="24"/>
        </w:rPr>
        <w:t>Marco Aurélio Gomes Barbosa –</w:t>
      </w:r>
      <w:r w:rsidR="00D15EA6" w:rsidRPr="00D15EA6">
        <w:rPr>
          <w:sz w:val="24"/>
          <w:szCs w:val="24"/>
        </w:rPr>
        <w:t xml:space="preserve"> FURG</w:t>
      </w:r>
    </w:p>
    <w:p w14:paraId="4208F87A" w14:textId="5CA309A5" w:rsidR="00D15EA6" w:rsidRDefault="00D15EA6" w:rsidP="00D15EA6">
      <w:pPr>
        <w:spacing w:after="120"/>
        <w:jc w:val="right"/>
        <w:rPr>
          <w:sz w:val="24"/>
          <w:szCs w:val="24"/>
        </w:rPr>
      </w:pPr>
      <w:r w:rsidRPr="00D15EA6">
        <w:rPr>
          <w:sz w:val="24"/>
          <w:szCs w:val="24"/>
        </w:rPr>
        <w:t>marcoaureliogb@gmail.com</w:t>
      </w:r>
    </w:p>
    <w:p w14:paraId="4A7EF709" w14:textId="259B2E99" w:rsidR="00B41AC1" w:rsidRDefault="00D15EA6" w:rsidP="00A00E8E">
      <w:pPr>
        <w:jc w:val="right"/>
        <w:rPr>
          <w:sz w:val="24"/>
          <w:szCs w:val="24"/>
        </w:rPr>
      </w:pPr>
      <w:r>
        <w:rPr>
          <w:sz w:val="24"/>
          <w:szCs w:val="24"/>
        </w:rPr>
        <w:t>Thais Aparecida Pereira – FURG</w:t>
      </w:r>
    </w:p>
    <w:p w14:paraId="75B5E4B1" w14:textId="7CA8647C" w:rsidR="00D15EA6" w:rsidRPr="00D15EA6" w:rsidRDefault="00D15EA6" w:rsidP="00D15EA6">
      <w:pPr>
        <w:spacing w:after="120"/>
        <w:jc w:val="right"/>
        <w:rPr>
          <w:sz w:val="24"/>
          <w:szCs w:val="24"/>
        </w:rPr>
      </w:pPr>
      <w:r w:rsidRPr="00D15EA6">
        <w:rPr>
          <w:sz w:val="24"/>
          <w:szCs w:val="24"/>
        </w:rPr>
        <w:t>thais.2013.rs@gmail.com</w:t>
      </w:r>
    </w:p>
    <w:p w14:paraId="03D7E92B" w14:textId="77777777" w:rsidR="00B41AC1" w:rsidRPr="00A972B0" w:rsidRDefault="00B41AC1" w:rsidP="00A972B0">
      <w:pPr>
        <w:spacing w:after="120"/>
        <w:jc w:val="both"/>
        <w:rPr>
          <w:b/>
          <w:color w:val="999999"/>
          <w:sz w:val="24"/>
          <w:szCs w:val="24"/>
        </w:rPr>
      </w:pPr>
    </w:p>
    <w:p w14:paraId="548D246B" w14:textId="77777777" w:rsidR="000F3B64" w:rsidRDefault="00B41AC1" w:rsidP="00A972B0">
      <w:pPr>
        <w:spacing w:after="120"/>
        <w:jc w:val="both"/>
        <w:rPr>
          <w:b/>
          <w:sz w:val="24"/>
          <w:szCs w:val="24"/>
        </w:rPr>
      </w:pPr>
      <w:r w:rsidRPr="00A972B0">
        <w:rPr>
          <w:b/>
          <w:sz w:val="24"/>
          <w:szCs w:val="24"/>
        </w:rPr>
        <w:t xml:space="preserve">Resumo: </w:t>
      </w:r>
    </w:p>
    <w:p w14:paraId="0D18C262" w14:textId="1C474A6F" w:rsidR="00B41AC1" w:rsidRPr="00FF4D0B" w:rsidRDefault="000F3B64" w:rsidP="00FF4D0B">
      <w:pPr>
        <w:pStyle w:val="Standard"/>
        <w:spacing w:after="60"/>
        <w:ind w:firstLine="0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Baseando-se na premissa que a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informação contábil é relevante para o mercado de capitais de investidores de forma geral (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Figlioli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, 2017), para investidores </w:t>
      </w:r>
      <w:proofErr w:type="gramStart"/>
      <w:r w:rsidRPr="00A972B0">
        <w:rPr>
          <w:rFonts w:ascii="Times New Roman" w:hAnsi="Times New Roman" w:cs="Times New Roman"/>
          <w:spacing w:val="-3"/>
          <w:sz w:val="24"/>
          <w:szCs w:val="24"/>
        </w:rPr>
        <w:t>sociais (Cruz, 2010) e também muito útil</w:t>
      </w:r>
      <w:proofErr w:type="gram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às empresas que enfrentam dificuldade para manutenção de sua atividade (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Jupetipe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, 2017)</w:t>
      </w:r>
      <w:r>
        <w:rPr>
          <w:rFonts w:ascii="Times New Roman" w:hAnsi="Times New Roman" w:cs="Times New Roman"/>
          <w:spacing w:val="-3"/>
          <w:sz w:val="24"/>
          <w:szCs w:val="24"/>
        </w:rPr>
        <w:t>, este estudo buscou</w:t>
      </w:r>
      <w:r w:rsidRPr="000F3B64">
        <w:rPr>
          <w:rFonts w:ascii="Times New Roman" w:hAnsi="Times New Roman" w:cs="Times New Roman"/>
          <w:spacing w:val="-3"/>
          <w:sz w:val="24"/>
          <w:szCs w:val="24"/>
        </w:rPr>
        <w:t xml:space="preserve"> identificar os fatores que levaram a empresa Guerra S.A. ao declínio e posterior encerramento das atividades</w:t>
      </w:r>
      <w:r>
        <w:rPr>
          <w:rFonts w:ascii="Times New Roman" w:hAnsi="Times New Roman" w:cs="Times New Roman"/>
          <w:spacing w:val="-3"/>
          <w:sz w:val="24"/>
          <w:szCs w:val="24"/>
        </w:rPr>
        <w:t>. Considerando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que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as empresas passam por diversos processos ao longo de sua vida, atravessando dificuldades impostas por informações desencontradas e que tornam o ambiente organizacional propício a desencadear ciclos evolutivos nem sempre positivos na empresa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, esta pesquisa empregou a abordagem da riqueza socioemocional de empresas familiares </w:t>
      </w:r>
      <w:r w:rsidR="00FF4D0B">
        <w:rPr>
          <w:rFonts w:ascii="Times New Roman" w:hAnsi="Times New Roman" w:cs="Times New Roman"/>
          <w:spacing w:val="-3"/>
          <w:sz w:val="24"/>
          <w:szCs w:val="24"/>
        </w:rPr>
        <w:t>(</w:t>
      </w:r>
      <w:proofErr w:type="spellStart"/>
      <w:r w:rsidR="00FF4D0B">
        <w:rPr>
          <w:rFonts w:ascii="Times New Roman" w:hAnsi="Times New Roman" w:cs="Times New Roman"/>
          <w:spacing w:val="-3"/>
          <w:sz w:val="24"/>
          <w:szCs w:val="24"/>
        </w:rPr>
        <w:t>Berrone</w:t>
      </w:r>
      <w:proofErr w:type="spellEnd"/>
      <w:r w:rsidR="00FF4D0B">
        <w:rPr>
          <w:rFonts w:ascii="Times New Roman" w:hAnsi="Times New Roman" w:cs="Times New Roman"/>
          <w:spacing w:val="-3"/>
          <w:sz w:val="24"/>
          <w:szCs w:val="24"/>
        </w:rPr>
        <w:t>, Cruz &amp; Gomez-</w:t>
      </w:r>
      <w:proofErr w:type="spellStart"/>
      <w:r w:rsidR="00FF4D0B">
        <w:rPr>
          <w:rFonts w:ascii="Times New Roman" w:hAnsi="Times New Roman" w:cs="Times New Roman"/>
          <w:spacing w:val="-3"/>
          <w:sz w:val="24"/>
          <w:szCs w:val="24"/>
        </w:rPr>
        <w:t>Mejia</w:t>
      </w:r>
      <w:proofErr w:type="spellEnd"/>
      <w:r w:rsidR="00FF4D0B">
        <w:rPr>
          <w:rFonts w:ascii="Times New Roman" w:hAnsi="Times New Roman" w:cs="Times New Roman"/>
          <w:spacing w:val="-3"/>
          <w:sz w:val="24"/>
          <w:szCs w:val="24"/>
        </w:rPr>
        <w:t xml:space="preserve">, 2012),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a partir da perspectiva do declínio organizacional – uma fase do modelo do ciclo de vida proposto por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Miller e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Friesen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(1984)</w:t>
      </w:r>
      <w:r>
        <w:rPr>
          <w:rFonts w:ascii="Times New Roman" w:hAnsi="Times New Roman" w:cs="Times New Roman"/>
          <w:spacing w:val="-3"/>
          <w:sz w:val="24"/>
          <w:szCs w:val="24"/>
        </w:rPr>
        <w:t>. A investigação foi realizada por meio de análise de conteúdo de</w:t>
      </w:r>
      <w:r w:rsidR="006D1C41" w:rsidRPr="00FF4D0B">
        <w:rPr>
          <w:rFonts w:ascii="Times New Roman" w:hAnsi="Times New Roman" w:cs="Times New Roman"/>
          <w:spacing w:val="-3"/>
          <w:sz w:val="24"/>
          <w:szCs w:val="24"/>
        </w:rPr>
        <w:t xml:space="preserve"> reportagens extraídas de jornais e outras mídias virtuais. Optou-se por uma abordagem qualitativa, ao utilizar dados obtidos de fonte escrita e com a pretensão de compreender amplamente o fenômeno estudado (Godoy, 1995). O período de exame dos dados limitou-se de 2015 até 2018, por se tratar do intervalo de tempo em que a empresa começou a apresentar dificuldades (ao menos publicamente) até o momento em que houve a definição do encerramento das atividades. As comprovações obtidas sugerem que o declínio, última fase do ciclo de vida organizacional proposto por Miller e </w:t>
      </w:r>
      <w:proofErr w:type="spellStart"/>
      <w:r w:rsidR="006D1C41" w:rsidRPr="00FF4D0B">
        <w:rPr>
          <w:rFonts w:ascii="Times New Roman" w:hAnsi="Times New Roman" w:cs="Times New Roman"/>
          <w:spacing w:val="-3"/>
          <w:sz w:val="24"/>
          <w:szCs w:val="24"/>
        </w:rPr>
        <w:t>Friesen</w:t>
      </w:r>
      <w:proofErr w:type="spellEnd"/>
      <w:r w:rsidR="006D1C41" w:rsidRPr="00FF4D0B">
        <w:rPr>
          <w:rFonts w:ascii="Times New Roman" w:hAnsi="Times New Roman" w:cs="Times New Roman"/>
          <w:spacing w:val="-3"/>
          <w:sz w:val="24"/>
          <w:szCs w:val="24"/>
        </w:rPr>
        <w:t xml:space="preserve"> (1984) e, consequentemente, a falência e encerramento das atividades da Guerra S.A. deveu-se muito pelo fato de os tomadores de decisão não atuarem de forma eficaz e enérgica na resolução dos problemas enfrentados pela empresa e por disputas de interesse entre a controladora e o membro familiar que respondia por cotas minoritárias das ações.</w:t>
      </w:r>
      <w:r w:rsidR="00B41AC1" w:rsidRPr="00FF4D0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</w:p>
    <w:p w14:paraId="09E5E014" w14:textId="77777777" w:rsidR="00B41AC1" w:rsidRPr="00A972B0" w:rsidRDefault="00B41AC1" w:rsidP="00A972B0">
      <w:pPr>
        <w:spacing w:after="120"/>
        <w:jc w:val="both"/>
        <w:rPr>
          <w:b/>
          <w:sz w:val="24"/>
          <w:szCs w:val="24"/>
        </w:rPr>
      </w:pPr>
    </w:p>
    <w:p w14:paraId="52D214C3" w14:textId="1FE045BF" w:rsidR="00B41AC1" w:rsidRPr="00A972B0" w:rsidRDefault="00B41AC1" w:rsidP="00A972B0">
      <w:pPr>
        <w:spacing w:after="120"/>
        <w:jc w:val="both"/>
        <w:rPr>
          <w:sz w:val="24"/>
          <w:szCs w:val="24"/>
        </w:rPr>
      </w:pPr>
      <w:r w:rsidRPr="00A972B0">
        <w:rPr>
          <w:b/>
          <w:sz w:val="24"/>
          <w:szCs w:val="24"/>
        </w:rPr>
        <w:t xml:space="preserve">Palavras-chave: </w:t>
      </w:r>
      <w:r w:rsidR="006D1C41" w:rsidRPr="00A972B0">
        <w:rPr>
          <w:spacing w:val="-3"/>
          <w:sz w:val="24"/>
          <w:szCs w:val="24"/>
        </w:rPr>
        <w:t>DECLÍNIO ORGANIZACIONAL; EMPRESA FAMILIAR;</w:t>
      </w:r>
      <w:r w:rsidR="006D1C41" w:rsidRPr="00A972B0">
        <w:rPr>
          <w:b/>
          <w:spacing w:val="-3"/>
          <w:sz w:val="24"/>
          <w:szCs w:val="24"/>
        </w:rPr>
        <w:t xml:space="preserve"> </w:t>
      </w:r>
      <w:r w:rsidR="006D1C41" w:rsidRPr="00A972B0">
        <w:rPr>
          <w:spacing w:val="-3"/>
          <w:sz w:val="24"/>
          <w:szCs w:val="24"/>
        </w:rPr>
        <w:t>RIQUEZA SOCIOEMOCIONAL.</w:t>
      </w:r>
      <w:r w:rsidRPr="00A972B0">
        <w:rPr>
          <w:sz w:val="24"/>
          <w:szCs w:val="24"/>
        </w:rPr>
        <w:t xml:space="preserve"> </w:t>
      </w:r>
    </w:p>
    <w:p w14:paraId="60737134" w14:textId="77777777" w:rsidR="00B41AC1" w:rsidRPr="00A972B0" w:rsidRDefault="00B41AC1" w:rsidP="00A972B0">
      <w:pPr>
        <w:spacing w:after="120"/>
        <w:jc w:val="both"/>
        <w:rPr>
          <w:sz w:val="24"/>
          <w:szCs w:val="24"/>
        </w:rPr>
      </w:pPr>
    </w:p>
    <w:p w14:paraId="3F2C6C65" w14:textId="33AA1F8F" w:rsidR="006D1C41" w:rsidRPr="00A972B0" w:rsidRDefault="00B41AC1" w:rsidP="00A972B0">
      <w:pPr>
        <w:spacing w:after="120"/>
        <w:jc w:val="both"/>
        <w:rPr>
          <w:sz w:val="24"/>
          <w:szCs w:val="24"/>
        </w:rPr>
      </w:pPr>
      <w:r w:rsidRPr="00A972B0">
        <w:rPr>
          <w:b/>
          <w:sz w:val="24"/>
          <w:szCs w:val="24"/>
        </w:rPr>
        <w:t xml:space="preserve">Linha Temática: </w:t>
      </w:r>
      <w:r w:rsidR="006D1C41" w:rsidRPr="00A972B0">
        <w:rPr>
          <w:b/>
          <w:spacing w:val="-3"/>
          <w:sz w:val="24"/>
          <w:szCs w:val="24"/>
        </w:rPr>
        <w:t>Contabilidade Gerencial - Gest</w:t>
      </w:r>
      <w:r w:rsidR="006D1C41" w:rsidRPr="00A972B0">
        <w:rPr>
          <w:spacing w:val="-3"/>
          <w:sz w:val="24"/>
          <w:szCs w:val="24"/>
        </w:rPr>
        <w:t xml:space="preserve">ão Estratégica (Planejamento e Controle Empresarial) </w:t>
      </w:r>
    </w:p>
    <w:p w14:paraId="38600AAA" w14:textId="77777777" w:rsidR="00A972B0" w:rsidRPr="00A972B0" w:rsidRDefault="00A972B0" w:rsidP="00A972B0">
      <w:pPr>
        <w:suppressAutoHyphens w:val="0"/>
        <w:spacing w:after="120"/>
        <w:jc w:val="both"/>
        <w:rPr>
          <w:rFonts w:eastAsia="Calibri"/>
          <w:spacing w:val="-3"/>
          <w:kern w:val="1"/>
          <w:sz w:val="24"/>
          <w:szCs w:val="24"/>
          <w:lang w:eastAsia="en-US"/>
        </w:rPr>
      </w:pPr>
      <w:r w:rsidRPr="00A972B0">
        <w:rPr>
          <w:spacing w:val="-3"/>
          <w:sz w:val="24"/>
          <w:szCs w:val="24"/>
        </w:rPr>
        <w:br w:type="page"/>
      </w:r>
    </w:p>
    <w:p w14:paraId="264726C6" w14:textId="5785E03E" w:rsidR="006D1C41" w:rsidRPr="00A972B0" w:rsidRDefault="006D1C41" w:rsidP="005D74AD">
      <w:pPr>
        <w:pStyle w:val="Standard"/>
        <w:spacing w:before="120" w:after="120"/>
        <w:ind w:firstLine="0"/>
        <w:outlineLvl w:val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b/>
          <w:spacing w:val="-3"/>
          <w:sz w:val="24"/>
          <w:szCs w:val="24"/>
        </w:rPr>
        <w:lastRenderedPageBreak/>
        <w:t>1 INTRODUÇÃO</w:t>
      </w:r>
    </w:p>
    <w:p w14:paraId="3AECEC6F" w14:textId="77777777" w:rsidR="00C55B07" w:rsidRDefault="00D56875" w:rsidP="00AF3F37">
      <w:pPr>
        <w:pStyle w:val="Standard"/>
        <w:spacing w:after="60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Ao ser empregada oportunamente, a informação contábil </w:t>
      </w:r>
      <w:r w:rsidR="006C7E88">
        <w:rPr>
          <w:rFonts w:ascii="Times New Roman" w:hAnsi="Times New Roman" w:cs="Times New Roman"/>
          <w:spacing w:val="-3"/>
          <w:sz w:val="24"/>
          <w:szCs w:val="24"/>
        </w:rPr>
        <w:t>diminui as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incertezas </w:t>
      </w:r>
      <w:r w:rsidR="0033106A">
        <w:rPr>
          <w:rFonts w:ascii="Times New Roman" w:hAnsi="Times New Roman" w:cs="Times New Roman"/>
          <w:spacing w:val="-3"/>
          <w:sz w:val="24"/>
          <w:szCs w:val="24"/>
        </w:rPr>
        <w:t>que preocupam seus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usuários</w:t>
      </w:r>
      <w:r w:rsidR="006C7E88">
        <w:rPr>
          <w:rFonts w:ascii="Times New Roman" w:hAnsi="Times New Roman" w:cs="Times New Roman"/>
          <w:spacing w:val="-3"/>
          <w:sz w:val="24"/>
          <w:szCs w:val="24"/>
        </w:rPr>
        <w:t xml:space="preserve"> e a assimetria informacional</w:t>
      </w:r>
      <w:r w:rsidR="00CF20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3106A">
        <w:rPr>
          <w:rFonts w:ascii="Times New Roman" w:hAnsi="Times New Roman" w:cs="Times New Roman"/>
          <w:spacing w:val="-3"/>
          <w:sz w:val="24"/>
          <w:szCs w:val="24"/>
        </w:rPr>
        <w:t xml:space="preserve">de forma geral </w:t>
      </w:r>
      <w:r w:rsidR="00CF2060">
        <w:rPr>
          <w:rFonts w:ascii="Times New Roman" w:hAnsi="Times New Roman" w:cs="Times New Roman"/>
          <w:spacing w:val="-3"/>
          <w:sz w:val="24"/>
          <w:szCs w:val="24"/>
        </w:rPr>
        <w:t>(</w:t>
      </w:r>
      <w:proofErr w:type="spellStart"/>
      <w:r w:rsidR="00CF2060">
        <w:rPr>
          <w:rFonts w:ascii="Times New Roman" w:hAnsi="Times New Roman" w:cs="Times New Roman"/>
          <w:spacing w:val="-3"/>
          <w:sz w:val="24"/>
          <w:szCs w:val="24"/>
        </w:rPr>
        <w:t>Jupetipe</w:t>
      </w:r>
      <w:proofErr w:type="spellEnd"/>
      <w:r w:rsidR="00CF2060">
        <w:rPr>
          <w:rFonts w:ascii="Times New Roman" w:hAnsi="Times New Roman" w:cs="Times New Roman"/>
          <w:spacing w:val="-3"/>
          <w:sz w:val="24"/>
          <w:szCs w:val="24"/>
        </w:rPr>
        <w:t xml:space="preserve">, 2017). </w:t>
      </w:r>
      <w:r w:rsidR="007B4210">
        <w:rPr>
          <w:rFonts w:ascii="Times New Roman" w:hAnsi="Times New Roman" w:cs="Times New Roman"/>
          <w:spacing w:val="-3"/>
          <w:sz w:val="24"/>
          <w:szCs w:val="24"/>
        </w:rPr>
        <w:t>Segundo a autora,</w:t>
      </w:r>
      <w:r w:rsidR="000B7A73">
        <w:rPr>
          <w:rFonts w:ascii="Times New Roman" w:hAnsi="Times New Roman" w:cs="Times New Roman"/>
          <w:spacing w:val="-3"/>
          <w:sz w:val="24"/>
          <w:szCs w:val="24"/>
        </w:rPr>
        <w:t xml:space="preserve"> divergências nas informações disponibilizadas pela contabilidade geram, inclusive, 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problemas nos procedimentos de falência, assim como em casos de recuperação judicial. </w:t>
      </w:r>
    </w:p>
    <w:p w14:paraId="36C44F92" w14:textId="2E374487" w:rsidR="006D1C41" w:rsidRPr="00A972B0" w:rsidRDefault="00CF2060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N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>a ótica da Ciência da Informação, as informações contábeis representam documentos com dupla função: “a) legal, comprobatória de atividades desenvolvidas pela instituição produtora; e b) informativa, de interesse para potenciais usuários que atuam no mercado de capitais”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(Valente, 2014, p. 263)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>. Para Ribeiro Filho, Lopes e Pederneiras (2009) há uma ampla variedade de usuários que se utilizam das informações contábeis disponibilizadas pelas empresas, e por isso, se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privilegia o usuário externo em detrimento da própria empresa, em busca da uniformidade das demonstrações exigidas. </w:t>
      </w:r>
    </w:p>
    <w:p w14:paraId="242D5634" w14:textId="1BF44F39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Seja para cumprir a legislação ou para atrair novos investidores, as empresas exploram diferentes meios de comunicação como um recurso para expor ou ocultar informações que não t</w:t>
      </w:r>
      <w:r w:rsidR="00CF2060">
        <w:rPr>
          <w:rFonts w:ascii="Times New Roman" w:hAnsi="Times New Roman" w:cs="Times New Roman"/>
          <w:spacing w:val="-3"/>
          <w:sz w:val="24"/>
          <w:szCs w:val="24"/>
        </w:rPr>
        <w:t>ê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m interesse de que se tornem ou não públicas, desviar a atenção ou até mesmo para acobertar possíveis ilícitos. Assim, nem toda informação é divulgada no intuito de revelar o que realmente está acontecendo com a empresa, nem sempre o que está disponível na mídia é a integralidade dos fatos que ocorreram em determinada circunstância, como o que pode ser observado em questões omitidas pelas empresas em seus demonstrativos e balanços, por exemplo.</w:t>
      </w:r>
    </w:p>
    <w:p w14:paraId="08933A17" w14:textId="044D1947" w:rsidR="006D1C41" w:rsidRPr="00A972B0" w:rsidRDefault="006D1C41" w:rsidP="00C4243F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A informação contábil é relevante para o mercado de capitais de investidores de forma geral (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Figlioli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, 2017), para investidores sociais (Cruz, 2010) e mostra-se também muito útil às empresas que enfrentam dificuldade para manutenção de sua atividade (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Jupetipe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, 2017). Nesse sentido, as empresas passam por diversos processos ao longo de sua vida, atravessando dificuldades impostas por informações desencontradas e que tornam o ambiente organizacional propício a desencadear ciclos evolutivos nem sempre positivos na empresa.</w:t>
      </w:r>
      <w:r w:rsidR="00C4243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Considerando-se essa perspectiva, as atividades das empresas podem ser exploradas a partir do seu ciclo de vida, tentando</w:t>
      </w:r>
      <w:r w:rsidR="000B7A73">
        <w:rPr>
          <w:rFonts w:ascii="Times New Roman" w:hAnsi="Times New Roman" w:cs="Times New Roman"/>
          <w:spacing w:val="-3"/>
          <w:sz w:val="24"/>
          <w:szCs w:val="24"/>
        </w:rPr>
        <w:t>-se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compreender a evolução das organizações (Frezatti; Bido; Mucci &amp; Beck, 2017). As empresas nascem, crescem, e, apesar do desejo de seus proprietários de manutenção de suas atividades de longo prazo, algumas acabam entrando em uma fase denominada de declínio. </w:t>
      </w:r>
    </w:p>
    <w:p w14:paraId="467724A3" w14:textId="77777777" w:rsidR="004E0B16" w:rsidRDefault="006D1C41" w:rsidP="00AF3F37">
      <w:pPr>
        <w:pStyle w:val="Standard"/>
        <w:spacing w:after="60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As pesquisas realizadas no ciclo de vida de declínio são escassas e um dos pontos</w:t>
      </w:r>
      <w:r w:rsidR="000B7A7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chave para essa carência é de que “o declínio organizacional está relacionado à deterioração da base de recursos e ao desempenho de uma organização por um período de tempo sustentado. Embora alguns estudos tenham sido conduzidos, continua sendo um fenômeno pouco estudado, apesar da sua importância” (Serra, Pinto,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Guerrazzi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&amp; Ferreira, 2017, p. 2). </w:t>
      </w:r>
    </w:p>
    <w:p w14:paraId="06B991A9" w14:textId="63C553C9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Os autores reforçam que existem ao menos três aspectos distintos que podem ser percebidos nesta fase da vida organizacional, quais sejam: i) declínio organizacional em si;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ii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) estudos sobre a reviravolta; e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iii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) mortalidade. </w:t>
      </w:r>
      <w:r w:rsidR="000B7A73">
        <w:rPr>
          <w:rFonts w:ascii="Times New Roman" w:hAnsi="Times New Roman" w:cs="Times New Roman"/>
          <w:spacing w:val="-3"/>
          <w:sz w:val="24"/>
          <w:szCs w:val="24"/>
        </w:rPr>
        <w:t xml:space="preserve">Nesse contexto, destaca-se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a necessidade de uma melhor definição da fase de declínio, questões cognitivas e outras questões sobre a tomada de decisões e problemas metodológicos específicos, a fim de entender melhor por que as empresas entram nesta fase, como evita-la, identificando de que maneira a capacidade e os processos decisórios acontecem, culminando em perda de valor e deterioração dos recursos. Ainda é preciso avaliar se as teorias que explicam o crescimento também são capazes de explicar o declínio (Serra</w:t>
      </w:r>
      <w:r w:rsidR="000B7A7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B7A73">
        <w:rPr>
          <w:rFonts w:ascii="Times New Roman" w:hAnsi="Times New Roman" w:cs="Times New Roman"/>
          <w:i/>
          <w:spacing w:val="-3"/>
          <w:sz w:val="24"/>
          <w:szCs w:val="24"/>
        </w:rPr>
        <w:t>et al.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, 2017).</w:t>
      </w:r>
    </w:p>
    <w:p w14:paraId="4CC64179" w14:textId="77777777" w:rsidR="004E0B16" w:rsidRDefault="006D1C41" w:rsidP="00AF3F37">
      <w:pPr>
        <w:pStyle w:val="Standard"/>
        <w:spacing w:after="60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Dentre os mais variados tipos de organizações, destacam-se as empresas familiares, bastante representativas no cenário brasileiro. Assim, quando se trata de empresas controladas por família, a compreensão do declínio pode apresentar um componente adicional: a influência exercida pela família. Segundo Frezatti</w:t>
      </w:r>
      <w:r w:rsidR="000B7A7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B7A73">
        <w:rPr>
          <w:rFonts w:ascii="Times New Roman" w:hAnsi="Times New Roman" w:cs="Times New Roman"/>
          <w:i/>
          <w:spacing w:val="-3"/>
          <w:sz w:val="24"/>
          <w:szCs w:val="24"/>
        </w:rPr>
        <w:t>et al.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(2017), tal influência adiciona complexidade aos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lastRenderedPageBreak/>
        <w:t xml:space="preserve">modelos de ciclo de vida organizacional no caso de empresas familiares, devido às peculiaridades apresentadas por esse tipo de organização. </w:t>
      </w:r>
    </w:p>
    <w:p w14:paraId="151DB29E" w14:textId="6CCA8F34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Estudos envolvendo estágios de ciclo de vida aplicam a concepção de que as empresas experimentam os estágios no decorrer de suas vidas, no qual “cada estágio está associado a padrões ambientais, estratégicos, estruturais e de tomada de decisão característicos” (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Necyk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&amp;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Frezatti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, 2010, p. 726). Neste estudo buscou-se explorar associadamente o ciclo de vida (mais especificamente o estágio de declínio), empresas familiares e a riqueza socioemocional no âmbito organizacional.</w:t>
      </w:r>
    </w:p>
    <w:p w14:paraId="43B9ED77" w14:textId="1B2A3210" w:rsidR="006D1C41" w:rsidRPr="00441B11" w:rsidRDefault="006D1C41" w:rsidP="00441B11">
      <w:pPr>
        <w:pStyle w:val="Standard"/>
        <w:spacing w:after="60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Diante do exposto, esta pesquisa explora </w:t>
      </w:r>
      <w:r w:rsidR="000B7A73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o declínio, destacado por Serra </w:t>
      </w:r>
      <w:r w:rsidR="000B7A73" w:rsidRPr="00A972B0">
        <w:rPr>
          <w:rFonts w:ascii="Times New Roman" w:hAnsi="Times New Roman" w:cs="Times New Roman"/>
          <w:i/>
          <w:spacing w:val="-3"/>
          <w:sz w:val="24"/>
          <w:szCs w:val="24"/>
        </w:rPr>
        <w:t xml:space="preserve">et al. </w:t>
      </w:r>
      <w:r w:rsidR="000B7A73" w:rsidRPr="00A972B0">
        <w:rPr>
          <w:rFonts w:ascii="Times New Roman" w:hAnsi="Times New Roman" w:cs="Times New Roman"/>
          <w:spacing w:val="-3"/>
          <w:sz w:val="24"/>
          <w:szCs w:val="24"/>
        </w:rPr>
        <w:t>(2017</w:t>
      </w:r>
      <w:r w:rsidR="000B7A73">
        <w:rPr>
          <w:rFonts w:ascii="Times New Roman" w:hAnsi="Times New Roman" w:cs="Times New Roman"/>
          <w:spacing w:val="-3"/>
          <w:sz w:val="24"/>
          <w:szCs w:val="24"/>
        </w:rPr>
        <w:t>)</w:t>
      </w:r>
      <w:r w:rsidR="000B7A73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a</w:t>
      </w:r>
      <w:r w:rsidR="000B7A73">
        <w:rPr>
          <w:rFonts w:ascii="Times New Roman" w:hAnsi="Times New Roman" w:cs="Times New Roman"/>
          <w:spacing w:val="-3"/>
          <w:sz w:val="24"/>
          <w:szCs w:val="24"/>
        </w:rPr>
        <w:t xml:space="preserve"> partir da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situação da Guerra S.A.</w:t>
      </w:r>
      <w:r w:rsidR="000B7A73">
        <w:rPr>
          <w:rFonts w:ascii="Times New Roman" w:hAnsi="Times New Roman" w:cs="Times New Roman"/>
          <w:spacing w:val="-3"/>
          <w:sz w:val="24"/>
          <w:szCs w:val="24"/>
        </w:rPr>
        <w:t xml:space="preserve"> –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uma empresa familiar sediada no Rio Grande do Sul</w:t>
      </w:r>
      <w:r w:rsidR="009C3373">
        <w:rPr>
          <w:rFonts w:ascii="Times New Roman" w:hAnsi="Times New Roman" w:cs="Times New Roman"/>
          <w:spacing w:val="-3"/>
          <w:sz w:val="24"/>
          <w:szCs w:val="24"/>
        </w:rPr>
        <w:t xml:space="preserve"> (RS)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, que iniciou suas atividades em 1970</w:t>
      </w:r>
      <w:r w:rsidR="000B7A73">
        <w:rPr>
          <w:rFonts w:ascii="Times New Roman" w:hAnsi="Times New Roman" w:cs="Times New Roman"/>
          <w:spacing w:val="-3"/>
          <w:sz w:val="24"/>
          <w:szCs w:val="24"/>
        </w:rPr>
        <w:t xml:space="preserve"> – que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experimentou fases de crescimento e maturidade e, em novembro de 2017 teve sua falência decretada pela justiça. Assim, devido ao fato deste tipo de pesquisa ser pouco explorad</w:t>
      </w:r>
      <w:r w:rsidR="00A00E8E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e a fim de contribuir com o escopo sobre o assunto, desenvolve-se esta investigação a partir da seguinte questão de pesquisa: </w:t>
      </w:r>
      <w:r w:rsidRPr="00A972B0">
        <w:rPr>
          <w:rFonts w:ascii="Times New Roman" w:hAnsi="Times New Roman" w:cs="Times New Roman"/>
          <w:b/>
          <w:spacing w:val="-3"/>
          <w:sz w:val="24"/>
          <w:szCs w:val="24"/>
        </w:rPr>
        <w:t>Quais fatores levaram a empresa Guerra S.A. ao declínio?</w:t>
      </w:r>
    </w:p>
    <w:p w14:paraId="45A4DD69" w14:textId="0DA72870" w:rsidR="006D1C41" w:rsidRPr="00A972B0" w:rsidRDefault="006D1C41" w:rsidP="00C4243F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Desta maneira, busca-se identificar os fatores que levaram uma das maiores fabricantes de implementos rodoviários da América Latina ao enfrentamento da fase de declínio, e quais peculiaridades podem ser visualizadas nesta </w:t>
      </w:r>
      <w:r w:rsidR="00EF43FD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fase.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Mapear os principais fatores que contribuíram para o declínio organizacional de uma empresa como a Guerra S.A. é relevante porque contribui para outras organizações que se encontram nesse estágio do ciclo de vida, buscando informações sobre as circunstâncias que levaram a empresa a chegar à fase vivenciada, e para a academia através de bases para futuros estudos sobre os constructos apresentados em conjunto neste estudo: ciclo de vida (declínio), empresa familiar e</w:t>
      </w:r>
      <w:r w:rsidR="002F40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riqueza socioemocional.</w:t>
      </w:r>
    </w:p>
    <w:p w14:paraId="60CEE98C" w14:textId="77777777" w:rsidR="006D1C41" w:rsidRPr="00A972B0" w:rsidRDefault="006D1C41" w:rsidP="005D74AD">
      <w:pPr>
        <w:pStyle w:val="Standard"/>
        <w:spacing w:before="120" w:after="120"/>
        <w:ind w:firstLine="0"/>
        <w:outlineLvl w:val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b/>
          <w:spacing w:val="-3"/>
          <w:sz w:val="24"/>
          <w:szCs w:val="24"/>
        </w:rPr>
        <w:t>2 FUNDAMENTAÇÃO</w:t>
      </w:r>
    </w:p>
    <w:p w14:paraId="7CE288FB" w14:textId="0F5F98E2" w:rsidR="006D1C41" w:rsidRPr="00A972B0" w:rsidRDefault="006D1C41" w:rsidP="00AF3F37">
      <w:pPr>
        <w:pStyle w:val="Standard"/>
        <w:spacing w:after="6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ab/>
        <w:t xml:space="preserve">Os fundamentos que servem de base para esta </w:t>
      </w:r>
      <w:r w:rsidR="002F4001">
        <w:rPr>
          <w:rFonts w:ascii="Times New Roman" w:hAnsi="Times New Roman" w:cs="Times New Roman"/>
          <w:spacing w:val="-3"/>
          <w:sz w:val="24"/>
          <w:szCs w:val="24"/>
        </w:rPr>
        <w:t>pesquisa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levam em conta especificidades das empresas familiares, o ciclo de vida que a organização enfrenta, com destaque para o estágio de declínio e, por fim, a riqueza socioemocional</w:t>
      </w:r>
      <w:r w:rsidR="002F40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que fornece o aporte teórico para a discussão.</w:t>
      </w:r>
    </w:p>
    <w:p w14:paraId="19ADFF52" w14:textId="77777777" w:rsidR="006D1C41" w:rsidRPr="00A972B0" w:rsidRDefault="006D1C41" w:rsidP="005D74AD">
      <w:pPr>
        <w:pStyle w:val="Standard"/>
        <w:spacing w:before="120" w:after="60"/>
        <w:ind w:firstLine="0"/>
        <w:outlineLvl w:val="1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b/>
          <w:spacing w:val="-3"/>
          <w:sz w:val="24"/>
          <w:szCs w:val="24"/>
        </w:rPr>
        <w:t>2.1 Empresa Familiar</w:t>
      </w:r>
    </w:p>
    <w:p w14:paraId="4328A343" w14:textId="77777777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Para Leone (2004) a empresa familiar pode ser conceituada a partir de três abordagens, as quais são: i) propriedade, em que o controle é usufruído pela família proprietária da empresa (a qual possui seu controle ou a maior parte de seu capital);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ii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) gestão, os membros da família ocupam altos cargos na empresa; e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iii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) sucessão, os membros da família ocupam os cargos vagos por seus parentes continuamente. Na presente pesquisa, a perspectiva utilizada para abordar o estudo da Guerra S.A. é a de propriedade, visto que a empresa possuía como elemento de associação à empresa familiar ser dona do negócio.</w:t>
      </w:r>
    </w:p>
    <w:p w14:paraId="2CB42F0B" w14:textId="77777777" w:rsidR="004E0B16" w:rsidRDefault="006D1C41" w:rsidP="00AF3F37">
      <w:pPr>
        <w:pStyle w:val="Standard"/>
        <w:spacing w:after="60"/>
        <w:rPr>
          <w:rFonts w:ascii="Times New Roman" w:hAnsi="Times New Roman" w:cs="Times New Roman"/>
          <w:spacing w:val="-3"/>
          <w:sz w:val="24"/>
          <w:szCs w:val="24"/>
        </w:rPr>
      </w:pPr>
      <w:r w:rsidRPr="00773269">
        <w:rPr>
          <w:rFonts w:ascii="Times New Roman" w:hAnsi="Times New Roman" w:cs="Times New Roman"/>
          <w:spacing w:val="-3"/>
          <w:sz w:val="24"/>
          <w:szCs w:val="24"/>
        </w:rPr>
        <w:t>Silva Junior e Muniz (2003) desenvolveram um estudo que mescla o tema sobre empresa familiar, o processo sucessório, as relações de poder, a profissionalização e a sobrevivência deste tipo de organização. A análise da fase em que a empresa vivenciava e a venda do empreendimento familiar para uma empresa transnacional também foram abordadas. Os autores retratam a ascensão, declínio e falência de uma empresa com gestão familiar com 73 anos de existência. A falência é analisada no presente artigo, o qual busca identificar quais aspectos que levaram ao declínio da empresa objeto deste estudo.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</w:p>
    <w:p w14:paraId="30C921E4" w14:textId="177D7DA2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 representatividade e importância da empresa familiar na economia mundial são enaltecidas por Silva Junior e Muniz (2003). Para os autores, da junção de família e empresa surge a empresa familiar, a qual quando sobrevive aos ciclos de vida, perpassa </w:t>
      </w:r>
      <w:r w:rsidR="00E55516">
        <w:rPr>
          <w:rFonts w:ascii="Times New Roman" w:hAnsi="Times New Roman" w:cs="Times New Roman"/>
          <w:spacing w:val="-3"/>
          <w:sz w:val="24"/>
          <w:szCs w:val="24"/>
        </w:rPr>
        <w:t>pela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sucessão. A sobrevivência da empresa nas mãos da família, muitas vezes, depende do desempenho </w:t>
      </w:r>
      <w:r w:rsidR="00E55516">
        <w:rPr>
          <w:rFonts w:ascii="Times New Roman" w:hAnsi="Times New Roman" w:cs="Times New Roman"/>
          <w:spacing w:val="-3"/>
          <w:sz w:val="24"/>
          <w:szCs w:val="24"/>
        </w:rPr>
        <w:t>d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o sucessor na condução do empreendimento (Silva Junior </w:t>
      </w:r>
      <w:r w:rsidR="00E55516">
        <w:rPr>
          <w:rFonts w:ascii="Times New Roman" w:hAnsi="Times New Roman" w:cs="Times New Roman"/>
          <w:spacing w:val="-3"/>
          <w:sz w:val="24"/>
          <w:szCs w:val="24"/>
        </w:rPr>
        <w:t>&amp;</w:t>
      </w:r>
      <w:r w:rsidR="00E55516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Muniz, 2003). </w:t>
      </w:r>
      <w:r w:rsidR="00E55516">
        <w:rPr>
          <w:rFonts w:ascii="Times New Roman" w:hAnsi="Times New Roman" w:cs="Times New Roman"/>
          <w:spacing w:val="-3"/>
          <w:sz w:val="24"/>
          <w:szCs w:val="24"/>
        </w:rPr>
        <w:t>Quanto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à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lastRenderedPageBreak/>
        <w:t xml:space="preserve">sobrevivência das empresas familiares, existe uma proporcionalidade entre o surgimento, as extinções e mortes desse tipo de organização. Outro fator relevante é a maneira com que essas empresas são estudadas, a partir das mudanças que ocorrem na própria família, assim, muitos acontecimentos que </w:t>
      </w:r>
      <w:r w:rsidR="00D05B6E" w:rsidRPr="00A972B0">
        <w:rPr>
          <w:rFonts w:ascii="Times New Roman" w:hAnsi="Times New Roman" w:cs="Times New Roman"/>
          <w:spacing w:val="-3"/>
          <w:sz w:val="24"/>
          <w:szCs w:val="24"/>
        </w:rPr>
        <w:t>se desenrolam</w:t>
      </w:r>
      <w:r w:rsidR="00E5551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no âmbito familiar são também sentidos na vida profissional da organização familiar (Silva Junior &amp; Muniz, 2003). </w:t>
      </w:r>
    </w:p>
    <w:p w14:paraId="676A94C8" w14:textId="77777777" w:rsidR="00043A20" w:rsidRDefault="006D1C41" w:rsidP="0080377E">
      <w:pPr>
        <w:pStyle w:val="Standard"/>
        <w:spacing w:after="60"/>
        <w:ind w:firstLine="708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Três (2010) objetivou identificar as principais causas de declínio e as ações que promovem o </w:t>
      </w:r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turnaround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dos negócios nos diferentes estágios do ciclo de vida organizacional. Um dos principais achados da pesquisa foi que as crises econômicas retratam as vulnerabilidades das empresas, entretanto, o autor cita o declínio como uma fase antecedente às crises, justificando a identific</w:t>
      </w:r>
      <w:r w:rsidR="00043A20">
        <w:rPr>
          <w:rFonts w:ascii="Times New Roman" w:hAnsi="Times New Roman" w:cs="Times New Roman"/>
          <w:spacing w:val="-3"/>
          <w:sz w:val="24"/>
          <w:szCs w:val="24"/>
        </w:rPr>
        <w:t xml:space="preserve">ação e controle deste estágio. </w:t>
      </w:r>
    </w:p>
    <w:p w14:paraId="7E645EAA" w14:textId="7EDAAC5F" w:rsidR="00A972B0" w:rsidRDefault="006D1C41" w:rsidP="0080377E">
      <w:pPr>
        <w:pStyle w:val="Standard"/>
        <w:spacing w:after="60"/>
        <w:ind w:firstLine="708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O declínio e a retomada do desempenho anteriormente apresentados pela empresa são considerados processos que englobam dimensões econômicas, financeiras, estratégicas e humanas. Todas essas inter-relações sofrem influências externas </w:t>
      </w:r>
      <w:r w:rsidR="00773269">
        <w:rPr>
          <w:rFonts w:ascii="Times New Roman" w:hAnsi="Times New Roman" w:cs="Times New Roman"/>
          <w:spacing w:val="-3"/>
          <w:sz w:val="24"/>
          <w:szCs w:val="24"/>
        </w:rPr>
        <w:t>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internas, e contribuem na modificação do ambiente empresarial. Uma empresa mal gerida e que sofre com fatores externos (regulações, concorrência, inflação e juros elevados) naturalmente tende a enfrentar problemas de ordem financeira </w:t>
      </w:r>
      <w:r w:rsidR="00773269">
        <w:rPr>
          <w:rFonts w:ascii="Times New Roman" w:hAnsi="Times New Roman" w:cs="Times New Roman"/>
          <w:spacing w:val="-3"/>
          <w:sz w:val="24"/>
          <w:szCs w:val="24"/>
        </w:rPr>
        <w:t>na fase de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declínio organizacional, aumentando ainda mais as dificuldades nesse estágio do ciclo de vida (Três, 2010). </w:t>
      </w:r>
    </w:p>
    <w:p w14:paraId="609C28F9" w14:textId="015A4060" w:rsidR="006D1C41" w:rsidRPr="00A972B0" w:rsidRDefault="006D1C41" w:rsidP="005D74AD">
      <w:pPr>
        <w:pStyle w:val="Standard"/>
        <w:spacing w:before="120" w:after="60"/>
        <w:ind w:firstLine="0"/>
        <w:outlineLvl w:val="1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b/>
          <w:spacing w:val="-3"/>
          <w:sz w:val="24"/>
          <w:szCs w:val="24"/>
        </w:rPr>
        <w:t>2.2 Declínio Organizacional</w:t>
      </w:r>
    </w:p>
    <w:p w14:paraId="6B93F510" w14:textId="11333625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As empresas </w:t>
      </w:r>
      <w:r w:rsidR="00F66C89">
        <w:rPr>
          <w:rFonts w:ascii="Times New Roman" w:hAnsi="Times New Roman" w:cs="Times New Roman"/>
          <w:spacing w:val="-3"/>
          <w:sz w:val="24"/>
          <w:szCs w:val="24"/>
        </w:rPr>
        <w:t>desenvolvem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suas atividades</w:t>
      </w:r>
      <w:r w:rsidR="00F66C89">
        <w:rPr>
          <w:rFonts w:ascii="Times New Roman" w:hAnsi="Times New Roman" w:cs="Times New Roman"/>
          <w:spacing w:val="-3"/>
          <w:sz w:val="24"/>
          <w:szCs w:val="24"/>
        </w:rPr>
        <w:t xml:space="preserve"> 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passam por diferentes fases</w:t>
      </w:r>
      <w:r w:rsidR="00F66C89">
        <w:rPr>
          <w:rFonts w:ascii="Times New Roman" w:hAnsi="Times New Roman" w:cs="Times New Roman"/>
          <w:spacing w:val="-3"/>
          <w:sz w:val="24"/>
          <w:szCs w:val="24"/>
        </w:rPr>
        <w:t>. A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lguns modelos</w:t>
      </w:r>
      <w:proofErr w:type="gramStart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 </w:t>
      </w:r>
      <w:proofErr w:type="gram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foram desenvolvidos como forma de enquadrar as principais características de cada </w:t>
      </w:r>
      <w:r w:rsidR="00F66C89">
        <w:rPr>
          <w:rFonts w:ascii="Times New Roman" w:hAnsi="Times New Roman" w:cs="Times New Roman"/>
          <w:spacing w:val="-3"/>
          <w:sz w:val="24"/>
          <w:szCs w:val="24"/>
        </w:rPr>
        <w:t xml:space="preserve">uma dessas fases, também denominadas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estágio</w:t>
      </w:r>
      <w:r w:rsidR="00F66C89">
        <w:rPr>
          <w:rFonts w:ascii="Times New Roman" w:hAnsi="Times New Roman" w:cs="Times New Roman"/>
          <w:spacing w:val="-3"/>
          <w:sz w:val="24"/>
          <w:szCs w:val="24"/>
        </w:rPr>
        <w:t>s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. </w:t>
      </w:r>
      <w:r w:rsidR="00F66C89">
        <w:rPr>
          <w:rFonts w:ascii="Times New Roman" w:hAnsi="Times New Roman" w:cs="Times New Roman"/>
          <w:spacing w:val="-3"/>
          <w:sz w:val="24"/>
          <w:szCs w:val="24"/>
        </w:rPr>
        <w:t>Dentre os modelos propostos na literatura, o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de Miller e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Friesen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(1984) se sobressai em relação a outros, por sua profundidade conceitual e testes empíricos (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Necyk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&amp;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Frezatti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, 2010).</w:t>
      </w:r>
      <w:r w:rsidR="00F66C89">
        <w:rPr>
          <w:rFonts w:ascii="Times New Roman" w:hAnsi="Times New Roman" w:cs="Times New Roman"/>
          <w:spacing w:val="-3"/>
          <w:sz w:val="24"/>
          <w:szCs w:val="24"/>
        </w:rPr>
        <w:t xml:space="preserve"> Segundo os autores, o ciclo de vida das organizações pode ser segregado em 5 estágios distintos: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i) nascimento, a empresa busca tornar seu negócio viável, geralmente é gerenciada pelos próprios donos, tem processos simples e informais;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ii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) crescimento, nesta fase a empresa já estaria estabelecida e usufruindo dos efeitos positivos de seu produto no mercado, já existe algum nível de delegação de autoridade e os processos são formalizados;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iii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) maturidade, os níveis de vendas se estabilizam, não são mais produtos inovadores e a organização se torna mais burocrática;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iv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) renascimento, estruturas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departamentalizadas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e complexas, com sistemas </w:t>
      </w:r>
      <w:r w:rsidR="00F66C89">
        <w:rPr>
          <w:rFonts w:ascii="Times New Roman" w:hAnsi="Times New Roman" w:cs="Times New Roman"/>
          <w:spacing w:val="-3"/>
          <w:sz w:val="24"/>
          <w:szCs w:val="24"/>
        </w:rPr>
        <w:t>d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e controle e planejamento mais sofisticados; e v) declínio, a empresa estagna, não há mais inovação e a rentabilidade diminui.</w:t>
      </w:r>
    </w:p>
    <w:p w14:paraId="262D53E9" w14:textId="74B0EA62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z w:val="24"/>
          <w:szCs w:val="24"/>
        </w:rPr>
        <w:t xml:space="preserve">As características retratadas por Miller e </w:t>
      </w:r>
      <w:proofErr w:type="spellStart"/>
      <w:r w:rsidRPr="00A972B0">
        <w:rPr>
          <w:rFonts w:ascii="Times New Roman" w:hAnsi="Times New Roman" w:cs="Times New Roman"/>
          <w:sz w:val="24"/>
          <w:szCs w:val="24"/>
        </w:rPr>
        <w:t>Friesen</w:t>
      </w:r>
      <w:proofErr w:type="spellEnd"/>
      <w:r w:rsidRPr="00A972B0">
        <w:rPr>
          <w:rFonts w:ascii="Times New Roman" w:hAnsi="Times New Roman" w:cs="Times New Roman"/>
          <w:sz w:val="24"/>
          <w:szCs w:val="24"/>
        </w:rPr>
        <w:t xml:space="preserve"> (1984) sobre o ciclo de vida, mais especificamente o declínio, são apresentadas na Figura 1.</w:t>
      </w:r>
    </w:p>
    <w:p w14:paraId="33F8D71B" w14:textId="0D96F58D" w:rsidR="006D1C41" w:rsidRDefault="006D1C41" w:rsidP="0080377E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z w:val="24"/>
          <w:szCs w:val="24"/>
        </w:rPr>
        <w:t>Figura 1 – Características da Fase de Declínio no Ciclo de Vida Organizacional</w:t>
      </w:r>
    </w:p>
    <w:p w14:paraId="5CD37AF9" w14:textId="2613B20C" w:rsidR="006D1C41" w:rsidRPr="006E7280" w:rsidRDefault="009174C0" w:rsidP="0080377E">
      <w:pPr>
        <w:pStyle w:val="Standard"/>
        <w:spacing w:after="120"/>
        <w:ind w:firstLine="0"/>
        <w:rPr>
          <w:rFonts w:ascii="Times New Roman" w:hAnsi="Times New Roman" w:cs="Times New Roman"/>
          <w:sz w:val="20"/>
          <w:szCs w:val="24"/>
        </w:rPr>
      </w:pPr>
      <w:r>
        <w:rPr>
          <w:noProof/>
          <w:lang w:eastAsia="pt-BR"/>
        </w:rPr>
        <w:drawing>
          <wp:inline distT="0" distB="0" distL="0" distR="0" wp14:anchorId="0368B8FA" wp14:editId="5086E06E">
            <wp:extent cx="5567607" cy="201986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607" cy="20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C41" w:rsidRPr="006E7280">
        <w:rPr>
          <w:rFonts w:ascii="Times New Roman" w:hAnsi="Times New Roman" w:cs="Times New Roman"/>
          <w:spacing w:val="-3"/>
          <w:sz w:val="20"/>
          <w:szCs w:val="24"/>
        </w:rPr>
        <w:t xml:space="preserve">Fonte: Adaptado de Miller e </w:t>
      </w:r>
      <w:proofErr w:type="spellStart"/>
      <w:r w:rsidR="006D1C41" w:rsidRPr="006E7280">
        <w:rPr>
          <w:rFonts w:ascii="Times New Roman" w:hAnsi="Times New Roman" w:cs="Times New Roman"/>
          <w:spacing w:val="-3"/>
          <w:sz w:val="20"/>
          <w:szCs w:val="24"/>
        </w:rPr>
        <w:t>Friesen</w:t>
      </w:r>
      <w:proofErr w:type="spellEnd"/>
      <w:r w:rsidR="006D1C41" w:rsidRPr="006E7280">
        <w:rPr>
          <w:rFonts w:ascii="Times New Roman" w:hAnsi="Times New Roman" w:cs="Times New Roman"/>
          <w:spacing w:val="-3"/>
          <w:sz w:val="20"/>
          <w:szCs w:val="24"/>
        </w:rPr>
        <w:t xml:space="preserve"> (1984).</w:t>
      </w:r>
    </w:p>
    <w:p w14:paraId="6F377694" w14:textId="77777777" w:rsidR="00FF67D0" w:rsidRDefault="00FF67D0" w:rsidP="00FF67D0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lastRenderedPageBreak/>
        <w:t xml:space="preserve">O declínio, sob a perspectiva do Modelo de Miller e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Friesen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(1984), é o estágio analisado nesta pesquisa, por esse motivo, convém aprofundar sua análise e explanação. No declínio, as empresas se tornam estáticas, focalizadas no setor interno e quase não há sistemas de controle internos ou externos. As áreas e hierarquias sofrem com a falta de comunicação e as decisões são marcadas por altos níveis de conservadorismo e centralização. A organização produz soluções pouco relevantes face ao profundo grau de problematização enfrentado (Barbosa &amp; Santos, 2009;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Necyk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&amp;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Frezatti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, 2010)</w:t>
      </w:r>
      <w:r w:rsidRPr="00A972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A45A24" w14:textId="7CC2DC89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b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 partir da descrição das fases do ciclo de vida das organizações, Miller e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Friesen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(1984) fazem referência às mudanças que podem </w:t>
      </w:r>
      <w:r w:rsidR="00A67ED5">
        <w:rPr>
          <w:rFonts w:ascii="Times New Roman" w:hAnsi="Times New Roman" w:cs="Times New Roman"/>
          <w:spacing w:val="-3"/>
          <w:sz w:val="24"/>
          <w:szCs w:val="24"/>
        </w:rPr>
        <w:t>desencadear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um novo arranjo na empresa em decorrência das fases percorridas</w:t>
      </w:r>
      <w:r w:rsidR="00A67ED5">
        <w:rPr>
          <w:rFonts w:ascii="Times New Roman" w:hAnsi="Times New Roman" w:cs="Times New Roman"/>
          <w:spacing w:val="-3"/>
          <w:sz w:val="24"/>
          <w:szCs w:val="24"/>
        </w:rPr>
        <w:t>. 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sses eventos/hipóteses são: i) estrutura, tarefas mais difíceis e estruturas mais sofisticadas, com procedimentos de processamento de dados e controles formais, o que tende a ser reduzido na fase de declínio;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ii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) estilo de tomada de decisão, com exceção da última fase (declínio), existe uma complexidade alta em relação a tomada de decisões;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iii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) situação organizacional, as empresas tendem a ter um grande crescimento nas primeiras quatro fases (com exceção do declínio), com diminuição da centralização da propriedade; e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iv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) estratégia, nas fases de nascimento, crescimento e maturidade há predominância de renovação das estratégias e inovação. </w:t>
      </w:r>
    </w:p>
    <w:p w14:paraId="6322ED9E" w14:textId="4DC0252D" w:rsidR="006D1C41" w:rsidRPr="00A972B0" w:rsidRDefault="006D1C41" w:rsidP="005D74AD">
      <w:pPr>
        <w:pStyle w:val="Standard"/>
        <w:spacing w:before="120" w:after="60"/>
        <w:ind w:firstLine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A972B0">
        <w:rPr>
          <w:rFonts w:ascii="Times New Roman" w:hAnsi="Times New Roman" w:cs="Times New Roman"/>
          <w:b/>
          <w:spacing w:val="-3"/>
          <w:sz w:val="24"/>
          <w:szCs w:val="24"/>
        </w:rPr>
        <w:t xml:space="preserve">2.3 </w:t>
      </w:r>
      <w:r w:rsidRPr="00A972B0">
        <w:rPr>
          <w:rFonts w:ascii="Times New Roman" w:hAnsi="Times New Roman" w:cs="Times New Roman"/>
          <w:b/>
          <w:bCs/>
          <w:sz w:val="24"/>
          <w:szCs w:val="24"/>
        </w:rPr>
        <w:t>Riqueza Socioe</w:t>
      </w:r>
      <w:r w:rsidR="00A67ED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972B0">
        <w:rPr>
          <w:rFonts w:ascii="Times New Roman" w:hAnsi="Times New Roman" w:cs="Times New Roman"/>
          <w:b/>
          <w:bCs/>
          <w:sz w:val="24"/>
          <w:szCs w:val="24"/>
        </w:rPr>
        <w:t>ocional – SEW</w:t>
      </w:r>
    </w:p>
    <w:p w14:paraId="4E02BEBC" w14:textId="5F5F01C4" w:rsidR="006D1C41" w:rsidRPr="00A972B0" w:rsidRDefault="006D1C41" w:rsidP="00AF3F37">
      <w:pPr>
        <w:pStyle w:val="NormalWeb"/>
        <w:spacing w:before="0" w:beforeAutospacing="0" w:after="60" w:afterAutospacing="0"/>
        <w:ind w:firstLine="709"/>
        <w:jc w:val="both"/>
        <w:rPr>
          <w:sz w:val="24"/>
          <w:szCs w:val="24"/>
        </w:rPr>
      </w:pPr>
      <w:r w:rsidRPr="00A972B0">
        <w:rPr>
          <w:sz w:val="24"/>
          <w:szCs w:val="24"/>
        </w:rPr>
        <w:t xml:space="preserve">Para a compreensão de alguns aspectos da configuração das empresas familiares, existe um arcabouço teórico específico. A </w:t>
      </w:r>
      <w:proofErr w:type="spellStart"/>
      <w:r w:rsidRPr="00A972B0">
        <w:rPr>
          <w:i/>
          <w:iCs/>
          <w:color w:val="000000"/>
          <w:sz w:val="24"/>
          <w:szCs w:val="24"/>
        </w:rPr>
        <w:t>socioemotional</w:t>
      </w:r>
      <w:proofErr w:type="spellEnd"/>
      <w:r w:rsidRPr="00A972B0">
        <w:rPr>
          <w:i/>
          <w:iCs/>
          <w:color w:val="000000"/>
          <w:sz w:val="24"/>
          <w:szCs w:val="24"/>
        </w:rPr>
        <w:t xml:space="preserve"> </w:t>
      </w:r>
      <w:proofErr w:type="spellStart"/>
      <w:r w:rsidRPr="00A972B0">
        <w:rPr>
          <w:i/>
          <w:iCs/>
          <w:color w:val="000000"/>
          <w:sz w:val="24"/>
          <w:szCs w:val="24"/>
        </w:rPr>
        <w:t>wealth</w:t>
      </w:r>
      <w:proofErr w:type="spellEnd"/>
      <w:r w:rsidRPr="00A972B0">
        <w:rPr>
          <w:sz w:val="24"/>
          <w:szCs w:val="24"/>
        </w:rPr>
        <w:t xml:space="preserve"> – SEW surgiu como uma evolução da teoria da agência, incorporando a abordagem comportamental baseada no conflito advindo de uma nova configuração das empresas, que até então lidavam apenas com os interesses do dono do negócio e agora passam a ser gerenciados, também, por pessoas externas à organização, com interesses próprios, que nem sempre compactuam com os ideais do proprietário (Gomez-</w:t>
      </w:r>
      <w:proofErr w:type="spellStart"/>
      <w:r w:rsidRPr="00A972B0">
        <w:rPr>
          <w:sz w:val="24"/>
          <w:szCs w:val="24"/>
        </w:rPr>
        <w:t>Mejia</w:t>
      </w:r>
      <w:proofErr w:type="spellEnd"/>
      <w:r w:rsidRPr="00A972B0">
        <w:rPr>
          <w:sz w:val="24"/>
          <w:szCs w:val="24"/>
        </w:rPr>
        <w:t xml:space="preserve">, Cruz &amp; </w:t>
      </w:r>
      <w:proofErr w:type="spellStart"/>
      <w:r w:rsidRPr="00A972B0">
        <w:rPr>
          <w:sz w:val="24"/>
          <w:szCs w:val="24"/>
        </w:rPr>
        <w:t>Imperatore</w:t>
      </w:r>
      <w:proofErr w:type="spellEnd"/>
      <w:r w:rsidRPr="00A972B0">
        <w:rPr>
          <w:sz w:val="24"/>
          <w:szCs w:val="24"/>
        </w:rPr>
        <w:t xml:space="preserve">, 2014). A </w:t>
      </w:r>
      <w:r w:rsidR="00A67ED5">
        <w:rPr>
          <w:sz w:val="24"/>
          <w:szCs w:val="24"/>
        </w:rPr>
        <w:t>abordagem</w:t>
      </w:r>
      <w:r w:rsidR="00A67ED5" w:rsidRPr="00A972B0">
        <w:rPr>
          <w:sz w:val="24"/>
          <w:szCs w:val="24"/>
        </w:rPr>
        <w:t xml:space="preserve"> </w:t>
      </w:r>
      <w:r w:rsidRPr="00A972B0">
        <w:rPr>
          <w:sz w:val="24"/>
          <w:szCs w:val="24"/>
        </w:rPr>
        <w:t>da riqueza socioemocional propicia comportamentos colaborativos, mas também atenta ao oportunismo e egoísmo, assim como visualizado na teoria da agência (</w:t>
      </w:r>
      <w:proofErr w:type="spellStart"/>
      <w:r w:rsidRPr="00A972B0">
        <w:rPr>
          <w:sz w:val="24"/>
          <w:szCs w:val="24"/>
        </w:rPr>
        <w:t>Prencipe</w:t>
      </w:r>
      <w:proofErr w:type="spellEnd"/>
      <w:r w:rsidRPr="00A972B0">
        <w:rPr>
          <w:sz w:val="24"/>
          <w:szCs w:val="24"/>
        </w:rPr>
        <w:t>, Bar-Yosef &amp; Dekker, 2014).</w:t>
      </w:r>
    </w:p>
    <w:p w14:paraId="5A5C0132" w14:textId="77777777" w:rsidR="006D1C41" w:rsidRPr="00A972B0" w:rsidRDefault="006D1C41" w:rsidP="00AF3F37">
      <w:pPr>
        <w:pStyle w:val="NormalWeb"/>
        <w:spacing w:before="0" w:beforeAutospacing="0" w:after="60" w:afterAutospacing="0"/>
        <w:ind w:firstLine="709"/>
        <w:jc w:val="both"/>
        <w:rPr>
          <w:sz w:val="24"/>
          <w:szCs w:val="24"/>
        </w:rPr>
      </w:pPr>
      <w:r w:rsidRPr="00A972B0">
        <w:rPr>
          <w:sz w:val="24"/>
          <w:szCs w:val="24"/>
        </w:rPr>
        <w:t xml:space="preserve">A SEW pode ser dividida em cinco dimensões: i) controle e influência familiar no negócio, decorrentes do acompanhamento do dia a dia da organização por parte da família; </w:t>
      </w:r>
      <w:proofErr w:type="spellStart"/>
      <w:r w:rsidRPr="00A972B0">
        <w:rPr>
          <w:sz w:val="24"/>
          <w:szCs w:val="24"/>
        </w:rPr>
        <w:t>ii</w:t>
      </w:r>
      <w:proofErr w:type="spellEnd"/>
      <w:r w:rsidRPr="00A972B0">
        <w:rPr>
          <w:sz w:val="24"/>
          <w:szCs w:val="24"/>
        </w:rPr>
        <w:t xml:space="preserve">) identificação dos membros da família com a empresa, havendo uma fusão entre o que a família e a empresa representam, transformando as duas personagens em uma só; </w:t>
      </w:r>
      <w:proofErr w:type="spellStart"/>
      <w:r w:rsidRPr="00A972B0">
        <w:rPr>
          <w:sz w:val="24"/>
          <w:szCs w:val="24"/>
        </w:rPr>
        <w:t>iii</w:t>
      </w:r>
      <w:proofErr w:type="spellEnd"/>
      <w:r w:rsidRPr="00A972B0">
        <w:rPr>
          <w:sz w:val="24"/>
          <w:szCs w:val="24"/>
        </w:rPr>
        <w:t xml:space="preserve">) vínculos sociais, através do compartilhamento dos valores familiares instituídos na organização; </w:t>
      </w:r>
      <w:proofErr w:type="spellStart"/>
      <w:r w:rsidRPr="00A972B0">
        <w:rPr>
          <w:sz w:val="24"/>
          <w:szCs w:val="24"/>
        </w:rPr>
        <w:t>iv</w:t>
      </w:r>
      <w:proofErr w:type="spellEnd"/>
      <w:r w:rsidRPr="00A972B0">
        <w:rPr>
          <w:sz w:val="24"/>
          <w:szCs w:val="24"/>
        </w:rPr>
        <w:t>) apego emocional da família, no comparativo com as empresas não familiares este aspecto está fortemente associado às dificuldades enfrentadas para atingir o que foi alcançado pelos membros da família na organização; e v) renovação dos laços familiares através da sucessão (</w:t>
      </w:r>
      <w:proofErr w:type="spellStart"/>
      <w:r w:rsidRPr="00A972B0">
        <w:rPr>
          <w:sz w:val="24"/>
          <w:szCs w:val="24"/>
        </w:rPr>
        <w:t>Berrone</w:t>
      </w:r>
      <w:proofErr w:type="spellEnd"/>
      <w:r w:rsidRPr="00A972B0">
        <w:rPr>
          <w:sz w:val="24"/>
          <w:szCs w:val="24"/>
        </w:rPr>
        <w:t>, Cruz &amp; Gomez-</w:t>
      </w:r>
      <w:proofErr w:type="spellStart"/>
      <w:r w:rsidRPr="00A972B0">
        <w:rPr>
          <w:sz w:val="24"/>
          <w:szCs w:val="24"/>
        </w:rPr>
        <w:t>Mejia</w:t>
      </w:r>
      <w:proofErr w:type="spellEnd"/>
      <w:r w:rsidRPr="00A972B0">
        <w:rPr>
          <w:sz w:val="24"/>
          <w:szCs w:val="24"/>
        </w:rPr>
        <w:t xml:space="preserve">, 2012; Beck, 2016; </w:t>
      </w:r>
      <w:proofErr w:type="spellStart"/>
      <w:r w:rsidRPr="00A972B0">
        <w:rPr>
          <w:sz w:val="24"/>
          <w:szCs w:val="24"/>
        </w:rPr>
        <w:t>Stankiewicz</w:t>
      </w:r>
      <w:proofErr w:type="spellEnd"/>
      <w:r w:rsidRPr="00A972B0">
        <w:rPr>
          <w:sz w:val="24"/>
          <w:szCs w:val="24"/>
        </w:rPr>
        <w:t>, 2016).</w:t>
      </w:r>
    </w:p>
    <w:p w14:paraId="16A6BF45" w14:textId="2AA67A2C" w:rsidR="006D1C41" w:rsidRPr="00A972B0" w:rsidRDefault="006D1C41" w:rsidP="00AF3F37">
      <w:pPr>
        <w:pStyle w:val="NormalWeb"/>
        <w:spacing w:before="0" w:beforeAutospacing="0" w:after="60" w:afterAutospacing="0"/>
        <w:ind w:firstLine="709"/>
        <w:jc w:val="both"/>
        <w:rPr>
          <w:sz w:val="24"/>
          <w:szCs w:val="24"/>
        </w:rPr>
      </w:pPr>
      <w:r w:rsidRPr="00A972B0">
        <w:rPr>
          <w:sz w:val="24"/>
          <w:szCs w:val="24"/>
        </w:rPr>
        <w:t xml:space="preserve">Sanchez-Famoso, </w:t>
      </w:r>
      <w:proofErr w:type="spellStart"/>
      <w:r w:rsidRPr="00A972B0">
        <w:rPr>
          <w:sz w:val="24"/>
          <w:szCs w:val="24"/>
        </w:rPr>
        <w:t>Maseda</w:t>
      </w:r>
      <w:proofErr w:type="spellEnd"/>
      <w:r w:rsidRPr="00A972B0">
        <w:rPr>
          <w:sz w:val="24"/>
          <w:szCs w:val="24"/>
        </w:rPr>
        <w:t xml:space="preserve">, </w:t>
      </w:r>
      <w:proofErr w:type="spellStart"/>
      <w:r w:rsidRPr="00A972B0">
        <w:rPr>
          <w:sz w:val="24"/>
          <w:szCs w:val="24"/>
        </w:rPr>
        <w:t>Iturralde</w:t>
      </w:r>
      <w:proofErr w:type="spellEnd"/>
      <w:r w:rsidRPr="00A972B0">
        <w:rPr>
          <w:sz w:val="24"/>
          <w:szCs w:val="24"/>
        </w:rPr>
        <w:t xml:space="preserve"> (2013) analisaram a influência do capital social dos membros da família sobre o capital social de membros que não são da família em 172 empresas familiares da Espanha. Os autores observaram que o capital social familiar influencia direta e positivamente o capital social não familiar e as relações entre algumas das dimensões do capital social em cada grupo, fornecendo subsídios para afirmar que as relações entre os membros da família são fundamentais para o aumento do capital social não familiar. </w:t>
      </w:r>
      <w:r w:rsidR="00C44BE7">
        <w:rPr>
          <w:sz w:val="24"/>
          <w:szCs w:val="24"/>
        </w:rPr>
        <w:t xml:space="preserve">Os achados indicam </w:t>
      </w:r>
      <w:r w:rsidRPr="00A972B0">
        <w:rPr>
          <w:sz w:val="24"/>
          <w:szCs w:val="24"/>
        </w:rPr>
        <w:t>que o comportamento e as relações instituídas entre os membros da família e aqueles que não são da família sofrem influência direta e concomitante.</w:t>
      </w:r>
    </w:p>
    <w:p w14:paraId="16048752" w14:textId="5FCC4095" w:rsidR="006D1C41" w:rsidRPr="00A972B0" w:rsidRDefault="006D1C41" w:rsidP="00AF3F37">
      <w:pPr>
        <w:pStyle w:val="NormalWeb"/>
        <w:spacing w:before="0" w:beforeAutospacing="0" w:after="60" w:afterAutospacing="0"/>
        <w:ind w:firstLine="709"/>
        <w:jc w:val="both"/>
        <w:rPr>
          <w:sz w:val="24"/>
          <w:szCs w:val="24"/>
        </w:rPr>
      </w:pPr>
      <w:r w:rsidRPr="00A972B0">
        <w:rPr>
          <w:sz w:val="24"/>
          <w:szCs w:val="24"/>
        </w:rPr>
        <w:t xml:space="preserve">Segura e </w:t>
      </w:r>
      <w:proofErr w:type="spellStart"/>
      <w:r w:rsidRPr="00A972B0">
        <w:rPr>
          <w:sz w:val="24"/>
          <w:szCs w:val="24"/>
        </w:rPr>
        <w:t>Formigoni</w:t>
      </w:r>
      <w:proofErr w:type="spellEnd"/>
      <w:r w:rsidRPr="00A972B0">
        <w:rPr>
          <w:sz w:val="24"/>
          <w:szCs w:val="24"/>
        </w:rPr>
        <w:t xml:space="preserve"> (2014) investigaram a influência da família no endividamento de 356 empresas abertas brasileiras, listadas na </w:t>
      </w:r>
      <w:proofErr w:type="spellStart"/>
      <w:r w:rsidRPr="00A972B0">
        <w:rPr>
          <w:sz w:val="24"/>
          <w:szCs w:val="24"/>
        </w:rPr>
        <w:t>BMF&amp;Bovespa</w:t>
      </w:r>
      <w:proofErr w:type="spellEnd"/>
      <w:r w:rsidRPr="00A972B0">
        <w:rPr>
          <w:sz w:val="24"/>
          <w:szCs w:val="24"/>
        </w:rPr>
        <w:t xml:space="preserve"> </w:t>
      </w:r>
      <w:r w:rsidR="002969EB">
        <w:rPr>
          <w:sz w:val="24"/>
          <w:szCs w:val="24"/>
        </w:rPr>
        <w:t>em</w:t>
      </w:r>
      <w:r w:rsidRPr="00A972B0">
        <w:rPr>
          <w:sz w:val="24"/>
          <w:szCs w:val="24"/>
        </w:rPr>
        <w:t xml:space="preserve"> 2010. A análise demonstrou que as empresas familiares ou com gestão familiar possuem menos endividamento em relação as não familiares, fato explicado pelo conservadorismo inerente ao negócio familiar no que </w:t>
      </w:r>
      <w:r w:rsidRPr="00A972B0">
        <w:rPr>
          <w:sz w:val="24"/>
          <w:szCs w:val="24"/>
        </w:rPr>
        <w:lastRenderedPageBreak/>
        <w:t xml:space="preserve">tange aos investimentos, que tendem a ser menos arriscados quando são decididos pela família. </w:t>
      </w:r>
      <w:r w:rsidR="005F2EE3">
        <w:rPr>
          <w:sz w:val="24"/>
          <w:szCs w:val="24"/>
        </w:rPr>
        <w:t>Os resultados sugerem</w:t>
      </w:r>
      <w:r w:rsidRPr="00A972B0">
        <w:rPr>
          <w:sz w:val="24"/>
          <w:szCs w:val="24"/>
        </w:rPr>
        <w:t xml:space="preserve"> que a família </w:t>
      </w:r>
      <w:r w:rsidR="005F2EE3">
        <w:rPr>
          <w:sz w:val="24"/>
          <w:szCs w:val="24"/>
        </w:rPr>
        <w:t>influencia</w:t>
      </w:r>
      <w:r w:rsidRPr="00A972B0">
        <w:rPr>
          <w:sz w:val="24"/>
          <w:szCs w:val="24"/>
        </w:rPr>
        <w:t xml:space="preserve"> nas atividades da empresa, o que amplia a compreensão de quanto empresas familiares diferem das não familiares.</w:t>
      </w:r>
    </w:p>
    <w:p w14:paraId="04817867" w14:textId="45E5EBC9" w:rsidR="006D1C41" w:rsidRPr="00A972B0" w:rsidRDefault="006D1C41" w:rsidP="0033658B">
      <w:pPr>
        <w:pStyle w:val="NormalWeb"/>
        <w:spacing w:before="0" w:beforeAutospacing="0" w:after="60" w:afterAutospacing="0"/>
        <w:ind w:firstLine="709"/>
        <w:jc w:val="both"/>
        <w:rPr>
          <w:sz w:val="24"/>
          <w:szCs w:val="24"/>
        </w:rPr>
      </w:pPr>
      <w:proofErr w:type="spellStart"/>
      <w:r w:rsidRPr="009174C0">
        <w:rPr>
          <w:sz w:val="24"/>
          <w:szCs w:val="24"/>
        </w:rPr>
        <w:t>Kalm</w:t>
      </w:r>
      <w:proofErr w:type="spellEnd"/>
      <w:r w:rsidRPr="009174C0">
        <w:rPr>
          <w:sz w:val="24"/>
          <w:szCs w:val="24"/>
        </w:rPr>
        <w:t xml:space="preserve"> e Gomez-</w:t>
      </w:r>
      <w:proofErr w:type="spellStart"/>
      <w:r w:rsidRPr="009174C0">
        <w:rPr>
          <w:sz w:val="24"/>
          <w:szCs w:val="24"/>
        </w:rPr>
        <w:t>Mejia</w:t>
      </w:r>
      <w:proofErr w:type="spellEnd"/>
      <w:r w:rsidRPr="009174C0">
        <w:rPr>
          <w:sz w:val="24"/>
          <w:szCs w:val="24"/>
        </w:rPr>
        <w:t xml:space="preserve"> (2016) revisaram a literatura existente sobre riqueza socioemocional. Os autores </w:t>
      </w:r>
      <w:r w:rsidR="00B32DF7" w:rsidRPr="009174C0">
        <w:rPr>
          <w:sz w:val="24"/>
          <w:szCs w:val="24"/>
        </w:rPr>
        <w:t>defendem</w:t>
      </w:r>
      <w:r w:rsidRPr="009174C0">
        <w:rPr>
          <w:sz w:val="24"/>
          <w:szCs w:val="24"/>
        </w:rPr>
        <w:t xml:space="preserve"> a ideia que os proprietários de empresas familiares possuem utilidade nos aspectos não financeiros destas empresas. Outro ponto destacado é consoante a como o uso da riqueza socioemocional esclarece as diferenças comportamentais de empresas familiares e não familiares. </w:t>
      </w:r>
      <w:r w:rsidRPr="00A972B0">
        <w:rPr>
          <w:sz w:val="24"/>
          <w:szCs w:val="24"/>
        </w:rPr>
        <w:t xml:space="preserve">Martínez-Romero e Rojo-Ramírez (2016) exploraram as definições sobre a riqueza socioemocional (SEW) em pesquisas anteriores e construíram uma conceituação própria. Trataram ainda sobre três questões tidas como controversas na abordagem, as quais são: i) a relação entre SEW e Valor Emocional; </w:t>
      </w:r>
      <w:proofErr w:type="spellStart"/>
      <w:r w:rsidRPr="00A972B0">
        <w:rPr>
          <w:sz w:val="24"/>
          <w:szCs w:val="24"/>
        </w:rPr>
        <w:t>ii</w:t>
      </w:r>
      <w:proofErr w:type="spellEnd"/>
      <w:r w:rsidRPr="00A972B0">
        <w:rPr>
          <w:sz w:val="24"/>
          <w:szCs w:val="24"/>
        </w:rPr>
        <w:t xml:space="preserve">) as situações que poderiam levar a diferentes níveis de SEW; e, </w:t>
      </w:r>
      <w:proofErr w:type="spellStart"/>
      <w:r w:rsidRPr="00A972B0">
        <w:rPr>
          <w:sz w:val="24"/>
          <w:szCs w:val="24"/>
        </w:rPr>
        <w:t>iii</w:t>
      </w:r>
      <w:proofErr w:type="spellEnd"/>
      <w:r w:rsidRPr="00A972B0">
        <w:rPr>
          <w:sz w:val="24"/>
          <w:szCs w:val="24"/>
        </w:rPr>
        <w:t>) os efeitos de propriedade e gerenciamento na SEW de uma empresa familiar. Para os autores, a SEW tem implicações e consequências importantes para as empresas familiares, e por isso é considerada como o paradigma mais importante no campo das empresas familiares (</w:t>
      </w:r>
      <w:proofErr w:type="spellStart"/>
      <w:r w:rsidRPr="00A972B0">
        <w:rPr>
          <w:sz w:val="24"/>
          <w:szCs w:val="24"/>
        </w:rPr>
        <w:t>Berrone</w:t>
      </w:r>
      <w:proofErr w:type="spellEnd"/>
      <w:r w:rsidRPr="00A972B0">
        <w:rPr>
          <w:sz w:val="24"/>
          <w:szCs w:val="24"/>
        </w:rPr>
        <w:t xml:space="preserve"> </w:t>
      </w:r>
      <w:r w:rsidRPr="00A972B0">
        <w:rPr>
          <w:i/>
          <w:sz w:val="24"/>
          <w:szCs w:val="24"/>
        </w:rPr>
        <w:t>et al</w:t>
      </w:r>
      <w:r w:rsidRPr="00A972B0">
        <w:rPr>
          <w:sz w:val="24"/>
          <w:szCs w:val="24"/>
        </w:rPr>
        <w:t>., 2012).</w:t>
      </w:r>
    </w:p>
    <w:p w14:paraId="75F4BD10" w14:textId="31AE8220" w:rsidR="006D1C41" w:rsidRPr="00A972B0" w:rsidRDefault="006D1C41" w:rsidP="00AF3F37">
      <w:pPr>
        <w:pStyle w:val="NormalWeb"/>
        <w:spacing w:before="0" w:beforeAutospacing="0" w:after="60" w:afterAutospacing="0"/>
        <w:ind w:firstLine="709"/>
        <w:jc w:val="both"/>
        <w:rPr>
          <w:sz w:val="24"/>
          <w:szCs w:val="24"/>
        </w:rPr>
      </w:pPr>
      <w:proofErr w:type="spellStart"/>
      <w:r w:rsidRPr="00A972B0">
        <w:rPr>
          <w:sz w:val="24"/>
          <w:szCs w:val="24"/>
        </w:rPr>
        <w:t>Stankiewicz</w:t>
      </w:r>
      <w:proofErr w:type="spellEnd"/>
      <w:r w:rsidRPr="00A972B0">
        <w:rPr>
          <w:sz w:val="24"/>
          <w:szCs w:val="24"/>
        </w:rPr>
        <w:t xml:space="preserve"> (2016) utilizou a abordagem da riqueza socioemocional com a intenção de retratar as metas não financeiras e as utilidades dos proprietários de empresas familiares. Entre as implicações destacadas pelo autor, a principal foi relacionada a associações negativas da SEW com o desempenho financeiro, o que acabou não sendo confirmado nas empresas familiares, ao menos no que diz respeito a dois (identificação e controle transgeracional) dos cinco pontos do modelo SEW analisados pelo autor. Um dos achados da pesquisa foi de que tanto a SEW quanto as dimensões da identificação e controle tran</w:t>
      </w:r>
      <w:r w:rsidR="002D04AA">
        <w:rPr>
          <w:sz w:val="24"/>
          <w:szCs w:val="24"/>
        </w:rPr>
        <w:t>s</w:t>
      </w:r>
      <w:r w:rsidRPr="00A972B0">
        <w:rPr>
          <w:sz w:val="24"/>
          <w:szCs w:val="24"/>
        </w:rPr>
        <w:t>geracional tiveram uma leve associação positiva no desempenho financeiro das empresas familiares.</w:t>
      </w:r>
    </w:p>
    <w:p w14:paraId="4906111D" w14:textId="5F47715A" w:rsidR="006D1C41" w:rsidRPr="00A972B0" w:rsidRDefault="006D1C41" w:rsidP="00AF3F37">
      <w:pPr>
        <w:spacing w:after="60"/>
        <w:ind w:firstLine="709"/>
        <w:jc w:val="both"/>
        <w:rPr>
          <w:b/>
          <w:spacing w:val="-3"/>
          <w:sz w:val="24"/>
          <w:szCs w:val="24"/>
        </w:rPr>
      </w:pPr>
      <w:r w:rsidRPr="00A972B0">
        <w:rPr>
          <w:color w:val="000000"/>
          <w:sz w:val="24"/>
          <w:szCs w:val="24"/>
        </w:rPr>
        <w:t>Mucci (2018) utiliz</w:t>
      </w:r>
      <w:r w:rsidR="008E3582">
        <w:rPr>
          <w:color w:val="000000"/>
          <w:sz w:val="24"/>
          <w:szCs w:val="24"/>
        </w:rPr>
        <w:t>ou</w:t>
      </w:r>
      <w:r w:rsidRPr="00A972B0">
        <w:rPr>
          <w:color w:val="000000"/>
          <w:sz w:val="24"/>
          <w:szCs w:val="24"/>
        </w:rPr>
        <w:t xml:space="preserve"> a SEW para avaliar as intenções em relação ao valor de afeto que a família controladora confere à empresa. O autor empreg</w:t>
      </w:r>
      <w:r w:rsidR="008E3582">
        <w:rPr>
          <w:color w:val="000000"/>
          <w:sz w:val="24"/>
          <w:szCs w:val="24"/>
        </w:rPr>
        <w:t>ou</w:t>
      </w:r>
      <w:r w:rsidRPr="00A972B0">
        <w:rPr>
          <w:color w:val="000000"/>
          <w:sz w:val="24"/>
          <w:szCs w:val="24"/>
        </w:rPr>
        <w:t xml:space="preserve"> duas das cinco dimensões da SEW: i) controle e influência familiar; e </w:t>
      </w:r>
      <w:proofErr w:type="spellStart"/>
      <w:r w:rsidRPr="00A972B0">
        <w:rPr>
          <w:color w:val="000000"/>
          <w:sz w:val="24"/>
          <w:szCs w:val="24"/>
        </w:rPr>
        <w:t>ii</w:t>
      </w:r>
      <w:proofErr w:type="spellEnd"/>
      <w:r w:rsidRPr="00A972B0">
        <w:rPr>
          <w:color w:val="000000"/>
          <w:sz w:val="24"/>
          <w:szCs w:val="24"/>
        </w:rPr>
        <w:t>) renovação dos laços familiares, demonstrando que as diferentes intenções da SEW impõem distintas influências, em cada sub-dimensão, analisada no âmbito da governa</w:t>
      </w:r>
      <w:r w:rsidR="008E3582">
        <w:rPr>
          <w:color w:val="000000"/>
          <w:sz w:val="24"/>
          <w:szCs w:val="24"/>
        </w:rPr>
        <w:t>nça</w:t>
      </w:r>
      <w:r w:rsidRPr="00A972B0">
        <w:rPr>
          <w:color w:val="000000"/>
          <w:sz w:val="24"/>
          <w:szCs w:val="24"/>
        </w:rPr>
        <w:t xml:space="preserve"> da empresa familiar. Abordando a escassez de estudos que tratam sobre as especificidades da família e sobre o desenho dos controles gerenciais, o autor ampliou a pesquisa no campo ao recorrer à visão da riqueza socioemocional para compreender a disposição da família controladora do negócio.</w:t>
      </w:r>
    </w:p>
    <w:p w14:paraId="1589D455" w14:textId="77777777" w:rsidR="006D1C41" w:rsidRPr="00A972B0" w:rsidRDefault="006D1C41" w:rsidP="005D74AD">
      <w:pPr>
        <w:pStyle w:val="Standard"/>
        <w:spacing w:before="120" w:after="120"/>
        <w:ind w:firstLine="0"/>
        <w:outlineLvl w:val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b/>
          <w:spacing w:val="-3"/>
          <w:sz w:val="24"/>
          <w:szCs w:val="24"/>
        </w:rPr>
        <w:t>3 CONSTRUÇÃO METODOLÓGICA</w:t>
      </w:r>
    </w:p>
    <w:p w14:paraId="63A370C2" w14:textId="50E82E7A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Para identificar os fatores que levaram a empresa Guerra S.A. ao declínio organizacional desenvolveu-se </w:t>
      </w:r>
      <w:r w:rsidR="00AF3F37">
        <w:rPr>
          <w:rFonts w:ascii="Times New Roman" w:hAnsi="Times New Roman" w:cs="Times New Roman"/>
          <w:spacing w:val="-3"/>
          <w:sz w:val="24"/>
          <w:szCs w:val="24"/>
        </w:rPr>
        <w:t>a presente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investigação a partir de </w:t>
      </w:r>
      <w:r w:rsidR="00B50DD2">
        <w:rPr>
          <w:rFonts w:ascii="Times New Roman" w:hAnsi="Times New Roman" w:cs="Times New Roman"/>
          <w:spacing w:val="-3"/>
          <w:sz w:val="24"/>
          <w:szCs w:val="24"/>
        </w:rPr>
        <w:t>fontes</w:t>
      </w:r>
      <w:r w:rsidR="00002E9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7F1C11">
        <w:rPr>
          <w:rFonts w:ascii="Times New Roman" w:hAnsi="Times New Roman" w:cs="Times New Roman"/>
          <w:spacing w:val="-3"/>
          <w:sz w:val="24"/>
          <w:szCs w:val="24"/>
        </w:rPr>
        <w:t>jornal</w:t>
      </w:r>
      <w:r w:rsidR="00B50DD2">
        <w:rPr>
          <w:rFonts w:ascii="Times New Roman" w:hAnsi="Times New Roman" w:cs="Times New Roman"/>
          <w:spacing w:val="-3"/>
          <w:sz w:val="24"/>
          <w:szCs w:val="24"/>
        </w:rPr>
        <w:t>ística</w:t>
      </w:r>
      <w:r w:rsidR="007F1C11">
        <w:rPr>
          <w:rFonts w:ascii="Times New Roman" w:hAnsi="Times New Roman" w:cs="Times New Roman"/>
          <w:spacing w:val="-3"/>
          <w:sz w:val="24"/>
          <w:szCs w:val="24"/>
        </w:rPr>
        <w:t>s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. O enfoque desta pesquisa é qualitativo, porque busca “descrever, compreender e explicar comportamentos, discursos e situações” (Martins, 2006, p. 23), analisando principalmente argumentos e exposições em jornais e outras fontes de dados midiáticos. </w:t>
      </w:r>
      <w:r w:rsidR="00AF3F37">
        <w:rPr>
          <w:rFonts w:ascii="Times New Roman" w:hAnsi="Times New Roman" w:cs="Times New Roman"/>
          <w:spacing w:val="-3"/>
          <w:sz w:val="24"/>
          <w:szCs w:val="24"/>
        </w:rPr>
        <w:t>A pesquisa é de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caráter interpretativista, no sentido de analisar os dados e dar um entendimento próprio, em detrimento de um cunho de mensuração de variáveis (Martins, 2006).</w:t>
      </w:r>
    </w:p>
    <w:p w14:paraId="10299EF1" w14:textId="5F3D889D" w:rsidR="006D1C41" w:rsidRPr="00A972B0" w:rsidRDefault="005F3524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A empresa </w:t>
      </w:r>
      <w:r w:rsidR="00002C39">
        <w:rPr>
          <w:rFonts w:ascii="Times New Roman" w:hAnsi="Times New Roman" w:cs="Times New Roman"/>
          <w:spacing w:val="-3"/>
          <w:sz w:val="24"/>
          <w:szCs w:val="24"/>
        </w:rPr>
        <w:t>Guerra S.A. escolhida para este estudo, foi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fundada em agosto de 1970 e sediada na cidade de Caixas do Sul, no Rio Grande do Sul. A escolha da organização se deu por se tratar de uma organização que nasceu familiar, segmento de importância e relevância no âmbito econômico e mundial. Outra motivação para opção foi a forte relação percebida entre a empresa e seus funcionários e a possibilidade de pesquisar a respeito de como uma organização de grande porte vivenciou o estágio de declínio, sendo uma das mais fortes em sua região e segmento. </w:t>
      </w:r>
    </w:p>
    <w:p w14:paraId="27C33C93" w14:textId="2D858CDA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lastRenderedPageBreak/>
        <w:t>A coleta de dados ocorreu de novembro de 2017 à  março de 2018, tendo sido obtidos e/ou acessados os seguintes materiais: i) documento de recup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eração judicial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(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disponível em </w:t>
      </w:r>
      <w:r w:rsidRPr="009E47DA">
        <w:rPr>
          <w:rFonts w:ascii="Times New Roman" w:hAnsi="Times New Roman" w:cs="Times New Roman"/>
          <w:spacing w:val="-3"/>
          <w:sz w:val="24"/>
          <w:szCs w:val="24"/>
        </w:rPr>
        <w:t>&lt;</w:t>
      </w:r>
      <w:hyperlink r:id="rId10" w:history="1">
        <w:r w:rsidR="009E47DA" w:rsidRPr="009E47DA">
          <w:rPr>
            <w:rStyle w:val="Hyperlink"/>
            <w:rFonts w:ascii="Times New Roman" w:hAnsi="Times New Roman" w:cs="Times New Roman"/>
            <w:color w:val="auto"/>
            <w:spacing w:val="-3"/>
            <w:sz w:val="24"/>
            <w:szCs w:val="24"/>
            <w:u w:val="none"/>
          </w:rPr>
          <w:t>mazzardoecoelho.com.br</w:t>
        </w:r>
      </w:hyperlink>
      <w:r w:rsidRPr="009E47DA">
        <w:rPr>
          <w:rFonts w:ascii="Times New Roman" w:hAnsi="Times New Roman" w:cs="Times New Roman"/>
          <w:spacing w:val="-3"/>
          <w:sz w:val="24"/>
          <w:szCs w:val="24"/>
        </w:rPr>
        <w:t>&gt;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)</w:t>
      </w:r>
      <w:r w:rsidRPr="009E47DA">
        <w:rPr>
          <w:rFonts w:ascii="Times New Roman" w:hAnsi="Times New Roman" w:cs="Times New Roman"/>
          <w:spacing w:val="-3"/>
          <w:sz w:val="24"/>
          <w:szCs w:val="24"/>
        </w:rPr>
        <w:t xml:space="preserve">; </w:t>
      </w:r>
      <w:proofErr w:type="spellStart"/>
      <w:r w:rsidRPr="009E47DA">
        <w:rPr>
          <w:rFonts w:ascii="Times New Roman" w:hAnsi="Times New Roman" w:cs="Times New Roman"/>
          <w:spacing w:val="-3"/>
          <w:sz w:val="24"/>
          <w:szCs w:val="24"/>
        </w:rPr>
        <w:t>ii</w:t>
      </w:r>
      <w:proofErr w:type="spellEnd"/>
      <w:r w:rsidRPr="009E47DA">
        <w:rPr>
          <w:rFonts w:ascii="Times New Roman" w:hAnsi="Times New Roman" w:cs="Times New Roman"/>
          <w:spacing w:val="-3"/>
          <w:sz w:val="24"/>
          <w:szCs w:val="24"/>
        </w:rPr>
        <w:t xml:space="preserve">) publicações no jornal local Pioneiro, de 2015 a 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2018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(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>disponível em &lt;pioneiro.clicrbs.com.br&gt;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)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 xml:space="preserve">; </w:t>
      </w:r>
      <w:proofErr w:type="spellStart"/>
      <w:r w:rsidRPr="00AF3F37">
        <w:rPr>
          <w:rFonts w:ascii="Times New Roman" w:hAnsi="Times New Roman" w:cs="Times New Roman"/>
          <w:spacing w:val="-3"/>
          <w:sz w:val="24"/>
          <w:szCs w:val="24"/>
        </w:rPr>
        <w:t>iii</w:t>
      </w:r>
      <w:proofErr w:type="spellEnd"/>
      <w:r w:rsidRPr="00AF3F37">
        <w:rPr>
          <w:rFonts w:ascii="Times New Roman" w:hAnsi="Times New Roman" w:cs="Times New Roman"/>
          <w:spacing w:val="-3"/>
          <w:sz w:val="24"/>
          <w:szCs w:val="24"/>
        </w:rPr>
        <w:t xml:space="preserve">) </w:t>
      </w:r>
      <w:r w:rsidRPr="00AF3F37">
        <w:rPr>
          <w:rFonts w:ascii="Times New Roman" w:hAnsi="Times New Roman" w:cs="Times New Roman"/>
          <w:i/>
          <w:spacing w:val="-3"/>
          <w:sz w:val="24"/>
          <w:szCs w:val="24"/>
        </w:rPr>
        <w:t>site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 xml:space="preserve"> de notícias G1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(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>disponível em &lt;g1.globo.com&gt;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 xml:space="preserve">); </w:t>
      </w:r>
      <w:proofErr w:type="spellStart"/>
      <w:r w:rsidR="001D6568">
        <w:rPr>
          <w:rFonts w:ascii="Times New Roman" w:hAnsi="Times New Roman" w:cs="Times New Roman"/>
          <w:spacing w:val="-3"/>
          <w:sz w:val="24"/>
          <w:szCs w:val="24"/>
        </w:rPr>
        <w:t>iv</w:t>
      </w:r>
      <w:proofErr w:type="spellEnd"/>
      <w:r w:rsidR="001D6568">
        <w:rPr>
          <w:rFonts w:ascii="Times New Roman" w:hAnsi="Times New Roman" w:cs="Times New Roman"/>
          <w:spacing w:val="-3"/>
          <w:sz w:val="24"/>
          <w:szCs w:val="24"/>
        </w:rPr>
        <w:t>) jornal Zero Hora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(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>disponível em &lt;</w:t>
      </w:r>
      <w:hyperlink r:id="rId11" w:history="1">
        <w:r w:rsidRPr="00AF3F37">
          <w:rPr>
            <w:rStyle w:val="Hyperlink"/>
            <w:rFonts w:ascii="Times New Roman" w:hAnsi="Times New Roman" w:cs="Times New Roman"/>
            <w:color w:val="auto"/>
            <w:spacing w:val="-3"/>
            <w:sz w:val="24"/>
            <w:szCs w:val="24"/>
            <w:u w:val="none"/>
          </w:rPr>
          <w:t>gauchazh.clicrbs.com.br</w:t>
        </w:r>
      </w:hyperlink>
      <w:r w:rsidRPr="00AF3F37">
        <w:rPr>
          <w:rFonts w:ascii="Times New Roman" w:hAnsi="Times New Roman" w:cs="Times New Roman"/>
          <w:spacing w:val="-3"/>
          <w:sz w:val="24"/>
          <w:szCs w:val="24"/>
        </w:rPr>
        <w:t>&gt;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); v) Jornal do Comércio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(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>disponível no sítio &lt;</w:t>
      </w:r>
      <w:hyperlink r:id="rId12" w:history="1">
        <w:r w:rsidRPr="00AF3F37">
          <w:rPr>
            <w:rStyle w:val="Hyperlink"/>
            <w:rFonts w:ascii="Times New Roman" w:hAnsi="Times New Roman" w:cs="Times New Roman"/>
            <w:color w:val="auto"/>
            <w:spacing w:val="-3"/>
            <w:sz w:val="24"/>
            <w:szCs w:val="24"/>
            <w:u w:val="none"/>
          </w:rPr>
          <w:t>jcrs.uol.com.br</w:t>
        </w:r>
      </w:hyperlink>
      <w:r w:rsidRPr="00AF3F37">
        <w:rPr>
          <w:rFonts w:ascii="Times New Roman" w:hAnsi="Times New Roman" w:cs="Times New Roman"/>
          <w:spacing w:val="-3"/>
          <w:sz w:val="24"/>
          <w:szCs w:val="24"/>
        </w:rPr>
        <w:t>&gt;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); vi) blog Caminhões e Carretas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(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 xml:space="preserve">disponível em </w:t>
      </w:r>
      <w:r w:rsidR="001D6568" w:rsidRPr="001D6568">
        <w:rPr>
          <w:rFonts w:ascii="Times New Roman" w:hAnsi="Times New Roman" w:cs="Times New Roman"/>
          <w:spacing w:val="-3"/>
          <w:sz w:val="24"/>
          <w:szCs w:val="24"/>
        </w:rPr>
        <w:t>www.caminhoes-e-carretas.com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 xml:space="preserve">); </w:t>
      </w:r>
      <w:proofErr w:type="spellStart"/>
      <w:r w:rsidR="001D6568">
        <w:rPr>
          <w:rFonts w:ascii="Times New Roman" w:hAnsi="Times New Roman" w:cs="Times New Roman"/>
          <w:spacing w:val="-3"/>
          <w:sz w:val="24"/>
          <w:szCs w:val="24"/>
        </w:rPr>
        <w:t>vii</w:t>
      </w:r>
      <w:proofErr w:type="spellEnd"/>
      <w:r w:rsidR="001D6568">
        <w:rPr>
          <w:rFonts w:ascii="Times New Roman" w:hAnsi="Times New Roman" w:cs="Times New Roman"/>
          <w:spacing w:val="-3"/>
          <w:sz w:val="24"/>
          <w:szCs w:val="24"/>
        </w:rPr>
        <w:t xml:space="preserve">) sítio da </w:t>
      </w:r>
      <w:proofErr w:type="spellStart"/>
      <w:r w:rsidR="001D6568">
        <w:rPr>
          <w:rFonts w:ascii="Times New Roman" w:hAnsi="Times New Roman" w:cs="Times New Roman"/>
          <w:spacing w:val="-3"/>
          <w:sz w:val="24"/>
          <w:szCs w:val="24"/>
        </w:rPr>
        <w:t>Leouve</w:t>
      </w:r>
      <w:proofErr w:type="spellEnd"/>
      <w:r w:rsidRPr="00AF3F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(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>disponível em &lt;</w:t>
      </w:r>
      <w:hyperlink r:id="rId13" w:history="1">
        <w:r w:rsidRPr="00AF3F37">
          <w:rPr>
            <w:rStyle w:val="Hyperlink"/>
            <w:rFonts w:ascii="Times New Roman" w:hAnsi="Times New Roman" w:cs="Times New Roman"/>
            <w:color w:val="auto"/>
            <w:spacing w:val="-3"/>
            <w:sz w:val="24"/>
            <w:szCs w:val="24"/>
            <w:u w:val="none"/>
          </w:rPr>
          <w:t>leouve.com.br</w:t>
        </w:r>
      </w:hyperlink>
      <w:r w:rsidRPr="00AF3F37">
        <w:rPr>
          <w:rFonts w:ascii="Times New Roman" w:hAnsi="Times New Roman" w:cs="Times New Roman"/>
          <w:spacing w:val="-3"/>
          <w:sz w:val="24"/>
          <w:szCs w:val="24"/>
        </w:rPr>
        <w:t xml:space="preserve">&gt;; </w:t>
      </w:r>
      <w:proofErr w:type="spellStart"/>
      <w:r w:rsidRPr="00AF3F37">
        <w:rPr>
          <w:rFonts w:ascii="Times New Roman" w:hAnsi="Times New Roman" w:cs="Times New Roman"/>
          <w:spacing w:val="-3"/>
          <w:sz w:val="24"/>
          <w:szCs w:val="24"/>
        </w:rPr>
        <w:t>viii</w:t>
      </w:r>
      <w:proofErr w:type="spellEnd"/>
      <w:r w:rsidRPr="00AF3F37">
        <w:rPr>
          <w:rFonts w:ascii="Times New Roman" w:hAnsi="Times New Roman" w:cs="Times New Roman"/>
          <w:spacing w:val="-3"/>
          <w:sz w:val="24"/>
          <w:szCs w:val="24"/>
        </w:rPr>
        <w:t xml:space="preserve">) </w:t>
      </w:r>
      <w:r w:rsidR="009E47DA">
        <w:rPr>
          <w:rFonts w:ascii="Times New Roman" w:hAnsi="Times New Roman" w:cs="Times New Roman"/>
          <w:spacing w:val="-3"/>
          <w:sz w:val="24"/>
          <w:szCs w:val="24"/>
        </w:rPr>
        <w:t>sítio da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 xml:space="preserve"> Revista Modal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(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>disponível em &lt;</w:t>
      </w:r>
      <w:r w:rsidR="00253564" w:rsidRPr="00253564">
        <w:rPr>
          <w:rFonts w:ascii="Times New Roman" w:hAnsi="Times New Roman" w:cs="Times New Roman"/>
          <w:spacing w:val="-3"/>
          <w:sz w:val="24"/>
          <w:szCs w:val="24"/>
        </w:rPr>
        <w:t>revistamodal.com.br/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>&gt;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 xml:space="preserve">) e, </w:t>
      </w:r>
      <w:proofErr w:type="spellStart"/>
      <w:r w:rsidR="001D6568">
        <w:rPr>
          <w:rFonts w:ascii="Times New Roman" w:hAnsi="Times New Roman" w:cs="Times New Roman"/>
          <w:spacing w:val="-3"/>
          <w:sz w:val="24"/>
          <w:szCs w:val="24"/>
        </w:rPr>
        <w:t>ix</w:t>
      </w:r>
      <w:proofErr w:type="spellEnd"/>
      <w:r w:rsidR="001D6568">
        <w:rPr>
          <w:rFonts w:ascii="Times New Roman" w:hAnsi="Times New Roman" w:cs="Times New Roman"/>
          <w:spacing w:val="-3"/>
          <w:sz w:val="24"/>
          <w:szCs w:val="24"/>
        </w:rPr>
        <w:t>) Blog do Caminhoneiro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(disponível em &lt;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>blogdocaminhoneiro.com/&gt;</w:t>
      </w:r>
      <w:r w:rsidR="001D6568">
        <w:rPr>
          <w:rFonts w:ascii="Times New Roman" w:hAnsi="Times New Roman" w:cs="Times New Roman"/>
          <w:spacing w:val="-3"/>
          <w:sz w:val="24"/>
          <w:szCs w:val="24"/>
        </w:rPr>
        <w:t>)</w:t>
      </w:r>
      <w:r w:rsidRPr="00AF3F37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14:paraId="3F4E8848" w14:textId="404588E6" w:rsidR="006D1C41" w:rsidRPr="00A972B0" w:rsidRDefault="009E47DA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Inicialmente realizou-se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uma primeira organização da documentação obtida,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seguindo-se 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 lógica cronológica dos acontecimentos </w:t>
      </w:r>
      <w:r>
        <w:rPr>
          <w:rFonts w:ascii="Times New Roman" w:hAnsi="Times New Roman" w:cs="Times New Roman"/>
          <w:spacing w:val="-3"/>
          <w:sz w:val="24"/>
          <w:szCs w:val="24"/>
        </w:rPr>
        <w:t>constantes dos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documentos, também </w:t>
      </w:r>
      <w:proofErr w:type="gramStart"/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>observando</w:t>
      </w:r>
      <w:r>
        <w:rPr>
          <w:rFonts w:ascii="Times New Roman" w:hAnsi="Times New Roman" w:cs="Times New Roman"/>
          <w:spacing w:val="-3"/>
          <w:sz w:val="24"/>
          <w:szCs w:val="24"/>
        </w:rPr>
        <w:t>-se</w:t>
      </w:r>
      <w:proofErr w:type="gramEnd"/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>, neste momento</w:t>
      </w:r>
      <w:r>
        <w:rPr>
          <w:rFonts w:ascii="Times New Roman" w:hAnsi="Times New Roman" w:cs="Times New Roman"/>
          <w:spacing w:val="-3"/>
          <w:sz w:val="24"/>
          <w:szCs w:val="24"/>
        </w:rPr>
        <w:t>,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de forma superficial, seu conteúdo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(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Laville </w:t>
      </w:r>
      <w:r>
        <w:rPr>
          <w:rFonts w:ascii="Times New Roman" w:hAnsi="Times New Roman" w:cs="Times New Roman"/>
          <w:spacing w:val="-3"/>
          <w:sz w:val="24"/>
          <w:szCs w:val="24"/>
        </w:rPr>
        <w:t>&amp;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Dionne </w:t>
      </w:r>
      <w:r>
        <w:rPr>
          <w:rFonts w:ascii="Times New Roman" w:hAnsi="Times New Roman" w:cs="Times New Roman"/>
          <w:spacing w:val="-3"/>
          <w:sz w:val="24"/>
          <w:szCs w:val="24"/>
        </w:rPr>
        <w:t>,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1999</w:t>
      </w:r>
      <w:r>
        <w:rPr>
          <w:rFonts w:ascii="Times New Roman" w:hAnsi="Times New Roman" w:cs="Times New Roman"/>
          <w:spacing w:val="-3"/>
          <w:sz w:val="24"/>
          <w:szCs w:val="24"/>
        </w:rPr>
        <w:t>)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. Para essa ordenação realizou-se uma análise de conteúdo </w:t>
      </w:r>
      <w:r w:rsidR="00611449">
        <w:rPr>
          <w:rFonts w:ascii="Times New Roman" w:hAnsi="Times New Roman" w:cs="Times New Roman"/>
          <w:spacing w:val="-3"/>
          <w:sz w:val="24"/>
          <w:szCs w:val="24"/>
        </w:rPr>
        <w:t>para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esclarecer diferentes características encontradas e extrair significado aos achados. A análise de dados qualitativos é denominada, geralmente, de análise de conteúdo (Moraes, 1999). Para o autor este tipo de estratégia é utilizada para descrever e interpretar o conteúdo de documentos e textos, sem distinção. </w:t>
      </w:r>
      <w:r w:rsidR="00611449">
        <w:rPr>
          <w:rFonts w:ascii="Times New Roman" w:hAnsi="Times New Roman" w:cs="Times New Roman"/>
          <w:spacing w:val="-3"/>
          <w:sz w:val="24"/>
          <w:szCs w:val="24"/>
        </w:rPr>
        <w:t>O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conteúdo dos materiais coletados foi analisado e codificado,</w:t>
      </w:r>
      <w:r w:rsidR="00611449">
        <w:rPr>
          <w:rFonts w:ascii="Times New Roman" w:hAnsi="Times New Roman" w:cs="Times New Roman"/>
          <w:spacing w:val="-3"/>
          <w:sz w:val="24"/>
          <w:szCs w:val="24"/>
        </w:rPr>
        <w:t xml:space="preserve"> o que permitiu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organizá-los a partir de temáticas, contextos e formatos. Para tanto, empregou-se a técnica de análise de conteúdo, preconizada por Bardin (2009). As categorias exploradas estão descritas na Tabela 1.</w:t>
      </w:r>
    </w:p>
    <w:p w14:paraId="42CEF5BE" w14:textId="77777777" w:rsidR="006D1C41" w:rsidRPr="00A972B0" w:rsidRDefault="006D1C41" w:rsidP="006D2993">
      <w:pPr>
        <w:pStyle w:val="Standard"/>
        <w:spacing w:after="4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Tabela 1 - Categorias de Análise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523"/>
        <w:gridCol w:w="6537"/>
      </w:tblGrid>
      <w:tr w:rsidR="006D1C41" w:rsidRPr="00A972B0" w14:paraId="693BA35B" w14:textId="77777777" w:rsidTr="00373120">
        <w:tc>
          <w:tcPr>
            <w:tcW w:w="2523" w:type="dxa"/>
            <w:shd w:val="clear" w:color="auto" w:fill="auto"/>
            <w:vAlign w:val="center"/>
          </w:tcPr>
          <w:p w14:paraId="18B64DB9" w14:textId="77777777" w:rsidR="006D1C41" w:rsidRPr="00A972B0" w:rsidRDefault="006D1C41" w:rsidP="006D2993">
            <w:pPr>
              <w:pStyle w:val="Standard"/>
              <w:spacing w:before="20" w:after="20"/>
              <w:ind w:firstLine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972B0">
              <w:rPr>
                <w:rFonts w:ascii="Times New Roman" w:hAnsi="Times New Roman" w:cs="Times New Roman"/>
                <w:b/>
                <w:spacing w:val="-3"/>
                <w:sz w:val="20"/>
                <w:szCs w:val="24"/>
              </w:rPr>
              <w:t>Dimensão</w:t>
            </w:r>
          </w:p>
        </w:tc>
        <w:tc>
          <w:tcPr>
            <w:tcW w:w="6537" w:type="dxa"/>
            <w:shd w:val="clear" w:color="auto" w:fill="auto"/>
            <w:vAlign w:val="center"/>
          </w:tcPr>
          <w:p w14:paraId="24D06190" w14:textId="77777777" w:rsidR="006D1C41" w:rsidRPr="00A972B0" w:rsidRDefault="006D1C41" w:rsidP="006D2993">
            <w:pPr>
              <w:pStyle w:val="Standard"/>
              <w:spacing w:before="20" w:after="20"/>
              <w:ind w:firstLine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972B0">
              <w:rPr>
                <w:rFonts w:ascii="Times New Roman" w:hAnsi="Times New Roman" w:cs="Times New Roman"/>
                <w:b/>
                <w:spacing w:val="-3"/>
                <w:sz w:val="20"/>
                <w:szCs w:val="24"/>
              </w:rPr>
              <w:t>Categorias</w:t>
            </w:r>
          </w:p>
        </w:tc>
      </w:tr>
      <w:tr w:rsidR="006D1C41" w:rsidRPr="00A972B0" w14:paraId="10327647" w14:textId="77777777" w:rsidTr="00373120">
        <w:tc>
          <w:tcPr>
            <w:tcW w:w="2523" w:type="dxa"/>
            <w:shd w:val="clear" w:color="auto" w:fill="auto"/>
            <w:vAlign w:val="center"/>
          </w:tcPr>
          <w:p w14:paraId="570F6EC9" w14:textId="0B71722D" w:rsidR="00041B9A" w:rsidRDefault="006D1C41" w:rsidP="00611449">
            <w:pPr>
              <w:pStyle w:val="Standard"/>
              <w:spacing w:before="20" w:after="20"/>
              <w:ind w:firstLine="0"/>
              <w:jc w:val="center"/>
              <w:rPr>
                <w:rFonts w:ascii="Times New Roman" w:hAnsi="Times New Roman" w:cs="Times New Roman"/>
                <w:spacing w:val="-3"/>
                <w:sz w:val="20"/>
                <w:szCs w:val="24"/>
              </w:rPr>
            </w:pPr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Empresa Familiar</w:t>
            </w:r>
          </w:p>
          <w:p w14:paraId="2FF6D64A" w14:textId="6F84DC97" w:rsidR="006D1C41" w:rsidRPr="00A972B0" w:rsidRDefault="006D1C41" w:rsidP="00611449">
            <w:pPr>
              <w:pStyle w:val="Standard"/>
              <w:spacing w:before="20" w:after="20"/>
              <w:ind w:firstLine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(Leone, 2004)</w:t>
            </w:r>
          </w:p>
        </w:tc>
        <w:tc>
          <w:tcPr>
            <w:tcW w:w="6537" w:type="dxa"/>
            <w:shd w:val="clear" w:color="auto" w:fill="auto"/>
            <w:vAlign w:val="center"/>
          </w:tcPr>
          <w:p w14:paraId="2B87B4DE" w14:textId="77777777" w:rsidR="006D1C41" w:rsidRPr="00A972B0" w:rsidRDefault="006D1C41" w:rsidP="00611449">
            <w:pPr>
              <w:pStyle w:val="Standard"/>
              <w:spacing w:before="20" w:after="2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Propriedade: em que o controle é usufruído pela família proprietária da empresa (a qual possui seu controle ou a maior parte de seu capital)</w:t>
            </w:r>
          </w:p>
        </w:tc>
      </w:tr>
      <w:tr w:rsidR="006D1C41" w:rsidRPr="00A972B0" w14:paraId="6C8B5F23" w14:textId="77777777" w:rsidTr="00373120">
        <w:tc>
          <w:tcPr>
            <w:tcW w:w="2523" w:type="dxa"/>
            <w:vMerge w:val="restart"/>
            <w:shd w:val="clear" w:color="auto" w:fill="auto"/>
            <w:vAlign w:val="center"/>
          </w:tcPr>
          <w:p w14:paraId="7AF03C29" w14:textId="77777777" w:rsidR="006D1C41" w:rsidRPr="00A972B0" w:rsidRDefault="006D1C41" w:rsidP="00611449">
            <w:pPr>
              <w:pStyle w:val="Standard"/>
              <w:spacing w:before="20" w:after="20"/>
              <w:ind w:firstLine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 xml:space="preserve">Declínio Organizacional (Miller &amp; </w:t>
            </w:r>
            <w:proofErr w:type="spellStart"/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Friesen</w:t>
            </w:r>
            <w:proofErr w:type="spellEnd"/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, 1984)</w:t>
            </w:r>
          </w:p>
        </w:tc>
        <w:tc>
          <w:tcPr>
            <w:tcW w:w="6537" w:type="dxa"/>
            <w:shd w:val="clear" w:color="auto" w:fill="auto"/>
            <w:vAlign w:val="center"/>
          </w:tcPr>
          <w:p w14:paraId="6D40DDD6" w14:textId="77777777" w:rsidR="006D1C41" w:rsidRPr="00A972B0" w:rsidRDefault="006D1C41" w:rsidP="00611449">
            <w:pPr>
              <w:pStyle w:val="Standard"/>
              <w:spacing w:before="20" w:after="2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Estratégia: a ênfase mudará para capitalizar a eficiência nas fases de maturidade e declínio; as últimas fases mostram a relativa proeminência de estratégias como o corte de preços, e a publicidade, uma vez que estes se tornam substitutos da inovação e oferecem maior eficiência</w:t>
            </w:r>
          </w:p>
        </w:tc>
      </w:tr>
      <w:tr w:rsidR="006D1C41" w:rsidRPr="00A972B0" w14:paraId="4863E771" w14:textId="77777777" w:rsidTr="00373120">
        <w:tc>
          <w:tcPr>
            <w:tcW w:w="2523" w:type="dxa"/>
            <w:vMerge/>
            <w:shd w:val="clear" w:color="auto" w:fill="auto"/>
            <w:vAlign w:val="center"/>
          </w:tcPr>
          <w:p w14:paraId="39CDC06B" w14:textId="77777777" w:rsidR="006D1C41" w:rsidRPr="00A972B0" w:rsidRDefault="006D1C41" w:rsidP="00611449">
            <w:pPr>
              <w:pStyle w:val="Standard"/>
              <w:spacing w:before="20" w:after="20"/>
              <w:ind w:firstLine="0"/>
              <w:jc w:val="center"/>
              <w:rPr>
                <w:rFonts w:ascii="Times New Roman" w:hAnsi="Times New Roman" w:cs="Times New Roman"/>
                <w:spacing w:val="-3"/>
                <w:sz w:val="20"/>
                <w:szCs w:val="24"/>
              </w:rPr>
            </w:pPr>
          </w:p>
        </w:tc>
        <w:tc>
          <w:tcPr>
            <w:tcW w:w="6537" w:type="dxa"/>
            <w:shd w:val="clear" w:color="auto" w:fill="auto"/>
            <w:vAlign w:val="center"/>
          </w:tcPr>
          <w:p w14:paraId="255BA8B5" w14:textId="77777777" w:rsidR="006D1C41" w:rsidRPr="00A972B0" w:rsidRDefault="006D1C41" w:rsidP="00611449">
            <w:pPr>
              <w:pStyle w:val="Standard"/>
              <w:spacing w:before="20" w:after="2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Situação: retrata o ambiente externo (o ambiente aumentará em heterogeneidade e hostilidade à medida que as empresas expandirem sua gama de produtos ou serviços em resposta a mercados mais maduros e saturados)</w:t>
            </w:r>
          </w:p>
        </w:tc>
      </w:tr>
      <w:tr w:rsidR="006D1C41" w:rsidRPr="00A972B0" w14:paraId="529EACCD" w14:textId="77777777" w:rsidTr="00373120">
        <w:tc>
          <w:tcPr>
            <w:tcW w:w="2523" w:type="dxa"/>
            <w:vMerge/>
            <w:shd w:val="clear" w:color="auto" w:fill="auto"/>
            <w:vAlign w:val="center"/>
          </w:tcPr>
          <w:p w14:paraId="3BB2C307" w14:textId="77777777" w:rsidR="006D1C41" w:rsidRPr="00A972B0" w:rsidRDefault="006D1C41" w:rsidP="00611449">
            <w:pPr>
              <w:pStyle w:val="Standard"/>
              <w:spacing w:before="20" w:after="20"/>
              <w:ind w:firstLine="0"/>
              <w:jc w:val="center"/>
              <w:rPr>
                <w:rFonts w:ascii="Times New Roman" w:hAnsi="Times New Roman" w:cs="Times New Roman"/>
                <w:spacing w:val="-3"/>
                <w:sz w:val="20"/>
                <w:szCs w:val="24"/>
              </w:rPr>
            </w:pPr>
          </w:p>
        </w:tc>
        <w:tc>
          <w:tcPr>
            <w:tcW w:w="6537" w:type="dxa"/>
            <w:shd w:val="clear" w:color="auto" w:fill="auto"/>
            <w:vAlign w:val="center"/>
          </w:tcPr>
          <w:p w14:paraId="53F0A960" w14:textId="77777777" w:rsidR="006D1C41" w:rsidRPr="00A972B0" w:rsidRDefault="006D1C41" w:rsidP="00611449">
            <w:pPr>
              <w:pStyle w:val="Standard"/>
              <w:spacing w:before="20" w:after="2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Estrutura: a sofisticação estrutural será reduzida na fase de declínio, quando a estrutura tende a ser muito primitiva para permitir uma adaptação efetiva</w:t>
            </w:r>
          </w:p>
        </w:tc>
      </w:tr>
      <w:tr w:rsidR="006D1C41" w:rsidRPr="00A972B0" w14:paraId="764378B5" w14:textId="77777777" w:rsidTr="00373120">
        <w:tc>
          <w:tcPr>
            <w:tcW w:w="2523" w:type="dxa"/>
            <w:shd w:val="clear" w:color="auto" w:fill="auto"/>
            <w:vAlign w:val="center"/>
          </w:tcPr>
          <w:p w14:paraId="2C582803" w14:textId="4715750F" w:rsidR="006D1C41" w:rsidRPr="00A972B0" w:rsidRDefault="006D1C41" w:rsidP="006D2993">
            <w:pPr>
              <w:pStyle w:val="Standard"/>
              <w:spacing w:before="20" w:after="2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 xml:space="preserve">Riqueza </w:t>
            </w:r>
            <w:proofErr w:type="spellStart"/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Socioemocional</w:t>
            </w:r>
            <w:proofErr w:type="spellEnd"/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 xml:space="preserve"> (Gomez-</w:t>
            </w:r>
            <w:proofErr w:type="spellStart"/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Mejia</w:t>
            </w:r>
            <w:proofErr w:type="spellEnd"/>
            <w:r w:rsidR="00A972B0">
              <w:rPr>
                <w:rFonts w:ascii="Times New Roman" w:hAnsi="Times New Roman" w:cs="Times New Roman"/>
                <w:i/>
                <w:spacing w:val="-3"/>
                <w:sz w:val="20"/>
                <w:szCs w:val="24"/>
              </w:rPr>
              <w:t xml:space="preserve"> et al.</w:t>
            </w:r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, 2014)</w:t>
            </w:r>
          </w:p>
        </w:tc>
        <w:tc>
          <w:tcPr>
            <w:tcW w:w="6537" w:type="dxa"/>
            <w:shd w:val="clear" w:color="auto" w:fill="auto"/>
            <w:vAlign w:val="center"/>
          </w:tcPr>
          <w:p w14:paraId="2790BA30" w14:textId="1D389F03" w:rsidR="006D1C41" w:rsidRPr="004840ED" w:rsidRDefault="006D1C41" w:rsidP="00611449">
            <w:pPr>
              <w:pStyle w:val="Standard"/>
              <w:spacing w:before="20" w:after="20"/>
              <w:ind w:firstLine="0"/>
              <w:rPr>
                <w:rFonts w:ascii="Times New Roman" w:hAnsi="Times New Roman" w:cs="Times New Roman"/>
                <w:spacing w:val="-3"/>
                <w:sz w:val="20"/>
                <w:szCs w:val="24"/>
              </w:rPr>
            </w:pPr>
            <w:r w:rsidRPr="00A972B0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Influência familiar no negócio</w:t>
            </w:r>
          </w:p>
        </w:tc>
      </w:tr>
    </w:tbl>
    <w:p w14:paraId="157ABD94" w14:textId="2038F269" w:rsidR="006D1C41" w:rsidRPr="006D2993" w:rsidRDefault="006D1C41" w:rsidP="00A972B0">
      <w:pPr>
        <w:pStyle w:val="Standard"/>
        <w:spacing w:after="120"/>
        <w:ind w:firstLine="0"/>
        <w:rPr>
          <w:rFonts w:ascii="Times New Roman" w:hAnsi="Times New Roman" w:cs="Times New Roman"/>
          <w:sz w:val="20"/>
          <w:szCs w:val="24"/>
        </w:rPr>
      </w:pPr>
      <w:r w:rsidRPr="006D2993">
        <w:rPr>
          <w:rFonts w:ascii="Times New Roman" w:hAnsi="Times New Roman" w:cs="Times New Roman"/>
          <w:spacing w:val="-3"/>
          <w:sz w:val="20"/>
          <w:szCs w:val="24"/>
        </w:rPr>
        <w:t xml:space="preserve">Fonte: </w:t>
      </w:r>
      <w:r w:rsidR="00611449">
        <w:rPr>
          <w:rFonts w:ascii="Times New Roman" w:hAnsi="Times New Roman" w:cs="Times New Roman"/>
          <w:spacing w:val="-3"/>
          <w:sz w:val="20"/>
          <w:szCs w:val="24"/>
        </w:rPr>
        <w:t xml:space="preserve">elaborado pelos autores a partir de Leone (2004), Miller e </w:t>
      </w:r>
      <w:proofErr w:type="spellStart"/>
      <w:r w:rsidR="00611449">
        <w:rPr>
          <w:rFonts w:ascii="Times New Roman" w:hAnsi="Times New Roman" w:cs="Times New Roman"/>
          <w:spacing w:val="-3"/>
          <w:sz w:val="20"/>
          <w:szCs w:val="24"/>
        </w:rPr>
        <w:t>Friesen</w:t>
      </w:r>
      <w:proofErr w:type="spellEnd"/>
      <w:r w:rsidR="00611449">
        <w:rPr>
          <w:rFonts w:ascii="Times New Roman" w:hAnsi="Times New Roman" w:cs="Times New Roman"/>
          <w:spacing w:val="-3"/>
          <w:sz w:val="20"/>
          <w:szCs w:val="24"/>
        </w:rPr>
        <w:t xml:space="preserve"> (1984) e Gomez-</w:t>
      </w:r>
      <w:proofErr w:type="spellStart"/>
      <w:r w:rsidR="00611449">
        <w:rPr>
          <w:rFonts w:ascii="Times New Roman" w:hAnsi="Times New Roman" w:cs="Times New Roman"/>
          <w:spacing w:val="-3"/>
          <w:sz w:val="20"/>
          <w:szCs w:val="24"/>
        </w:rPr>
        <w:t>Mejia</w:t>
      </w:r>
      <w:proofErr w:type="spellEnd"/>
      <w:r w:rsidR="00611449">
        <w:rPr>
          <w:rFonts w:ascii="Times New Roman" w:hAnsi="Times New Roman" w:cs="Times New Roman"/>
          <w:spacing w:val="-3"/>
          <w:sz w:val="20"/>
          <w:szCs w:val="24"/>
        </w:rPr>
        <w:t xml:space="preserve"> </w:t>
      </w:r>
      <w:r w:rsidR="00611449">
        <w:rPr>
          <w:rFonts w:ascii="Times New Roman" w:hAnsi="Times New Roman" w:cs="Times New Roman"/>
          <w:i/>
          <w:spacing w:val="-3"/>
          <w:sz w:val="20"/>
          <w:szCs w:val="24"/>
        </w:rPr>
        <w:t>et al.</w:t>
      </w:r>
      <w:r w:rsidR="00611449">
        <w:rPr>
          <w:rFonts w:ascii="Times New Roman" w:hAnsi="Times New Roman" w:cs="Times New Roman"/>
          <w:spacing w:val="-3"/>
          <w:sz w:val="20"/>
          <w:szCs w:val="24"/>
        </w:rPr>
        <w:t xml:space="preserve"> (2014)</w:t>
      </w:r>
      <w:r w:rsidRPr="006D2993">
        <w:rPr>
          <w:rFonts w:ascii="Times New Roman" w:hAnsi="Times New Roman" w:cs="Times New Roman"/>
          <w:spacing w:val="-3"/>
          <w:sz w:val="20"/>
          <w:szCs w:val="24"/>
        </w:rPr>
        <w:t>.</w:t>
      </w:r>
    </w:p>
    <w:p w14:paraId="20C79A21" w14:textId="1B039D92" w:rsidR="006D1C41" w:rsidRPr="00A972B0" w:rsidRDefault="006D1C41" w:rsidP="00AF3F37">
      <w:pPr>
        <w:pStyle w:val="Standard"/>
        <w:spacing w:after="6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b/>
          <w:spacing w:val="-3"/>
          <w:sz w:val="24"/>
          <w:szCs w:val="24"/>
        </w:rPr>
        <w:tab/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 primeira dimensão fundamenta-se na ideia de que a empresa familiar foi o objeto da pesquisa, apesar de a empresa Guerra S.A. ter transferido a propriedade para um grupo internacional, teve seu nascimento e expansão associados a este </w:t>
      </w:r>
      <w:r w:rsidR="00104D3A">
        <w:rPr>
          <w:rFonts w:ascii="Times New Roman" w:hAnsi="Times New Roman" w:cs="Times New Roman"/>
          <w:spacing w:val="-3"/>
          <w:sz w:val="24"/>
          <w:szCs w:val="24"/>
        </w:rPr>
        <w:t>tipo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organização. A segunda dimensão </w:t>
      </w:r>
      <w:r w:rsidR="0070465A">
        <w:rPr>
          <w:rFonts w:ascii="Times New Roman" w:hAnsi="Times New Roman" w:cs="Times New Roman"/>
          <w:spacing w:val="-3"/>
          <w:sz w:val="24"/>
          <w:szCs w:val="24"/>
        </w:rPr>
        <w:t>refere-se às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categorias centrais do ciclo de vida organizacional de estratégia, situação, estrutura e estilo de tomada de decisão, analisad</w:t>
      </w:r>
      <w:r w:rsidR="0070465A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s sob a ótica do declínio da empresa. A terceira e última dimensão</w:t>
      </w:r>
      <w:r w:rsidR="00041B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justifica-se </w:t>
      </w:r>
      <w:r w:rsidR="0070465A">
        <w:rPr>
          <w:rFonts w:ascii="Times New Roman" w:hAnsi="Times New Roman" w:cs="Times New Roman"/>
          <w:spacing w:val="-3"/>
          <w:sz w:val="24"/>
          <w:szCs w:val="24"/>
        </w:rPr>
        <w:t>pelo interesse de explorar a influência familiar no negócio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14:paraId="2470A2C8" w14:textId="77777777" w:rsidR="006D1C41" w:rsidRPr="00A972B0" w:rsidRDefault="006D1C41" w:rsidP="005D74AD">
      <w:pPr>
        <w:pStyle w:val="Standard"/>
        <w:spacing w:before="120" w:after="120"/>
        <w:ind w:firstLine="0"/>
        <w:outlineLvl w:val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b/>
          <w:spacing w:val="-3"/>
          <w:sz w:val="24"/>
          <w:szCs w:val="24"/>
        </w:rPr>
        <w:t>4 ANÁLISE E DISCUSSÃO DOS DADOS</w:t>
      </w:r>
    </w:p>
    <w:p w14:paraId="725FC9CB" w14:textId="56091490" w:rsidR="006D1C41" w:rsidRPr="00A972B0" w:rsidRDefault="006D1C41" w:rsidP="00AF3F37">
      <w:pPr>
        <w:pStyle w:val="Standard"/>
        <w:spacing w:after="60"/>
        <w:ind w:firstLine="708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A empresa Guerra S.A. Implementos Rodoviários foi uma das maiores fabricantes de implementos rodoviários da América Latina. A marca “PAZ na Estrada” consolidou-se como referência de qualidade, tecnologia e inovação (rede social “</w:t>
      </w:r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Facebook”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da empresa). Situada na cidade de Caxias do Sul, no Rio Grande do Sul, a organização se encontra fechada e suas operações inativas. Fundada e constituída em agosto de 1970, </w:t>
      </w:r>
      <w:r w:rsidR="0070465A">
        <w:rPr>
          <w:rFonts w:ascii="Times New Roman" w:hAnsi="Times New Roman" w:cs="Times New Roman"/>
          <w:spacing w:val="-3"/>
          <w:sz w:val="24"/>
          <w:szCs w:val="24"/>
        </w:rPr>
        <w:t xml:space="preserve">a Guerra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teve seu maior destaque a partir de 1972</w:t>
      </w:r>
      <w:r w:rsidR="00E01312">
        <w:rPr>
          <w:rFonts w:ascii="Times New Roman" w:hAnsi="Times New Roman" w:cs="Times New Roman"/>
          <w:spacing w:val="-3"/>
          <w:sz w:val="24"/>
          <w:szCs w:val="24"/>
        </w:rPr>
        <w:t>. A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empresa obteve rápida ascensão, trabalhando com soluções para transporte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lastRenderedPageBreak/>
        <w:t xml:space="preserve">rodoviário de cargas (Documento de Recuperação Judicial), concebida por integrantes de um grupo familiar, foi negociada e vendida em 2008 para um fundo internacional, a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Axxon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Group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14:paraId="580203A2" w14:textId="77777777" w:rsidR="00F276E2" w:rsidRDefault="006D1C41" w:rsidP="00AF3F37">
      <w:pPr>
        <w:pStyle w:val="Standard"/>
        <w:spacing w:after="60"/>
        <w:ind w:firstLine="708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 história da empresa teve início com seu fundador Ângelo Guerra, que começou seu empreendimento na mesma época em que Raul Randon </w:t>
      </w:r>
      <w:r w:rsidR="00E01312">
        <w:rPr>
          <w:rFonts w:ascii="Times New Roman" w:hAnsi="Times New Roman" w:cs="Times New Roman"/>
          <w:spacing w:val="-3"/>
          <w:sz w:val="24"/>
          <w:szCs w:val="24"/>
        </w:rPr>
        <w:t xml:space="preserve">iniciava suas atividades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fazendo implementos rodoviários em Caxias do Sul e no mesmo bairro. Ambos tiveram altos e baixos e, por mais sombrio que possa parecer, foram vítimas, em momentos distintos, de incêndios que acabaram destruindo as instalações de suas empresas. Mas, as semelhanças terminam aí, conforme a reportagem da Revista Modal em 16/11/2017. A morte prematura do fundador da Guerra S.A. antecipou a chegada da segunda geração ao comando da Guerra S.A., o que pode ter contribuído para a diferença na vida das duas organizações.</w:t>
      </w:r>
    </w:p>
    <w:p w14:paraId="686FE0A4" w14:textId="60523CA2" w:rsidR="006D1C41" w:rsidRPr="00A972B0" w:rsidRDefault="006D1C41" w:rsidP="00AF3F37">
      <w:pPr>
        <w:pStyle w:val="Standard"/>
        <w:spacing w:after="60"/>
        <w:ind w:firstLine="708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Ainda segundo a Revista Modal, houve decisões equivocadas decorrentes da sucessão prematura e após a negociação da empresa com o grupo internacional por quantia menor do que o valor considerado justo, a empresa acabou passando por inúmeras dificuldades de gestão, apesar do esforço do sucessor Marcos Guerra </w:t>
      </w:r>
      <w:r w:rsidR="00E01312">
        <w:rPr>
          <w:rFonts w:ascii="Times New Roman" w:hAnsi="Times New Roman" w:cs="Times New Roman"/>
          <w:spacing w:val="-3"/>
          <w:sz w:val="24"/>
          <w:szCs w:val="24"/>
        </w:rPr>
        <w:t xml:space="preserve">de dar continuidade às atividades da organização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(Revista Modal, 16/11/2017). </w:t>
      </w:r>
    </w:p>
    <w:p w14:paraId="2709E8EB" w14:textId="2823A48A" w:rsidR="006D1C41" w:rsidRPr="00A972B0" w:rsidRDefault="006D1C41" w:rsidP="00AF3F37">
      <w:pPr>
        <w:pStyle w:val="Standard"/>
        <w:spacing w:after="60"/>
        <w:ind w:firstLine="708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 comemoração de 40 anos da empresa foi divulgada pelo </w:t>
      </w:r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site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Caminhões e Carretas em 19/08/2010. Fazendo alusão à história de inovação e confiança da Guerra S.A., a reportagem apresentou dados da empresa, que contava com duas unidades industriais na sede em Caxias do Sul, duas fábricas em Farroupilha/RS e uma em São Paulo, totalizando 208.535 m² de área fabril e 50.440m² de área construída. A </w:t>
      </w:r>
      <w:r w:rsidR="00F97A64">
        <w:rPr>
          <w:rFonts w:ascii="Times New Roman" w:hAnsi="Times New Roman" w:cs="Times New Roman"/>
          <w:spacing w:val="-3"/>
          <w:sz w:val="24"/>
          <w:szCs w:val="24"/>
        </w:rPr>
        <w:t xml:space="preserve">empresa tinha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capacidade produtiva de fabricar 1</w:t>
      </w:r>
      <w:r w:rsidR="00F97A64">
        <w:rPr>
          <w:rFonts w:ascii="Times New Roman" w:hAnsi="Times New Roman" w:cs="Times New Roman"/>
          <w:spacing w:val="-3"/>
          <w:sz w:val="24"/>
          <w:szCs w:val="24"/>
        </w:rPr>
        <w:t>.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000 reboques e semirreboques de diferentes modelos</w:t>
      </w:r>
      <w:r w:rsidR="00F97A64">
        <w:rPr>
          <w:rFonts w:ascii="Times New Roman" w:hAnsi="Times New Roman" w:cs="Times New Roman"/>
          <w:spacing w:val="-3"/>
          <w:sz w:val="24"/>
          <w:szCs w:val="24"/>
        </w:rPr>
        <w:t>, por mês, e c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ontava com cerca de 2.000 funcionários na indústria e 1.500 colaboradores na Rede de Distribuidores (Caminhões e Carretas, 19/08/2010).</w:t>
      </w:r>
    </w:p>
    <w:p w14:paraId="53BEA802" w14:textId="77777777" w:rsidR="00FE13E3" w:rsidRDefault="006D1C41" w:rsidP="007F1CB9">
      <w:pPr>
        <w:pStyle w:val="Standard"/>
        <w:spacing w:after="60"/>
        <w:ind w:firstLine="708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Ângelo Francisco Guerra </w:t>
      </w:r>
      <w:r w:rsidR="00F97A64">
        <w:rPr>
          <w:rFonts w:ascii="Times New Roman" w:hAnsi="Times New Roman" w:cs="Times New Roman"/>
          <w:spacing w:val="-3"/>
          <w:sz w:val="24"/>
          <w:szCs w:val="24"/>
        </w:rPr>
        <w:t xml:space="preserve">fundou a Guerra S/A </w:t>
      </w:r>
      <w:r w:rsidR="009C3373">
        <w:rPr>
          <w:rFonts w:ascii="Times New Roman" w:hAnsi="Times New Roman" w:cs="Times New Roman"/>
          <w:spacing w:val="-3"/>
          <w:sz w:val="24"/>
          <w:szCs w:val="24"/>
        </w:rPr>
        <w:t xml:space="preserve">com finalidade de fabricar implementos rodoviários.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“Com o seu espírito empreendedor e conhecimento, projetou a empresa como um dos maiores fabricantes de semirreboques da América Latina, com a marca presente em 16 países e em cerca de 100 mil produtos em operação no mercado brasileiro” (Alceu Barbosa, deputado estadual à época e 2º secretário da Mesa Diretora da Assembleia, Agência de Notícias da Assemblei Legislativa do Rio Grande do Sul</w:t>
      </w:r>
      <w:r w:rsidR="007F1CB9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). </w:t>
      </w:r>
    </w:p>
    <w:p w14:paraId="5C6FD079" w14:textId="544044D2" w:rsidR="006D1C41" w:rsidRPr="00A972B0" w:rsidRDefault="006D1C41" w:rsidP="007F1CB9">
      <w:pPr>
        <w:pStyle w:val="Standard"/>
        <w:spacing w:after="60"/>
        <w:ind w:firstLine="708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Desde os nove anos de idade</w:t>
      </w:r>
      <w:r w:rsidR="009C3373">
        <w:rPr>
          <w:rFonts w:ascii="Times New Roman" w:hAnsi="Times New Roman" w:cs="Times New Roman"/>
          <w:spacing w:val="-3"/>
          <w:sz w:val="24"/>
          <w:szCs w:val="24"/>
        </w:rPr>
        <w:t>,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Marcos Guerra começou a trabalhar com </w:t>
      </w:r>
      <w:r w:rsidR="009C3373">
        <w:rPr>
          <w:rFonts w:ascii="Times New Roman" w:hAnsi="Times New Roman" w:cs="Times New Roman"/>
          <w:spacing w:val="-3"/>
          <w:sz w:val="24"/>
          <w:szCs w:val="24"/>
        </w:rPr>
        <w:t>o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pai Ângelo na metalúrgica, quando não estava na escola. Mesmo sem formação universitária, o sucessor fez diversos cursos na área empresarial e industrial, e era visto como um empresário com visão de negócio e espírito de liderança diferenciados (Rádio Caxias, 27/05/2011). Ao longo dos anos em que esteve à frente da gestão da Guerra, Marcos construiu um império ancorado em valores e significados muito fortes</w:t>
      </w:r>
      <w:r w:rsidR="009C3373">
        <w:rPr>
          <w:rFonts w:ascii="Times New Roman" w:hAnsi="Times New Roman" w:cs="Times New Roman"/>
          <w:spacing w:val="-3"/>
          <w:sz w:val="24"/>
          <w:szCs w:val="24"/>
        </w:rPr>
        <w:t xml:space="preserve">, e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foi extremamente habilidoso no sentido de despertar um sentimento de pertencimento muito forte nos funcionários em relação à organização. Dessa forma, ainda com pouco tempo de atuação</w:t>
      </w:r>
      <w:r w:rsidR="009C3373">
        <w:rPr>
          <w:rFonts w:ascii="Times New Roman" w:hAnsi="Times New Roman" w:cs="Times New Roman"/>
          <w:spacing w:val="-3"/>
          <w:sz w:val="24"/>
          <w:szCs w:val="24"/>
        </w:rPr>
        <w:t>,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a Guerra S.A. transformou-se numa grande potência, representando um espaço onde as pessoas (funcionários e aspirantes a funcionários) desej</w:t>
      </w:r>
      <w:r w:rsidR="009C3373">
        <w:rPr>
          <w:rFonts w:ascii="Times New Roman" w:hAnsi="Times New Roman" w:cs="Times New Roman"/>
          <w:spacing w:val="-3"/>
          <w:sz w:val="24"/>
          <w:szCs w:val="24"/>
        </w:rPr>
        <w:t>av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am construir não apenas uma carreira, mas a extensão de suas vidas.</w:t>
      </w:r>
    </w:p>
    <w:p w14:paraId="1EB086AC" w14:textId="77777777" w:rsidR="00FE13E3" w:rsidRDefault="009C3373" w:rsidP="004909FA">
      <w:pPr>
        <w:spacing w:after="60"/>
        <w:ind w:firstLine="708"/>
        <w:jc w:val="both"/>
        <w:rPr>
          <w:color w:val="201815"/>
          <w:sz w:val="24"/>
          <w:szCs w:val="24"/>
        </w:rPr>
      </w:pPr>
      <w:r>
        <w:rPr>
          <w:spacing w:val="-3"/>
          <w:sz w:val="24"/>
          <w:szCs w:val="24"/>
        </w:rPr>
        <w:t>O fundador</w:t>
      </w:r>
      <w:r w:rsidR="006D1C41" w:rsidRPr="00A972B0">
        <w:rPr>
          <w:color w:val="201815"/>
          <w:sz w:val="24"/>
          <w:szCs w:val="24"/>
        </w:rPr>
        <w:t xml:space="preserve"> esteve a frente da Guerra S.A. até a morte</w:t>
      </w:r>
      <w:r>
        <w:rPr>
          <w:color w:val="201815"/>
          <w:sz w:val="24"/>
          <w:szCs w:val="24"/>
        </w:rPr>
        <w:t>,</w:t>
      </w:r>
      <w:r w:rsidR="006D1C41" w:rsidRPr="00A972B0">
        <w:rPr>
          <w:color w:val="201815"/>
          <w:sz w:val="24"/>
          <w:szCs w:val="24"/>
        </w:rPr>
        <w:t xml:space="preserve"> nos anos 1980 </w:t>
      </w:r>
      <w:r>
        <w:rPr>
          <w:color w:val="201815"/>
          <w:sz w:val="24"/>
          <w:szCs w:val="24"/>
        </w:rPr>
        <w:t>(</w:t>
      </w:r>
      <w:r w:rsidR="006D1C41" w:rsidRPr="00A972B0">
        <w:rPr>
          <w:color w:val="201815"/>
          <w:sz w:val="24"/>
          <w:szCs w:val="24"/>
        </w:rPr>
        <w:t>Revista Modal, 16/11/2017), mas durante muito tempo contou com o apoio do filho Marcos. Ainda jovem, Marcos Guerra começou a trabalhar na fabricação de implementos rodoviários, executando funções de soldador, guincheiro, motorista e pintor, para depois exercer o pape</w:t>
      </w:r>
      <w:r w:rsidR="00FE13E3">
        <w:rPr>
          <w:color w:val="201815"/>
          <w:sz w:val="24"/>
          <w:szCs w:val="24"/>
        </w:rPr>
        <w:t>l de administrador da Guerra S.</w:t>
      </w:r>
      <w:r w:rsidR="006D1C41" w:rsidRPr="00A972B0">
        <w:rPr>
          <w:color w:val="201815"/>
          <w:sz w:val="24"/>
          <w:szCs w:val="24"/>
        </w:rPr>
        <w:t xml:space="preserve">A. </w:t>
      </w:r>
    </w:p>
    <w:p w14:paraId="0CE7AC86" w14:textId="14555248" w:rsidR="006D1C41" w:rsidRPr="00A972B0" w:rsidRDefault="006D1C41" w:rsidP="004909FA">
      <w:pPr>
        <w:spacing w:after="60"/>
        <w:ind w:firstLine="708"/>
        <w:jc w:val="both"/>
        <w:rPr>
          <w:sz w:val="24"/>
          <w:szCs w:val="24"/>
        </w:rPr>
      </w:pPr>
      <w:r w:rsidRPr="00A972B0">
        <w:rPr>
          <w:spacing w:val="-3"/>
          <w:sz w:val="24"/>
          <w:szCs w:val="24"/>
        </w:rPr>
        <w:t>Em maio de 2011, Marcos Guerra era vice-presidente do Conselho de Administração da empresa, tendo recebido na circunstância, o prêmio de Mérito Industrial do Rio Grande do Sul FIERGS/CIERGS. Ao receber tal condecoração, o herdeiro fez menção ao pai</w:t>
      </w:r>
      <w:r w:rsidR="009C3373">
        <w:rPr>
          <w:spacing w:val="-3"/>
          <w:sz w:val="24"/>
          <w:szCs w:val="24"/>
        </w:rPr>
        <w:t xml:space="preserve"> – reconheceu os ensinamentos recebidos do patriarca</w:t>
      </w:r>
      <w:r w:rsidRPr="00A972B0">
        <w:rPr>
          <w:spacing w:val="-3"/>
          <w:sz w:val="24"/>
          <w:szCs w:val="24"/>
        </w:rPr>
        <w:t xml:space="preserve"> e relembrou a </w:t>
      </w:r>
      <w:r w:rsidRPr="00A972B0">
        <w:rPr>
          <w:color w:val="201815"/>
          <w:sz w:val="24"/>
          <w:szCs w:val="24"/>
        </w:rPr>
        <w:t>história d</w:t>
      </w:r>
      <w:r w:rsidR="009C3373">
        <w:rPr>
          <w:color w:val="201815"/>
          <w:sz w:val="24"/>
          <w:szCs w:val="24"/>
        </w:rPr>
        <w:t>a</w:t>
      </w:r>
      <w:r w:rsidRPr="00A972B0">
        <w:rPr>
          <w:color w:val="201815"/>
          <w:sz w:val="24"/>
          <w:szCs w:val="24"/>
        </w:rPr>
        <w:t xml:space="preserve"> </w:t>
      </w:r>
      <w:r w:rsidRPr="00A972B0">
        <w:rPr>
          <w:spacing w:val="-3"/>
          <w:sz w:val="24"/>
          <w:szCs w:val="24"/>
        </w:rPr>
        <w:t xml:space="preserve">empresa que começou como uma pequena ferraria. O Mérito Industrial é uma premiação concedida pela Federação e pelo Centro </w:t>
      </w:r>
      <w:r w:rsidRPr="00A972B0">
        <w:rPr>
          <w:spacing w:val="-3"/>
          <w:sz w:val="24"/>
          <w:szCs w:val="24"/>
        </w:rPr>
        <w:lastRenderedPageBreak/>
        <w:t xml:space="preserve">das Indústrias do </w:t>
      </w:r>
      <w:r w:rsidR="009C3373">
        <w:rPr>
          <w:spacing w:val="-3"/>
          <w:sz w:val="24"/>
          <w:szCs w:val="24"/>
        </w:rPr>
        <w:t>RS</w:t>
      </w:r>
      <w:r w:rsidRPr="00A972B0">
        <w:rPr>
          <w:spacing w:val="-3"/>
          <w:sz w:val="24"/>
          <w:szCs w:val="24"/>
        </w:rPr>
        <w:t xml:space="preserve"> para distinguir industriais com marcante atuação na comunidade e no meio empresarial gaúcho. Os agraciados são indicados por sindicatos da indústria filiados à FIERGS e entidades associadas ao CIERGS (Centro das Indústrias do Rio Grande do Sul) e posteriormente escolhidos por uma Comissão Especial. Marcos Guerra foi indicado pelo </w:t>
      </w:r>
      <w:proofErr w:type="spellStart"/>
      <w:r w:rsidRPr="00A972B0">
        <w:rPr>
          <w:spacing w:val="-3"/>
          <w:sz w:val="24"/>
          <w:szCs w:val="24"/>
        </w:rPr>
        <w:t>Simecs</w:t>
      </w:r>
      <w:proofErr w:type="spellEnd"/>
      <w:r w:rsidRPr="00A972B0">
        <w:rPr>
          <w:spacing w:val="-3"/>
          <w:sz w:val="24"/>
          <w:szCs w:val="24"/>
        </w:rPr>
        <w:t xml:space="preserve"> (Sindicato das Indústrias Metalúrgicas, Mecânicas e de Material Elétrico de Caxias do Sul) (</w:t>
      </w:r>
      <w:proofErr w:type="spellStart"/>
      <w:r w:rsidRPr="00A972B0">
        <w:rPr>
          <w:spacing w:val="-3"/>
          <w:sz w:val="24"/>
          <w:szCs w:val="24"/>
        </w:rPr>
        <w:t>LogWeb</w:t>
      </w:r>
      <w:proofErr w:type="spellEnd"/>
      <w:r w:rsidRPr="00A972B0">
        <w:rPr>
          <w:spacing w:val="-3"/>
          <w:sz w:val="24"/>
          <w:szCs w:val="24"/>
        </w:rPr>
        <w:t>, 30/05/2011).</w:t>
      </w:r>
    </w:p>
    <w:p w14:paraId="2ED24C66" w14:textId="7CB1776F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Em 2016, Marcos Guerra era acionista indireto, sendo detentor de 20% do capital da empresa (Jornal Pioneiro, 21/10/2016). Dentre os pontos destacados por Marcos, </w:t>
      </w:r>
      <w:r w:rsidR="003369C2">
        <w:rPr>
          <w:rFonts w:ascii="Times New Roman" w:hAnsi="Times New Roman" w:cs="Times New Roman"/>
          <w:spacing w:val="-3"/>
          <w:sz w:val="24"/>
          <w:szCs w:val="24"/>
        </w:rPr>
        <w:t>destaca-se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a sugestão de criação de uma “Nova Empresa” na intenção de retomar as atividades </w:t>
      </w:r>
      <w:r w:rsidRPr="00A972B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iniciadas pelo pai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. O plano sugeriu a criação de uma Unidade de Produção Independente (UPI), que seria uma espécie de “nova Guerra”. Os credores seriam convidados a converter o valor da dívida por capital nessa nova estrutura, podendo resgatar o valor das ações a partir de 2024. O objetivo seria de ampliar as atividades da Guerra, que produziria implementos rodoviários e também artigos para outros tipos de indústrias. Marcos Guerra capitanearia essa nova estrutura, tendo uma participação de 5% e podendo chegar a até 30%, dependendo do desempenho apresentado. A rede de distribuidores receberia cerca de 10% das ações e o restante seria composto pelos credores que optassem por converter seus créditos (Jornal Pioneiro, 13/06/2017).</w:t>
      </w:r>
    </w:p>
    <w:p w14:paraId="54C9B5FA" w14:textId="2195A5AF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Em </w:t>
      </w:r>
      <w:r w:rsidR="003369C2">
        <w:rPr>
          <w:rFonts w:ascii="Times New Roman" w:hAnsi="Times New Roman" w:cs="Times New Roman"/>
          <w:spacing w:val="-3"/>
          <w:sz w:val="24"/>
          <w:szCs w:val="24"/>
        </w:rPr>
        <w:t xml:space="preserve">maio de 2008, Marcos fez a seguinte declaração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à Gazeta Mer</w:t>
      </w:r>
      <w:r w:rsidR="00B5300E">
        <w:rPr>
          <w:rFonts w:ascii="Times New Roman" w:hAnsi="Times New Roman" w:cs="Times New Roman"/>
          <w:spacing w:val="-3"/>
          <w:sz w:val="24"/>
          <w:szCs w:val="24"/>
        </w:rPr>
        <w:t>c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antil</w:t>
      </w:r>
      <w:r w:rsidR="003369C2">
        <w:rPr>
          <w:rFonts w:ascii="Times New Roman" w:hAnsi="Times New Roman" w:cs="Times New Roman"/>
          <w:spacing w:val="-3"/>
          <w:sz w:val="24"/>
          <w:szCs w:val="24"/>
        </w:rPr>
        <w:t xml:space="preserve">: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"Temos 37 anos de gestão, mas é uma gestão caseira. Precisamos olhar o futuro tendo uma visão mais consciente e dar um salto de qualidade em todos os processos" (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Intelog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– Inteligência em Gestão Logística). Com essa intenção, em 10 de Junho de 2008, foi concluída a negociação, </w:t>
      </w:r>
      <w:r w:rsidR="003369C2">
        <w:rPr>
          <w:rFonts w:ascii="Times New Roman" w:hAnsi="Times New Roman" w:cs="Times New Roman"/>
          <w:spacing w:val="-3"/>
          <w:sz w:val="24"/>
          <w:szCs w:val="24"/>
        </w:rPr>
        <w:t>em que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o Grupo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Axxon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assumiu o controle acionário da </w:t>
      </w:r>
      <w:r w:rsidR="003369C2">
        <w:rPr>
          <w:rFonts w:ascii="Times New Roman" w:hAnsi="Times New Roman" w:cs="Times New Roman"/>
          <w:spacing w:val="-3"/>
          <w:sz w:val="24"/>
          <w:szCs w:val="24"/>
        </w:rPr>
        <w:t xml:space="preserve">empresa, que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passou a denominar-se Guerra S.A. Implementos Rodoviários (ABRADIGUE - Associação Brasileira dos distr</w:t>
      </w:r>
      <w:r w:rsidR="003369C2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buidores). Nos anos seguintes, a família foi saindo do negócio, “após a compra da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Axxon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em junho de 2008, a família Guerra manteve cargos de direção por um curto período na fase de transição, mas atualmente nenhum deles participa da gestão do grupo. Marcos, filho de Ângelo Guerra, foi o último a sair, após deixar a diretoria comercial em julho de 2010” (Portal</w:t>
      </w:r>
      <w:r w:rsidR="003369C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NTC, 20/03/2012).</w:t>
      </w:r>
    </w:p>
    <w:p w14:paraId="4D1C49E7" w14:textId="77777777" w:rsidR="00FE13E3" w:rsidRDefault="006D1C41" w:rsidP="00AF3F37">
      <w:pPr>
        <w:pStyle w:val="Standard"/>
        <w:spacing w:after="60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 composição familiar proposta na primeira dimensão </w:t>
      </w:r>
      <w:r w:rsidR="003E2BBC">
        <w:rPr>
          <w:rFonts w:ascii="Times New Roman" w:hAnsi="Times New Roman" w:cs="Times New Roman"/>
          <w:spacing w:val="-3"/>
          <w:sz w:val="24"/>
          <w:szCs w:val="24"/>
        </w:rPr>
        <w:t xml:space="preserve">de análise foi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evidenciada por meio da disposição de informações </w:t>
      </w:r>
      <w:r w:rsidR="003E2BBC">
        <w:rPr>
          <w:rFonts w:ascii="Times New Roman" w:hAnsi="Times New Roman" w:cs="Times New Roman"/>
          <w:spacing w:val="-3"/>
          <w:sz w:val="24"/>
          <w:szCs w:val="24"/>
        </w:rPr>
        <w:t>n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os meios de comunicação, </w:t>
      </w:r>
      <w:r w:rsidR="003E2BBC">
        <w:rPr>
          <w:rFonts w:ascii="Times New Roman" w:hAnsi="Times New Roman" w:cs="Times New Roman"/>
          <w:spacing w:val="-3"/>
          <w:sz w:val="24"/>
          <w:szCs w:val="24"/>
        </w:rPr>
        <w:t>indicativas de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que o sucessor voltou a fazer parte do corpo gerencial da empresa, com participação de 20%. Sendo assim, a propriedade pode ser analisada como sendo familiar, base pela qual o estudo foi consolidado. </w:t>
      </w:r>
    </w:p>
    <w:p w14:paraId="7D4A46AF" w14:textId="514C0F7D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A dimensão</w:t>
      </w:r>
      <w:r w:rsidR="003E2BBC">
        <w:rPr>
          <w:rFonts w:ascii="Times New Roman" w:hAnsi="Times New Roman" w:cs="Times New Roman"/>
          <w:spacing w:val="-3"/>
          <w:sz w:val="24"/>
          <w:szCs w:val="24"/>
        </w:rPr>
        <w:t xml:space="preserve"> “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situação da empresa</w:t>
      </w:r>
      <w:r w:rsidR="003E2BBC">
        <w:rPr>
          <w:rFonts w:ascii="Times New Roman" w:hAnsi="Times New Roman" w:cs="Times New Roman"/>
          <w:spacing w:val="-3"/>
          <w:sz w:val="24"/>
          <w:szCs w:val="24"/>
        </w:rPr>
        <w:t>”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foi explorada a partir de reportagens publicadas em jornais. Em 2016, a Guerra S.A. possuía uma dívida de R$ 212 milhões envolvendo financiamentos com bancos e débitos com fornecedores, o que motivou a empresa a solicitar recuperação judicial em 2015 (Jornal Pioneiro, 28/11/2016). Um dos</w:t>
      </w:r>
      <w:r w:rsidR="003E2BBC">
        <w:rPr>
          <w:rFonts w:ascii="Times New Roman" w:hAnsi="Times New Roman" w:cs="Times New Roman"/>
          <w:spacing w:val="-3"/>
          <w:sz w:val="24"/>
          <w:szCs w:val="24"/>
        </w:rPr>
        <w:t xml:space="preserve"> prová</w:t>
      </w:r>
      <w:r w:rsidR="00777AD8">
        <w:rPr>
          <w:rFonts w:ascii="Times New Roman" w:hAnsi="Times New Roman" w:cs="Times New Roman"/>
          <w:spacing w:val="-3"/>
          <w:sz w:val="24"/>
          <w:szCs w:val="24"/>
        </w:rPr>
        <w:t>v</w:t>
      </w:r>
      <w:r w:rsidR="003E2BBC">
        <w:rPr>
          <w:rFonts w:ascii="Times New Roman" w:hAnsi="Times New Roman" w:cs="Times New Roman"/>
          <w:spacing w:val="-3"/>
          <w:sz w:val="24"/>
          <w:szCs w:val="24"/>
        </w:rPr>
        <w:t>eis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motivos para a crise apresentada pela empresa foi </w:t>
      </w:r>
      <w:r w:rsidR="003E2BBC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estagnação que a economia brasileira atravessou,</w:t>
      </w:r>
      <w:r w:rsidR="003E2BBC">
        <w:rPr>
          <w:rFonts w:ascii="Times New Roman" w:hAnsi="Times New Roman" w:cs="Times New Roman"/>
          <w:spacing w:val="-3"/>
          <w:sz w:val="24"/>
          <w:szCs w:val="24"/>
        </w:rPr>
        <w:t xml:space="preserve"> o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que culminou </w:t>
      </w:r>
      <w:r w:rsidR="003E2BBC">
        <w:rPr>
          <w:rFonts w:ascii="Times New Roman" w:hAnsi="Times New Roman" w:cs="Times New Roman"/>
          <w:spacing w:val="-3"/>
          <w:sz w:val="24"/>
          <w:szCs w:val="24"/>
        </w:rPr>
        <w:t>em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demissões e desaceleração </w:t>
      </w:r>
      <w:r w:rsidR="003E2BBC">
        <w:rPr>
          <w:rFonts w:ascii="Times New Roman" w:hAnsi="Times New Roman" w:cs="Times New Roman"/>
          <w:spacing w:val="-3"/>
          <w:sz w:val="24"/>
          <w:szCs w:val="24"/>
        </w:rPr>
        <w:t>de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investimentos em todo território nacional. Uma razão apontada no Documento de Recuperação Judicial foi o “desaquecimento do mercado a partir de 2015”. </w:t>
      </w:r>
    </w:p>
    <w:p w14:paraId="258695F2" w14:textId="222ADE69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92763B">
        <w:rPr>
          <w:rFonts w:ascii="Times New Roman" w:hAnsi="Times New Roman" w:cs="Times New Roman"/>
          <w:spacing w:val="-3"/>
          <w:sz w:val="24"/>
          <w:szCs w:val="24"/>
        </w:rPr>
        <w:t>A estratégia</w:t>
      </w:r>
      <w:r w:rsidR="00777AD8">
        <w:rPr>
          <w:rFonts w:ascii="Times New Roman" w:hAnsi="Times New Roman" w:cs="Times New Roman"/>
          <w:spacing w:val="-3"/>
          <w:sz w:val="24"/>
          <w:szCs w:val="24"/>
        </w:rPr>
        <w:t xml:space="preserve"> – subcategoria da dimensão declínio organizacional –</w:t>
      </w:r>
      <w:r w:rsidRPr="0092763B">
        <w:rPr>
          <w:rFonts w:ascii="Times New Roman" w:hAnsi="Times New Roman" w:cs="Times New Roman"/>
          <w:spacing w:val="-3"/>
          <w:sz w:val="24"/>
          <w:szCs w:val="24"/>
        </w:rPr>
        <w:t xml:space="preserve"> é evidenciada no plano de recuperação judicial apresentado pela Guerra. A Lei nº 11.101, de </w:t>
      </w:r>
      <w:r w:rsidR="00777AD8">
        <w:rPr>
          <w:rFonts w:ascii="Times New Roman" w:hAnsi="Times New Roman" w:cs="Times New Roman"/>
          <w:spacing w:val="-3"/>
          <w:sz w:val="24"/>
          <w:szCs w:val="24"/>
        </w:rPr>
        <w:t>09/02/</w:t>
      </w:r>
      <w:r w:rsidRPr="0092763B">
        <w:rPr>
          <w:rFonts w:ascii="Times New Roman" w:hAnsi="Times New Roman" w:cs="Times New Roman"/>
          <w:spacing w:val="-3"/>
          <w:sz w:val="24"/>
          <w:szCs w:val="24"/>
        </w:rPr>
        <w:t xml:space="preserve">2005, regula a recuperação judicial, a extrajudicial e a falência do empresário e da sociedade empresária. Conforme a lei, o objetivo da recuperação judicial </w:t>
      </w:r>
      <w:r w:rsidR="00777AD8">
        <w:rPr>
          <w:rFonts w:ascii="Times New Roman" w:hAnsi="Times New Roman" w:cs="Times New Roman"/>
          <w:spacing w:val="-3"/>
          <w:sz w:val="24"/>
          <w:szCs w:val="24"/>
        </w:rPr>
        <w:t>consiste em</w:t>
      </w:r>
      <w:r w:rsidRPr="0092763B">
        <w:rPr>
          <w:rFonts w:ascii="Times New Roman" w:hAnsi="Times New Roman" w:cs="Times New Roman"/>
          <w:spacing w:val="-3"/>
          <w:sz w:val="24"/>
          <w:szCs w:val="24"/>
        </w:rPr>
        <w:t>:</w:t>
      </w:r>
    </w:p>
    <w:p w14:paraId="37332DD2" w14:textId="61A33683" w:rsidR="006D1C41" w:rsidRPr="00041B9A" w:rsidRDefault="006D1C41" w:rsidP="00AF3F37">
      <w:pPr>
        <w:pStyle w:val="Standard"/>
        <w:spacing w:after="60"/>
        <w:ind w:left="2268" w:firstLine="0"/>
        <w:rPr>
          <w:rFonts w:ascii="Times New Roman" w:hAnsi="Times New Roman" w:cs="Times New Roman"/>
          <w:sz w:val="20"/>
          <w:szCs w:val="24"/>
        </w:rPr>
      </w:pPr>
      <w:r w:rsidRPr="00041B9A">
        <w:rPr>
          <w:rFonts w:ascii="Times New Roman" w:hAnsi="Times New Roman" w:cs="Times New Roman"/>
          <w:spacing w:val="-3"/>
          <w:sz w:val="20"/>
          <w:szCs w:val="24"/>
        </w:rPr>
        <w:t xml:space="preserve">Art. 47. </w:t>
      </w:r>
      <w:r w:rsidR="00777AD8">
        <w:rPr>
          <w:rFonts w:ascii="Times New Roman" w:hAnsi="Times New Roman" w:cs="Times New Roman"/>
          <w:spacing w:val="-3"/>
          <w:sz w:val="20"/>
          <w:szCs w:val="24"/>
        </w:rPr>
        <w:t>[...]</w:t>
      </w:r>
      <w:r w:rsidRPr="00041B9A">
        <w:rPr>
          <w:rFonts w:ascii="Times New Roman" w:hAnsi="Times New Roman" w:cs="Times New Roman"/>
          <w:spacing w:val="-3"/>
          <w:sz w:val="20"/>
          <w:szCs w:val="24"/>
        </w:rPr>
        <w:t xml:space="preserve"> viabilizar a superação da situação de crise econômico-financeira do devedor, a fim de permitir a manutenção da fonte produtora, do emprego dos trabalhadores e dos interesses dos credores, promovendo, assim, a preservação da empresa, sua função social e o estímulo à atividade econômica.</w:t>
      </w:r>
    </w:p>
    <w:p w14:paraId="4171A103" w14:textId="4D6F2DA9" w:rsidR="006D1C41" w:rsidRPr="00257D0B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257D0B">
        <w:rPr>
          <w:rFonts w:ascii="Times New Roman" w:hAnsi="Times New Roman" w:cs="Times New Roman"/>
          <w:spacing w:val="-3"/>
          <w:sz w:val="24"/>
          <w:szCs w:val="24"/>
        </w:rPr>
        <w:lastRenderedPageBreak/>
        <w:t>Além da crise financeira, outros fatores foram apontados pela empresa</w:t>
      </w:r>
      <w:r w:rsidR="00F51CDD">
        <w:rPr>
          <w:rFonts w:ascii="Times New Roman" w:hAnsi="Times New Roman" w:cs="Times New Roman"/>
          <w:spacing w:val="-3"/>
          <w:sz w:val="24"/>
          <w:szCs w:val="24"/>
        </w:rPr>
        <w:t xml:space="preserve"> como contributivos </w:t>
      </w:r>
      <w:r w:rsidRPr="00257D0B">
        <w:rPr>
          <w:rFonts w:ascii="Times New Roman" w:hAnsi="Times New Roman" w:cs="Times New Roman"/>
          <w:spacing w:val="-3"/>
          <w:sz w:val="24"/>
          <w:szCs w:val="24"/>
        </w:rPr>
        <w:t>para que a crise fosse desencadeada, tais como (i) redução do crédito no mercado a partir de 2015; (</w:t>
      </w:r>
      <w:proofErr w:type="spellStart"/>
      <w:r w:rsidRPr="00257D0B">
        <w:rPr>
          <w:rFonts w:ascii="Times New Roman" w:hAnsi="Times New Roman" w:cs="Times New Roman"/>
          <w:spacing w:val="-3"/>
          <w:sz w:val="24"/>
          <w:szCs w:val="24"/>
        </w:rPr>
        <w:t>ii</w:t>
      </w:r>
      <w:proofErr w:type="spellEnd"/>
      <w:r w:rsidRPr="00257D0B">
        <w:rPr>
          <w:rFonts w:ascii="Times New Roman" w:hAnsi="Times New Roman" w:cs="Times New Roman"/>
          <w:spacing w:val="-3"/>
          <w:sz w:val="24"/>
          <w:szCs w:val="24"/>
        </w:rPr>
        <w:t>) retração do mercado de implementos rodoviários a partir de 2015; (</w:t>
      </w:r>
      <w:proofErr w:type="spellStart"/>
      <w:r w:rsidRPr="00257D0B">
        <w:rPr>
          <w:rFonts w:ascii="Times New Roman" w:hAnsi="Times New Roman" w:cs="Times New Roman"/>
          <w:spacing w:val="-3"/>
          <w:sz w:val="24"/>
          <w:szCs w:val="24"/>
        </w:rPr>
        <w:t>iii</w:t>
      </w:r>
      <w:proofErr w:type="spellEnd"/>
      <w:r w:rsidRPr="00257D0B">
        <w:rPr>
          <w:rFonts w:ascii="Times New Roman" w:hAnsi="Times New Roman" w:cs="Times New Roman"/>
          <w:spacing w:val="-3"/>
          <w:sz w:val="24"/>
          <w:szCs w:val="24"/>
        </w:rPr>
        <w:t>) aumento da taxa de inadimplência; e (</w:t>
      </w:r>
      <w:proofErr w:type="spellStart"/>
      <w:r w:rsidRPr="00257D0B">
        <w:rPr>
          <w:rFonts w:ascii="Times New Roman" w:hAnsi="Times New Roman" w:cs="Times New Roman"/>
          <w:spacing w:val="-3"/>
          <w:sz w:val="24"/>
          <w:szCs w:val="24"/>
        </w:rPr>
        <w:t>iv</w:t>
      </w:r>
      <w:proofErr w:type="spellEnd"/>
      <w:r w:rsidRPr="00257D0B">
        <w:rPr>
          <w:rFonts w:ascii="Times New Roman" w:hAnsi="Times New Roman" w:cs="Times New Roman"/>
          <w:spacing w:val="-3"/>
          <w:sz w:val="24"/>
          <w:szCs w:val="24"/>
        </w:rPr>
        <w:t xml:space="preserve">) redução da capacidade produtiva </w:t>
      </w:r>
      <w:r w:rsidRPr="00257D0B">
        <w:rPr>
          <w:rFonts w:ascii="Times New Roman" w:hAnsi="Times New Roman" w:cs="Times New Roman"/>
          <w:i/>
          <w:spacing w:val="-3"/>
          <w:sz w:val="24"/>
          <w:szCs w:val="24"/>
        </w:rPr>
        <w:t>vis a vis</w:t>
      </w:r>
      <w:r w:rsidRPr="00257D0B">
        <w:rPr>
          <w:rFonts w:ascii="Times New Roman" w:hAnsi="Times New Roman" w:cs="Times New Roman"/>
          <w:spacing w:val="-3"/>
          <w:sz w:val="24"/>
          <w:szCs w:val="24"/>
        </w:rPr>
        <w:t xml:space="preserve"> a alavancagem da empresa. Todos estes fatores são relacionados como um conjunto de aspectos que levaram a empresa à falência.</w:t>
      </w:r>
    </w:p>
    <w:p w14:paraId="3F3AD41F" w14:textId="3D377FB7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257D0B">
        <w:rPr>
          <w:rFonts w:ascii="Times New Roman" w:hAnsi="Times New Roman" w:cs="Times New Roman"/>
          <w:spacing w:val="-3"/>
          <w:sz w:val="24"/>
          <w:szCs w:val="24"/>
        </w:rPr>
        <w:t>O Plano de Recuperação Judicial da Guerra SA Implementos Rodoviários, datado de 19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de junho de 2017, com foro na cidade de Caxias do Sul/RS, </w:t>
      </w:r>
      <w:r w:rsidR="00F51CDD">
        <w:rPr>
          <w:rFonts w:ascii="Times New Roman" w:hAnsi="Times New Roman" w:cs="Times New Roman"/>
          <w:spacing w:val="-3"/>
          <w:sz w:val="24"/>
          <w:szCs w:val="24"/>
        </w:rPr>
        <w:t xml:space="preserve">foi estruturado conforme informações da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Tabela 2.</w:t>
      </w:r>
    </w:p>
    <w:p w14:paraId="4EE86F8B" w14:textId="77777777" w:rsidR="006D1C41" w:rsidRPr="00A972B0" w:rsidRDefault="006D1C41" w:rsidP="00041B9A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Tabela</w:t>
      </w:r>
      <w:r w:rsidRPr="00A972B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2: Organização do Plano de Recuperação Judicial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59"/>
        <w:gridCol w:w="5284"/>
      </w:tblGrid>
      <w:tr w:rsidR="006D1C41" w:rsidRPr="00041B9A" w14:paraId="70C4562F" w14:textId="77777777" w:rsidTr="00041B9A">
        <w:trPr>
          <w:jc w:val="center"/>
        </w:trPr>
        <w:tc>
          <w:tcPr>
            <w:tcW w:w="15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0C0FDF" w14:textId="77777777" w:rsidR="006D1C41" w:rsidRPr="00041B9A" w:rsidRDefault="006D1C41" w:rsidP="00041B9A">
            <w:pPr>
              <w:pStyle w:val="Standard"/>
              <w:spacing w:before="40" w:after="4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041B9A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Preâmbulo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7C9B8D3" w14:textId="77777777" w:rsidR="006D1C41" w:rsidRPr="00041B9A" w:rsidRDefault="006D1C41" w:rsidP="00041B9A">
            <w:pPr>
              <w:pStyle w:val="Standard"/>
              <w:spacing w:before="40" w:after="4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041B9A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Apresentação da Empresa; Objetivos; Importância da Empresa</w:t>
            </w:r>
          </w:p>
        </w:tc>
      </w:tr>
      <w:tr w:rsidR="006D1C41" w:rsidRPr="00041B9A" w14:paraId="236CCD37" w14:textId="77777777" w:rsidTr="00041B9A">
        <w:trPr>
          <w:jc w:val="center"/>
        </w:trPr>
        <w:tc>
          <w:tcPr>
            <w:tcW w:w="15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2B399E" w14:textId="77777777" w:rsidR="006D1C41" w:rsidRPr="00041B9A" w:rsidRDefault="006D1C41" w:rsidP="00041B9A">
            <w:pPr>
              <w:pStyle w:val="Standard"/>
              <w:spacing w:before="40" w:after="4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041B9A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Capítulo I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04E35A6" w14:textId="77777777" w:rsidR="006D1C41" w:rsidRPr="00041B9A" w:rsidRDefault="006D1C41" w:rsidP="00041B9A">
            <w:pPr>
              <w:pStyle w:val="Standard"/>
              <w:spacing w:before="40" w:after="4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041B9A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Definições e Interpretação</w:t>
            </w:r>
          </w:p>
        </w:tc>
      </w:tr>
      <w:tr w:rsidR="006D1C41" w:rsidRPr="00041B9A" w14:paraId="0145FF08" w14:textId="77777777" w:rsidTr="00041B9A">
        <w:trPr>
          <w:jc w:val="center"/>
        </w:trPr>
        <w:tc>
          <w:tcPr>
            <w:tcW w:w="15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097B64" w14:textId="77777777" w:rsidR="006D1C41" w:rsidRPr="00041B9A" w:rsidRDefault="006D1C41" w:rsidP="00041B9A">
            <w:pPr>
              <w:pStyle w:val="Standard"/>
              <w:spacing w:before="40" w:after="4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041B9A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Capítulo II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6CF7EF3" w14:textId="77777777" w:rsidR="006D1C41" w:rsidRPr="00041B9A" w:rsidRDefault="006D1C41" w:rsidP="00041B9A">
            <w:pPr>
              <w:pStyle w:val="Standard"/>
              <w:spacing w:before="40" w:after="4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041B9A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Reestruturação</w:t>
            </w:r>
          </w:p>
        </w:tc>
      </w:tr>
      <w:tr w:rsidR="006D1C41" w:rsidRPr="00041B9A" w14:paraId="6B0E8BCA" w14:textId="77777777" w:rsidTr="00041B9A">
        <w:trPr>
          <w:jc w:val="center"/>
        </w:trPr>
        <w:tc>
          <w:tcPr>
            <w:tcW w:w="15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5585B5" w14:textId="77777777" w:rsidR="006D1C41" w:rsidRPr="00041B9A" w:rsidRDefault="006D1C41" w:rsidP="00041B9A">
            <w:pPr>
              <w:pStyle w:val="Standard"/>
              <w:spacing w:before="40" w:after="4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041B9A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Capítulo III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6CF76C9C" w14:textId="77777777" w:rsidR="006D1C41" w:rsidRPr="00041B9A" w:rsidRDefault="006D1C41" w:rsidP="00041B9A">
            <w:pPr>
              <w:pStyle w:val="Standard"/>
              <w:spacing w:before="40" w:after="4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041B9A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Medidas Gerais de Recuperação da Guerra</w:t>
            </w:r>
          </w:p>
        </w:tc>
      </w:tr>
      <w:tr w:rsidR="006D1C41" w:rsidRPr="00041B9A" w14:paraId="22F72782" w14:textId="77777777" w:rsidTr="00041B9A">
        <w:trPr>
          <w:jc w:val="center"/>
        </w:trPr>
        <w:tc>
          <w:tcPr>
            <w:tcW w:w="15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15AC9C" w14:textId="77777777" w:rsidR="006D1C41" w:rsidRPr="00041B9A" w:rsidRDefault="006D1C41" w:rsidP="00041B9A">
            <w:pPr>
              <w:pStyle w:val="Standard"/>
              <w:spacing w:before="40" w:after="4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041B9A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Capítulo IV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628BA99F" w14:textId="77777777" w:rsidR="006D1C41" w:rsidRPr="00041B9A" w:rsidRDefault="006D1C41" w:rsidP="00041B9A">
            <w:pPr>
              <w:pStyle w:val="Standard"/>
              <w:spacing w:before="40" w:after="4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041B9A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Pagamento dos Credores</w:t>
            </w:r>
          </w:p>
        </w:tc>
      </w:tr>
      <w:tr w:rsidR="006D1C41" w:rsidRPr="00041B9A" w14:paraId="30A2512E" w14:textId="77777777" w:rsidTr="00041B9A">
        <w:trPr>
          <w:jc w:val="center"/>
        </w:trPr>
        <w:tc>
          <w:tcPr>
            <w:tcW w:w="15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EB36B88" w14:textId="77777777" w:rsidR="006D1C41" w:rsidRPr="00041B9A" w:rsidRDefault="006D1C41" w:rsidP="00041B9A">
            <w:pPr>
              <w:pStyle w:val="Standard"/>
              <w:spacing w:before="40" w:after="4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041B9A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Capítulo V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4314148" w14:textId="77777777" w:rsidR="006D1C41" w:rsidRPr="00041B9A" w:rsidRDefault="006D1C41" w:rsidP="00041B9A">
            <w:pPr>
              <w:pStyle w:val="Standard"/>
              <w:spacing w:before="40" w:after="4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041B9A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Efeitos do PRJ</w:t>
            </w:r>
          </w:p>
        </w:tc>
      </w:tr>
      <w:tr w:rsidR="006D1C41" w:rsidRPr="00041B9A" w14:paraId="5AB06460" w14:textId="77777777" w:rsidTr="00041B9A">
        <w:trPr>
          <w:jc w:val="center"/>
        </w:trPr>
        <w:tc>
          <w:tcPr>
            <w:tcW w:w="15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112C5F" w14:textId="77777777" w:rsidR="006D1C41" w:rsidRPr="00041B9A" w:rsidRDefault="006D1C41" w:rsidP="00041B9A">
            <w:pPr>
              <w:pStyle w:val="Standard"/>
              <w:spacing w:before="40" w:after="4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041B9A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Capítulo VI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3E03079" w14:textId="77777777" w:rsidR="006D1C41" w:rsidRPr="00041B9A" w:rsidRDefault="006D1C41" w:rsidP="00041B9A">
            <w:pPr>
              <w:pStyle w:val="Standard"/>
              <w:spacing w:before="40" w:after="40"/>
              <w:ind w:firstLine="0"/>
              <w:rPr>
                <w:rFonts w:ascii="Times New Roman" w:hAnsi="Times New Roman" w:cs="Times New Roman"/>
                <w:sz w:val="20"/>
                <w:szCs w:val="24"/>
              </w:rPr>
            </w:pPr>
            <w:r w:rsidRPr="00041B9A">
              <w:rPr>
                <w:rFonts w:ascii="Times New Roman" w:hAnsi="Times New Roman" w:cs="Times New Roman"/>
                <w:spacing w:val="-3"/>
                <w:sz w:val="20"/>
                <w:szCs w:val="24"/>
              </w:rPr>
              <w:t>Disposições Gerais</w:t>
            </w:r>
          </w:p>
        </w:tc>
      </w:tr>
    </w:tbl>
    <w:p w14:paraId="3C07AF96" w14:textId="6E82B7D2" w:rsidR="006D1C41" w:rsidRPr="00041B9A" w:rsidRDefault="006D1C41" w:rsidP="00A972B0">
      <w:pPr>
        <w:pStyle w:val="Standard"/>
        <w:spacing w:after="120"/>
        <w:ind w:firstLine="0"/>
        <w:rPr>
          <w:rFonts w:ascii="Times New Roman" w:hAnsi="Times New Roman" w:cs="Times New Roman"/>
          <w:sz w:val="20"/>
          <w:szCs w:val="24"/>
        </w:rPr>
      </w:pPr>
      <w:r w:rsidRPr="00041B9A">
        <w:rPr>
          <w:rFonts w:ascii="Times New Roman" w:hAnsi="Times New Roman" w:cs="Times New Roman"/>
          <w:spacing w:val="-3"/>
          <w:sz w:val="20"/>
          <w:szCs w:val="24"/>
        </w:rPr>
        <w:t xml:space="preserve">Fonte: Elaborada </w:t>
      </w:r>
      <w:r w:rsidR="00F51CDD">
        <w:rPr>
          <w:rFonts w:ascii="Times New Roman" w:hAnsi="Times New Roman" w:cs="Times New Roman"/>
          <w:spacing w:val="-3"/>
          <w:sz w:val="20"/>
          <w:szCs w:val="24"/>
        </w:rPr>
        <w:t>pelos autores com base no Plano de Recuperação Judicial da Guerra S</w:t>
      </w:r>
      <w:r w:rsidR="00936749">
        <w:rPr>
          <w:rFonts w:ascii="Times New Roman" w:hAnsi="Times New Roman" w:cs="Times New Roman"/>
          <w:spacing w:val="-3"/>
          <w:sz w:val="20"/>
          <w:szCs w:val="24"/>
        </w:rPr>
        <w:t>.</w:t>
      </w:r>
      <w:r w:rsidR="00792903">
        <w:rPr>
          <w:rFonts w:ascii="Times New Roman" w:hAnsi="Times New Roman" w:cs="Times New Roman"/>
          <w:spacing w:val="-3"/>
          <w:sz w:val="20"/>
          <w:szCs w:val="24"/>
        </w:rPr>
        <w:t>A</w:t>
      </w:r>
      <w:r w:rsidRPr="00041B9A">
        <w:rPr>
          <w:rFonts w:ascii="Times New Roman" w:hAnsi="Times New Roman" w:cs="Times New Roman"/>
          <w:spacing w:val="-3"/>
          <w:sz w:val="20"/>
          <w:szCs w:val="24"/>
        </w:rPr>
        <w:t>.</w:t>
      </w:r>
    </w:p>
    <w:p w14:paraId="7A59C0B4" w14:textId="77777777" w:rsidR="00FE13E3" w:rsidRDefault="009174C0" w:rsidP="00936749">
      <w:pPr>
        <w:pStyle w:val="Standard"/>
        <w:spacing w:after="60"/>
        <w:ind w:firstLine="708"/>
        <w:rPr>
          <w:rFonts w:ascii="Times New Roman" w:hAnsi="Times New Roman" w:cs="Times New Roman"/>
          <w:spacing w:val="-3"/>
          <w:sz w:val="24"/>
          <w:szCs w:val="24"/>
        </w:rPr>
      </w:pPr>
      <w:r w:rsidRPr="00936749">
        <w:rPr>
          <w:rFonts w:ascii="Times New Roman" w:hAnsi="Times New Roman" w:cs="Times New Roman"/>
          <w:spacing w:val="-3"/>
          <w:sz w:val="24"/>
          <w:szCs w:val="24"/>
        </w:rPr>
        <w:t>Conforme verifica-se na</w:t>
      </w:r>
      <w:r w:rsidR="006D1C41" w:rsidRPr="00936749">
        <w:rPr>
          <w:rFonts w:ascii="Times New Roman" w:hAnsi="Times New Roman" w:cs="Times New Roman"/>
          <w:spacing w:val="-3"/>
          <w:sz w:val="24"/>
          <w:szCs w:val="24"/>
        </w:rPr>
        <w:t xml:space="preserve"> Tabela 2, houve uma tentativa de organizar a maneira pela qual a empresa seria reestabelecida, seus credores pagos e funcionários devidamente realocados aos seus postos de trabalho para continuidade do processo de produção e reestruturação geral da companhia.</w:t>
      </w:r>
    </w:p>
    <w:p w14:paraId="1277B284" w14:textId="6042BD7D" w:rsidR="006D1C41" w:rsidRPr="009174C0" w:rsidRDefault="006D1C41" w:rsidP="00936749">
      <w:pPr>
        <w:pStyle w:val="Standard"/>
        <w:spacing w:after="60"/>
        <w:ind w:firstLine="708"/>
      </w:pPr>
      <w:r w:rsidRPr="009174C0">
        <w:rPr>
          <w:rFonts w:ascii="Times New Roman" w:hAnsi="Times New Roman" w:cs="Times New Roman"/>
          <w:spacing w:val="-3"/>
          <w:sz w:val="24"/>
          <w:szCs w:val="24"/>
        </w:rPr>
        <w:t>Conforme registro no Documento de Recuperação Judicial, a Guerra S.A. buscava transpor a crise econômica e financeira que vinha enfrentando, com a intenção de “</w:t>
      </w:r>
      <w:r w:rsidRPr="009174C0">
        <w:rPr>
          <w:rFonts w:ascii="Times New Roman" w:hAnsi="Times New Roman" w:cs="Times New Roman"/>
          <w:sz w:val="24"/>
          <w:szCs w:val="24"/>
        </w:rPr>
        <w:t>(</w:t>
      </w:r>
      <w:r w:rsidRPr="009174C0">
        <w:rPr>
          <w:rFonts w:ascii="Times New Roman" w:hAnsi="Times New Roman" w:cs="Times New Roman"/>
          <w:bCs/>
          <w:sz w:val="24"/>
          <w:szCs w:val="24"/>
        </w:rPr>
        <w:t>i</w:t>
      </w:r>
      <w:r w:rsidRPr="009174C0">
        <w:rPr>
          <w:rFonts w:ascii="Times New Roman" w:hAnsi="Times New Roman" w:cs="Times New Roman"/>
          <w:sz w:val="24"/>
          <w:szCs w:val="24"/>
        </w:rPr>
        <w:t>) preservar a sua atividade empresarial, mantendo a atividade de suas plantas industriais para fins de comercialização de implementos rodoviários; (</w:t>
      </w:r>
      <w:proofErr w:type="spellStart"/>
      <w:r w:rsidRPr="009174C0">
        <w:rPr>
          <w:rFonts w:ascii="Times New Roman" w:hAnsi="Times New Roman" w:cs="Times New Roman"/>
          <w:bCs/>
          <w:sz w:val="24"/>
          <w:szCs w:val="24"/>
        </w:rPr>
        <w:t>ii</w:t>
      </w:r>
      <w:proofErr w:type="spellEnd"/>
      <w:r w:rsidRPr="009174C0">
        <w:rPr>
          <w:rFonts w:ascii="Times New Roman" w:hAnsi="Times New Roman" w:cs="Times New Roman"/>
          <w:sz w:val="24"/>
          <w:szCs w:val="24"/>
        </w:rPr>
        <w:t>) manter a(s) fonte(s) de geração de riquezas, tributos e empregos; e (</w:t>
      </w:r>
      <w:proofErr w:type="spellStart"/>
      <w:r w:rsidRPr="009174C0">
        <w:rPr>
          <w:rFonts w:ascii="Times New Roman" w:hAnsi="Times New Roman" w:cs="Times New Roman"/>
          <w:bCs/>
          <w:sz w:val="24"/>
          <w:szCs w:val="24"/>
        </w:rPr>
        <w:t>iii</w:t>
      </w:r>
      <w:proofErr w:type="spellEnd"/>
      <w:r w:rsidRPr="009174C0">
        <w:rPr>
          <w:rFonts w:ascii="Times New Roman" w:hAnsi="Times New Roman" w:cs="Times New Roman"/>
          <w:sz w:val="24"/>
          <w:szCs w:val="24"/>
        </w:rPr>
        <w:t>) estabelecer a forma de pagamento de seus Credores, sempre com vistas a atender aos seus melhores interesses” (Preâmbulo do Documento de Recuperação Judicial). A manifestação da empresa constante do referido documento demonstra seu interesse na manutenção das atividades, sugerindo assim, que suas ações caminha</w:t>
      </w:r>
      <w:r w:rsidR="009174C0">
        <w:rPr>
          <w:rFonts w:ascii="Times New Roman" w:hAnsi="Times New Roman" w:cs="Times New Roman"/>
          <w:sz w:val="24"/>
          <w:szCs w:val="24"/>
        </w:rPr>
        <w:t>va</w:t>
      </w:r>
      <w:r w:rsidRPr="009174C0">
        <w:rPr>
          <w:rFonts w:ascii="Times New Roman" w:hAnsi="Times New Roman" w:cs="Times New Roman"/>
          <w:sz w:val="24"/>
          <w:szCs w:val="24"/>
        </w:rPr>
        <w:t>m na direção de promover a reestruturação da organização, a partir das condições impostas pela legislação e pelo contexto ambiental. Apesar disso, a empresa fechou as portas e cessou as operações em maio de 2017.</w:t>
      </w:r>
    </w:p>
    <w:p w14:paraId="15081AB8" w14:textId="78669E4A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2A26F5">
        <w:rPr>
          <w:rFonts w:ascii="Times New Roman" w:hAnsi="Times New Roman" w:cs="Times New Roman"/>
          <w:spacing w:val="-3"/>
          <w:sz w:val="24"/>
          <w:szCs w:val="24"/>
        </w:rPr>
        <w:t>A divulgação realizada pela empresa através do</w:t>
      </w:r>
      <w:r w:rsidR="002A26F5">
        <w:rPr>
          <w:rFonts w:ascii="Times New Roman" w:hAnsi="Times New Roman" w:cs="Times New Roman"/>
          <w:spacing w:val="-3"/>
          <w:sz w:val="24"/>
          <w:szCs w:val="24"/>
        </w:rPr>
        <w:t xml:space="preserve"> seu sítio institucional</w:t>
      </w:r>
      <w:r w:rsidRPr="002A26F5">
        <w:rPr>
          <w:rFonts w:ascii="Times New Roman" w:hAnsi="Times New Roman" w:cs="Times New Roman"/>
          <w:spacing w:val="-3"/>
          <w:sz w:val="24"/>
          <w:szCs w:val="24"/>
        </w:rPr>
        <w:t xml:space="preserve"> encontra-se </w:t>
      </w:r>
      <w:r w:rsidR="002A26F5">
        <w:rPr>
          <w:rFonts w:ascii="Times New Roman" w:hAnsi="Times New Roman" w:cs="Times New Roman"/>
          <w:spacing w:val="-3"/>
          <w:sz w:val="24"/>
          <w:szCs w:val="24"/>
        </w:rPr>
        <w:t>desativada (“</w:t>
      </w:r>
      <w:r w:rsidRPr="002A26F5">
        <w:rPr>
          <w:rFonts w:ascii="Times New Roman" w:hAnsi="Times New Roman" w:cs="Times New Roman"/>
          <w:spacing w:val="-3"/>
          <w:sz w:val="24"/>
          <w:szCs w:val="24"/>
        </w:rPr>
        <w:t>fora do ar</w:t>
      </w:r>
      <w:r w:rsidR="002A26F5">
        <w:rPr>
          <w:rFonts w:ascii="Times New Roman" w:hAnsi="Times New Roman" w:cs="Times New Roman"/>
          <w:spacing w:val="-3"/>
          <w:sz w:val="24"/>
          <w:szCs w:val="24"/>
        </w:rPr>
        <w:t>”)</w:t>
      </w:r>
      <w:r w:rsidRPr="002A26F5">
        <w:rPr>
          <w:rFonts w:ascii="Times New Roman" w:hAnsi="Times New Roman" w:cs="Times New Roman"/>
          <w:spacing w:val="-3"/>
          <w:sz w:val="24"/>
          <w:szCs w:val="24"/>
        </w:rPr>
        <w:t xml:space="preserve">, o que compromete a coleta de informações mais precisas e contundentes a respeito do que pode ter levado a empresa à falência. Outro meio de comunicação utilizado pela Guerra S.A. era a rede social </w:t>
      </w:r>
      <w:r w:rsidRPr="002A26F5">
        <w:rPr>
          <w:rFonts w:ascii="Times New Roman" w:hAnsi="Times New Roman" w:cs="Times New Roman"/>
          <w:i/>
          <w:spacing w:val="-3"/>
          <w:sz w:val="24"/>
          <w:szCs w:val="24"/>
        </w:rPr>
        <w:t>Facebook</w:t>
      </w:r>
      <w:r w:rsidRPr="002A26F5">
        <w:rPr>
          <w:rFonts w:ascii="Times New Roman" w:hAnsi="Times New Roman" w:cs="Times New Roman"/>
          <w:spacing w:val="-3"/>
          <w:sz w:val="24"/>
          <w:szCs w:val="24"/>
        </w:rPr>
        <w:t xml:space="preserve">, o qual possui sua última publicação </w:t>
      </w:r>
      <w:r w:rsidR="002A26F5">
        <w:rPr>
          <w:rFonts w:ascii="Times New Roman" w:hAnsi="Times New Roman" w:cs="Times New Roman"/>
          <w:spacing w:val="-3"/>
          <w:sz w:val="24"/>
          <w:szCs w:val="24"/>
        </w:rPr>
        <w:t xml:space="preserve">datada </w:t>
      </w:r>
      <w:r w:rsidRPr="002A26F5">
        <w:rPr>
          <w:rFonts w:ascii="Times New Roman" w:hAnsi="Times New Roman" w:cs="Times New Roman"/>
          <w:spacing w:val="-3"/>
          <w:sz w:val="24"/>
          <w:szCs w:val="24"/>
        </w:rPr>
        <w:t>de maio</w:t>
      </w:r>
      <w:r w:rsidR="002A26F5">
        <w:rPr>
          <w:rFonts w:ascii="Times New Roman" w:hAnsi="Times New Roman" w:cs="Times New Roman"/>
          <w:spacing w:val="-3"/>
          <w:sz w:val="24"/>
          <w:szCs w:val="24"/>
        </w:rPr>
        <w:t xml:space="preserve"> de 2017</w:t>
      </w:r>
      <w:r w:rsidRPr="002A26F5">
        <w:rPr>
          <w:rFonts w:ascii="Times New Roman" w:hAnsi="Times New Roman" w:cs="Times New Roman"/>
          <w:spacing w:val="-3"/>
          <w:sz w:val="24"/>
          <w:szCs w:val="24"/>
        </w:rPr>
        <w:t xml:space="preserve">, com postagem referente a uma confraternização. Por esses motivos, o acesso a informações deu-se por dados obtidos em outras fontes, que não a própria empresa, limitando a pesquisa a dados </w:t>
      </w:r>
      <w:r w:rsidR="002A26F5">
        <w:rPr>
          <w:rFonts w:ascii="Times New Roman" w:hAnsi="Times New Roman" w:cs="Times New Roman"/>
          <w:spacing w:val="-3"/>
          <w:sz w:val="24"/>
          <w:szCs w:val="24"/>
        </w:rPr>
        <w:t>construídos</w:t>
      </w:r>
      <w:r w:rsidR="002A26F5" w:rsidRPr="002A26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A26F5">
        <w:rPr>
          <w:rFonts w:ascii="Times New Roman" w:hAnsi="Times New Roman" w:cs="Times New Roman"/>
          <w:spacing w:val="-3"/>
          <w:sz w:val="24"/>
          <w:szCs w:val="24"/>
        </w:rPr>
        <w:t>por intermediários (notícias e entrevistas, por exemplo).</w:t>
      </w:r>
    </w:p>
    <w:p w14:paraId="72F5B120" w14:textId="06586451" w:rsidR="006D1C41" w:rsidRDefault="006D1C41" w:rsidP="00AF3F37">
      <w:pPr>
        <w:pStyle w:val="Standard"/>
        <w:spacing w:after="60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O jornal Pioneiro de Caxias do Sul foi um dos principais meios de comunicação na divulgação concernente à Guerra S.A. Algumas reportagens foram selecionadas e estruturadas para os fins desejados nesta pesquisa</w:t>
      </w:r>
      <w:r w:rsidR="00567FD1">
        <w:rPr>
          <w:rFonts w:ascii="Times New Roman" w:hAnsi="Times New Roman" w:cs="Times New Roman"/>
          <w:spacing w:val="-3"/>
          <w:sz w:val="24"/>
          <w:szCs w:val="24"/>
        </w:rPr>
        <w:t>, dentre as quais destacam-se as ilustradas na Figura 2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14:paraId="4C8DD397" w14:textId="490DD8C1" w:rsidR="004C7D8A" w:rsidRDefault="004C7D8A" w:rsidP="00A95ED1">
      <w:pPr>
        <w:pStyle w:val="Standard"/>
        <w:ind w:firstLine="0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Figura 2: Principais Notícias concernentes à Guerra S</w:t>
      </w:r>
      <w:r w:rsidR="00A95ED1">
        <w:rPr>
          <w:rFonts w:ascii="Times New Roman" w:hAnsi="Times New Roman" w:cs="Times New Roman"/>
          <w:spacing w:val="-3"/>
          <w:sz w:val="24"/>
          <w:szCs w:val="24"/>
        </w:rPr>
        <w:t>.</w:t>
      </w:r>
      <w:r>
        <w:rPr>
          <w:rFonts w:ascii="Times New Roman" w:hAnsi="Times New Roman" w:cs="Times New Roman"/>
          <w:spacing w:val="-3"/>
          <w:sz w:val="24"/>
          <w:szCs w:val="24"/>
        </w:rPr>
        <w:t>A</w:t>
      </w:r>
      <w:r w:rsidR="00A95ED1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14:paraId="7B58929E" w14:textId="58B75E3C" w:rsidR="004C7D8A" w:rsidRPr="00A972B0" w:rsidRDefault="004C7D8A" w:rsidP="00A95ED1">
      <w:pPr>
        <w:pStyle w:val="Standard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DA70728" wp14:editId="0D60CDB6">
            <wp:extent cx="5756275" cy="1207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19E7" w14:textId="58F03DE3" w:rsidR="006D1C41" w:rsidRPr="00A95ED1" w:rsidRDefault="004C7D8A" w:rsidP="004C7D8A">
      <w:pPr>
        <w:pStyle w:val="Standard"/>
        <w:spacing w:after="60"/>
        <w:ind w:firstLine="0"/>
        <w:rPr>
          <w:rFonts w:ascii="Times New Roman" w:hAnsi="Times New Roman" w:cs="Times New Roman"/>
          <w:sz w:val="20"/>
          <w:szCs w:val="24"/>
        </w:rPr>
      </w:pPr>
      <w:r w:rsidRPr="00A95ED1">
        <w:rPr>
          <w:rFonts w:ascii="Times New Roman" w:hAnsi="Times New Roman" w:cs="Times New Roman"/>
          <w:sz w:val="20"/>
          <w:szCs w:val="24"/>
        </w:rPr>
        <w:t xml:space="preserve">Fonte: elaborado pelos autores com base nos dados da </w:t>
      </w:r>
      <w:r w:rsidR="001B7E58" w:rsidRPr="00A95ED1">
        <w:rPr>
          <w:rFonts w:ascii="Times New Roman" w:hAnsi="Times New Roman" w:cs="Times New Roman"/>
          <w:sz w:val="20"/>
          <w:szCs w:val="24"/>
        </w:rPr>
        <w:t xml:space="preserve">pesquisa. </w:t>
      </w:r>
    </w:p>
    <w:p w14:paraId="15D69518" w14:textId="529B4D9E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 Guerra S. A., uma das maiores fabricantes de implementos rodoviários da América Latina, começou a dar indícios de que foi afetada pela crise no setor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metalmecânico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em meados de 2015, com o pedido de recuperação judicial ingressado no Fórum de Caxias do Sul. A decisão foi anunciada aos funcionários e tornou-se pública no dia 01/07/2015, conforme reportagem da Zero Hora, que destacou a crise econômica que afetou grandes companhias do </w:t>
      </w:r>
      <w:r w:rsidR="004C7D8A">
        <w:rPr>
          <w:rFonts w:ascii="Times New Roman" w:hAnsi="Times New Roman" w:cs="Times New Roman"/>
          <w:spacing w:val="-3"/>
          <w:sz w:val="24"/>
          <w:szCs w:val="24"/>
        </w:rPr>
        <w:t>polo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automotivo de Caxias do Sul, tais como a Agrale, Randon e Marcopolo, e fez com essas empresas tomassem medidas tais como férias coletivas e flexibilização da jornada de trabalho, a fim de inibir demissões (Zero Hora/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Clic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RBS, 01/07/2015).</w:t>
      </w:r>
    </w:p>
    <w:p w14:paraId="642279DB" w14:textId="77777777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Em matéria do G1, no dia 02 de julho, foi destacada a crise do setor metalomecânico, influenciada, segundo o site, pela crise que assolou o país no ano de 2015. A reportagem também abordou o pedido de recuperação judicial e destacou que a empresa possuía uma dívida de R$210 milhões, e salientou que o faturamento mensal da Guerra S. A. caiu pela metade no ano de 2015, afetando seus 1,3 mil trabalhadores. Na ocasião o advogado da empresa,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Angelo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Coelho, </w:t>
      </w:r>
      <w:r w:rsidRPr="00A972B0">
        <w:rPr>
          <w:rFonts w:ascii="Times New Roman" w:hAnsi="Times New Roman" w:cs="Times New Roman"/>
          <w:sz w:val="24"/>
          <w:szCs w:val="24"/>
        </w:rPr>
        <w:t>sinalizou que estavam tranquilos com relação à viabilidade da recuperação, inclusive afirmou o seguinte: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“Não existe risco. Pagamos a folha, estamos produzindo, vamos ter que apresentar um plano, vamos ter que se reorganizar, é certo”, referindo-se ao plano de recuperação aos credores, que foi organizado na intenção de evitar o fechamento da empresa. Outro representante da empresa foi ouvido pelo site, o consultor Antônio Augusto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Vergani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, que salientou: “Hoje a tendência é fazer exportações para suprir o mercado interno que está em crise”, fazendo referência ao cenário da economia brasileira (G1, 02/07/2015).</w:t>
      </w:r>
    </w:p>
    <w:p w14:paraId="19A9B2FC" w14:textId="0D3207C2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De acordo com o Jornal do Comércio, a medida adotada pelas empresas de Caxias do Sul para enfrentar a crise no setor de veículos de transportes de cargas e passageiros, foi a adoção de férias coletivas no final do ano de 2015. Segundo a reportagem, a Guerra S.A., mesmo em recuperação judicial, se encontrava como segunda maior produtora de semirreboques do país. O diretor de operações, Roberto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Vergani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, declarou, à época, que a empresa já havia superado outras dificuldades, mas jamais </w:t>
      </w:r>
      <w:r w:rsidRPr="00A972B0">
        <w:rPr>
          <w:rFonts w:ascii="Times New Roman" w:eastAsia="Times New Roman" w:hAnsi="Times New Roman" w:cs="Times New Roman"/>
          <w:color w:val="201815"/>
          <w:sz w:val="24"/>
          <w:szCs w:val="24"/>
          <w:lang w:eastAsia="pt-BR"/>
        </w:rPr>
        <w:t>havia enfrentado uma crise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como a vivenciada em 2015, a qual reduziu a produção, o mercado e os postos de trabalho em massa e achatou os preços finais dos produtos (Jornal do Comércio, 21/12/2015).</w:t>
      </w:r>
    </w:p>
    <w:p w14:paraId="1E441AA8" w14:textId="77777777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Já em outubro de 2016, o Jornal Pioneiro realiza uma inserção em suas publicações a respeito do acionista da Guerra S.A., Marcos Guerra, detentor de 20% do capital da empresa e diretor da MAM Participações, o empresário levou à Justiça uma série de questionamentos sobre a empresa e o processo de recuperação. Conforme a reportagem havia divergências entre os sócios e Marcos Guerra, na qualidade de membro da família originária e fundadora do negócio, contrapunha alguns argumentos do grupo controlador – o fundo internacional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Axxon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Group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. O empresário discordava dos rumos do processo de recuperação e da operação financeira que envolveria o imóvel da sede da empresa. Marcos Guerra justificou à reportagem que tal transação não estaria contemplada em um plano de recuperação viável. O advogado responsável pela recuperação judicial da Guerra S.A.,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Angelo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Coelho, garantiu à coluna do Jornal Pioneiro que a integralização do pagamento dos salários de trabalhadores da produção seria realizada (Jornal Pioneiro, 21/10/2016). </w:t>
      </w:r>
    </w:p>
    <w:p w14:paraId="35BF5FD8" w14:textId="77777777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lastRenderedPageBreak/>
        <w:t xml:space="preserve">Apesar de alguns fatos serem repercutidos na imprensa e jornais, foi a partir de maio de 2017 que a empresa efetivamente teve seu declínio oficializado, fechando as portas e encerrando suas atividades produtivas. Conforme o Jornal Pioneiro, de junho de 2017, até a votação do plano de recuperação judicial, a Guerra permaneceria de portas fechadas. Com salários e direitos atrasados, os </w:t>
      </w:r>
      <w:r w:rsidRPr="00A972B0">
        <w:rPr>
          <w:rFonts w:ascii="Times New Roman" w:eastAsia="Times New Roman" w:hAnsi="Times New Roman" w:cs="Times New Roman"/>
          <w:color w:val="201815"/>
          <w:sz w:val="24"/>
          <w:szCs w:val="24"/>
          <w:lang w:eastAsia="pt-BR"/>
        </w:rPr>
        <w:t>colaboradores não trabalhavam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desde 20 de maio, quando a companhia anunciou a interrupção das atividades.</w:t>
      </w:r>
    </w:p>
    <w:p w14:paraId="09CCBFE2" w14:textId="009C6F80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Em 2017, os sócios da Guerra S.A. defendiam diferentes caminhos para a recuperação da empresa, enquanto uma nova assembleia era marcada para julho, a fim de definir o caminho que seria seguido para a retomada das atividades e o pagamento das respectivas dívidas. Havia, conforme a reportagem destacou, uma batalha entre os acionistas majoritários da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Axxon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e o banco alemão DEG, que representavam 80% das ações da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Tolstoi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S. A.</w:t>
      </w:r>
      <w:r w:rsidR="004C7D8A">
        <w:rPr>
          <w:rFonts w:ascii="Times New Roman" w:hAnsi="Times New Roman" w:cs="Times New Roman"/>
          <w:spacing w:val="-3"/>
          <w:sz w:val="24"/>
          <w:szCs w:val="24"/>
        </w:rPr>
        <w:t xml:space="preserve"> –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em</w:t>
      </w:r>
      <w:r w:rsidR="00BB371C">
        <w:rPr>
          <w:rFonts w:ascii="Times New Roman" w:hAnsi="Times New Roman" w:cs="Times New Roman"/>
          <w:spacing w:val="-3"/>
          <w:sz w:val="24"/>
          <w:szCs w:val="24"/>
        </w:rPr>
        <w:t>presa controladora da Guerra S.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A., e o representante da família Marcos Guerra, que possuía 20% das ações. As divergências giravam em torno de como o plano de recuperação seria colocado em prática, e em relação ao pagamento das dívidas, que seriam pagas através de obtenção de capital de giro com credores. O advogado da </w:t>
      </w:r>
      <w:r w:rsidRPr="00A972B0">
        <w:rPr>
          <w:rFonts w:ascii="Times New Roman" w:eastAsia="Times New Roman" w:hAnsi="Times New Roman" w:cs="Times New Roman"/>
          <w:color w:val="201815"/>
          <w:sz w:val="24"/>
          <w:szCs w:val="24"/>
          <w:lang w:eastAsia="pt-BR"/>
        </w:rPr>
        <w:t>Guerra S.A.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,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Angelo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Coelho, declarou que a empresa teria chances de se recuperar e conseguir os recursos necessários junto aos investidores, porém, os conflitos entre os acionistas poderiam atrapalhar tal intento. </w:t>
      </w:r>
      <w:r w:rsidRPr="00A972B0">
        <w:rPr>
          <w:rFonts w:ascii="Times New Roman" w:eastAsia="Times New Roman" w:hAnsi="Times New Roman" w:cs="Times New Roman"/>
          <w:color w:val="201815"/>
          <w:sz w:val="24"/>
          <w:szCs w:val="24"/>
          <w:lang w:eastAsia="pt-BR"/>
        </w:rPr>
        <w:t xml:space="preserve">Na opinião do advogado, os recursos (jurídicos) e os conflitos travados entre os acionistas postergaram decisões importantes, impendido que fossem oportunamente tomadas e, sobretudo, desgastando e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prejudicando a forma de recuperação (Jornal Pioneiro, 13/06/2017).</w:t>
      </w:r>
    </w:p>
    <w:p w14:paraId="0EE9EF7C" w14:textId="77777777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 partir de setembro, a empresa tinha seu futuro nas mãos da juíza Claudia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Brugger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, que acenava para a possível definição da homologação, em até 30 dias, do plano de recuperação da Guerra S.A. Segundo o jornal, o processo tramitava de forma prioritária, mas não seriam preteridas as etapas legais concernentes ao processo. O advogado da parte majoritária,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Angelo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Coelho foi pessoalmente à cidade de Caxias do Sul no intuito de acelerar a tomada de decisão da juíza (Jornal Pioneiro, 14/09/2017).</w:t>
      </w:r>
    </w:p>
    <w:p w14:paraId="3F952C3B" w14:textId="24A545C0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O parecer do Ministério Público foi pela falência da caxiense Guerra S. A. em outubro de 2017. Para a promotora de Justiça Cível</w:t>
      </w:r>
      <w:r w:rsidR="004C7D8A">
        <w:rPr>
          <w:rFonts w:ascii="Times New Roman" w:hAnsi="Times New Roman" w:cs="Times New Roman"/>
          <w:spacing w:val="-3"/>
          <w:sz w:val="24"/>
          <w:szCs w:val="24"/>
        </w:rPr>
        <w:t>,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Márcia Corso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Ruaro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, que cuidou do caso da empresa, os acionistas não demonstraram empenho no sentido da recuperação da empresa. Consonante à reportagem, o Ministério Público foi uma das vozes ouvidas no processo da Guerra. Ressaltou-se também que, caso a falência fosse decretada, o administrador judicial teria a responsabilidade de liquidar o patrimônio da empresa para pagar os credores. </w:t>
      </w:r>
      <w:r w:rsidR="004C7D8A">
        <w:rPr>
          <w:rFonts w:ascii="Times New Roman" w:hAnsi="Times New Roman" w:cs="Times New Roman"/>
          <w:spacing w:val="-3"/>
          <w:sz w:val="24"/>
          <w:szCs w:val="24"/>
        </w:rPr>
        <w:t>Em seu parecer, a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promotora levou em conta que não haveria a possibilidade de recuperação da empresa, que paralisou as atividades em abril sem pagar os salários dos funcionários (Jornal Pioneiro, 06/10/2017).</w:t>
      </w:r>
    </w:p>
    <w:p w14:paraId="58CEB883" w14:textId="7371AC3E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Em 08/11/2017, o Jornal Pioneiro veiculou reportagem informando sobre o decreto, por parte da justiça</w:t>
      </w:r>
      <w:r w:rsidR="004C7D8A">
        <w:rPr>
          <w:rFonts w:ascii="Times New Roman" w:hAnsi="Times New Roman" w:cs="Times New Roman"/>
          <w:spacing w:val="-3"/>
          <w:sz w:val="24"/>
          <w:szCs w:val="24"/>
        </w:rPr>
        <w:t>,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da falência da empresa Guerra. A decisão foi tomada pela juíza Maria Olivier, da 4ª Vara Cível de Caxias do Sul. Com a falência decretada, o administrador judicial tem a responsabilidade de liquidar o patrimônio da empresa para pagar os credores, dívidas que ultrapassam os R$</w:t>
      </w:r>
      <w:r w:rsidR="004C7D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200 milhões, além dos R$</w:t>
      </w:r>
      <w:r w:rsidR="004C7D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14 milhões devidos aos trabalhadores. De forma geral, a oficialização da falência era esperada, haja visto que, em outubro de 2017, o Ministério Público do Rio Grande do Sul (MP) havia encaminhado parecer reprovando o plano de recuperação da empresa e sinalizando a declaração de falência como o melhor desfecho para o processo (Jornal Pioneiro, 08/11/2017).</w:t>
      </w:r>
    </w:p>
    <w:p w14:paraId="0D8954B5" w14:textId="28DB027D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Após decisão pela falência e publicação da sentença por parte da juíza responsável pelo processo, as plantas da empresa Guerra S. A. foram lacradas. A juíza Maria Olivier considerou que a empresa já estava em um “estado falimentar” e sua situação era insustentável, pois o processo de recuperação tramitava desde 2015 e as atividades foram interrompidas em maio do ano de 2017 (Jornal Pioneiro, 09/11/2017).</w:t>
      </w:r>
    </w:p>
    <w:p w14:paraId="6883526F" w14:textId="1B4DF9CA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lastRenderedPageBreak/>
        <w:t xml:space="preserve">O decreto da falência da Guerra também foi noticiado pelo Jornal do Comércio. A reportagem trouxe argumentos da Rádio Caxias, a qual expôs o problema enfrentado pela empresa no sentido de que ela não conseguiu solucionar problemas administrativos e financeiros, e diversas manifestações de funcionários que ocorreram nos últimos meses. Segundo o veículo de comunicação, a juíza Maria Olivier destacou que, na Assembleia Geral de Credores realizada em julho, já não havia dúvidas sobre a </w:t>
      </w:r>
      <w:r w:rsidRPr="00A972B0">
        <w:rPr>
          <w:rFonts w:ascii="Times New Roman" w:eastAsia="Times New Roman" w:hAnsi="Times New Roman" w:cs="Times New Roman"/>
          <w:color w:val="201815"/>
          <w:sz w:val="24"/>
          <w:szCs w:val="24"/>
          <w:lang w:eastAsia="pt-BR"/>
        </w:rPr>
        <w:t xml:space="preserve">gravidade das dificuldades enfrentadas pela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empresa, "pois, passados mais de dois anos, não logrou seguir na sua organização empresária, tanto que, após um ano e meio do deferimento do pedido de recuperação judicial, paralisou suas atividades de produção", </w:t>
      </w:r>
      <w:r w:rsidR="004C7D8A">
        <w:rPr>
          <w:rFonts w:ascii="Times New Roman" w:hAnsi="Times New Roman" w:cs="Times New Roman"/>
          <w:spacing w:val="-3"/>
          <w:sz w:val="24"/>
          <w:szCs w:val="24"/>
        </w:rPr>
        <w:t xml:space="preserve">fundamentando assim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 decisão pela falência. (Jornal do Comércio, 09/11/2017). </w:t>
      </w:r>
    </w:p>
    <w:p w14:paraId="10FE4C63" w14:textId="5EB4CF7E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O impasse </w:t>
      </w:r>
      <w:r w:rsidR="00140D25">
        <w:rPr>
          <w:rFonts w:ascii="Times New Roman" w:hAnsi="Times New Roman" w:cs="Times New Roman"/>
          <w:spacing w:val="-3"/>
          <w:sz w:val="24"/>
          <w:szCs w:val="24"/>
        </w:rPr>
        <w:t>econômico vivido pela Guerra S.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A. Implementos Rodoviários desde julho de 2015, momento em que empresa entrou com um pedido de recuperação judicial chegou ao fim em novembro de 2017. Assim como noticiado por outras fontes, a Caminhões e Carretas –Portal de notícias sobre o transporte rodoviário no Brasil e no mundo - também transmitiu informações relacionadas à empresa. Segundo o site direcionado ao público alvo da empresa, a saúde financeira da Guerra Implementos foi extremamente abalada nos últimos anos em decorrência da instabilidade econômica vivida no país, provocando forte queda no faturamento da empresa, </w:t>
      </w:r>
      <w:r w:rsidRPr="00A972B0">
        <w:rPr>
          <w:rFonts w:ascii="Times New Roman" w:hAnsi="Times New Roman" w:cs="Times New Roman"/>
          <w:sz w:val="24"/>
          <w:szCs w:val="24"/>
        </w:rPr>
        <w:t xml:space="preserve">que se agravou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a partir do segundo semestre de 2014 (Caminhões e Carretas, 09/11/2017).</w:t>
      </w:r>
    </w:p>
    <w:p w14:paraId="06C52033" w14:textId="545C7D04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De acordo com o noticiado no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Leouve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, a Guerra Implementos Rodoviários teve seu decreto de falência oficializado em 08/11/2017, fato que garantiu a possibilidade de liquidar seu patrimônio para efetuar o pagamento das dívidas contraídas (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Leouve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, 09/11/2017). Na mesma matéria existe a transcrição de um trecho da decisão da juíza Maria Olivier, da 4ª Vara Cível de Caxias do Sul, que segue</w:t>
      </w:r>
      <w:r w:rsidR="00E47CB4">
        <w:rPr>
          <w:rFonts w:ascii="Times New Roman" w:hAnsi="Times New Roman" w:cs="Times New Roman"/>
          <w:spacing w:val="-3"/>
          <w:sz w:val="24"/>
          <w:szCs w:val="24"/>
        </w:rPr>
        <w:t>:</w:t>
      </w:r>
    </w:p>
    <w:p w14:paraId="5370FAC6" w14:textId="77777777" w:rsidR="006D1C41" w:rsidRPr="00041B9A" w:rsidRDefault="006D1C41" w:rsidP="00AF3F37">
      <w:pPr>
        <w:pStyle w:val="Standard"/>
        <w:spacing w:after="60"/>
        <w:ind w:left="2268" w:firstLine="0"/>
        <w:rPr>
          <w:rFonts w:ascii="Times New Roman" w:hAnsi="Times New Roman" w:cs="Times New Roman"/>
          <w:sz w:val="20"/>
          <w:szCs w:val="24"/>
        </w:rPr>
      </w:pPr>
      <w:r w:rsidRPr="00041B9A">
        <w:rPr>
          <w:rFonts w:ascii="Times New Roman" w:hAnsi="Times New Roman" w:cs="Times New Roman"/>
          <w:spacing w:val="-3"/>
          <w:sz w:val="20"/>
          <w:szCs w:val="24"/>
        </w:rPr>
        <w:t>“INDEFIRO o pedido das sociedades empresárias recuperandas GUERRA S.A. Implementos Rodoviários e TOLSTOI Investimentos S.A. de fls.9641-9677, datado de 10/07/2017, relativo à homologação judicial do plano de recuperação judicial da sociedade empresária recuperanda GUERRA S.A. Implementos Rodoviários, na forma do Artigo 58, § 1º, da Lei nº 11/101/2005;</w:t>
      </w:r>
    </w:p>
    <w:p w14:paraId="30516B40" w14:textId="77777777" w:rsidR="006D1C41" w:rsidRPr="00041B9A" w:rsidRDefault="006D1C41" w:rsidP="00AF3F37">
      <w:pPr>
        <w:pStyle w:val="Standard"/>
        <w:spacing w:after="60"/>
        <w:ind w:left="2268" w:firstLine="0"/>
        <w:rPr>
          <w:rFonts w:ascii="Times New Roman" w:hAnsi="Times New Roman" w:cs="Times New Roman"/>
          <w:sz w:val="20"/>
          <w:szCs w:val="24"/>
        </w:rPr>
      </w:pPr>
      <w:r w:rsidRPr="00041B9A">
        <w:rPr>
          <w:rFonts w:ascii="Times New Roman" w:hAnsi="Times New Roman" w:cs="Times New Roman"/>
          <w:spacing w:val="-3"/>
          <w:sz w:val="20"/>
          <w:szCs w:val="24"/>
        </w:rPr>
        <w:t xml:space="preserve">Com fundamento no Artigo 73, inciso III, da Lei nº 11.101/2005, por que rejeitados os planos de recuperação judicial na Assembleia Geral de Credores realizada em 05/07/2017, ata de fls.9544-9556, apresentados pelas sociedades empresárias recuperandas GUERRA S.A. Implementos Rodoviários, TOLSTOI Investimentos S.A. e MAM participações </w:t>
      </w:r>
      <w:proofErr w:type="spellStart"/>
      <w:r w:rsidRPr="00041B9A">
        <w:rPr>
          <w:rFonts w:ascii="Times New Roman" w:hAnsi="Times New Roman" w:cs="Times New Roman"/>
          <w:spacing w:val="-3"/>
          <w:sz w:val="20"/>
          <w:szCs w:val="24"/>
        </w:rPr>
        <w:t>Eireli</w:t>
      </w:r>
      <w:proofErr w:type="spellEnd"/>
      <w:r w:rsidRPr="00041B9A">
        <w:rPr>
          <w:rFonts w:ascii="Times New Roman" w:hAnsi="Times New Roman" w:cs="Times New Roman"/>
          <w:spacing w:val="-3"/>
          <w:sz w:val="20"/>
          <w:szCs w:val="24"/>
        </w:rPr>
        <w:t>, bem como na forma do Artigo 94, da Lei nº 11.101/2005, DECRETO A FALÊNCIA da sociedade empresária GUERRA S.A. Implementos Rodoviários, CNPJ Nº 88.665.146/0001-05, e declaro aberta a falência, nesta data, ou seja, 08 de novembro de 2017, às 15 horas”.</w:t>
      </w:r>
    </w:p>
    <w:p w14:paraId="3E8C509D" w14:textId="77777777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Ademais dos termos técnicos/jurídicos do tratamento da questão, o que se pode interpelar a respeito do exposto é que o plano proposto pela empresa através de seus acionistas majoritários não obteve êxito, sendo marcado por protestos dos envolvidos diretamente com a empresa e que dependiam do empreendimento como sustento – trabalhadores e ex-funcionários.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ab/>
      </w:r>
    </w:p>
    <w:p w14:paraId="27FD7320" w14:textId="753EF78B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 Revista Modal – Revista de Infraestrutura e Logística noticiou o fim melancólico enfrentado pela empresa Guerra S. A. Segundo tal fonte, a falência é resultado da soma de equívocos e má gestão, devido a uma condução na qual o Grupo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Axxon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se equivocou ao não considerar a cultura interna da empresa, desconsiderando aspectos importantes do negócio que ocupou posição de destaque entre os fabricantes de implementos rodoviários. Para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Oli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Soares Saldanha, que trabalhou 21 anos na empresa e, na ocasião, conselheiro do Sindicato dos Trabalhadores Metalúrgicos de Caxias do Sul, houve disputa pelo poder e uma má gestão do grupo internacional. Além disso, conforme a reportagem da revista, aconteceram equívocos na escolha dos executivos, e as trocas frequentes (3 mudanças em 4 anos) no alto comando influen</w:t>
      </w:r>
      <w:r w:rsidR="00562604">
        <w:rPr>
          <w:rFonts w:ascii="Times New Roman" w:hAnsi="Times New Roman" w:cs="Times New Roman"/>
          <w:spacing w:val="-3"/>
          <w:sz w:val="24"/>
          <w:szCs w:val="24"/>
        </w:rPr>
        <w:t>ciaram negativamente na empresa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(Revista Modal, 16/11/2017).</w:t>
      </w:r>
    </w:p>
    <w:p w14:paraId="41364F2B" w14:textId="528EC52C" w:rsidR="006D1C41" w:rsidRPr="00A972B0" w:rsidRDefault="00582672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lastRenderedPageBreak/>
        <w:t>Em 17 de novembro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, o </w:t>
      </w:r>
      <w:r w:rsidR="006D1C41" w:rsidRPr="00A972B0">
        <w:rPr>
          <w:rFonts w:ascii="Times New Roman" w:hAnsi="Times New Roman" w:cs="Times New Roman"/>
          <w:i/>
          <w:spacing w:val="-3"/>
          <w:sz w:val="24"/>
          <w:szCs w:val="24"/>
        </w:rPr>
        <w:t>site</w:t>
      </w:r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Caminhões e Carretas anunciava mais um capítulo na recuperação da Guerra S. A. Havia a intenção de suspensão e reversão do decreto formalizado pela juíza responsável pelo processo. Tal intuito foi declarado por </w:t>
      </w:r>
      <w:proofErr w:type="spellStart"/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>Angelo</w:t>
      </w:r>
      <w:proofErr w:type="spellEnd"/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Coelho, advogado da empresa, em relato à jornalista da Rádio Gaúcha, </w:t>
      </w:r>
      <w:proofErr w:type="spellStart"/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>Giane</w:t>
      </w:r>
      <w:proofErr w:type="spellEnd"/>
      <w:r w:rsidR="006D1C41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Guerra: "Ainda há condições de a Guerra retomar as atividades, equacionar dívidas e efetivamente se recuperar, o que será inviável se aguardando o julgamento do mérito". Porém, apesar da vontade explícita do advogado, a juíza Maria Olivier argumentou que </w:t>
      </w:r>
    </w:p>
    <w:p w14:paraId="5B87F578" w14:textId="77777777" w:rsidR="006D1C41" w:rsidRPr="00041B9A" w:rsidRDefault="006D1C41" w:rsidP="00AF3F37">
      <w:pPr>
        <w:pStyle w:val="Standard"/>
        <w:spacing w:after="60"/>
        <w:ind w:left="2268" w:firstLine="0"/>
        <w:rPr>
          <w:rFonts w:ascii="Times New Roman" w:hAnsi="Times New Roman" w:cs="Times New Roman"/>
          <w:sz w:val="20"/>
          <w:szCs w:val="24"/>
        </w:rPr>
      </w:pPr>
      <w:r w:rsidRPr="00041B9A">
        <w:rPr>
          <w:rFonts w:ascii="Times New Roman" w:hAnsi="Times New Roman" w:cs="Times New Roman"/>
          <w:spacing w:val="-3"/>
          <w:sz w:val="20"/>
          <w:szCs w:val="24"/>
        </w:rPr>
        <w:t>“Não pairam dúvidas do estado falimentar em que se encontra a Guerra S.A. Implementos Rodoviários, pois, passados mais de dois anos, não logrou seguir na sua organização empresarial, tanto que, após um ano e meio do deferimento do pedido de recuperação judicial, paralisou suas atividades de produção, sendo claro o enfrentamento a credores, por insatisfação com os rumos tomados, tanto na efetiva recuperação, como nas questões do processo judicial” (Caminhões e Carretas, 17/11/2017).</w:t>
      </w:r>
    </w:p>
    <w:p w14:paraId="09E0D610" w14:textId="77777777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Ainda no dia 17 de novembro, o Jornal Pioneiro retratava sobre a justiça, através da 5ª Câmara Cível do Tribunal de Justiça do Rio Grande do Sul (TJ-RS), ter negado o efeito suspensivo, mantendo a falência da caxiense Guerra S. A. Apesar de continuar com a tramitação, o recurso seria julgado somente em 2018 (Jornal Pioneiro, 17/11/2017).</w:t>
      </w:r>
    </w:p>
    <w:p w14:paraId="6F8F8FB7" w14:textId="77777777" w:rsidR="009B6460" w:rsidRDefault="006D1C41" w:rsidP="009B6460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Em 26/12/2017 na seção de opinião do Jornal do Comércio, a empresária Bárbara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Veit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atribui ao seu posicionamento o seguinte título: “Mais uma indústria que perdeu a guerra”, fazendo alusão – e um trocadilho ente a guerr</w:t>
      </w:r>
      <w:r w:rsidR="009E7FCC">
        <w:rPr>
          <w:rFonts w:ascii="Times New Roman" w:hAnsi="Times New Roman" w:cs="Times New Roman"/>
          <w:spacing w:val="-3"/>
          <w:sz w:val="24"/>
          <w:szCs w:val="24"/>
        </w:rPr>
        <w:t>a pela qual a empresa Guerra S.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A. passou </w:t>
      </w:r>
      <w:r w:rsidR="00582672">
        <w:rPr>
          <w:rFonts w:ascii="Times New Roman" w:hAnsi="Times New Roman" w:cs="Times New Roman"/>
          <w:spacing w:val="-3"/>
          <w:sz w:val="24"/>
          <w:szCs w:val="24"/>
        </w:rPr>
        <w:t>–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ao cenário de instabilidade econômica em que a empresa se encontrava no momento de todo processo de falência, situação que se arrastou desde 2015, com o início da recuperação judicial da Guerra S. A. e que não se transformou em superação da empresa. Ela também traz dados da Associação Nacional dos Fabricantes de Implementos Rodoviários (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Anfir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), em que são disponibilizadas informações a respeito da contração e queda no mercado de implementos rodoviários, de 159.870 implementos em 2014, para 88.318 em 2015, uma queda de 44,76% no setor abarcado pela empresa. A empresária atribui à grandiosidade da empresa como um dos fatores para a dificuldade em sair da crise instalada, e conclui “O que é triste é que vivemos em um país de economia montanha-russa, de momentos de cumes e sopés. Às vezes, parece que não somos empresários e administradores, mas sim malabaristas e equilibristas, tentando, a cada nova adversidade, equilibrar mais uma bola” (Bárbara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Veit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, Jornal do Comércio, 26/12/2017).</w:t>
      </w:r>
    </w:p>
    <w:p w14:paraId="161DCB93" w14:textId="7189417C" w:rsidR="006D1C41" w:rsidRPr="00A972B0" w:rsidRDefault="006D1C41" w:rsidP="009B6460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Em 2018 o Jornal Pioneiro noticiou o leilão dos bens, com previsão de arrecadação de R$</w:t>
      </w:r>
      <w:r w:rsidR="00582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2 milhões, e o bloqueio feito por manifestantes em protesto por dívidas trabalhistas da empresa caxiense. </w:t>
      </w:r>
      <w:r w:rsidR="00582672">
        <w:rPr>
          <w:rFonts w:ascii="Times New Roman" w:hAnsi="Times New Roman" w:cs="Times New Roman"/>
          <w:spacing w:val="-3"/>
          <w:sz w:val="24"/>
          <w:szCs w:val="24"/>
        </w:rPr>
        <w:t>Ativos</w:t>
      </w:r>
      <w:r w:rsidR="00582672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como</w:t>
      </w:r>
      <w:r w:rsidRPr="00A972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automóveis, caminhões, implementos rodoviários e empilhadeiras fora</w:t>
      </w:r>
      <w:r w:rsidR="005826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</w:t>
      </w:r>
      <w:r w:rsidRPr="00A972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negociados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(Jornal Pioneiro, 19/02/2018). No dia seguinte, 20/02/2018, o </w:t>
      </w:r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site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Caminhões e Carretas veiculou reportagem semelhante, informando que a empresa aguardava a venda de seus bens e que, segundo o administrador judicial Cristiano Fran, o processo demorou mais do que o esperado porque inicialmente não foram encontrados cinco veículos (Caminhões e Carretas, 20/02/2018). O Blog do Caminhoneiro também abordou o leilão em seu site em 21/02/2018, repercutindo sobre as reclamatórias trabalhistas</w:t>
      </w:r>
      <w:r w:rsidR="00275C26">
        <w:rPr>
          <w:rFonts w:ascii="Times New Roman" w:hAnsi="Times New Roman" w:cs="Times New Roman"/>
          <w:spacing w:val="-3"/>
          <w:sz w:val="24"/>
          <w:szCs w:val="24"/>
        </w:rPr>
        <w:t xml:space="preserve"> que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ainda se encontravam em tramitação.</w:t>
      </w:r>
    </w:p>
    <w:p w14:paraId="7365D379" w14:textId="2DB6CB2A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Por fim, em março de 2018, o Jornal Pioneiro retratou a autorização, pela 4ª Vara Cível, da venda pública dos bens da massa falida da Guerra S.A., com suposta realização em maio, lacrando o fim efetivo das operações da </w:t>
      </w:r>
      <w:r w:rsidR="009E7FCC"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empresa. </w:t>
      </w:r>
      <w:r w:rsidR="00DB5C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Apesar dos esforços declarados no Plano de Recuperação, as ações empreendidas não tiveram efeito na reestruturação. A partir desse momento, a empresa já estava inserida em um contexto de decadência, a categoria da estrutura encontrava-se no ponto de declínio e já não </w:t>
      </w:r>
      <w:r w:rsidR="00DB5C91">
        <w:rPr>
          <w:rFonts w:ascii="Times New Roman" w:hAnsi="Times New Roman" w:cs="Times New Roman"/>
          <w:spacing w:val="-3"/>
          <w:sz w:val="24"/>
          <w:szCs w:val="24"/>
        </w:rPr>
        <w:t>havia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mais meios para alavancar seus negócios, ou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lastRenderedPageBreak/>
        <w:t>seja, a composição da empresa ruiu e seus componentes não se mostra</w:t>
      </w:r>
      <w:r w:rsidR="00DB5C91">
        <w:rPr>
          <w:rFonts w:ascii="Times New Roman" w:hAnsi="Times New Roman" w:cs="Times New Roman"/>
          <w:spacing w:val="-3"/>
          <w:sz w:val="24"/>
          <w:szCs w:val="24"/>
        </w:rPr>
        <w:t>va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m mais dispostos a se empenhar com sua reestruturação.</w:t>
      </w:r>
    </w:p>
    <w:p w14:paraId="246EAF3C" w14:textId="44391916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A categoria relativa ao estilo de tomada de decisão pode ser configurada por decisões mais conservadoras, entretanto, no caso da Guerra S. A. o que foi observado nas reportagens é que não houve muitas decisões efetivamente tomadas em prol da reabertura e funcionamento da empresa. Apesar de ter tomad</w:t>
      </w:r>
      <w:r w:rsidR="00DB5C91">
        <w:rPr>
          <w:rFonts w:ascii="Times New Roman" w:hAnsi="Times New Roman" w:cs="Times New Roman"/>
          <w:spacing w:val="-3"/>
          <w:sz w:val="24"/>
          <w:szCs w:val="24"/>
        </w:rPr>
        <w:t>o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a decisão de elaborar um plano de recuperação e de seguir todo o protocolo para não encerrar definitivamente suas atividades, a empresa não colocou</w:t>
      </w:r>
      <w:r w:rsidR="00DB5C91">
        <w:rPr>
          <w:rFonts w:ascii="Times New Roman" w:hAnsi="Times New Roman" w:cs="Times New Roman"/>
          <w:spacing w:val="-3"/>
          <w:sz w:val="24"/>
          <w:szCs w:val="24"/>
        </w:rPr>
        <w:t>, de fato,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as propostas em ação. Os problemas informacionais e de decisão podem ter culminado com a efetiva morte da Guerra S.A.</w:t>
      </w:r>
    </w:p>
    <w:p w14:paraId="45456863" w14:textId="77777777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Além das reportagens analisadas neste artigo, há vasta gama de informações disponíveis no </w:t>
      </w:r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site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do Sindicato dos Metalúrgicos de Caxias do Sul, um Portal dos Trabalhadores e Trabalhadoras de Caxias do Sul e Região. Porém, devido à delimitação deste artigo em função da seletividade de um viés mais geral sobre os acontecimentos da empresa, optou-se por privilegiar as reportagens apresentadas, em detrimento daquelas que poderão servir, em uma futura pesquisa, para o entendimento mais aprofundado do declínio da Guerra S.A. </w:t>
      </w:r>
    </w:p>
    <w:p w14:paraId="12C284C5" w14:textId="77777777" w:rsidR="006D1C41" w:rsidRPr="00A972B0" w:rsidRDefault="006D1C41" w:rsidP="005D74AD">
      <w:pPr>
        <w:pStyle w:val="Standard"/>
        <w:spacing w:before="120" w:after="120"/>
        <w:ind w:firstLine="0"/>
        <w:outlineLvl w:val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b/>
          <w:spacing w:val="-3"/>
          <w:sz w:val="24"/>
          <w:szCs w:val="24"/>
        </w:rPr>
        <w:t>5 CONSIDERAÇÕES FINAIS</w:t>
      </w:r>
    </w:p>
    <w:p w14:paraId="67598BAF" w14:textId="77777777" w:rsidR="007B121E" w:rsidRDefault="006D1C41" w:rsidP="00C4243F">
      <w:pPr>
        <w:pStyle w:val="Standard"/>
        <w:spacing w:after="60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Este estudo teve como objetivo</w:t>
      </w:r>
      <w:r w:rsidRPr="00A972B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identificar os fatores que levaram a empresa Guerra S.A. ao declínio (morte), através da análise de conteúdo das reportagens extraídas de jornais e outras mídias virtuais. Assim, buscou-se reunir informações relativas à empresa</w:t>
      </w:r>
      <w:r w:rsidR="009E7F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no período de 2015 a 2018.</w:t>
      </w:r>
    </w:p>
    <w:p w14:paraId="5ABD8AB6" w14:textId="71509868" w:rsidR="006D1C41" w:rsidRPr="00C4243F" w:rsidRDefault="006D1C41" w:rsidP="00C4243F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 fase de declínio da empresa teve início em 2015 e culminou com o encerramento das atividades em 2017. Entre os aspectos que consolidaram </w:t>
      </w:r>
      <w:r w:rsidR="00DB5C91">
        <w:rPr>
          <w:rFonts w:ascii="Times New Roman" w:hAnsi="Times New Roman" w:cs="Times New Roman"/>
          <w:spacing w:val="-3"/>
          <w:sz w:val="24"/>
          <w:szCs w:val="24"/>
        </w:rPr>
        <w:t>o declínio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da Guerra S.A. está a grave crise financeira vivenciada no país no ano de 2015, porém, alguns fatores foram verificados como sendo cruciais para o desfecho de não retomar as atividades fabris da empresa. Não existe consenso, baseando-se em dados secundários, sobre o que aconteceu realmente para a empresa chegar ao declínio em um espaço relativamente curto de tempo. O declínio e, consequentemente, a falência e encerramento das atividades da Guerra S.A. deveu-se muito pelo fato de os tomadores de decisão não atuarem de forma eficaz e unificada na resolução dos problemas enfrentados pela empresa. Não há como uma empresa ultrapassar crises sem nenhum estremecimento</w:t>
      </w:r>
      <w:r w:rsidR="0069271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(como a vivenciada pela empresa em 2015), mas é possível que, com esforço e dedicação, os abalos sofridos sejam amenizados, sendo até mesmo concebível a pronta recuperação de uma empresa que passou por um procedimento judicial de recuperação, no qual era a superação dos obstáculos e reestruturação.</w:t>
      </w:r>
    </w:p>
    <w:p w14:paraId="47541120" w14:textId="61180460" w:rsidR="0069271F" w:rsidRDefault="006D1C41" w:rsidP="00AF3F37">
      <w:pPr>
        <w:pStyle w:val="Standard"/>
        <w:spacing w:after="60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 empresa familiar, por vezes, tem um perfil mais imediatista, o que vai de encontro ao </w:t>
      </w:r>
      <w:r w:rsidR="006E7280" w:rsidRPr="00A972B0">
        <w:rPr>
          <w:rFonts w:ascii="Times New Roman" w:hAnsi="Times New Roman" w:cs="Times New Roman"/>
          <w:spacing w:val="-3"/>
          <w:sz w:val="24"/>
          <w:szCs w:val="24"/>
        </w:rPr>
        <w:t>planejamento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organizacional (Gonçalves, 2000). Quando o planejamento estratégico é pretendido na empresa </w:t>
      </w:r>
      <w:r w:rsidR="006E7280" w:rsidRPr="00A972B0">
        <w:rPr>
          <w:rFonts w:ascii="Times New Roman" w:hAnsi="Times New Roman" w:cs="Times New Roman"/>
          <w:spacing w:val="-3"/>
          <w:sz w:val="24"/>
          <w:szCs w:val="24"/>
        </w:rPr>
        <w:t>familiar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, deve-se observar as peculiaridades deste tipo de empreendimento, devido ao fato da existência de questões familiares que precisam ser incorporadas (Ward, 1988). Na Guerra S.A. houve a intenção da superação das dificuldades da empresa, a partir do Plano de Recuperação proposto, entretanto, não foi obtido o sucesso almejado, o que acarretou na extinção da organização. O envolvimento da família proporciona habilidades e conhecimento do negócio (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Mazzola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,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Marchisio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&amp;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Astrachan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, 2008), essenciais enquanto a Guerra S.A. ainda estava sustentada pela base familiar, e que foi perdido com a negociação ao Grupo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Axxon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14:paraId="347F5D88" w14:textId="26E55755" w:rsidR="006D1C41" w:rsidRPr="00A972B0" w:rsidRDefault="006D1C41" w:rsidP="00AF3F37">
      <w:pPr>
        <w:pStyle w:val="Standard"/>
        <w:spacing w:after="6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A pesquisa restringiu-se a análise de materiais de jornais e no plano de recuperação da empresa. Dessa forma, os achados estão delimitados por essa estratégica de reunião de dados. O declínio organizacional, especialmente em uma organização de grande porte, é um processo amplo e sua compreensão demanda maior aproximação com a organização, o que representa um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lastRenderedPageBreak/>
        <w:t>próximo passo à pesquisa. Uma expansão dos resultados provável poderá ser obtida com entrevistas aos ex-funcionários da empresa e através de contato com sindicatos e entidades de classe envolvidas com o setor, métodos que exigem aprofundamento e tempo para análise.</w:t>
      </w:r>
    </w:p>
    <w:p w14:paraId="1533F616" w14:textId="77777777" w:rsidR="006D1C41" w:rsidRPr="00A972B0" w:rsidRDefault="006D1C41" w:rsidP="005D74AD">
      <w:pPr>
        <w:pStyle w:val="Standard"/>
        <w:spacing w:before="120" w:after="120"/>
        <w:ind w:firstLine="0"/>
        <w:outlineLvl w:val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b/>
          <w:spacing w:val="-3"/>
          <w:sz w:val="24"/>
          <w:szCs w:val="24"/>
        </w:rPr>
        <w:t>REFERÊNCIAS</w:t>
      </w:r>
    </w:p>
    <w:p w14:paraId="05746F01" w14:textId="77777777" w:rsidR="006D1C41" w:rsidRPr="00A972B0" w:rsidRDefault="006D1C41" w:rsidP="007B4C8B">
      <w:pPr>
        <w:pStyle w:val="Standard"/>
        <w:spacing w:after="16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Barbosa, R., &amp; Santos, R. (2009). Contabilidade Gerencial, Ciclo de Vida e Poder: a luz da biopolítica de Foucault. XXXIII Encontro da Associação Nacional de Pós-Graduação em Administração, São Paulo/SP.</w:t>
      </w:r>
    </w:p>
    <w:p w14:paraId="68185281" w14:textId="081348D3" w:rsidR="006D1C41" w:rsidRPr="00A972B0" w:rsidRDefault="006D1C41" w:rsidP="00E86B25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Beck, F.</w:t>
      </w:r>
      <w:r w:rsidR="00F92B0B">
        <w:rPr>
          <w:rFonts w:ascii="Times New Roman" w:hAnsi="Times New Roman" w:cs="Times New Roman"/>
          <w:spacing w:val="-3"/>
          <w:sz w:val="24"/>
          <w:szCs w:val="24"/>
        </w:rPr>
        <w:t xml:space="preserve"> (2016).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 Utilização da folga organizacional para o alcance dos objetivos financeiros e não financeiros de uma empresa familiar. (Tese de Doutorado). Universidade de São Paulo, São Paulo.</w:t>
      </w:r>
    </w:p>
    <w:p w14:paraId="08221E65" w14:textId="77777777" w:rsidR="006D1C41" w:rsidRPr="00A972B0" w:rsidRDefault="006D1C41" w:rsidP="00E86B25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Berrone, P., Cruz, C., &amp; Gomez-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Mejia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, L. R. (2012). </w:t>
      </w:r>
      <w:r w:rsidRPr="00373120">
        <w:rPr>
          <w:rFonts w:ascii="Times New Roman" w:hAnsi="Times New Roman" w:cs="Times New Roman"/>
          <w:spacing w:val="-3"/>
          <w:sz w:val="24"/>
          <w:szCs w:val="24"/>
          <w:lang w:val="en-US"/>
        </w:rPr>
        <w:t>Socioemotio</w:t>
      </w:r>
      <w:r w:rsidRPr="00A972B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nal wealth in family firms: Theoretical dimensions, assessment approaches, and agenda for future research. </w:t>
      </w:r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Family Business Review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, 25(3), 258-279.</w:t>
      </w:r>
    </w:p>
    <w:p w14:paraId="5ED7D37F" w14:textId="55D87F92" w:rsidR="00AF23C4" w:rsidRDefault="00AF23C4" w:rsidP="00E86B25">
      <w:pPr>
        <w:pStyle w:val="Standard"/>
        <w:spacing w:after="120"/>
        <w:ind w:firstLine="0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Comércio, J. </w:t>
      </w:r>
      <w:r w:rsidR="00EE3942">
        <w:rPr>
          <w:rFonts w:ascii="Times New Roman" w:hAnsi="Times New Roman" w:cs="Times New Roman"/>
          <w:spacing w:val="-3"/>
          <w:sz w:val="24"/>
          <w:szCs w:val="24"/>
        </w:rPr>
        <w:t>(2015-2018</w:t>
      </w:r>
      <w:r w:rsidR="001706B0">
        <w:rPr>
          <w:rFonts w:ascii="Times New Roman" w:hAnsi="Times New Roman" w:cs="Times New Roman"/>
          <w:spacing w:val="-3"/>
          <w:sz w:val="24"/>
          <w:szCs w:val="24"/>
        </w:rPr>
        <w:t xml:space="preserve">). </w:t>
      </w:r>
      <w:r w:rsidR="001706B0" w:rsidRPr="001706B0">
        <w:rPr>
          <w:rFonts w:ascii="Times New Roman" w:hAnsi="Times New Roman" w:cs="Times New Roman"/>
          <w:spacing w:val="-3"/>
          <w:sz w:val="24"/>
          <w:szCs w:val="24"/>
        </w:rPr>
        <w:t xml:space="preserve">Setor </w:t>
      </w:r>
      <w:proofErr w:type="spellStart"/>
      <w:r w:rsidR="001706B0" w:rsidRPr="001706B0">
        <w:rPr>
          <w:rFonts w:ascii="Times New Roman" w:hAnsi="Times New Roman" w:cs="Times New Roman"/>
          <w:spacing w:val="-3"/>
          <w:sz w:val="24"/>
          <w:szCs w:val="24"/>
        </w:rPr>
        <w:t>metalmecânico</w:t>
      </w:r>
      <w:proofErr w:type="spellEnd"/>
      <w:r w:rsidR="001706B0" w:rsidRPr="001706B0">
        <w:rPr>
          <w:rFonts w:ascii="Times New Roman" w:hAnsi="Times New Roman" w:cs="Times New Roman"/>
          <w:spacing w:val="-3"/>
          <w:sz w:val="24"/>
          <w:szCs w:val="24"/>
        </w:rPr>
        <w:t xml:space="preserve"> para 30 dias na Serra</w:t>
      </w:r>
      <w:r w:rsidR="001706B0">
        <w:rPr>
          <w:rFonts w:ascii="Times New Roman" w:hAnsi="Times New Roman" w:cs="Times New Roman"/>
          <w:spacing w:val="-3"/>
          <w:sz w:val="24"/>
          <w:szCs w:val="24"/>
        </w:rPr>
        <w:t xml:space="preserve">. Disponível em </w:t>
      </w:r>
      <w:r w:rsidR="001706B0" w:rsidRPr="001706B0">
        <w:rPr>
          <w:rFonts w:ascii="Times New Roman" w:hAnsi="Times New Roman" w:cs="Times New Roman"/>
          <w:spacing w:val="-3"/>
          <w:sz w:val="24"/>
          <w:szCs w:val="24"/>
        </w:rPr>
        <w:t>http://jcrs.uol.com.br</w:t>
      </w:r>
      <w:r w:rsidR="001706B0">
        <w:rPr>
          <w:rFonts w:ascii="Times New Roman" w:hAnsi="Times New Roman" w:cs="Times New Roman"/>
          <w:spacing w:val="-3"/>
          <w:sz w:val="24"/>
          <w:szCs w:val="24"/>
        </w:rPr>
        <w:t>. Acesso em: 13/01/2018.</w:t>
      </w:r>
    </w:p>
    <w:p w14:paraId="0BC3C536" w14:textId="77777777" w:rsidR="006D1C41" w:rsidRPr="00A972B0" w:rsidRDefault="006D1C41" w:rsidP="00E86B25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Cruz, C. V. O. A. (2010). A relevância da informação contábil para os investidores sociais privados de entidades do terceiro setor no Brasil: uma investigação empírica (Tese de Doutorado). Universidade de São Paulo, São Paulo.</w:t>
      </w:r>
    </w:p>
    <w:p w14:paraId="70714D1B" w14:textId="5A0DA220" w:rsidR="006D1C41" w:rsidRPr="00A972B0" w:rsidRDefault="006D1C41" w:rsidP="00E86B25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Figlioli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, B.</w:t>
      </w:r>
      <w:r w:rsidR="0047185C">
        <w:rPr>
          <w:rFonts w:ascii="Times New Roman" w:hAnsi="Times New Roman" w:cs="Times New Roman"/>
          <w:spacing w:val="-3"/>
          <w:sz w:val="24"/>
          <w:szCs w:val="24"/>
        </w:rPr>
        <w:t xml:space="preserve"> (</w:t>
      </w:r>
      <w:r w:rsidR="000C5465">
        <w:rPr>
          <w:rFonts w:ascii="Times New Roman" w:hAnsi="Times New Roman" w:cs="Times New Roman"/>
          <w:spacing w:val="-3"/>
          <w:sz w:val="24"/>
          <w:szCs w:val="24"/>
        </w:rPr>
        <w:t xml:space="preserve">2017).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A relevância da informação contábil para o mercado de capitais brasileiro sob o pressuposto da racionalidade limitada dos investidores (Tese de Doutorado). Universidade de São Paulo, São Paulo.</w:t>
      </w:r>
    </w:p>
    <w:p w14:paraId="45A7F041" w14:textId="77777777" w:rsidR="006D1C41" w:rsidRPr="00A972B0" w:rsidRDefault="006D1C41" w:rsidP="00E86B25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Frezatti, F., Bido, D. S., Mucci, D. M., &amp; Beck, F. (2017). Estágios do ciclo de vida e perfil de empresas familiares brasileiras. </w:t>
      </w:r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RAE-Revista de Administração de Empresas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, 57(6), 601-619.</w:t>
      </w:r>
    </w:p>
    <w:p w14:paraId="56B8D9BC" w14:textId="77777777" w:rsidR="006D1C41" w:rsidRPr="00A972B0" w:rsidRDefault="006D1C41" w:rsidP="00E86B25">
      <w:pPr>
        <w:pStyle w:val="Standard"/>
        <w:spacing w:after="120"/>
        <w:ind w:firstLine="0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Godoy, A. S. (1995). Introdução à pesquisa qualitativa e suas possibilidades. Revista de administração de empresas, 35(2), 57-63.</w:t>
      </w:r>
    </w:p>
    <w:p w14:paraId="0C85DF43" w14:textId="77777777" w:rsidR="006D1C41" w:rsidRPr="00A972B0" w:rsidRDefault="006D1C41" w:rsidP="00E86B25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Gomez-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Mejia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, L., Cruz, C., &amp;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Imperatore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, C. (2014). </w:t>
      </w:r>
      <w:r w:rsidRPr="00A972B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Financial reporting and the protection of socioemotional wealth in family-controlled firms. </w:t>
      </w:r>
      <w:proofErr w:type="spellStart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European</w:t>
      </w:r>
      <w:proofErr w:type="spellEnd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proofErr w:type="spellStart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Accounting</w:t>
      </w:r>
      <w:proofErr w:type="spellEnd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proofErr w:type="spellStart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Review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, 23(3), 387-402.</w:t>
      </w:r>
    </w:p>
    <w:p w14:paraId="06D2B847" w14:textId="77777777" w:rsidR="006D1C41" w:rsidRPr="00A972B0" w:rsidRDefault="006D1C41" w:rsidP="00E86B25">
      <w:pPr>
        <w:pStyle w:val="Standard"/>
        <w:spacing w:after="120"/>
        <w:ind w:firstLine="0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Gonçalves, J. S. R. C. (2000). As empresas familiares no Brasil. </w:t>
      </w:r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Revista de Administração de empresas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, 40(1), 7-12.</w:t>
      </w:r>
    </w:p>
    <w:p w14:paraId="5CF43257" w14:textId="77777777" w:rsidR="006D1C41" w:rsidRPr="00A972B0" w:rsidRDefault="006D1C41" w:rsidP="00E86B25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Hora, Z. (2017). O drama vivido pelos funcionários da empresa caxiense Guerra SA. Jornal Zero Hora. Disponível em &lt;</w:t>
      </w:r>
      <w:r w:rsidRPr="00A972B0">
        <w:rPr>
          <w:rFonts w:ascii="Times New Roman" w:hAnsi="Times New Roman" w:cs="Times New Roman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https://gauchazh.clicrbs.com.br/geral/noticia/2017/09/o-drama-vivido-pelos-funcionarios-da-empresa-caxiense-guerra-sa-9900964.html&gt;. Acesso em: 20 nov. 2017.</w:t>
      </w:r>
    </w:p>
    <w:p w14:paraId="1F3C1670" w14:textId="77777777" w:rsidR="006D1C41" w:rsidRPr="00A972B0" w:rsidRDefault="006D1C41" w:rsidP="00E86B25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Jupetipe, F. K. N. (2017). Utilidade da informação contábil para eficiência dos processos de falência e de recuperação empresarial. (Tese de Doutorado). Faculdade de Economia, Administração e Contabilidade, Universidade de São Paulo, São Paulo.</w:t>
      </w:r>
    </w:p>
    <w:p w14:paraId="5F359091" w14:textId="77777777" w:rsidR="006D1C41" w:rsidRPr="00A972B0" w:rsidRDefault="006D1C41" w:rsidP="00E86B25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Kalm, M., &amp; Gomez-</w:t>
      </w:r>
      <w:proofErr w:type="spellStart"/>
      <w:r w:rsidRPr="00A972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Mejia</w:t>
      </w:r>
      <w:proofErr w:type="spellEnd"/>
      <w:r w:rsidRPr="00A972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 R. (2016). </w:t>
      </w:r>
      <w:r w:rsidRPr="00A972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Socioemotional wealth preservation in family firms. </w:t>
      </w:r>
      <w:r w:rsidRPr="00A972B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Revista de Administração (São Paulo)</w:t>
      </w:r>
      <w:r w:rsidRPr="00A972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972B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51</w:t>
      </w:r>
      <w:r w:rsidRPr="00A972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409-411.</w:t>
      </w:r>
    </w:p>
    <w:p w14:paraId="24F7E843" w14:textId="77777777" w:rsidR="006D1C41" w:rsidRPr="00A972B0" w:rsidRDefault="006D1C41" w:rsidP="00E86B25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Laville, C., &amp; Dionne, J. (1999). A construção do saber: manual de metodologia da pesquisa em ciências humanas. Artmed; UFMG.</w:t>
      </w:r>
    </w:p>
    <w:p w14:paraId="55962728" w14:textId="77777777" w:rsidR="006D1C41" w:rsidRPr="00A972B0" w:rsidRDefault="006D1C41" w:rsidP="00913EA4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z w:val="24"/>
          <w:szCs w:val="24"/>
        </w:rPr>
        <w:t xml:space="preserve">Leone, N. M. D. C. P. (2004). O processo sucessório em empresas familiares: o exemplo dos comerciantes e o processo no Saara. </w:t>
      </w:r>
      <w:r w:rsidRPr="00A972B0">
        <w:rPr>
          <w:rFonts w:ascii="Times New Roman" w:hAnsi="Times New Roman" w:cs="Times New Roman"/>
          <w:i/>
          <w:sz w:val="24"/>
          <w:szCs w:val="24"/>
        </w:rPr>
        <w:t>Organizações &amp; Sociedade</w:t>
      </w:r>
      <w:r w:rsidRPr="00A972B0">
        <w:rPr>
          <w:rFonts w:ascii="Times New Roman" w:hAnsi="Times New Roman" w:cs="Times New Roman"/>
          <w:sz w:val="24"/>
          <w:szCs w:val="24"/>
        </w:rPr>
        <w:t>, 11(29), 149-172.</w:t>
      </w:r>
    </w:p>
    <w:p w14:paraId="673F7C51" w14:textId="77777777" w:rsidR="006D1C41" w:rsidRPr="00A972B0" w:rsidRDefault="006D1C41" w:rsidP="00913EA4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Martins, G. D. A. (2006). Estudo de caso: uma estratégia de pesquisa. São Paulo: Atlas.</w:t>
      </w:r>
    </w:p>
    <w:p w14:paraId="1C624446" w14:textId="77777777" w:rsidR="006D1C41" w:rsidRPr="00A972B0" w:rsidRDefault="006D1C41" w:rsidP="00913EA4">
      <w:pPr>
        <w:pStyle w:val="Standard"/>
        <w:spacing w:after="120"/>
        <w:ind w:firstLine="0"/>
        <w:rPr>
          <w:rFonts w:ascii="Times New Roman" w:hAnsi="Times New Roman" w:cs="Times New Roman"/>
          <w:spacing w:val="-3"/>
          <w:sz w:val="24"/>
          <w:szCs w:val="24"/>
          <w:lang w:val="en-US"/>
        </w:rPr>
      </w:pPr>
      <w:bookmarkStart w:id="0" w:name="_GoBack"/>
      <w:bookmarkEnd w:id="0"/>
      <w:r w:rsidRPr="00A972B0">
        <w:rPr>
          <w:rFonts w:ascii="Times New Roman" w:hAnsi="Times New Roman" w:cs="Times New Roman"/>
          <w:spacing w:val="-3"/>
          <w:sz w:val="24"/>
          <w:szCs w:val="24"/>
        </w:rPr>
        <w:lastRenderedPageBreak/>
        <w:t xml:space="preserve">Martínez-Romero, M. J., &amp; Rojo-Ramírez, A. A. (2016). </w:t>
      </w:r>
      <w:r w:rsidRPr="00A972B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SEW: Looking for a definition and controversial issues. </w:t>
      </w:r>
      <w:r w:rsidRPr="00A972B0">
        <w:rPr>
          <w:rFonts w:ascii="Times New Roman" w:hAnsi="Times New Roman" w:cs="Times New Roman"/>
          <w:i/>
          <w:spacing w:val="-3"/>
          <w:sz w:val="24"/>
          <w:szCs w:val="24"/>
          <w:lang w:val="en-US"/>
        </w:rPr>
        <w:t xml:space="preserve">European Journal of Family Business, </w:t>
      </w:r>
      <w:r w:rsidRPr="00A972B0">
        <w:rPr>
          <w:rFonts w:ascii="Times New Roman" w:hAnsi="Times New Roman" w:cs="Times New Roman"/>
          <w:spacing w:val="-3"/>
          <w:sz w:val="24"/>
          <w:szCs w:val="24"/>
          <w:lang w:val="en-US"/>
        </w:rPr>
        <w:t>6(1), 1-9.</w:t>
      </w:r>
    </w:p>
    <w:p w14:paraId="00E1F4A5" w14:textId="77777777" w:rsidR="006D1C41" w:rsidRPr="00A972B0" w:rsidRDefault="006D1C41" w:rsidP="00913EA4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15EA6">
        <w:rPr>
          <w:rFonts w:ascii="Times New Roman" w:hAnsi="Times New Roman" w:cs="Times New Roman"/>
          <w:sz w:val="24"/>
          <w:szCs w:val="24"/>
          <w:lang w:val="en-US"/>
        </w:rPr>
        <w:t xml:space="preserve">Mazzola, P., </w:t>
      </w:r>
      <w:proofErr w:type="spellStart"/>
      <w:r w:rsidRPr="00D15EA6">
        <w:rPr>
          <w:rFonts w:ascii="Times New Roman" w:hAnsi="Times New Roman" w:cs="Times New Roman"/>
          <w:sz w:val="24"/>
          <w:szCs w:val="24"/>
          <w:lang w:val="en-US"/>
        </w:rPr>
        <w:t>Marchisio</w:t>
      </w:r>
      <w:proofErr w:type="spellEnd"/>
      <w:r w:rsidRPr="00D15EA6">
        <w:rPr>
          <w:rFonts w:ascii="Times New Roman" w:hAnsi="Times New Roman" w:cs="Times New Roman"/>
          <w:sz w:val="24"/>
          <w:szCs w:val="24"/>
          <w:lang w:val="en-US"/>
        </w:rPr>
        <w:t xml:space="preserve">, G., &amp; </w:t>
      </w:r>
      <w:proofErr w:type="spellStart"/>
      <w:r w:rsidRPr="00D15EA6">
        <w:rPr>
          <w:rFonts w:ascii="Times New Roman" w:hAnsi="Times New Roman" w:cs="Times New Roman"/>
          <w:sz w:val="24"/>
          <w:szCs w:val="24"/>
          <w:lang w:val="en-US"/>
        </w:rPr>
        <w:t>Astrachan</w:t>
      </w:r>
      <w:proofErr w:type="spellEnd"/>
      <w:r w:rsidRPr="00D15EA6">
        <w:rPr>
          <w:rFonts w:ascii="Times New Roman" w:hAnsi="Times New Roman" w:cs="Times New Roman"/>
          <w:sz w:val="24"/>
          <w:szCs w:val="24"/>
          <w:lang w:val="en-US"/>
        </w:rPr>
        <w:t xml:space="preserve">, J. (2008). </w:t>
      </w:r>
      <w:r w:rsidRPr="00A972B0">
        <w:rPr>
          <w:rFonts w:ascii="Times New Roman" w:hAnsi="Times New Roman" w:cs="Times New Roman"/>
          <w:sz w:val="24"/>
          <w:szCs w:val="24"/>
          <w:lang w:val="en-US"/>
        </w:rPr>
        <w:t xml:space="preserve">Strategic planning in family business: A powerful developmental tool for the next generation. </w:t>
      </w:r>
      <w:r w:rsidRPr="00A972B0">
        <w:rPr>
          <w:rFonts w:ascii="Times New Roman" w:hAnsi="Times New Roman" w:cs="Times New Roman"/>
          <w:i/>
          <w:sz w:val="24"/>
          <w:szCs w:val="24"/>
          <w:lang w:val="en-US"/>
        </w:rPr>
        <w:t>Family Business Review</w:t>
      </w:r>
      <w:r w:rsidRPr="00A972B0">
        <w:rPr>
          <w:rFonts w:ascii="Times New Roman" w:hAnsi="Times New Roman" w:cs="Times New Roman"/>
          <w:sz w:val="24"/>
          <w:szCs w:val="24"/>
          <w:lang w:val="en-US"/>
        </w:rPr>
        <w:t>, 21(3), 239-258.</w:t>
      </w:r>
    </w:p>
    <w:p w14:paraId="77730ECB" w14:textId="5E37C9DC" w:rsidR="006D1C41" w:rsidRPr="00A972B0" w:rsidRDefault="006D1C41" w:rsidP="00913EA4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Mucci, D. M. (2018). Management control mechanisms and stewardship in family firms: an analysis of antecedents and consequences.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(Tese de Doutorado). Universidade de São Paulo, São Paulo.</w:t>
      </w:r>
    </w:p>
    <w:p w14:paraId="140B6C13" w14:textId="77777777" w:rsidR="006D1C41" w:rsidRPr="00A972B0" w:rsidRDefault="006D1C41" w:rsidP="00913EA4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Necyk, G. A., &amp; Frezatti, F. (2010). A Contabilidade Gerencial: uma perspectiva de ciclo de vida de seu desenvolvimento nas organizações. Organizações &amp; Sociedade, 17(55).</w:t>
      </w:r>
    </w:p>
    <w:p w14:paraId="153DCA54" w14:textId="77777777" w:rsidR="006D1C41" w:rsidRPr="00A972B0" w:rsidRDefault="006D1C41" w:rsidP="00913EA4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Pioneiro, J. (2017). Notícias sobre Guerra SA. Disponível em: &lt;</w:t>
      </w:r>
      <w:r w:rsidRPr="00A972B0">
        <w:rPr>
          <w:rFonts w:ascii="Times New Roman" w:hAnsi="Times New Roman" w:cs="Times New Roman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http://pioneiro.clicrbs.com.br/rs/ultimas-noticias/tag/guerra-sa/&gt;. Acesso em: 22 nov. 2017.</w:t>
      </w:r>
    </w:p>
    <w:p w14:paraId="7E87BF8B" w14:textId="5DFC2215" w:rsidR="006D1C41" w:rsidRPr="00A972B0" w:rsidRDefault="006D1C41" w:rsidP="00913EA4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Planalto. Lei nº 11.101, de 9 de fevereiro de 2005. Disponível em: &lt;</w:t>
      </w:r>
      <w:r w:rsidRPr="00A972B0">
        <w:rPr>
          <w:rFonts w:ascii="Times New Roman" w:hAnsi="Times New Roman" w:cs="Times New Roman"/>
          <w:sz w:val="24"/>
          <w:szCs w:val="24"/>
        </w:rPr>
        <w:t xml:space="preserve">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http://www.planalto.gov.br/ccivil_03/_ato2004-2006/2005/lei/l11101.htm&gt;. Acesso em: 18 jan. 2018. </w:t>
      </w:r>
    </w:p>
    <w:p w14:paraId="38CC3F31" w14:textId="77777777" w:rsidR="006D1C41" w:rsidRPr="00A972B0" w:rsidRDefault="006D1C41" w:rsidP="00913EA4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F23C4">
        <w:rPr>
          <w:rFonts w:ascii="Times New Roman" w:hAnsi="Times New Roman" w:cs="Times New Roman"/>
          <w:spacing w:val="-3"/>
          <w:sz w:val="24"/>
          <w:szCs w:val="24"/>
        </w:rPr>
        <w:t>Prencipe</w:t>
      </w:r>
      <w:proofErr w:type="spellEnd"/>
      <w:r w:rsidRPr="00AF23C4">
        <w:rPr>
          <w:rFonts w:ascii="Times New Roman" w:hAnsi="Times New Roman" w:cs="Times New Roman"/>
          <w:spacing w:val="-3"/>
          <w:sz w:val="24"/>
          <w:szCs w:val="24"/>
        </w:rPr>
        <w:t xml:space="preserve">, A., Bar-Yosef, S., &amp; Dekker, H. C. (2014). </w:t>
      </w:r>
      <w:r w:rsidRPr="00A972B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Accounting research in family firms: Theoretical and empirical challenges. </w:t>
      </w:r>
      <w:proofErr w:type="spellStart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European</w:t>
      </w:r>
      <w:proofErr w:type="spellEnd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proofErr w:type="spellStart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Accounting</w:t>
      </w:r>
      <w:proofErr w:type="spellEnd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proofErr w:type="spellStart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Review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, 23(3), 361-385.</w:t>
      </w:r>
    </w:p>
    <w:p w14:paraId="0EA112D8" w14:textId="77777777" w:rsidR="006D1C41" w:rsidRPr="00A972B0" w:rsidRDefault="006D1C41" w:rsidP="00C47AFB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Ribeiro Filho, J. F., Lopes, J., &amp; Pederneiras, M. (2009). Estudando teoria da contabilidade. São Paulo: Atlas.</w:t>
      </w:r>
    </w:p>
    <w:p w14:paraId="5B773DEF" w14:textId="77777777" w:rsidR="006D1C41" w:rsidRPr="00A972B0" w:rsidRDefault="006D1C41" w:rsidP="00333E4B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333E4B">
        <w:rPr>
          <w:rFonts w:ascii="Times New Roman" w:hAnsi="Times New Roman" w:cs="Times New Roman"/>
          <w:spacing w:val="-3"/>
          <w:sz w:val="24"/>
          <w:szCs w:val="24"/>
        </w:rPr>
        <w:t xml:space="preserve">Sanchez-Famoso, V., </w:t>
      </w:r>
      <w:proofErr w:type="spellStart"/>
      <w:r w:rsidRPr="00333E4B">
        <w:rPr>
          <w:rFonts w:ascii="Times New Roman" w:hAnsi="Times New Roman" w:cs="Times New Roman"/>
          <w:spacing w:val="-3"/>
          <w:sz w:val="24"/>
          <w:szCs w:val="24"/>
        </w:rPr>
        <w:t>Maseda</w:t>
      </w:r>
      <w:proofErr w:type="spellEnd"/>
      <w:r w:rsidRPr="00333E4B">
        <w:rPr>
          <w:rFonts w:ascii="Times New Roman" w:hAnsi="Times New Roman" w:cs="Times New Roman"/>
          <w:spacing w:val="-3"/>
          <w:sz w:val="24"/>
          <w:szCs w:val="24"/>
        </w:rPr>
        <w:t xml:space="preserve">, A., &amp; </w:t>
      </w:r>
      <w:proofErr w:type="spellStart"/>
      <w:r w:rsidRPr="00333E4B">
        <w:rPr>
          <w:rFonts w:ascii="Times New Roman" w:hAnsi="Times New Roman" w:cs="Times New Roman"/>
          <w:spacing w:val="-3"/>
          <w:sz w:val="24"/>
          <w:szCs w:val="24"/>
        </w:rPr>
        <w:t>Iturralde</w:t>
      </w:r>
      <w:proofErr w:type="spellEnd"/>
      <w:r w:rsidRPr="00333E4B">
        <w:rPr>
          <w:rFonts w:ascii="Times New Roman" w:hAnsi="Times New Roman" w:cs="Times New Roman"/>
          <w:spacing w:val="-3"/>
          <w:sz w:val="24"/>
          <w:szCs w:val="24"/>
        </w:rPr>
        <w:t xml:space="preserve">, T. (2013). </w:t>
      </w:r>
      <w:r w:rsidRPr="00A972B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Relationship between family and non-family social capital: The case of Spanish family firms. </w:t>
      </w:r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 xml:space="preserve">Revista </w:t>
      </w:r>
      <w:proofErr w:type="spellStart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Europea</w:t>
      </w:r>
      <w:proofErr w:type="spellEnd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 xml:space="preserve"> de </w:t>
      </w:r>
      <w:proofErr w:type="spellStart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Dirección</w:t>
      </w:r>
      <w:proofErr w:type="spellEnd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 xml:space="preserve"> y </w:t>
      </w:r>
      <w:proofErr w:type="spellStart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Economía</w:t>
      </w:r>
      <w:proofErr w:type="spellEnd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 xml:space="preserve"> de </w:t>
      </w:r>
      <w:proofErr w:type="spellStart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la</w:t>
      </w:r>
      <w:proofErr w:type="spellEnd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 xml:space="preserve"> Empresa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>, 22(4), 177-185.</w:t>
      </w:r>
    </w:p>
    <w:p w14:paraId="088FF3BD" w14:textId="77777777" w:rsidR="006D1C41" w:rsidRPr="00A972B0" w:rsidRDefault="006D1C41" w:rsidP="00333E4B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Segura, L. C., &amp;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Formigoni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, H. (2014). Influência do controle e da gestão familiar no endividamento das empresas abertas Brasileiras: um estudo quantitativo. </w:t>
      </w:r>
      <w:proofErr w:type="spellStart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Brazilian</w:t>
      </w:r>
      <w:proofErr w:type="spellEnd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 xml:space="preserve"> Business </w:t>
      </w:r>
      <w:proofErr w:type="spellStart"/>
      <w:r w:rsidRPr="00A972B0">
        <w:rPr>
          <w:rFonts w:ascii="Times New Roman" w:hAnsi="Times New Roman" w:cs="Times New Roman"/>
          <w:i/>
          <w:spacing w:val="-3"/>
          <w:sz w:val="24"/>
          <w:szCs w:val="24"/>
        </w:rPr>
        <w:t>Review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>, 11(6), 51.</w:t>
      </w:r>
    </w:p>
    <w:p w14:paraId="15865216" w14:textId="77777777" w:rsidR="006D1C41" w:rsidRPr="00A972B0" w:rsidRDefault="006D1C41" w:rsidP="00333E4B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Serra, F. A. R., Pinto, R., </w:t>
      </w:r>
      <w:proofErr w:type="spellStart"/>
      <w:r w:rsidRPr="00A972B0">
        <w:rPr>
          <w:rFonts w:ascii="Times New Roman" w:hAnsi="Times New Roman" w:cs="Times New Roman"/>
          <w:spacing w:val="-3"/>
          <w:sz w:val="24"/>
          <w:szCs w:val="24"/>
        </w:rPr>
        <w:t>Guerrazzi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, L., &amp; Ferreira, M. P. (2017). </w:t>
      </w:r>
      <w:r w:rsidRPr="00A972B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Organizational decline research review: Challenges and issues for a future research agenda. </w:t>
      </w:r>
      <w:r w:rsidRPr="00A972B0">
        <w:rPr>
          <w:rFonts w:ascii="Times New Roman" w:hAnsi="Times New Roman" w:cs="Times New Roman"/>
          <w:i/>
          <w:spacing w:val="-3"/>
          <w:sz w:val="24"/>
          <w:szCs w:val="24"/>
          <w:lang w:val="en-US"/>
        </w:rPr>
        <w:t>BAR-Brazilian Administration Review</w:t>
      </w:r>
      <w:r w:rsidRPr="00A972B0">
        <w:rPr>
          <w:rFonts w:ascii="Times New Roman" w:hAnsi="Times New Roman" w:cs="Times New Roman"/>
          <w:spacing w:val="-3"/>
          <w:sz w:val="24"/>
          <w:szCs w:val="24"/>
          <w:lang w:val="en-US"/>
        </w:rPr>
        <w:t>, 14(2).</w:t>
      </w:r>
    </w:p>
    <w:p w14:paraId="5D07C0DA" w14:textId="77777777" w:rsidR="006D1C41" w:rsidRPr="00A972B0" w:rsidRDefault="006D1C41" w:rsidP="00333E4B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Silva Júnior, A., &amp; Muniz, R. M. (2003). </w:t>
      </w:r>
      <w:r w:rsidRPr="00A972B0">
        <w:rPr>
          <w:rFonts w:ascii="Times New Roman" w:hAnsi="Times New Roman" w:cs="Times New Roman"/>
          <w:spacing w:val="-3"/>
          <w:sz w:val="24"/>
          <w:szCs w:val="24"/>
        </w:rPr>
        <w:t xml:space="preserve">Poder e sucessão: ascensão, declínio e falência de uma gestão familiar em uma empresa capixaba. </w:t>
      </w:r>
      <w:proofErr w:type="spellStart"/>
      <w:r w:rsidRPr="00A972B0">
        <w:rPr>
          <w:rFonts w:ascii="Times New Roman" w:hAnsi="Times New Roman" w:cs="Times New Roman"/>
          <w:i/>
          <w:spacing w:val="-3"/>
          <w:sz w:val="24"/>
          <w:szCs w:val="24"/>
          <w:lang w:val="en-US"/>
        </w:rPr>
        <w:t>Organizações</w:t>
      </w:r>
      <w:proofErr w:type="spellEnd"/>
      <w:r w:rsidRPr="00A972B0">
        <w:rPr>
          <w:rFonts w:ascii="Times New Roman" w:hAnsi="Times New Roman" w:cs="Times New Roman"/>
          <w:i/>
          <w:spacing w:val="-3"/>
          <w:sz w:val="24"/>
          <w:szCs w:val="24"/>
          <w:lang w:val="en-US"/>
        </w:rPr>
        <w:t xml:space="preserve"> &amp; </w:t>
      </w:r>
      <w:proofErr w:type="spellStart"/>
      <w:r w:rsidRPr="00A972B0">
        <w:rPr>
          <w:rFonts w:ascii="Times New Roman" w:hAnsi="Times New Roman" w:cs="Times New Roman"/>
          <w:i/>
          <w:spacing w:val="-3"/>
          <w:sz w:val="24"/>
          <w:szCs w:val="24"/>
          <w:lang w:val="en-US"/>
        </w:rPr>
        <w:t>Sociedade</w:t>
      </w:r>
      <w:proofErr w:type="spellEnd"/>
      <w:r w:rsidRPr="00A972B0">
        <w:rPr>
          <w:rFonts w:ascii="Times New Roman" w:hAnsi="Times New Roman" w:cs="Times New Roman"/>
          <w:spacing w:val="-3"/>
          <w:sz w:val="24"/>
          <w:szCs w:val="24"/>
          <w:lang w:val="en-US"/>
        </w:rPr>
        <w:t>, 10(26).</w:t>
      </w:r>
    </w:p>
    <w:p w14:paraId="211ABCC3" w14:textId="77777777" w:rsidR="004E5EF7" w:rsidRDefault="006D1C41" w:rsidP="00333E4B">
      <w:pPr>
        <w:pStyle w:val="Standard"/>
        <w:spacing w:after="120"/>
        <w:ind w:firstLine="0"/>
        <w:rPr>
          <w:rFonts w:ascii="Times New Roman" w:hAnsi="Times New Roman" w:cs="Times New Roman"/>
          <w:spacing w:val="-3"/>
          <w:sz w:val="24"/>
          <w:szCs w:val="24"/>
          <w:lang w:val="en-US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  <w:lang w:val="en-US"/>
        </w:rPr>
        <w:t>Stankiewicz, J. (2016). Socioemotional wealth and the performance of family firms: the role of identification and transgenerational control (Doctoral dissertation, Universität St. Gallen).</w:t>
      </w:r>
    </w:p>
    <w:p w14:paraId="0D7E4124" w14:textId="2CB46F33" w:rsidR="006D1C41" w:rsidRPr="00A972B0" w:rsidRDefault="006D1C41" w:rsidP="00333E4B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Três, D. L. (2010). Declínio e turnaround: um estudo de caso em uma empresa familiar. (Dissertação de Mestrado), Universidade Federal de Santa Catarina, Florianópolis.</w:t>
      </w:r>
    </w:p>
    <w:p w14:paraId="3F95C2AB" w14:textId="77777777" w:rsidR="006D1C41" w:rsidRPr="00A972B0" w:rsidRDefault="006D1C41" w:rsidP="00333E4B">
      <w:pPr>
        <w:pStyle w:val="Standard"/>
        <w:spacing w:after="120"/>
        <w:ind w:firstLine="0"/>
        <w:rPr>
          <w:rFonts w:ascii="Times New Roman" w:hAnsi="Times New Roman" w:cs="Times New Roman"/>
          <w:spacing w:val="-3"/>
          <w:sz w:val="24"/>
          <w:szCs w:val="24"/>
        </w:rPr>
      </w:pPr>
      <w:r w:rsidRPr="00A972B0">
        <w:rPr>
          <w:rFonts w:ascii="Times New Roman" w:hAnsi="Times New Roman" w:cs="Times New Roman"/>
          <w:spacing w:val="-3"/>
          <w:sz w:val="24"/>
          <w:szCs w:val="24"/>
        </w:rPr>
        <w:t>Valente, N. T. Z. (2014). Qualidade da informação contábil na perspectiva da ciência da informação (Tese de Doutorado). Escola de Comunicações e Artes, Universidade de São Paulo, São Paulo.</w:t>
      </w:r>
    </w:p>
    <w:p w14:paraId="0B26F9FD" w14:textId="0193C230" w:rsidR="00E6136F" w:rsidRPr="00A972B0" w:rsidRDefault="006D1C41" w:rsidP="00333E4B">
      <w:pPr>
        <w:pStyle w:val="Standard"/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972B0">
        <w:rPr>
          <w:rFonts w:ascii="Times New Roman" w:hAnsi="Times New Roman" w:cs="Times New Roman"/>
          <w:sz w:val="24"/>
          <w:szCs w:val="24"/>
          <w:lang w:val="en-US"/>
        </w:rPr>
        <w:t xml:space="preserve">Ward, J. L. (1988). The special role of strategic planning for family businesses. </w:t>
      </w:r>
      <w:r w:rsidRPr="00A972B0">
        <w:rPr>
          <w:rFonts w:ascii="Times New Roman" w:hAnsi="Times New Roman" w:cs="Times New Roman"/>
          <w:i/>
          <w:sz w:val="24"/>
          <w:szCs w:val="24"/>
        </w:rPr>
        <w:t>Family Business Review</w:t>
      </w:r>
      <w:r w:rsidRPr="00A972B0">
        <w:rPr>
          <w:rFonts w:ascii="Times New Roman" w:hAnsi="Times New Roman" w:cs="Times New Roman"/>
          <w:sz w:val="24"/>
          <w:szCs w:val="24"/>
        </w:rPr>
        <w:t>, 1(2), 105-117.</w:t>
      </w:r>
    </w:p>
    <w:sectPr w:rsidR="00E6136F" w:rsidRPr="00A972B0" w:rsidSect="00E361F4">
      <w:headerReference w:type="default" r:id="rId15"/>
      <w:footerReference w:type="default" r:id="rId16"/>
      <w:pgSz w:w="11900" w:h="16840"/>
      <w:pgMar w:top="1701" w:right="1134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EC619" w14:textId="77777777" w:rsidR="00464D18" w:rsidRDefault="00464D18" w:rsidP="008A5824">
      <w:r>
        <w:separator/>
      </w:r>
    </w:p>
  </w:endnote>
  <w:endnote w:type="continuationSeparator" w:id="0">
    <w:p w14:paraId="372508F9" w14:textId="77777777" w:rsidR="00464D18" w:rsidRDefault="00464D18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Yu Gothic"/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font407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7793544"/>
      <w:docPartObj>
        <w:docPartGallery w:val="Page Numbers (Bottom of Page)"/>
        <w:docPartUnique/>
      </w:docPartObj>
    </w:sdtPr>
    <w:sdtEndPr>
      <w:rPr>
        <w:sz w:val="16"/>
      </w:rPr>
    </w:sdtEndPr>
    <w:sdtContent>
      <w:p w14:paraId="1EB36F0D" w14:textId="5D47C3F8" w:rsidR="00C4243F" w:rsidRPr="00781463" w:rsidRDefault="00C4243F">
        <w:pPr>
          <w:pStyle w:val="Rodap"/>
          <w:jc w:val="right"/>
          <w:rPr>
            <w:sz w:val="16"/>
          </w:rPr>
        </w:pPr>
        <w:r w:rsidRPr="00781463">
          <w:rPr>
            <w:noProof/>
            <w:sz w:val="16"/>
            <w:lang w:eastAsia="pt-BR"/>
          </w:rPr>
          <w:drawing>
            <wp:anchor distT="0" distB="0" distL="114300" distR="114300" simplePos="0" relativeHeight="251661312" behindDoc="1" locked="0" layoutInCell="1" allowOverlap="1" wp14:anchorId="27C1A21A" wp14:editId="19402429">
              <wp:simplePos x="0" y="0"/>
              <wp:positionH relativeFrom="column">
                <wp:posOffset>183515</wp:posOffset>
              </wp:positionH>
              <wp:positionV relativeFrom="paragraph">
                <wp:posOffset>97127</wp:posOffset>
              </wp:positionV>
              <wp:extent cx="5558155" cy="647700"/>
              <wp:effectExtent l="0" t="0" r="4445" b="0"/>
              <wp:wrapNone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odape 8 Congresso UFSC 2018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8155" cy="64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781463">
          <w:rPr>
            <w:sz w:val="16"/>
          </w:rPr>
          <w:fldChar w:fldCharType="begin"/>
        </w:r>
        <w:r w:rsidRPr="00781463">
          <w:rPr>
            <w:sz w:val="16"/>
          </w:rPr>
          <w:instrText>PAGE   \* MERGEFORMAT</w:instrText>
        </w:r>
        <w:r w:rsidRPr="00781463">
          <w:rPr>
            <w:sz w:val="16"/>
          </w:rPr>
          <w:fldChar w:fldCharType="separate"/>
        </w:r>
        <w:r w:rsidR="0020061A">
          <w:rPr>
            <w:noProof/>
            <w:sz w:val="16"/>
          </w:rPr>
          <w:t>17</w:t>
        </w:r>
        <w:r w:rsidRPr="00781463">
          <w:rPr>
            <w:sz w:val="16"/>
          </w:rPr>
          <w:fldChar w:fldCharType="end"/>
        </w:r>
      </w:p>
    </w:sdtContent>
  </w:sdt>
  <w:p w14:paraId="1DE39BEB" w14:textId="05CB2499" w:rsidR="00F97A64" w:rsidRDefault="00F97A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44BF3" w14:textId="77777777" w:rsidR="00464D18" w:rsidRDefault="00464D18" w:rsidP="008A5824">
      <w:r>
        <w:separator/>
      </w:r>
    </w:p>
  </w:footnote>
  <w:footnote w:type="continuationSeparator" w:id="0">
    <w:p w14:paraId="2A978D81" w14:textId="77777777" w:rsidR="00464D18" w:rsidRDefault="00464D18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E78CC" w14:textId="293C39C3" w:rsidR="00F97A64" w:rsidRPr="00E361F4" w:rsidRDefault="00F97A64" w:rsidP="003A6F02">
    <w:pPr>
      <w:pStyle w:val="Cabealho"/>
      <w:spacing w:before="120" w:after="120"/>
    </w:pPr>
    <w:r>
      <w:rPr>
        <w:noProof/>
        <w:lang w:eastAsia="pt-BR"/>
      </w:rPr>
      <w:drawing>
        <wp:inline distT="0" distB="0" distL="0" distR="0" wp14:anchorId="0680C3C9" wp14:editId="2D2F0FBB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a Paula Capuano da Cruz">
    <w15:presenceInfo w15:providerId="Windows Live" w15:userId="8b8b01d1909951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24"/>
    <w:rsid w:val="00002C39"/>
    <w:rsid w:val="00002E99"/>
    <w:rsid w:val="000158F1"/>
    <w:rsid w:val="00041B9A"/>
    <w:rsid w:val="00043A20"/>
    <w:rsid w:val="00091D06"/>
    <w:rsid w:val="00096EDC"/>
    <w:rsid w:val="000B7A73"/>
    <w:rsid w:val="000C5465"/>
    <w:rsid w:val="000E0D56"/>
    <w:rsid w:val="000F3B64"/>
    <w:rsid w:val="000F766C"/>
    <w:rsid w:val="00104660"/>
    <w:rsid w:val="00104D3A"/>
    <w:rsid w:val="00104EDC"/>
    <w:rsid w:val="00124A6F"/>
    <w:rsid w:val="00140D25"/>
    <w:rsid w:val="00142DA6"/>
    <w:rsid w:val="0016220D"/>
    <w:rsid w:val="00163C08"/>
    <w:rsid w:val="001705C3"/>
    <w:rsid w:val="001706B0"/>
    <w:rsid w:val="00186970"/>
    <w:rsid w:val="0018756D"/>
    <w:rsid w:val="00194BA9"/>
    <w:rsid w:val="001A4423"/>
    <w:rsid w:val="001B7E58"/>
    <w:rsid w:val="001C328B"/>
    <w:rsid w:val="001D2A08"/>
    <w:rsid w:val="001D6568"/>
    <w:rsid w:val="001E3128"/>
    <w:rsid w:val="001F6A6D"/>
    <w:rsid w:val="0020061A"/>
    <w:rsid w:val="00210AEC"/>
    <w:rsid w:val="00253564"/>
    <w:rsid w:val="00253E93"/>
    <w:rsid w:val="00257D0B"/>
    <w:rsid w:val="00274D37"/>
    <w:rsid w:val="00275C26"/>
    <w:rsid w:val="002969EB"/>
    <w:rsid w:val="002A26F5"/>
    <w:rsid w:val="002B0015"/>
    <w:rsid w:val="002B2B78"/>
    <w:rsid w:val="002D04AA"/>
    <w:rsid w:val="002F4001"/>
    <w:rsid w:val="00307CFA"/>
    <w:rsid w:val="0033106A"/>
    <w:rsid w:val="00333E4B"/>
    <w:rsid w:val="0033658B"/>
    <w:rsid w:val="003369C2"/>
    <w:rsid w:val="00347847"/>
    <w:rsid w:val="0036377D"/>
    <w:rsid w:val="00373120"/>
    <w:rsid w:val="003738DA"/>
    <w:rsid w:val="0038579D"/>
    <w:rsid w:val="00393BE5"/>
    <w:rsid w:val="003A6F02"/>
    <w:rsid w:val="003D1FE4"/>
    <w:rsid w:val="003E2BBC"/>
    <w:rsid w:val="004020EB"/>
    <w:rsid w:val="0043622A"/>
    <w:rsid w:val="0043739A"/>
    <w:rsid w:val="00441B11"/>
    <w:rsid w:val="00464D18"/>
    <w:rsid w:val="0047185C"/>
    <w:rsid w:val="00473887"/>
    <w:rsid w:val="004840ED"/>
    <w:rsid w:val="004909FA"/>
    <w:rsid w:val="00491708"/>
    <w:rsid w:val="004B2679"/>
    <w:rsid w:val="004C5744"/>
    <w:rsid w:val="004C7D8A"/>
    <w:rsid w:val="004E0B16"/>
    <w:rsid w:val="004E5EF7"/>
    <w:rsid w:val="00527247"/>
    <w:rsid w:val="00562604"/>
    <w:rsid w:val="00567FD1"/>
    <w:rsid w:val="00582672"/>
    <w:rsid w:val="00595775"/>
    <w:rsid w:val="005971E8"/>
    <w:rsid w:val="005A45D9"/>
    <w:rsid w:val="005C5825"/>
    <w:rsid w:val="005D0165"/>
    <w:rsid w:val="005D693B"/>
    <w:rsid w:val="005D74AD"/>
    <w:rsid w:val="005F2EE3"/>
    <w:rsid w:val="005F3524"/>
    <w:rsid w:val="00600F7D"/>
    <w:rsid w:val="00611449"/>
    <w:rsid w:val="00631DCF"/>
    <w:rsid w:val="00686527"/>
    <w:rsid w:val="0069271F"/>
    <w:rsid w:val="006C7E88"/>
    <w:rsid w:val="006D1C41"/>
    <w:rsid w:val="006D2993"/>
    <w:rsid w:val="006E7280"/>
    <w:rsid w:val="0070465A"/>
    <w:rsid w:val="0072578D"/>
    <w:rsid w:val="00773269"/>
    <w:rsid w:val="00775F95"/>
    <w:rsid w:val="00777AD8"/>
    <w:rsid w:val="00781463"/>
    <w:rsid w:val="00792903"/>
    <w:rsid w:val="007B121E"/>
    <w:rsid w:val="007B4210"/>
    <w:rsid w:val="007B4C8B"/>
    <w:rsid w:val="007D24DB"/>
    <w:rsid w:val="007F1C11"/>
    <w:rsid w:val="007F1CB9"/>
    <w:rsid w:val="00800762"/>
    <w:rsid w:val="0080377E"/>
    <w:rsid w:val="00805ED6"/>
    <w:rsid w:val="00820C1A"/>
    <w:rsid w:val="00860B20"/>
    <w:rsid w:val="00881C03"/>
    <w:rsid w:val="00894071"/>
    <w:rsid w:val="008A5824"/>
    <w:rsid w:val="008C5EA2"/>
    <w:rsid w:val="008D4F05"/>
    <w:rsid w:val="008E3582"/>
    <w:rsid w:val="00913EA4"/>
    <w:rsid w:val="00916C77"/>
    <w:rsid w:val="009174C0"/>
    <w:rsid w:val="00921F8D"/>
    <w:rsid w:val="00924B37"/>
    <w:rsid w:val="0092763B"/>
    <w:rsid w:val="00936749"/>
    <w:rsid w:val="009711B6"/>
    <w:rsid w:val="00977926"/>
    <w:rsid w:val="009833D5"/>
    <w:rsid w:val="00991022"/>
    <w:rsid w:val="009B6460"/>
    <w:rsid w:val="009C3373"/>
    <w:rsid w:val="009E47DA"/>
    <w:rsid w:val="009E7FCC"/>
    <w:rsid w:val="00A00E8E"/>
    <w:rsid w:val="00A54827"/>
    <w:rsid w:val="00A67ED5"/>
    <w:rsid w:val="00A95ED1"/>
    <w:rsid w:val="00A972B0"/>
    <w:rsid w:val="00AE5CCD"/>
    <w:rsid w:val="00AF23C4"/>
    <w:rsid w:val="00AF3F37"/>
    <w:rsid w:val="00AF40FF"/>
    <w:rsid w:val="00AF4F6E"/>
    <w:rsid w:val="00AF599F"/>
    <w:rsid w:val="00B25BE8"/>
    <w:rsid w:val="00B32719"/>
    <w:rsid w:val="00B32DF7"/>
    <w:rsid w:val="00B41AC1"/>
    <w:rsid w:val="00B41CAF"/>
    <w:rsid w:val="00B50DD2"/>
    <w:rsid w:val="00B5300E"/>
    <w:rsid w:val="00B53570"/>
    <w:rsid w:val="00B659F2"/>
    <w:rsid w:val="00B71B4D"/>
    <w:rsid w:val="00B74E45"/>
    <w:rsid w:val="00BB371C"/>
    <w:rsid w:val="00BD0F13"/>
    <w:rsid w:val="00BE794E"/>
    <w:rsid w:val="00C30374"/>
    <w:rsid w:val="00C4243F"/>
    <w:rsid w:val="00C44BE7"/>
    <w:rsid w:val="00C47AFB"/>
    <w:rsid w:val="00C55B07"/>
    <w:rsid w:val="00C80B1A"/>
    <w:rsid w:val="00C93193"/>
    <w:rsid w:val="00CA2367"/>
    <w:rsid w:val="00CA25AA"/>
    <w:rsid w:val="00CE5296"/>
    <w:rsid w:val="00CE7976"/>
    <w:rsid w:val="00CF2060"/>
    <w:rsid w:val="00CF645C"/>
    <w:rsid w:val="00D05B6E"/>
    <w:rsid w:val="00D15EA6"/>
    <w:rsid w:val="00D55D19"/>
    <w:rsid w:val="00D56875"/>
    <w:rsid w:val="00D65C66"/>
    <w:rsid w:val="00D77D4A"/>
    <w:rsid w:val="00DA712D"/>
    <w:rsid w:val="00DB5C91"/>
    <w:rsid w:val="00DC05BE"/>
    <w:rsid w:val="00DC1D11"/>
    <w:rsid w:val="00DF0CD7"/>
    <w:rsid w:val="00E01312"/>
    <w:rsid w:val="00E361F4"/>
    <w:rsid w:val="00E47CB4"/>
    <w:rsid w:val="00E55516"/>
    <w:rsid w:val="00E6136F"/>
    <w:rsid w:val="00E86B25"/>
    <w:rsid w:val="00EE3942"/>
    <w:rsid w:val="00EF43FD"/>
    <w:rsid w:val="00F24F9B"/>
    <w:rsid w:val="00F276E2"/>
    <w:rsid w:val="00F51CDD"/>
    <w:rsid w:val="00F66C89"/>
    <w:rsid w:val="00F90BFD"/>
    <w:rsid w:val="00F92B0B"/>
    <w:rsid w:val="00F97A64"/>
    <w:rsid w:val="00FB6E15"/>
    <w:rsid w:val="00FC7C67"/>
    <w:rsid w:val="00FE13E3"/>
    <w:rsid w:val="00FE1CF2"/>
    <w:rsid w:val="00FF07B7"/>
    <w:rsid w:val="00FF4D0B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4D7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rsid w:val="006D1C41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6D1C41"/>
    <w:pPr>
      <w:spacing w:after="140" w:line="288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6D1C41"/>
    <w:rPr>
      <w:rFonts w:ascii="Liberation Serif" w:eastAsia="Noto Sans CJK SC Regular" w:hAnsi="Liberation Serif" w:cs="FreeSans"/>
      <w:kern w:val="1"/>
      <w:lang w:eastAsia="zh-CN" w:bidi="hi-IN"/>
    </w:rPr>
  </w:style>
  <w:style w:type="paragraph" w:customStyle="1" w:styleId="Standard">
    <w:name w:val="Standard"/>
    <w:rsid w:val="006D1C41"/>
    <w:pPr>
      <w:suppressAutoHyphens/>
      <w:ind w:firstLine="709"/>
      <w:jc w:val="both"/>
      <w:textAlignment w:val="baseline"/>
    </w:pPr>
    <w:rPr>
      <w:rFonts w:ascii="Calibri" w:eastAsia="Calibri" w:hAnsi="Calibri" w:cs="DejaVu Sans"/>
      <w:kern w:val="1"/>
      <w:sz w:val="22"/>
      <w:szCs w:val="22"/>
    </w:rPr>
  </w:style>
  <w:style w:type="paragraph" w:customStyle="1" w:styleId="Default">
    <w:name w:val="Default"/>
    <w:rsid w:val="006D1C41"/>
    <w:pPr>
      <w:suppressAutoHyphens/>
    </w:pPr>
    <w:rPr>
      <w:rFonts w:ascii="Times New Roman" w:eastAsia="Calibri" w:hAnsi="Times New Roman" w:cs="Times New Roman"/>
      <w:color w:val="000000"/>
      <w:kern w:val="1"/>
    </w:rPr>
  </w:style>
  <w:style w:type="character" w:styleId="Refdecomentrio">
    <w:name w:val="annotation reference"/>
    <w:uiPriority w:val="99"/>
    <w:semiHidden/>
    <w:unhideWhenUsed/>
    <w:rsid w:val="006D1C41"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rsid w:val="006D1C41"/>
    <w:pPr>
      <w:spacing w:after="200" w:line="276" w:lineRule="auto"/>
    </w:pPr>
    <w:rPr>
      <w:rFonts w:ascii="Calibri" w:eastAsia="Calibri" w:hAnsi="Calibri" w:cs="font407"/>
      <w:kern w:val="1"/>
      <w:lang w:eastAsia="en-US"/>
    </w:rPr>
  </w:style>
  <w:style w:type="character" w:customStyle="1" w:styleId="TextodecomentrioChar">
    <w:name w:val="Texto de comentário Char"/>
    <w:basedOn w:val="Fontepargpadro"/>
    <w:uiPriority w:val="99"/>
    <w:semiHidden/>
    <w:rsid w:val="006D1C4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1">
    <w:name w:val="Texto de comentário Char1"/>
    <w:link w:val="Textodecomentrio"/>
    <w:uiPriority w:val="99"/>
    <w:semiHidden/>
    <w:rsid w:val="006D1C41"/>
    <w:rPr>
      <w:rFonts w:ascii="Calibri" w:eastAsia="Calibri" w:hAnsi="Calibri" w:cs="font407"/>
      <w:kern w:val="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2060"/>
    <w:pPr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eastAsia="pt-BR"/>
    </w:rPr>
  </w:style>
  <w:style w:type="character" w:customStyle="1" w:styleId="AssuntodocomentrioChar">
    <w:name w:val="Assunto do comentário Char"/>
    <w:basedOn w:val="TextodecomentrioChar1"/>
    <w:link w:val="Assuntodocomentrio"/>
    <w:uiPriority w:val="99"/>
    <w:semiHidden/>
    <w:rsid w:val="00CF2060"/>
    <w:rPr>
      <w:rFonts w:ascii="Times New Roman" w:eastAsia="Times New Roman" w:hAnsi="Times New Roman" w:cs="Times New Roman"/>
      <w:b/>
      <w:bCs/>
      <w:kern w:val="1"/>
      <w:sz w:val="20"/>
      <w:szCs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F3F37"/>
    <w:rPr>
      <w:color w:val="808080"/>
      <w:shd w:val="clear" w:color="auto" w:fill="E6E6E6"/>
    </w:rPr>
  </w:style>
  <w:style w:type="paragraph" w:styleId="Reviso">
    <w:name w:val="Revision"/>
    <w:hidden/>
    <w:uiPriority w:val="99"/>
    <w:semiHidden/>
    <w:rsid w:val="0092763B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rsid w:val="006D1C41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6D1C41"/>
    <w:pPr>
      <w:spacing w:after="140" w:line="288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6D1C41"/>
    <w:rPr>
      <w:rFonts w:ascii="Liberation Serif" w:eastAsia="Noto Sans CJK SC Regular" w:hAnsi="Liberation Serif" w:cs="FreeSans"/>
      <w:kern w:val="1"/>
      <w:lang w:eastAsia="zh-CN" w:bidi="hi-IN"/>
    </w:rPr>
  </w:style>
  <w:style w:type="paragraph" w:customStyle="1" w:styleId="Standard">
    <w:name w:val="Standard"/>
    <w:rsid w:val="006D1C41"/>
    <w:pPr>
      <w:suppressAutoHyphens/>
      <w:ind w:firstLine="709"/>
      <w:jc w:val="both"/>
      <w:textAlignment w:val="baseline"/>
    </w:pPr>
    <w:rPr>
      <w:rFonts w:ascii="Calibri" w:eastAsia="Calibri" w:hAnsi="Calibri" w:cs="DejaVu Sans"/>
      <w:kern w:val="1"/>
      <w:sz w:val="22"/>
      <w:szCs w:val="22"/>
    </w:rPr>
  </w:style>
  <w:style w:type="paragraph" w:customStyle="1" w:styleId="Default">
    <w:name w:val="Default"/>
    <w:rsid w:val="006D1C41"/>
    <w:pPr>
      <w:suppressAutoHyphens/>
    </w:pPr>
    <w:rPr>
      <w:rFonts w:ascii="Times New Roman" w:eastAsia="Calibri" w:hAnsi="Times New Roman" w:cs="Times New Roman"/>
      <w:color w:val="000000"/>
      <w:kern w:val="1"/>
    </w:rPr>
  </w:style>
  <w:style w:type="character" w:styleId="Refdecomentrio">
    <w:name w:val="annotation reference"/>
    <w:uiPriority w:val="99"/>
    <w:semiHidden/>
    <w:unhideWhenUsed/>
    <w:rsid w:val="006D1C41"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rsid w:val="006D1C41"/>
    <w:pPr>
      <w:spacing w:after="200" w:line="276" w:lineRule="auto"/>
    </w:pPr>
    <w:rPr>
      <w:rFonts w:ascii="Calibri" w:eastAsia="Calibri" w:hAnsi="Calibri" w:cs="font407"/>
      <w:kern w:val="1"/>
      <w:lang w:eastAsia="en-US"/>
    </w:rPr>
  </w:style>
  <w:style w:type="character" w:customStyle="1" w:styleId="TextodecomentrioChar">
    <w:name w:val="Texto de comentário Char"/>
    <w:basedOn w:val="Fontepargpadro"/>
    <w:uiPriority w:val="99"/>
    <w:semiHidden/>
    <w:rsid w:val="006D1C4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1">
    <w:name w:val="Texto de comentário Char1"/>
    <w:link w:val="Textodecomentrio"/>
    <w:uiPriority w:val="99"/>
    <w:semiHidden/>
    <w:rsid w:val="006D1C41"/>
    <w:rPr>
      <w:rFonts w:ascii="Calibri" w:eastAsia="Calibri" w:hAnsi="Calibri" w:cs="font407"/>
      <w:kern w:val="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2060"/>
    <w:pPr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eastAsia="pt-BR"/>
    </w:rPr>
  </w:style>
  <w:style w:type="character" w:customStyle="1" w:styleId="AssuntodocomentrioChar">
    <w:name w:val="Assunto do comentário Char"/>
    <w:basedOn w:val="TextodecomentrioChar1"/>
    <w:link w:val="Assuntodocomentrio"/>
    <w:uiPriority w:val="99"/>
    <w:semiHidden/>
    <w:rsid w:val="00CF2060"/>
    <w:rPr>
      <w:rFonts w:ascii="Times New Roman" w:eastAsia="Times New Roman" w:hAnsi="Times New Roman" w:cs="Times New Roman"/>
      <w:b/>
      <w:bCs/>
      <w:kern w:val="1"/>
      <w:sz w:val="20"/>
      <w:szCs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F3F37"/>
    <w:rPr>
      <w:color w:val="808080"/>
      <w:shd w:val="clear" w:color="auto" w:fill="E6E6E6"/>
    </w:rPr>
  </w:style>
  <w:style w:type="paragraph" w:styleId="Reviso">
    <w:name w:val="Revision"/>
    <w:hidden/>
    <w:uiPriority w:val="99"/>
    <w:semiHidden/>
    <w:rsid w:val="0092763B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eouve.com.b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crs.uol.com.b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auchazh.clicrbs.com.br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mazzardoecoelho.com.br/plano-de-recuperacao-judicial-guerra-s-implementos-rodovia%20rios-e-tolstoi-investimentos-s/" TargetMode="Externa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B1F94-3FAA-4772-8EE6-8AA85FFD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9719</Words>
  <Characters>52485</Characters>
  <Application>Microsoft Office Word</Application>
  <DocSecurity>0</DocSecurity>
  <Lines>437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Michele R. Buchweitz</cp:lastModifiedBy>
  <cp:revision>5</cp:revision>
  <cp:lastPrinted>2018-05-03T22:24:00Z</cp:lastPrinted>
  <dcterms:created xsi:type="dcterms:W3CDTF">2018-05-04T20:19:00Z</dcterms:created>
  <dcterms:modified xsi:type="dcterms:W3CDTF">2018-05-04T20:22:00Z</dcterms:modified>
</cp:coreProperties>
</file>