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Default="0036377D" w:rsidP="0036377D">
      <w:pPr>
        <w:jc w:val="center"/>
        <w:rPr>
          <w:b/>
          <w:sz w:val="24"/>
        </w:rPr>
      </w:pPr>
      <w:bookmarkStart w:id="0" w:name="_GoBack"/>
      <w:bookmarkEnd w:id="0"/>
    </w:p>
    <w:p w:rsidR="00714B02" w:rsidRPr="00714B02" w:rsidRDefault="00714B02" w:rsidP="00714B02">
      <w:pPr>
        <w:jc w:val="center"/>
        <w:rPr>
          <w:rFonts w:eastAsia="Calibri"/>
          <w:b/>
          <w:bCs/>
          <w:sz w:val="24"/>
          <w:szCs w:val="24"/>
        </w:rPr>
      </w:pPr>
      <w:r>
        <w:rPr>
          <w:rFonts w:eastAsia="Calibri"/>
          <w:b/>
          <w:bCs/>
          <w:sz w:val="24"/>
          <w:szCs w:val="24"/>
        </w:rPr>
        <w:t>G</w:t>
      </w:r>
      <w:r w:rsidRPr="00714B02">
        <w:rPr>
          <w:rFonts w:eastAsia="Calibri"/>
          <w:b/>
          <w:bCs/>
          <w:sz w:val="24"/>
          <w:szCs w:val="24"/>
        </w:rPr>
        <w:t>astos com deslocamento de servidores públicos</w:t>
      </w:r>
      <w:r>
        <w:rPr>
          <w:rFonts w:eastAsia="Calibri"/>
          <w:b/>
          <w:bCs/>
          <w:sz w:val="24"/>
          <w:szCs w:val="24"/>
        </w:rPr>
        <w:t xml:space="preserve"> municipais</w:t>
      </w:r>
    </w:p>
    <w:p w:rsidR="0036377D" w:rsidRDefault="0036377D" w:rsidP="0036377D">
      <w:pPr>
        <w:jc w:val="center"/>
        <w:rPr>
          <w:color w:val="999999"/>
        </w:rPr>
      </w:pPr>
    </w:p>
    <w:p w:rsidR="00782FB3" w:rsidRDefault="00782FB3" w:rsidP="00782FB3">
      <w:pPr>
        <w:jc w:val="right"/>
        <w:rPr>
          <w:b/>
          <w:sz w:val="24"/>
          <w:szCs w:val="24"/>
        </w:rPr>
      </w:pPr>
      <w:r w:rsidRPr="00FE04F4">
        <w:rPr>
          <w:b/>
          <w:sz w:val="24"/>
          <w:szCs w:val="24"/>
        </w:rPr>
        <w:t xml:space="preserve">Amanda </w:t>
      </w:r>
      <w:r>
        <w:rPr>
          <w:b/>
          <w:sz w:val="24"/>
          <w:szCs w:val="24"/>
        </w:rPr>
        <w:t>B</w:t>
      </w:r>
      <w:r w:rsidRPr="00FE04F4">
        <w:rPr>
          <w:b/>
          <w:sz w:val="24"/>
          <w:szCs w:val="24"/>
        </w:rPr>
        <w:t xml:space="preserve">eatriz </w:t>
      </w:r>
      <w:r>
        <w:rPr>
          <w:b/>
          <w:sz w:val="24"/>
          <w:szCs w:val="24"/>
        </w:rPr>
        <w:t>N</w:t>
      </w:r>
      <w:r w:rsidRPr="00FE04F4">
        <w:rPr>
          <w:b/>
          <w:sz w:val="24"/>
          <w:szCs w:val="24"/>
        </w:rPr>
        <w:t>asatto Corrêa</w:t>
      </w:r>
    </w:p>
    <w:p w:rsidR="00782FB3" w:rsidRDefault="00782FB3" w:rsidP="00782FB3">
      <w:pPr>
        <w:jc w:val="right"/>
        <w:rPr>
          <w:b/>
          <w:i/>
          <w:sz w:val="24"/>
          <w:szCs w:val="24"/>
        </w:rPr>
      </w:pPr>
      <w:r>
        <w:rPr>
          <w:b/>
          <w:sz w:val="24"/>
          <w:szCs w:val="24"/>
        </w:rPr>
        <w:t>Universidade do Estado de Santa Catarina (UDESC)</w:t>
      </w:r>
    </w:p>
    <w:p w:rsidR="00782FB3" w:rsidRDefault="00782FB3" w:rsidP="00782FB3">
      <w:pPr>
        <w:jc w:val="right"/>
        <w:rPr>
          <w:b/>
          <w:sz w:val="24"/>
          <w:szCs w:val="24"/>
        </w:rPr>
      </w:pPr>
      <w:r>
        <w:rPr>
          <w:b/>
          <w:i/>
          <w:sz w:val="24"/>
          <w:szCs w:val="24"/>
        </w:rPr>
        <w:t xml:space="preserve">E-mail: </w:t>
      </w:r>
      <w:r w:rsidRPr="00FE04F4">
        <w:rPr>
          <w:b/>
          <w:i/>
          <w:sz w:val="24"/>
          <w:szCs w:val="24"/>
        </w:rPr>
        <w:t>amandanasatto10@hotmail.com</w:t>
      </w:r>
    </w:p>
    <w:p w:rsidR="00782FB3" w:rsidRDefault="00782FB3" w:rsidP="00782FB3">
      <w:pPr>
        <w:jc w:val="right"/>
        <w:rPr>
          <w:b/>
          <w:sz w:val="24"/>
          <w:szCs w:val="24"/>
        </w:rPr>
      </w:pPr>
    </w:p>
    <w:p w:rsidR="00782FB3" w:rsidRDefault="00782FB3" w:rsidP="00782FB3">
      <w:pPr>
        <w:widowControl w:val="0"/>
        <w:jc w:val="right"/>
        <w:rPr>
          <w:b/>
          <w:sz w:val="24"/>
          <w:szCs w:val="24"/>
        </w:rPr>
      </w:pPr>
      <w:r>
        <w:rPr>
          <w:b/>
          <w:sz w:val="24"/>
          <w:szCs w:val="24"/>
        </w:rPr>
        <w:t>Maico Montibeller</w:t>
      </w:r>
    </w:p>
    <w:p w:rsidR="00782FB3" w:rsidRDefault="00782FB3" w:rsidP="00782FB3">
      <w:pPr>
        <w:jc w:val="right"/>
        <w:rPr>
          <w:b/>
          <w:i/>
          <w:sz w:val="24"/>
          <w:szCs w:val="24"/>
        </w:rPr>
      </w:pPr>
      <w:r>
        <w:rPr>
          <w:b/>
          <w:sz w:val="24"/>
          <w:szCs w:val="24"/>
        </w:rPr>
        <w:t>Universidade do Estado de Santa Catarina (UDESC)</w:t>
      </w:r>
    </w:p>
    <w:p w:rsidR="00782FB3" w:rsidRDefault="00782FB3" w:rsidP="00782FB3">
      <w:pPr>
        <w:widowControl w:val="0"/>
        <w:jc w:val="right"/>
        <w:rPr>
          <w:b/>
          <w:sz w:val="24"/>
          <w:szCs w:val="24"/>
        </w:rPr>
      </w:pPr>
      <w:r>
        <w:rPr>
          <w:b/>
          <w:i/>
          <w:sz w:val="24"/>
          <w:szCs w:val="24"/>
        </w:rPr>
        <w:t>E-mail: maicomonti@hotmail.com</w:t>
      </w:r>
      <w:r>
        <w:rPr>
          <w:b/>
          <w:sz w:val="24"/>
          <w:szCs w:val="24"/>
        </w:rPr>
        <w:t xml:space="preserve"> </w:t>
      </w:r>
    </w:p>
    <w:p w:rsidR="00782FB3" w:rsidRDefault="00782FB3" w:rsidP="00782FB3">
      <w:pPr>
        <w:widowControl w:val="0"/>
        <w:jc w:val="right"/>
        <w:rPr>
          <w:b/>
          <w:sz w:val="24"/>
          <w:szCs w:val="24"/>
        </w:rPr>
      </w:pPr>
    </w:p>
    <w:p w:rsidR="00782FB3" w:rsidRDefault="00782FB3" w:rsidP="00782FB3">
      <w:pPr>
        <w:widowControl w:val="0"/>
        <w:jc w:val="right"/>
        <w:rPr>
          <w:b/>
          <w:sz w:val="24"/>
          <w:szCs w:val="24"/>
        </w:rPr>
      </w:pPr>
      <w:r>
        <w:rPr>
          <w:b/>
          <w:sz w:val="24"/>
          <w:szCs w:val="24"/>
        </w:rPr>
        <w:t>Valkyrie Vieira Fabre</w:t>
      </w:r>
    </w:p>
    <w:p w:rsidR="00782FB3" w:rsidRDefault="00782FB3" w:rsidP="00782FB3">
      <w:pPr>
        <w:jc w:val="right"/>
        <w:rPr>
          <w:b/>
          <w:i/>
          <w:sz w:val="24"/>
          <w:szCs w:val="24"/>
        </w:rPr>
      </w:pPr>
      <w:r>
        <w:rPr>
          <w:b/>
          <w:sz w:val="24"/>
          <w:szCs w:val="24"/>
        </w:rPr>
        <w:t>Universidade do Estado de Santa Catarina (UDESC)</w:t>
      </w:r>
    </w:p>
    <w:p w:rsidR="00782FB3" w:rsidRDefault="00782FB3" w:rsidP="00782FB3">
      <w:pPr>
        <w:widowControl w:val="0"/>
        <w:jc w:val="right"/>
        <w:rPr>
          <w:b/>
          <w:i/>
          <w:sz w:val="24"/>
          <w:szCs w:val="24"/>
        </w:rPr>
      </w:pPr>
      <w:r>
        <w:rPr>
          <w:b/>
          <w:i/>
          <w:sz w:val="24"/>
          <w:szCs w:val="24"/>
        </w:rPr>
        <w:t>E-mail: valkyrie.fabre@udesc.br</w:t>
      </w:r>
    </w:p>
    <w:p w:rsidR="00782FB3" w:rsidRDefault="00782FB3" w:rsidP="00782FB3">
      <w:pPr>
        <w:widowControl w:val="0"/>
        <w:jc w:val="right"/>
        <w:rPr>
          <w:b/>
          <w:i/>
          <w:sz w:val="24"/>
          <w:szCs w:val="24"/>
        </w:rPr>
      </w:pPr>
    </w:p>
    <w:p w:rsidR="00782FB3" w:rsidRDefault="00782FB3" w:rsidP="00782FB3">
      <w:pPr>
        <w:widowControl w:val="0"/>
        <w:jc w:val="right"/>
        <w:rPr>
          <w:b/>
          <w:sz w:val="24"/>
          <w:szCs w:val="24"/>
        </w:rPr>
      </w:pPr>
      <w:r>
        <w:rPr>
          <w:b/>
          <w:sz w:val="24"/>
          <w:szCs w:val="24"/>
        </w:rPr>
        <w:t xml:space="preserve">Bianca Borghezan Soares </w:t>
      </w:r>
    </w:p>
    <w:p w:rsidR="00782FB3" w:rsidRPr="00E67E4E" w:rsidRDefault="00782FB3" w:rsidP="00782FB3">
      <w:pPr>
        <w:jc w:val="right"/>
        <w:rPr>
          <w:b/>
          <w:i/>
          <w:sz w:val="24"/>
          <w:szCs w:val="24"/>
        </w:rPr>
      </w:pPr>
      <w:r>
        <w:rPr>
          <w:b/>
          <w:sz w:val="24"/>
          <w:szCs w:val="24"/>
        </w:rPr>
        <w:t>Universidade do Estado de Santa Catarina (UDESC)</w:t>
      </w:r>
    </w:p>
    <w:p w:rsidR="00782FB3" w:rsidRDefault="00782FB3" w:rsidP="00782FB3">
      <w:pPr>
        <w:jc w:val="right"/>
        <w:rPr>
          <w:b/>
          <w:i/>
          <w:sz w:val="24"/>
          <w:szCs w:val="24"/>
          <w:shd w:val="clear" w:color="auto" w:fill="FFFFFF"/>
        </w:rPr>
      </w:pPr>
      <w:r w:rsidRPr="00E67E4E">
        <w:rPr>
          <w:b/>
          <w:i/>
          <w:sz w:val="24"/>
          <w:szCs w:val="24"/>
        </w:rPr>
        <w:t xml:space="preserve">E-mail: </w:t>
      </w:r>
      <w:r w:rsidRPr="00E67E4E">
        <w:rPr>
          <w:b/>
          <w:i/>
          <w:sz w:val="24"/>
          <w:szCs w:val="24"/>
          <w:shd w:val="clear" w:color="auto" w:fill="FFFFFF"/>
        </w:rPr>
        <w:t>bianca_borghezan@hotmail.com</w:t>
      </w:r>
    </w:p>
    <w:p w:rsidR="00782FB3" w:rsidRDefault="00782FB3" w:rsidP="00782FB3">
      <w:pPr>
        <w:jc w:val="center"/>
        <w:rPr>
          <w:color w:val="999999"/>
        </w:rPr>
      </w:pPr>
    </w:p>
    <w:p w:rsidR="00C04F45" w:rsidRDefault="0036377D" w:rsidP="00067126">
      <w:pPr>
        <w:widowControl w:val="0"/>
        <w:jc w:val="both"/>
        <w:rPr>
          <w:b/>
          <w:sz w:val="24"/>
          <w:szCs w:val="24"/>
        </w:rPr>
      </w:pPr>
      <w:r>
        <w:rPr>
          <w:b/>
          <w:sz w:val="24"/>
          <w:szCs w:val="24"/>
        </w:rPr>
        <w:t xml:space="preserve">Resumo </w:t>
      </w:r>
    </w:p>
    <w:p w:rsidR="00E67E4E" w:rsidRPr="00392CEF" w:rsidRDefault="00E67E4E" w:rsidP="00E67E4E">
      <w:pPr>
        <w:jc w:val="both"/>
        <w:rPr>
          <w:sz w:val="24"/>
          <w:szCs w:val="24"/>
        </w:rPr>
      </w:pPr>
      <w:r w:rsidRPr="00392CEF">
        <w:rPr>
          <w:sz w:val="24"/>
          <w:szCs w:val="24"/>
        </w:rPr>
        <w:t>Os municípios têm recursos cada vez mais escassos e obrigações cada vez maiores. Em se tratando de despesa com Diárias</w:t>
      </w:r>
      <w:r>
        <w:rPr>
          <w:sz w:val="24"/>
          <w:szCs w:val="24"/>
        </w:rPr>
        <w:t xml:space="preserve"> </w:t>
      </w:r>
      <w:r w:rsidRPr="00392CEF">
        <w:rPr>
          <w:sz w:val="24"/>
          <w:szCs w:val="24"/>
        </w:rPr>
        <w:t xml:space="preserve">e Passagens, quando o servidor público </w:t>
      </w:r>
      <w:r>
        <w:rPr>
          <w:sz w:val="24"/>
          <w:szCs w:val="24"/>
        </w:rPr>
        <w:t xml:space="preserve">viaja </w:t>
      </w:r>
      <w:r w:rsidRPr="00392CEF">
        <w:rPr>
          <w:sz w:val="24"/>
          <w:szCs w:val="24"/>
        </w:rPr>
        <w:t xml:space="preserve">a serviço, </w:t>
      </w:r>
      <w:r>
        <w:rPr>
          <w:sz w:val="24"/>
          <w:szCs w:val="24"/>
        </w:rPr>
        <w:t>a norma brasileira obriga</w:t>
      </w:r>
      <w:r w:rsidRPr="00392CEF">
        <w:rPr>
          <w:sz w:val="24"/>
          <w:szCs w:val="24"/>
        </w:rPr>
        <w:t xml:space="preserve"> o pagamento do transporte, hospedagem e alimentação</w:t>
      </w:r>
      <w:r>
        <w:rPr>
          <w:sz w:val="24"/>
          <w:szCs w:val="24"/>
        </w:rPr>
        <w:t xml:space="preserve">, o que gera a </w:t>
      </w:r>
      <w:r w:rsidRPr="00392CEF">
        <w:rPr>
          <w:sz w:val="24"/>
          <w:szCs w:val="24"/>
        </w:rPr>
        <w:t>necessidade d</w:t>
      </w:r>
      <w:r>
        <w:rPr>
          <w:sz w:val="24"/>
          <w:szCs w:val="24"/>
        </w:rPr>
        <w:t>e</w:t>
      </w:r>
      <w:r w:rsidRPr="00392CEF">
        <w:rPr>
          <w:sz w:val="24"/>
          <w:szCs w:val="24"/>
        </w:rPr>
        <w:t xml:space="preserve"> gasto público. </w:t>
      </w:r>
      <w:r>
        <w:rPr>
          <w:sz w:val="24"/>
          <w:szCs w:val="24"/>
        </w:rPr>
        <w:t xml:space="preserve">O objetivo dessa </w:t>
      </w:r>
      <w:r w:rsidRPr="00392CEF">
        <w:rPr>
          <w:sz w:val="24"/>
          <w:szCs w:val="24"/>
        </w:rPr>
        <w:t xml:space="preserve">pesquisa </w:t>
      </w:r>
      <w:r>
        <w:rPr>
          <w:sz w:val="24"/>
          <w:szCs w:val="24"/>
        </w:rPr>
        <w:t>é</w:t>
      </w:r>
      <w:r w:rsidRPr="00392CEF">
        <w:rPr>
          <w:sz w:val="24"/>
          <w:szCs w:val="24"/>
        </w:rPr>
        <w:t xml:space="preserve"> analisar o gasto </w:t>
      </w:r>
      <w:r>
        <w:rPr>
          <w:sz w:val="24"/>
          <w:szCs w:val="24"/>
        </w:rPr>
        <w:t xml:space="preserve">público </w:t>
      </w:r>
      <w:r w:rsidRPr="00392CEF">
        <w:rPr>
          <w:sz w:val="24"/>
          <w:szCs w:val="24"/>
        </w:rPr>
        <w:t>com deslocamento</w:t>
      </w:r>
      <w:r>
        <w:rPr>
          <w:sz w:val="24"/>
          <w:szCs w:val="24"/>
        </w:rPr>
        <w:t xml:space="preserve"> de servidores </w:t>
      </w:r>
      <w:r w:rsidRPr="00392CEF">
        <w:rPr>
          <w:sz w:val="24"/>
          <w:szCs w:val="24"/>
        </w:rPr>
        <w:t xml:space="preserve">a serviço, </w:t>
      </w:r>
      <w:r>
        <w:rPr>
          <w:sz w:val="24"/>
          <w:szCs w:val="24"/>
        </w:rPr>
        <w:t xml:space="preserve">em 107 municípios com menos de </w:t>
      </w:r>
      <w:r w:rsidRPr="00392CEF">
        <w:rPr>
          <w:sz w:val="24"/>
          <w:szCs w:val="24"/>
        </w:rPr>
        <w:t>5.000 habitantes, no período de 2011 a 2016.</w:t>
      </w:r>
      <w:r>
        <w:rPr>
          <w:sz w:val="24"/>
          <w:szCs w:val="24"/>
        </w:rPr>
        <w:t xml:space="preserve"> </w:t>
      </w:r>
      <w:r w:rsidRPr="00392CEF">
        <w:rPr>
          <w:sz w:val="24"/>
          <w:szCs w:val="24"/>
        </w:rPr>
        <w:t>Trata-se de uma pesquisa quantitativa, exploratória, documental e participativa.</w:t>
      </w:r>
      <w:r>
        <w:rPr>
          <w:sz w:val="24"/>
          <w:szCs w:val="24"/>
        </w:rPr>
        <w:t xml:space="preserve"> </w:t>
      </w:r>
      <w:r w:rsidRPr="00392CEF">
        <w:rPr>
          <w:sz w:val="24"/>
          <w:szCs w:val="24"/>
        </w:rPr>
        <w:t xml:space="preserve">Alguns recentes escândalos envolvendo gastos irregulares com diárias e passagens, </w:t>
      </w:r>
      <w:r>
        <w:rPr>
          <w:sz w:val="24"/>
          <w:szCs w:val="24"/>
        </w:rPr>
        <w:t xml:space="preserve">justificam a necessidade da pesquisa e </w:t>
      </w:r>
      <w:r w:rsidRPr="00392CEF">
        <w:rPr>
          <w:sz w:val="24"/>
          <w:szCs w:val="24"/>
        </w:rPr>
        <w:t>contribu</w:t>
      </w:r>
      <w:r>
        <w:rPr>
          <w:sz w:val="24"/>
          <w:szCs w:val="24"/>
        </w:rPr>
        <w:t>em</w:t>
      </w:r>
      <w:r w:rsidRPr="00392CEF">
        <w:rPr>
          <w:sz w:val="24"/>
          <w:szCs w:val="24"/>
        </w:rPr>
        <w:t xml:space="preserve"> para a análise dos resultados. Constatou-se uma grande variação no volume de gastos dos municípios. No geral, foram valores elevados para municípios tão pequenos,</w:t>
      </w:r>
      <w:r>
        <w:rPr>
          <w:sz w:val="24"/>
          <w:szCs w:val="24"/>
        </w:rPr>
        <w:t xml:space="preserve"> </w:t>
      </w:r>
      <w:r w:rsidRPr="00392CEF">
        <w:rPr>
          <w:sz w:val="24"/>
          <w:szCs w:val="24"/>
        </w:rPr>
        <w:t>alguns gastaram mais de R$ 1.200.000,00</w:t>
      </w:r>
      <w:r>
        <w:rPr>
          <w:sz w:val="24"/>
          <w:szCs w:val="24"/>
        </w:rPr>
        <w:t xml:space="preserve"> </w:t>
      </w:r>
      <w:r w:rsidRPr="00392CEF">
        <w:rPr>
          <w:sz w:val="24"/>
          <w:szCs w:val="24"/>
        </w:rPr>
        <w:t>no período. Não foi identificada correlação entre estes gastos e o valor total de despesas</w:t>
      </w:r>
      <w:r>
        <w:rPr>
          <w:sz w:val="24"/>
          <w:szCs w:val="24"/>
        </w:rPr>
        <w:t xml:space="preserve"> ou das receitas, porém, em alguns municípios esses gastos comprometeram mais de 50% da receita tributária do município</w:t>
      </w:r>
      <w:r w:rsidRPr="00392CEF">
        <w:rPr>
          <w:sz w:val="24"/>
          <w:szCs w:val="24"/>
        </w:rPr>
        <w:t>. A variável distância da capital, parece ser a única que de alguma maneira interfere na média de gastos com deslocamento a serviço. A conclusão foi de que não existe um controle financeiro para es</w:t>
      </w:r>
      <w:r>
        <w:rPr>
          <w:sz w:val="24"/>
          <w:szCs w:val="24"/>
        </w:rPr>
        <w:t>s</w:t>
      </w:r>
      <w:r w:rsidRPr="00392CEF">
        <w:rPr>
          <w:sz w:val="24"/>
          <w:szCs w:val="24"/>
        </w:rPr>
        <w:t>es gastos, que são solicitados pelo beneficiário e autorizados pelo gestor</w:t>
      </w:r>
      <w:r>
        <w:rPr>
          <w:sz w:val="24"/>
          <w:szCs w:val="24"/>
        </w:rPr>
        <w:t>, sem limites normativos.</w:t>
      </w:r>
    </w:p>
    <w:p w:rsidR="0036377D" w:rsidRDefault="0036377D" w:rsidP="00067126">
      <w:pPr>
        <w:widowControl w:val="0"/>
        <w:rPr>
          <w:b/>
          <w:sz w:val="24"/>
          <w:szCs w:val="24"/>
        </w:rPr>
      </w:pPr>
    </w:p>
    <w:p w:rsidR="00E67E4E" w:rsidRPr="00392CEF" w:rsidRDefault="0036377D" w:rsidP="00E67E4E">
      <w:pPr>
        <w:rPr>
          <w:sz w:val="24"/>
          <w:szCs w:val="24"/>
        </w:rPr>
      </w:pPr>
      <w:r>
        <w:rPr>
          <w:b/>
          <w:sz w:val="24"/>
          <w:szCs w:val="24"/>
        </w:rPr>
        <w:t xml:space="preserve">Palavras-chave: </w:t>
      </w:r>
      <w:r w:rsidR="00E67E4E">
        <w:rPr>
          <w:sz w:val="24"/>
          <w:szCs w:val="24"/>
        </w:rPr>
        <w:t xml:space="preserve">Gastos públicos; </w:t>
      </w:r>
      <w:r w:rsidR="00E67E4E" w:rsidRPr="00392CEF">
        <w:rPr>
          <w:sz w:val="24"/>
          <w:szCs w:val="24"/>
        </w:rPr>
        <w:t>Transparência</w:t>
      </w:r>
      <w:r w:rsidR="00E67E4E">
        <w:rPr>
          <w:sz w:val="24"/>
          <w:szCs w:val="24"/>
        </w:rPr>
        <w:t xml:space="preserve">; </w:t>
      </w:r>
      <w:r w:rsidR="00E67E4E" w:rsidRPr="00392CEF">
        <w:rPr>
          <w:sz w:val="24"/>
          <w:szCs w:val="24"/>
        </w:rPr>
        <w:t>Diárias civis</w:t>
      </w:r>
      <w:r w:rsidR="00E67E4E">
        <w:rPr>
          <w:sz w:val="24"/>
          <w:szCs w:val="24"/>
        </w:rPr>
        <w:t>;</w:t>
      </w:r>
      <w:r w:rsidR="00E67E4E" w:rsidRPr="00392CEF">
        <w:rPr>
          <w:sz w:val="24"/>
          <w:szCs w:val="24"/>
        </w:rPr>
        <w:t xml:space="preserve"> Passagens</w:t>
      </w:r>
      <w:r w:rsidR="00E67E4E">
        <w:rPr>
          <w:sz w:val="24"/>
          <w:szCs w:val="24"/>
        </w:rPr>
        <w:t>;</w:t>
      </w:r>
      <w:r w:rsidR="00E67E4E" w:rsidRPr="00392CEF">
        <w:rPr>
          <w:sz w:val="24"/>
          <w:szCs w:val="24"/>
        </w:rPr>
        <w:t xml:space="preserve"> Des</w:t>
      </w:r>
      <w:r w:rsidR="00E67E4E">
        <w:rPr>
          <w:sz w:val="24"/>
          <w:szCs w:val="24"/>
        </w:rPr>
        <w:t>locamento de servidores.</w:t>
      </w:r>
    </w:p>
    <w:p w:rsidR="0036377D" w:rsidRDefault="0036377D" w:rsidP="00067126">
      <w:pPr>
        <w:widowControl w:val="0"/>
        <w:rPr>
          <w:sz w:val="24"/>
          <w:szCs w:val="24"/>
        </w:rPr>
      </w:pPr>
    </w:p>
    <w:p w:rsidR="00EC3662" w:rsidRDefault="0036377D" w:rsidP="00EC3662">
      <w:pPr>
        <w:widowControl w:val="0"/>
        <w:jc w:val="both"/>
        <w:rPr>
          <w:b/>
          <w:sz w:val="24"/>
          <w:szCs w:val="24"/>
        </w:rPr>
      </w:pPr>
      <w:r>
        <w:rPr>
          <w:b/>
          <w:sz w:val="24"/>
          <w:szCs w:val="24"/>
        </w:rPr>
        <w:t xml:space="preserve">Linha Temática: </w:t>
      </w:r>
      <w:r w:rsidR="00EC3662" w:rsidRPr="003C43CD">
        <w:rPr>
          <w:sz w:val="24"/>
          <w:szCs w:val="24"/>
        </w:rPr>
        <w:t>Outros temas relevantes em contabilidade (Contabilidade Pública Governamental</w:t>
      </w:r>
      <w:r w:rsidR="00EC3662">
        <w:rPr>
          <w:sz w:val="24"/>
          <w:szCs w:val="24"/>
        </w:rPr>
        <w:t>)</w:t>
      </w:r>
    </w:p>
    <w:p w:rsidR="0036377D" w:rsidRPr="0036377D" w:rsidRDefault="0036377D" w:rsidP="00067126">
      <w:pPr>
        <w:widowControl w:val="0"/>
        <w:rPr>
          <w:sz w:val="24"/>
          <w:szCs w:val="24"/>
        </w:rPr>
      </w:pPr>
    </w:p>
    <w:p w:rsidR="003746AA" w:rsidRDefault="003746AA" w:rsidP="00067126">
      <w:pPr>
        <w:widowControl w:val="0"/>
      </w:pPr>
    </w:p>
    <w:p w:rsidR="00E93540" w:rsidRDefault="00E93540" w:rsidP="00067126">
      <w:pPr>
        <w:widowControl w:val="0"/>
      </w:pPr>
      <w:r>
        <w:br w:type="page"/>
      </w:r>
    </w:p>
    <w:p w:rsidR="00B624A1" w:rsidRPr="00392CEF" w:rsidRDefault="00B624A1" w:rsidP="00B624A1">
      <w:pPr>
        <w:pStyle w:val="Ttulo1"/>
        <w:spacing w:before="0" w:after="0"/>
        <w:rPr>
          <w:rFonts w:ascii="Times New Roman" w:hAnsi="Times New Roman"/>
          <w:szCs w:val="24"/>
        </w:rPr>
      </w:pPr>
      <w:bookmarkStart w:id="1" w:name="_Toc390457471"/>
      <w:bookmarkStart w:id="2" w:name="_Toc444591047"/>
      <w:bookmarkStart w:id="3" w:name="_Toc465887033"/>
      <w:r w:rsidRPr="00392CEF">
        <w:rPr>
          <w:rFonts w:ascii="Times New Roman" w:hAnsi="Times New Roman"/>
          <w:szCs w:val="24"/>
        </w:rPr>
        <w:lastRenderedPageBreak/>
        <w:t>1</w:t>
      </w:r>
      <w:r>
        <w:rPr>
          <w:rFonts w:ascii="Times New Roman" w:hAnsi="Times New Roman"/>
          <w:szCs w:val="24"/>
        </w:rPr>
        <w:t xml:space="preserve"> </w:t>
      </w:r>
      <w:r w:rsidRPr="00392CEF">
        <w:rPr>
          <w:rFonts w:ascii="Times New Roman" w:hAnsi="Times New Roman"/>
          <w:szCs w:val="24"/>
        </w:rPr>
        <w:t>I</w:t>
      </w:r>
      <w:bookmarkEnd w:id="1"/>
      <w:bookmarkEnd w:id="2"/>
      <w:bookmarkEnd w:id="3"/>
      <w:r w:rsidRPr="00392CEF">
        <w:rPr>
          <w:rFonts w:ascii="Times New Roman" w:hAnsi="Times New Roman"/>
          <w:szCs w:val="24"/>
        </w:rPr>
        <w:t>ntrodução</w:t>
      </w:r>
    </w:p>
    <w:p w:rsidR="00B624A1" w:rsidRPr="00392CEF" w:rsidRDefault="00B624A1" w:rsidP="00E91669">
      <w:pPr>
        <w:jc w:val="both"/>
        <w:rPr>
          <w:sz w:val="24"/>
          <w:szCs w:val="24"/>
        </w:rPr>
      </w:pPr>
      <w:r w:rsidRPr="00392CEF">
        <w:rPr>
          <w:rFonts w:eastAsia="Calibri"/>
          <w:b/>
          <w:bCs/>
          <w:iCs/>
          <w:sz w:val="24"/>
          <w:szCs w:val="24"/>
        </w:rPr>
        <w:tab/>
      </w:r>
      <w:r w:rsidRPr="00392CEF">
        <w:rPr>
          <w:sz w:val="24"/>
          <w:szCs w:val="24"/>
        </w:rPr>
        <w:t>Com o surgimento da legislação que obriga os entes públicos a efetuarem sua prestação de contas de maneira transparente, bem como o dinamismo dos sistemas de informações online, criou-se a necessidade do</w:t>
      </w:r>
      <w:r w:rsidR="00E91669">
        <w:rPr>
          <w:sz w:val="24"/>
          <w:szCs w:val="24"/>
        </w:rPr>
        <w:t xml:space="preserve"> </w:t>
      </w:r>
      <w:r w:rsidRPr="00392CEF">
        <w:rPr>
          <w:sz w:val="24"/>
          <w:szCs w:val="24"/>
        </w:rPr>
        <w:t>govern</w:t>
      </w:r>
      <w:r>
        <w:rPr>
          <w:sz w:val="24"/>
          <w:szCs w:val="24"/>
        </w:rPr>
        <w:t>o o</w:t>
      </w:r>
      <w:r w:rsidRPr="00392CEF">
        <w:rPr>
          <w:sz w:val="24"/>
          <w:szCs w:val="24"/>
        </w:rPr>
        <w:t>timizar a distribuição e aproveitamento de recursos públicos, em políticas</w:t>
      </w:r>
      <w:r>
        <w:rPr>
          <w:sz w:val="24"/>
          <w:szCs w:val="24"/>
        </w:rPr>
        <w:t xml:space="preserve"> </w:t>
      </w:r>
      <w:r w:rsidRPr="00392CEF">
        <w:rPr>
          <w:sz w:val="24"/>
          <w:szCs w:val="24"/>
        </w:rPr>
        <w:t>que atendam</w:t>
      </w:r>
      <w:r>
        <w:rPr>
          <w:sz w:val="24"/>
          <w:szCs w:val="24"/>
        </w:rPr>
        <w:t xml:space="preserve"> </w:t>
      </w:r>
      <w:r w:rsidRPr="00392CEF">
        <w:rPr>
          <w:sz w:val="24"/>
          <w:szCs w:val="24"/>
        </w:rPr>
        <w:t>às</w:t>
      </w:r>
      <w:r>
        <w:rPr>
          <w:sz w:val="24"/>
          <w:szCs w:val="24"/>
        </w:rPr>
        <w:t xml:space="preserve"> </w:t>
      </w:r>
      <w:r w:rsidRPr="00392CEF">
        <w:rPr>
          <w:sz w:val="24"/>
          <w:szCs w:val="24"/>
        </w:rPr>
        <w:t>necessidades e anseios dos cidadão</w:t>
      </w:r>
      <w:r>
        <w:rPr>
          <w:sz w:val="24"/>
          <w:szCs w:val="24"/>
        </w:rPr>
        <w:t>s</w:t>
      </w:r>
      <w:r w:rsidRPr="00392CEF">
        <w:rPr>
          <w:sz w:val="24"/>
          <w:szCs w:val="24"/>
        </w:rPr>
        <w:t>. Raupp (2011, p. 6) explica que "diferentemente do setor privado, no setor público as preocupações com a gestão de custos não estão relacionadas com a avaliação de estoques ou com a apuração de lucros, mas sim com o desempenho dos serviços".</w:t>
      </w:r>
    </w:p>
    <w:p w:rsidR="00B624A1" w:rsidRPr="00392CEF" w:rsidRDefault="00B624A1" w:rsidP="00B624A1">
      <w:pPr>
        <w:widowControl w:val="0"/>
        <w:ind w:firstLine="709"/>
        <w:jc w:val="both"/>
        <w:rPr>
          <w:sz w:val="24"/>
          <w:szCs w:val="24"/>
        </w:rPr>
      </w:pPr>
      <w:r w:rsidRPr="00392CEF">
        <w:rPr>
          <w:sz w:val="24"/>
          <w:szCs w:val="24"/>
        </w:rPr>
        <w:t>O acompanhamento do funcionamento da máquina pública em nível federal, estadual e municipal, é dever do cidadão para o real exercício da cidadania, buscando o desenvolvimento social e o bem comum da população (P</w:t>
      </w:r>
      <w:r>
        <w:rPr>
          <w:sz w:val="24"/>
          <w:szCs w:val="24"/>
        </w:rPr>
        <w:t>rade &amp;</w:t>
      </w:r>
      <w:r w:rsidRPr="00392CEF">
        <w:rPr>
          <w:sz w:val="24"/>
          <w:szCs w:val="24"/>
        </w:rPr>
        <w:t xml:space="preserve"> F</w:t>
      </w:r>
      <w:r>
        <w:rPr>
          <w:sz w:val="24"/>
          <w:szCs w:val="24"/>
        </w:rPr>
        <w:t>abre</w:t>
      </w:r>
      <w:r w:rsidRPr="00392CEF">
        <w:rPr>
          <w:sz w:val="24"/>
          <w:szCs w:val="24"/>
        </w:rPr>
        <w:t>, 201</w:t>
      </w:r>
      <w:r w:rsidR="00B46405">
        <w:rPr>
          <w:sz w:val="24"/>
          <w:szCs w:val="24"/>
        </w:rPr>
        <w:t>8</w:t>
      </w:r>
      <w:r w:rsidRPr="00392CEF">
        <w:rPr>
          <w:sz w:val="24"/>
          <w:szCs w:val="24"/>
        </w:rPr>
        <w:t>).</w:t>
      </w:r>
      <w:r>
        <w:rPr>
          <w:sz w:val="24"/>
          <w:szCs w:val="24"/>
        </w:rPr>
        <w:t xml:space="preserve"> </w:t>
      </w:r>
      <w:r w:rsidRPr="00392CEF">
        <w:rPr>
          <w:sz w:val="24"/>
          <w:szCs w:val="24"/>
        </w:rPr>
        <w:t xml:space="preserve">Quando </w:t>
      </w:r>
      <w:r>
        <w:rPr>
          <w:sz w:val="24"/>
          <w:szCs w:val="24"/>
        </w:rPr>
        <w:t>são</w:t>
      </w:r>
      <w:r w:rsidRPr="00392CEF">
        <w:rPr>
          <w:sz w:val="24"/>
          <w:szCs w:val="24"/>
        </w:rPr>
        <w:t xml:space="preserve"> ele</w:t>
      </w:r>
      <w:r>
        <w:rPr>
          <w:sz w:val="24"/>
          <w:szCs w:val="24"/>
        </w:rPr>
        <w:t>itos</w:t>
      </w:r>
      <w:r w:rsidRPr="00392CEF">
        <w:rPr>
          <w:sz w:val="24"/>
          <w:szCs w:val="24"/>
        </w:rPr>
        <w:t xml:space="preserve"> os administradores públicos através do voto, espera</w:t>
      </w:r>
      <w:r>
        <w:rPr>
          <w:sz w:val="24"/>
          <w:szCs w:val="24"/>
        </w:rPr>
        <w:t>-se</w:t>
      </w:r>
      <w:r w:rsidRPr="00392CEF">
        <w:rPr>
          <w:sz w:val="24"/>
          <w:szCs w:val="24"/>
        </w:rPr>
        <w:t xml:space="preserve"> que sua atuação seja a mais correta possível, de modo a conduzir a realização da despesa com máxima economia, a fim de atingir a eficácia com o mínimo de desembolso e </w:t>
      </w:r>
      <w:r>
        <w:rPr>
          <w:sz w:val="24"/>
          <w:szCs w:val="24"/>
        </w:rPr>
        <w:t xml:space="preserve">a </w:t>
      </w:r>
      <w:r w:rsidRPr="00392CEF">
        <w:rPr>
          <w:sz w:val="24"/>
          <w:szCs w:val="24"/>
        </w:rPr>
        <w:t>máxima prestação de contas ao contribuinte. Para Slomski (2009) o dever de prestar contas à sociedade e demonstrar a eficácia nos serviços prestados, como forma de justificar o pagamento do imposto</w:t>
      </w:r>
      <w:r>
        <w:rPr>
          <w:sz w:val="24"/>
          <w:szCs w:val="24"/>
        </w:rPr>
        <w:t>,</w:t>
      </w:r>
      <w:r w:rsidRPr="00392CEF">
        <w:rPr>
          <w:sz w:val="24"/>
          <w:szCs w:val="24"/>
        </w:rPr>
        <w:t xml:space="preserve"> é denominado </w:t>
      </w:r>
      <w:r w:rsidRPr="00392CEF">
        <w:rPr>
          <w:i/>
          <w:sz w:val="24"/>
          <w:szCs w:val="24"/>
        </w:rPr>
        <w:t>accountability.</w:t>
      </w:r>
    </w:p>
    <w:p w:rsidR="00B624A1" w:rsidRPr="00392CEF" w:rsidRDefault="00B624A1" w:rsidP="00B624A1">
      <w:pPr>
        <w:widowControl w:val="0"/>
        <w:ind w:firstLine="709"/>
        <w:jc w:val="both"/>
        <w:rPr>
          <w:sz w:val="24"/>
          <w:szCs w:val="24"/>
        </w:rPr>
      </w:pPr>
      <w:r w:rsidRPr="00392CEF">
        <w:rPr>
          <w:sz w:val="24"/>
          <w:szCs w:val="24"/>
        </w:rPr>
        <w:t>A prestação de contas é o processo onde o administrador público tem a obrigação de comprovar</w:t>
      </w:r>
      <w:r>
        <w:rPr>
          <w:sz w:val="24"/>
          <w:szCs w:val="24"/>
        </w:rPr>
        <w:t>,</w:t>
      </w:r>
      <w:r w:rsidRPr="00392CEF">
        <w:rPr>
          <w:sz w:val="24"/>
          <w:szCs w:val="24"/>
        </w:rPr>
        <w:t xml:space="preserve"> perante os órgãos de controle</w:t>
      </w:r>
      <w:r>
        <w:rPr>
          <w:sz w:val="24"/>
          <w:szCs w:val="24"/>
        </w:rPr>
        <w:t>,</w:t>
      </w:r>
      <w:r w:rsidRPr="00392CEF">
        <w:rPr>
          <w:sz w:val="24"/>
          <w:szCs w:val="24"/>
        </w:rPr>
        <w:t xml:space="preserve"> a destinação dos valores e bens que lhe foram entregues, em prazos estipulados legalmente. </w:t>
      </w:r>
      <w:r>
        <w:rPr>
          <w:sz w:val="24"/>
          <w:szCs w:val="24"/>
        </w:rPr>
        <w:t xml:space="preserve">Para </w:t>
      </w:r>
      <w:r w:rsidRPr="00392CEF">
        <w:rPr>
          <w:sz w:val="24"/>
          <w:szCs w:val="24"/>
        </w:rPr>
        <w:t>Silva (2008) a contabilidade oferece as ferramentas necessárias aos administradores para elaborar</w:t>
      </w:r>
      <w:r>
        <w:rPr>
          <w:sz w:val="24"/>
          <w:szCs w:val="24"/>
        </w:rPr>
        <w:t>em</w:t>
      </w:r>
      <w:r w:rsidRPr="00392CEF">
        <w:rPr>
          <w:sz w:val="24"/>
          <w:szCs w:val="24"/>
        </w:rPr>
        <w:t xml:space="preserve"> estas informações. A contabilidade pública é uma área da Ciência Contábil, que capta, registra, agrupa, divulga e interpreta informações monetárias que afetam as situações financeiras, econômicas e patrimoniais dos Entes públicos (A</w:t>
      </w:r>
      <w:r w:rsidR="00B46405">
        <w:rPr>
          <w:sz w:val="24"/>
          <w:szCs w:val="24"/>
        </w:rPr>
        <w:t>raújo</w:t>
      </w:r>
      <w:r w:rsidRPr="00392CEF">
        <w:rPr>
          <w:sz w:val="24"/>
          <w:szCs w:val="24"/>
        </w:rPr>
        <w:t>, 2009). Essa ciência pode auxilia na evidenciação de dados e na busca por soluções, auxiliando no gerenciamento dos recursos públicos.</w:t>
      </w:r>
    </w:p>
    <w:p w:rsidR="00B624A1" w:rsidRPr="00392CEF" w:rsidRDefault="00B624A1" w:rsidP="00B624A1">
      <w:pPr>
        <w:ind w:firstLine="709"/>
        <w:contextualSpacing/>
        <w:jc w:val="both"/>
        <w:rPr>
          <w:sz w:val="24"/>
          <w:szCs w:val="24"/>
        </w:rPr>
      </w:pPr>
      <w:r w:rsidRPr="00392CEF">
        <w:rPr>
          <w:sz w:val="24"/>
          <w:szCs w:val="24"/>
        </w:rPr>
        <w:t>A crise no gerenciamento dos recursos público não é atual. Desde 1998 centenas de prefeitos se unem no evento anual denominado Marcha à Brasília</w:t>
      </w:r>
      <w:r>
        <w:rPr>
          <w:sz w:val="24"/>
          <w:szCs w:val="24"/>
        </w:rPr>
        <w:t>. Com</w:t>
      </w:r>
      <w:r w:rsidRPr="00392CEF">
        <w:rPr>
          <w:sz w:val="24"/>
          <w:szCs w:val="24"/>
        </w:rPr>
        <w:t xml:space="preserve"> 20 anos</w:t>
      </w:r>
      <w:r>
        <w:rPr>
          <w:sz w:val="24"/>
          <w:szCs w:val="24"/>
        </w:rPr>
        <w:t xml:space="preserve"> de existência, </w:t>
      </w:r>
      <w:r w:rsidRPr="00392CEF">
        <w:rPr>
          <w:sz w:val="24"/>
          <w:szCs w:val="24"/>
        </w:rPr>
        <w:t>as reivindicações mudaram, mas o tema é sempre o mesmo, a falta de recursos nos municípios.</w:t>
      </w:r>
      <w:r>
        <w:rPr>
          <w:sz w:val="24"/>
          <w:szCs w:val="24"/>
        </w:rPr>
        <w:t xml:space="preserve"> </w:t>
      </w:r>
      <w:r w:rsidRPr="00392CEF">
        <w:rPr>
          <w:sz w:val="24"/>
          <w:szCs w:val="24"/>
        </w:rPr>
        <w:t>A pauta municipalista, apresentada no evento em 2017, é composta por 10 temas prioritários, todos envolvem a questão dos dispêndios públicos, quer seja pela retirada de direitos tributários dos municípios, quer seja pela aprovação de normas jurídicas pelo congresso, que elevam o desembolso dos mesmos (CNM, 2017).</w:t>
      </w:r>
    </w:p>
    <w:p w:rsidR="00B624A1" w:rsidRPr="00392CEF" w:rsidRDefault="00B624A1" w:rsidP="00B624A1">
      <w:pPr>
        <w:ind w:firstLine="709"/>
        <w:contextualSpacing/>
        <w:jc w:val="both"/>
        <w:rPr>
          <w:sz w:val="24"/>
          <w:szCs w:val="24"/>
        </w:rPr>
      </w:pPr>
      <w:r w:rsidRPr="00392CEF">
        <w:rPr>
          <w:sz w:val="24"/>
          <w:szCs w:val="24"/>
        </w:rPr>
        <w:t xml:space="preserve">De acordo com Silva (2011), os recursos nesses órgãos são cada vez mais escassos e a busca </w:t>
      </w:r>
      <w:r>
        <w:rPr>
          <w:sz w:val="24"/>
          <w:szCs w:val="24"/>
        </w:rPr>
        <w:t>pelo</w:t>
      </w:r>
      <w:r w:rsidRPr="00392CEF">
        <w:rPr>
          <w:sz w:val="24"/>
          <w:szCs w:val="24"/>
        </w:rPr>
        <w:t xml:space="preserve"> aumento </w:t>
      </w:r>
      <w:r>
        <w:rPr>
          <w:sz w:val="24"/>
          <w:szCs w:val="24"/>
        </w:rPr>
        <w:t>n</w:t>
      </w:r>
      <w:r w:rsidRPr="00392CEF">
        <w:rPr>
          <w:sz w:val="24"/>
          <w:szCs w:val="24"/>
        </w:rPr>
        <w:t xml:space="preserve">a arrecadação é um fenômeno generalizado em todo Brasil. O autor explica que </w:t>
      </w:r>
      <w:r>
        <w:rPr>
          <w:sz w:val="24"/>
          <w:szCs w:val="24"/>
        </w:rPr>
        <w:t>o</w:t>
      </w:r>
      <w:r w:rsidRPr="00392CEF">
        <w:rPr>
          <w:sz w:val="24"/>
          <w:szCs w:val="24"/>
        </w:rPr>
        <w:t xml:space="preserve"> estado não produz riquezas, apenas administra recursos, </w:t>
      </w:r>
      <w:r>
        <w:rPr>
          <w:sz w:val="24"/>
          <w:szCs w:val="24"/>
        </w:rPr>
        <w:t xml:space="preserve">assim, </w:t>
      </w:r>
      <w:r w:rsidRPr="00392CEF">
        <w:rPr>
          <w:sz w:val="24"/>
          <w:szCs w:val="24"/>
        </w:rPr>
        <w:t>existe uma busca constante dos contribuintes para saber o destino dos impostos pagos, em contrapartida, a legislação garante a transparência e a obrigação da prestação de contas por parte do Estado.</w:t>
      </w:r>
    </w:p>
    <w:p w:rsidR="00B624A1" w:rsidRPr="00392CEF" w:rsidRDefault="00B624A1" w:rsidP="00B624A1">
      <w:pPr>
        <w:widowControl w:val="0"/>
        <w:ind w:firstLine="709"/>
        <w:jc w:val="both"/>
        <w:rPr>
          <w:sz w:val="24"/>
          <w:szCs w:val="24"/>
        </w:rPr>
      </w:pPr>
      <w:r w:rsidRPr="00392CEF">
        <w:rPr>
          <w:sz w:val="24"/>
          <w:szCs w:val="24"/>
        </w:rPr>
        <w:t>De modo geral, as despesas públicas mais evidenciadas na mídia e em publicações acadêmicas, são aquelas de maior vulto financeiro. Mas algumas despesas de menor expressão financeira passam despercebidas, principalmente quando não existe norma jurídica que limite es</w:t>
      </w:r>
      <w:r>
        <w:rPr>
          <w:sz w:val="24"/>
          <w:szCs w:val="24"/>
        </w:rPr>
        <w:t>s</w:t>
      </w:r>
      <w:r w:rsidRPr="00392CEF">
        <w:rPr>
          <w:sz w:val="24"/>
          <w:szCs w:val="24"/>
        </w:rPr>
        <w:t>es gastos. A temática desta pesquisa visa explorar duas delas (despesas com diárias civis e despesas com passagens e locomoção), ambas relacionadas aos gastos com deslocamento a serviço, d</w:t>
      </w:r>
      <w:r>
        <w:rPr>
          <w:sz w:val="24"/>
          <w:szCs w:val="24"/>
        </w:rPr>
        <w:t>e</w:t>
      </w:r>
      <w:r w:rsidRPr="00392CEF">
        <w:rPr>
          <w:sz w:val="24"/>
          <w:szCs w:val="24"/>
        </w:rPr>
        <w:t xml:space="preserve"> servidores públicos.</w:t>
      </w:r>
    </w:p>
    <w:p w:rsidR="00B624A1" w:rsidRPr="00B46405" w:rsidRDefault="00B624A1" w:rsidP="00280BA4">
      <w:pPr>
        <w:widowControl w:val="0"/>
        <w:ind w:firstLine="709"/>
        <w:jc w:val="both"/>
        <w:rPr>
          <w:sz w:val="24"/>
          <w:szCs w:val="24"/>
        </w:rPr>
      </w:pPr>
      <w:r w:rsidRPr="00392CEF">
        <w:rPr>
          <w:sz w:val="24"/>
          <w:szCs w:val="24"/>
        </w:rPr>
        <w:t>A legislação atual garante</w:t>
      </w:r>
      <w:r>
        <w:rPr>
          <w:sz w:val="24"/>
          <w:szCs w:val="24"/>
        </w:rPr>
        <w:t xml:space="preserve"> </w:t>
      </w:r>
      <w:r w:rsidRPr="00392CEF">
        <w:rPr>
          <w:sz w:val="24"/>
          <w:szCs w:val="24"/>
        </w:rPr>
        <w:t>a existência de ferramentas</w:t>
      </w:r>
      <w:r>
        <w:rPr>
          <w:sz w:val="24"/>
          <w:szCs w:val="24"/>
        </w:rPr>
        <w:t xml:space="preserve"> </w:t>
      </w:r>
      <w:r w:rsidRPr="00392CEF">
        <w:rPr>
          <w:sz w:val="24"/>
          <w:szCs w:val="24"/>
        </w:rPr>
        <w:t xml:space="preserve">para </w:t>
      </w:r>
      <w:r w:rsidRPr="00392CEF">
        <w:rPr>
          <w:i/>
          <w:sz w:val="24"/>
          <w:szCs w:val="24"/>
        </w:rPr>
        <w:t>acco</w:t>
      </w:r>
      <w:r>
        <w:rPr>
          <w:i/>
          <w:sz w:val="24"/>
          <w:szCs w:val="24"/>
        </w:rPr>
        <w:t>u</w:t>
      </w:r>
      <w:r w:rsidRPr="00392CEF">
        <w:rPr>
          <w:i/>
          <w:sz w:val="24"/>
          <w:szCs w:val="24"/>
        </w:rPr>
        <w:t>ntability</w:t>
      </w:r>
      <w:r w:rsidRPr="00392CEF">
        <w:rPr>
          <w:sz w:val="24"/>
          <w:szCs w:val="24"/>
        </w:rPr>
        <w:t>, como os portais de transparência (do município)</w:t>
      </w:r>
      <w:r>
        <w:rPr>
          <w:sz w:val="24"/>
          <w:szCs w:val="24"/>
        </w:rPr>
        <w:t>,</w:t>
      </w:r>
      <w:r w:rsidRPr="00392CEF">
        <w:rPr>
          <w:sz w:val="24"/>
          <w:szCs w:val="24"/>
        </w:rPr>
        <w:t xml:space="preserve"> o</w:t>
      </w:r>
      <w:r>
        <w:rPr>
          <w:sz w:val="24"/>
          <w:szCs w:val="24"/>
        </w:rPr>
        <w:t xml:space="preserve"> </w:t>
      </w:r>
      <w:r w:rsidRPr="00392CEF">
        <w:rPr>
          <w:sz w:val="24"/>
          <w:szCs w:val="24"/>
        </w:rPr>
        <w:t xml:space="preserve">acesso ao cidadão (do Tribunal de Contas do Estado) e o portal de contas públicas (da Secretaria do Tesouro Nacional), ambos disponíveis em meio </w:t>
      </w:r>
      <w:r w:rsidRPr="00392CEF">
        <w:rPr>
          <w:sz w:val="24"/>
          <w:szCs w:val="24"/>
        </w:rPr>
        <w:lastRenderedPageBreak/>
        <w:t xml:space="preserve">eletrônico e gratuito. </w:t>
      </w:r>
      <w:r w:rsidR="00B46405" w:rsidRPr="00392CEF">
        <w:rPr>
          <w:sz w:val="24"/>
          <w:szCs w:val="24"/>
        </w:rPr>
        <w:t>P</w:t>
      </w:r>
      <w:r w:rsidR="00B46405">
        <w:rPr>
          <w:sz w:val="24"/>
          <w:szCs w:val="24"/>
        </w:rPr>
        <w:t>latt</w:t>
      </w:r>
      <w:r w:rsidR="00B46405" w:rsidRPr="00392CEF">
        <w:rPr>
          <w:sz w:val="24"/>
          <w:szCs w:val="24"/>
        </w:rPr>
        <w:t>, C</w:t>
      </w:r>
      <w:r w:rsidR="00B46405">
        <w:rPr>
          <w:sz w:val="24"/>
          <w:szCs w:val="24"/>
        </w:rPr>
        <w:t>ruz</w:t>
      </w:r>
      <w:r w:rsidR="00B46405" w:rsidRPr="00392CEF">
        <w:rPr>
          <w:sz w:val="24"/>
          <w:szCs w:val="24"/>
        </w:rPr>
        <w:t>, E</w:t>
      </w:r>
      <w:r w:rsidR="00B46405">
        <w:rPr>
          <w:sz w:val="24"/>
          <w:szCs w:val="24"/>
        </w:rPr>
        <w:t>nsslin e</w:t>
      </w:r>
      <w:r w:rsidR="00B46405" w:rsidRPr="00392CEF">
        <w:rPr>
          <w:sz w:val="24"/>
          <w:szCs w:val="24"/>
        </w:rPr>
        <w:t xml:space="preserve"> E</w:t>
      </w:r>
      <w:r w:rsidR="00B46405">
        <w:rPr>
          <w:sz w:val="24"/>
          <w:szCs w:val="24"/>
        </w:rPr>
        <w:t>nsslin</w:t>
      </w:r>
      <w:r w:rsidR="00B46405" w:rsidRPr="00392CEF">
        <w:rPr>
          <w:sz w:val="24"/>
          <w:szCs w:val="24"/>
        </w:rPr>
        <w:t xml:space="preserve"> </w:t>
      </w:r>
      <w:r w:rsidRPr="00392CEF">
        <w:rPr>
          <w:sz w:val="24"/>
          <w:szCs w:val="24"/>
        </w:rPr>
        <w:t>(2007), afirmam que</w:t>
      </w:r>
      <w:r>
        <w:rPr>
          <w:sz w:val="24"/>
          <w:szCs w:val="24"/>
        </w:rPr>
        <w:t xml:space="preserve"> </w:t>
      </w:r>
      <w:r w:rsidRPr="00392CEF">
        <w:rPr>
          <w:sz w:val="24"/>
          <w:szCs w:val="24"/>
        </w:rPr>
        <w:t>a participação popular ainda é insipiente</w:t>
      </w:r>
      <w:r>
        <w:rPr>
          <w:sz w:val="24"/>
          <w:szCs w:val="24"/>
        </w:rPr>
        <w:t xml:space="preserve"> e</w:t>
      </w:r>
      <w:r w:rsidRPr="00392CEF">
        <w:rPr>
          <w:sz w:val="24"/>
          <w:szCs w:val="24"/>
        </w:rPr>
        <w:t xml:space="preserve"> que</w:t>
      </w:r>
      <w:r>
        <w:rPr>
          <w:sz w:val="24"/>
          <w:szCs w:val="24"/>
        </w:rPr>
        <w:t xml:space="preserve"> </w:t>
      </w:r>
      <w:r w:rsidRPr="00392CEF">
        <w:rPr>
          <w:sz w:val="24"/>
          <w:szCs w:val="24"/>
        </w:rPr>
        <w:t xml:space="preserve">a fiscalização das </w:t>
      </w:r>
      <w:r w:rsidRPr="00B46405">
        <w:rPr>
          <w:sz w:val="24"/>
          <w:szCs w:val="24"/>
        </w:rPr>
        <w:t xml:space="preserve">contas públicas nos portais é inibida pela linguagem complexa, que dificulta a compreensão do cidadão. </w:t>
      </w:r>
    </w:p>
    <w:p w:rsidR="00B624A1" w:rsidRPr="00B46405" w:rsidRDefault="00B624A1" w:rsidP="00280BA4">
      <w:pPr>
        <w:ind w:firstLine="708"/>
        <w:jc w:val="both"/>
        <w:rPr>
          <w:sz w:val="24"/>
          <w:szCs w:val="24"/>
        </w:rPr>
      </w:pPr>
      <w:r w:rsidRPr="00B46405">
        <w:rPr>
          <w:sz w:val="24"/>
          <w:szCs w:val="24"/>
        </w:rPr>
        <w:t>Dúvidas sobre quem fiscaliza as despesas com deslocamento de servidores, qual o volume de gastos que elas representam e qual parcela do orçamento elas comprometem, estão sendo levantadas por diversos segmentos da sociedade (MPSC, 2016; G1, 2017). Cabe ao Poder Legislativo, aos órgãos de controle interno, a promotoria pública e até mesmo a população, fiscalizar os municípios nesse sentido. Apesar da temática diárias e despesas de locomoção dos órgãos públicos não ser um tema comum na área acadêmica, essa pesquisa pretende responder algumas dessas inquietações, principalmente em relação ao comprometimento dos recursos públicos.</w:t>
      </w:r>
    </w:p>
    <w:p w:rsidR="00B624A1" w:rsidRPr="00B46405" w:rsidRDefault="00B624A1" w:rsidP="00280BA4">
      <w:pPr>
        <w:ind w:firstLine="708"/>
        <w:jc w:val="both"/>
        <w:rPr>
          <w:sz w:val="24"/>
          <w:szCs w:val="24"/>
        </w:rPr>
      </w:pPr>
      <w:r w:rsidRPr="00B46405">
        <w:rPr>
          <w:sz w:val="24"/>
          <w:szCs w:val="24"/>
        </w:rPr>
        <w:t>No Brasil existem milharem de pequenos municípios, com estruturas reduzidas e os gastos com diárias podem comprometer outras áreas de atuação da gestão pública. Fabre e Bonfante (2017), identificaram as pesquisas sobre contabilidade pública do Brasil nos últimos 10 anos, concluíram que apenas 34% delas foram direcionadas ao governo municipal. Segundo os autores, as capitais e os municípios de grande porte, foram o foco da maioria das pesquisas na última década.</w:t>
      </w:r>
    </w:p>
    <w:p w:rsidR="00B624A1" w:rsidRPr="00B46405" w:rsidRDefault="00B624A1" w:rsidP="00280BA4">
      <w:pPr>
        <w:ind w:firstLine="708"/>
        <w:jc w:val="both"/>
        <w:rPr>
          <w:sz w:val="24"/>
          <w:szCs w:val="24"/>
        </w:rPr>
      </w:pPr>
      <w:r w:rsidRPr="00B46405">
        <w:rPr>
          <w:sz w:val="24"/>
          <w:szCs w:val="24"/>
        </w:rPr>
        <w:t>O objetivo da presente pesquisa é analisar o comprometimento dos recursos públicos (gastos) com deslocamento a serviço, de servidores dos municípios de Santa Catarina com menos de 5.000 habitantes, no período de 2011 a 2016.</w:t>
      </w:r>
    </w:p>
    <w:p w:rsidR="00B624A1" w:rsidRPr="00B46405" w:rsidRDefault="00B624A1" w:rsidP="00634341">
      <w:pPr>
        <w:ind w:firstLine="708"/>
        <w:jc w:val="both"/>
        <w:rPr>
          <w:sz w:val="24"/>
          <w:szCs w:val="24"/>
        </w:rPr>
      </w:pPr>
      <w:r w:rsidRPr="00B46405">
        <w:rPr>
          <w:sz w:val="24"/>
          <w:szCs w:val="24"/>
        </w:rPr>
        <w:t>Essa pesquisa envolveu pesquisadores com histórico profissional na contabilidade de pequenos municípios catarinenses, o que motivou a pesquisa nessa região. O estado de Santa Catarina possui 295 municípios e população estimada de 6.910.553 habitantes, sendo que 108 municípios possuem menos de 5.000 habitantes e são considerados pequenos do ponto de vista populacional (IBGE, 2017).</w:t>
      </w:r>
    </w:p>
    <w:p w:rsidR="00B624A1" w:rsidRPr="00392CEF" w:rsidRDefault="00B624A1" w:rsidP="00280BA4">
      <w:pPr>
        <w:widowControl w:val="0"/>
        <w:ind w:firstLine="709"/>
        <w:jc w:val="both"/>
        <w:rPr>
          <w:bCs/>
          <w:iCs/>
          <w:sz w:val="24"/>
          <w:szCs w:val="24"/>
        </w:rPr>
      </w:pPr>
      <w:r w:rsidRPr="00B46405">
        <w:rPr>
          <w:sz w:val="24"/>
          <w:szCs w:val="24"/>
        </w:rPr>
        <w:t>O clamor social pela informação sobre o comportamento dos gastos públicos e os crescentes escândalos envolvendo o abuso nos gastos</w:t>
      </w:r>
      <w:r w:rsidRPr="00392CEF">
        <w:rPr>
          <w:sz w:val="24"/>
          <w:szCs w:val="24"/>
        </w:rPr>
        <w:t xml:space="preserve"> com diárias e locomoção de servidores, tem tomado a mídia nos últimos anos. Esta pesquisa é relevante do ponto de vista acadêmico, pelo escasso arcabouço teórico sobre a temática</w:t>
      </w:r>
      <w:r>
        <w:rPr>
          <w:sz w:val="24"/>
          <w:szCs w:val="24"/>
        </w:rPr>
        <w:t xml:space="preserve">. </w:t>
      </w:r>
      <w:r w:rsidRPr="00392CEF">
        <w:rPr>
          <w:sz w:val="24"/>
          <w:szCs w:val="24"/>
        </w:rPr>
        <w:t xml:space="preserve">Como uma ciência social aplicada, a contabilidade pode analisar estes fatos com uma lente acadêmica, isenta de viés político. </w:t>
      </w:r>
    </w:p>
    <w:p w:rsidR="00B624A1" w:rsidRPr="00392CEF" w:rsidRDefault="00B624A1" w:rsidP="00B624A1">
      <w:pPr>
        <w:widowControl w:val="0"/>
        <w:ind w:firstLine="709"/>
        <w:jc w:val="both"/>
        <w:rPr>
          <w:sz w:val="24"/>
          <w:szCs w:val="24"/>
        </w:rPr>
      </w:pPr>
      <w:r>
        <w:rPr>
          <w:sz w:val="24"/>
          <w:szCs w:val="24"/>
        </w:rPr>
        <w:t xml:space="preserve">A principal motivação dessa pesquisa </w:t>
      </w:r>
      <w:r w:rsidRPr="00392CEF">
        <w:rPr>
          <w:sz w:val="24"/>
          <w:szCs w:val="24"/>
        </w:rPr>
        <w:t xml:space="preserve">foram os sucessivos escândalos envolvendo legislativo e executivo municipais. O uso abusivo e desvirtuado das "diárias civis" e "passagens e despesas de locomoção" como fonte remuneratória irregular dos servidores e mau uso dos recursos públicos tem se confirmado em diversas </w:t>
      </w:r>
      <w:r w:rsidRPr="00E91669">
        <w:rPr>
          <w:sz w:val="24"/>
          <w:szCs w:val="24"/>
        </w:rPr>
        <w:t>cidades (G</w:t>
      </w:r>
      <w:r w:rsidR="00634341" w:rsidRPr="00E91669">
        <w:rPr>
          <w:sz w:val="24"/>
          <w:szCs w:val="24"/>
        </w:rPr>
        <w:t>azeta do Povo</w:t>
      </w:r>
      <w:r w:rsidRPr="00E91669">
        <w:rPr>
          <w:sz w:val="24"/>
          <w:szCs w:val="24"/>
        </w:rPr>
        <w:t>, 2015; MPSC, 2016; A H</w:t>
      </w:r>
      <w:r w:rsidR="00634341" w:rsidRPr="00E91669">
        <w:rPr>
          <w:sz w:val="24"/>
          <w:szCs w:val="24"/>
        </w:rPr>
        <w:t>ora</w:t>
      </w:r>
      <w:r w:rsidRPr="00E91669">
        <w:rPr>
          <w:sz w:val="24"/>
          <w:szCs w:val="24"/>
        </w:rPr>
        <w:t>, 2017; D</w:t>
      </w:r>
      <w:r w:rsidR="00634341" w:rsidRPr="00E91669">
        <w:rPr>
          <w:sz w:val="24"/>
          <w:szCs w:val="24"/>
        </w:rPr>
        <w:t>iário Catarinense</w:t>
      </w:r>
      <w:r w:rsidRPr="00E91669">
        <w:rPr>
          <w:sz w:val="24"/>
          <w:szCs w:val="24"/>
        </w:rPr>
        <w:t xml:space="preserve">, 2017; G1, 2017). A mídia costuma focar nos municípios de grande porte e acabam por não destacar os pequenos </w:t>
      </w:r>
      <w:r w:rsidRPr="00392CEF">
        <w:rPr>
          <w:sz w:val="24"/>
          <w:szCs w:val="24"/>
        </w:rPr>
        <w:t>municípios, que podem estar realizando gastos igualmente elevados.</w:t>
      </w:r>
    </w:p>
    <w:p w:rsidR="00B624A1" w:rsidRPr="00392CEF" w:rsidRDefault="00B624A1" w:rsidP="00B624A1">
      <w:pPr>
        <w:widowControl w:val="0"/>
        <w:ind w:firstLine="851"/>
        <w:jc w:val="both"/>
        <w:rPr>
          <w:sz w:val="24"/>
          <w:szCs w:val="24"/>
        </w:rPr>
      </w:pPr>
    </w:p>
    <w:p w:rsidR="00B624A1" w:rsidRPr="00392CEF" w:rsidRDefault="00B624A1" w:rsidP="00B624A1">
      <w:pPr>
        <w:pStyle w:val="Ttulo1"/>
        <w:spacing w:before="0" w:after="0"/>
        <w:rPr>
          <w:rFonts w:ascii="Times New Roman" w:hAnsi="Times New Roman"/>
          <w:szCs w:val="24"/>
        </w:rPr>
      </w:pPr>
      <w:bookmarkStart w:id="4" w:name="_Toc436674106"/>
      <w:bookmarkStart w:id="5" w:name="_Toc465887043"/>
      <w:r w:rsidRPr="00392CEF">
        <w:rPr>
          <w:rFonts w:ascii="Times New Roman" w:hAnsi="Times New Roman"/>
          <w:szCs w:val="24"/>
        </w:rPr>
        <w:t>2 Fundamentação teórica</w:t>
      </w:r>
      <w:bookmarkEnd w:id="4"/>
      <w:bookmarkEnd w:id="5"/>
    </w:p>
    <w:p w:rsidR="00B624A1" w:rsidRPr="00392CEF" w:rsidRDefault="00B624A1" w:rsidP="00B624A1">
      <w:pPr>
        <w:ind w:firstLine="709"/>
        <w:contextualSpacing/>
        <w:jc w:val="both"/>
        <w:rPr>
          <w:sz w:val="24"/>
          <w:szCs w:val="24"/>
        </w:rPr>
      </w:pPr>
      <w:bookmarkStart w:id="6" w:name="_Toc465887047"/>
      <w:r w:rsidRPr="00392CEF">
        <w:rPr>
          <w:sz w:val="24"/>
          <w:szCs w:val="24"/>
        </w:rPr>
        <w:t>Nos dias atuais a transparência é cada vez mais utilizada em países que defendem um processo democrático, facilitando</w:t>
      </w:r>
      <w:r>
        <w:rPr>
          <w:sz w:val="24"/>
          <w:szCs w:val="24"/>
        </w:rPr>
        <w:t xml:space="preserve"> </w:t>
      </w:r>
      <w:r w:rsidRPr="00392CEF">
        <w:rPr>
          <w:sz w:val="24"/>
          <w:szCs w:val="24"/>
        </w:rPr>
        <w:t>o acesso às informações sobre os atos praticados por gestores públicos.</w:t>
      </w:r>
      <w:r>
        <w:rPr>
          <w:sz w:val="24"/>
          <w:szCs w:val="24"/>
        </w:rPr>
        <w:t xml:space="preserve"> </w:t>
      </w:r>
      <w:r w:rsidRPr="00392CEF">
        <w:rPr>
          <w:sz w:val="24"/>
          <w:szCs w:val="24"/>
        </w:rPr>
        <w:t>Es</w:t>
      </w:r>
      <w:r>
        <w:rPr>
          <w:sz w:val="24"/>
          <w:szCs w:val="24"/>
        </w:rPr>
        <w:t>s</w:t>
      </w:r>
      <w:r w:rsidRPr="00392CEF">
        <w:rPr>
          <w:sz w:val="24"/>
          <w:szCs w:val="24"/>
        </w:rPr>
        <w:t>a prática incentiva a democracia contributiva</w:t>
      </w:r>
      <w:r>
        <w:rPr>
          <w:sz w:val="24"/>
          <w:szCs w:val="24"/>
        </w:rPr>
        <w:t>,</w:t>
      </w:r>
      <w:r w:rsidRPr="00392CEF">
        <w:rPr>
          <w:sz w:val="24"/>
          <w:szCs w:val="24"/>
        </w:rPr>
        <w:t xml:space="preserve"> o espírito público, e impede ações dos que se julgam donos das informações (S</w:t>
      </w:r>
      <w:r w:rsidR="00634341">
        <w:rPr>
          <w:sz w:val="24"/>
          <w:szCs w:val="24"/>
        </w:rPr>
        <w:t>ilva</w:t>
      </w:r>
      <w:r w:rsidRPr="00392CEF">
        <w:rPr>
          <w:sz w:val="24"/>
          <w:szCs w:val="24"/>
        </w:rPr>
        <w:t>, 2011).</w:t>
      </w:r>
    </w:p>
    <w:p w:rsidR="00B624A1" w:rsidRPr="00392CEF" w:rsidRDefault="00B624A1" w:rsidP="00B624A1">
      <w:pPr>
        <w:tabs>
          <w:tab w:val="left" w:pos="709"/>
        </w:tabs>
        <w:contextualSpacing/>
        <w:jc w:val="both"/>
        <w:rPr>
          <w:sz w:val="24"/>
          <w:szCs w:val="24"/>
        </w:rPr>
      </w:pPr>
      <w:r w:rsidRPr="00392CEF">
        <w:rPr>
          <w:sz w:val="24"/>
          <w:szCs w:val="24"/>
        </w:rPr>
        <w:tab/>
        <w:t xml:space="preserve">Estudos demonstram que a transparência possui ligações com a responsabilidade fiscal, pois o governo tem a obrigação de informar e explicar seus atos </w:t>
      </w:r>
      <w:r>
        <w:rPr>
          <w:sz w:val="24"/>
          <w:szCs w:val="24"/>
        </w:rPr>
        <w:t>de</w:t>
      </w:r>
      <w:r w:rsidRPr="00392CEF">
        <w:rPr>
          <w:sz w:val="24"/>
          <w:szCs w:val="24"/>
        </w:rPr>
        <w:t xml:space="preserve"> gestão aos cidadãos.</w:t>
      </w:r>
      <w:r>
        <w:rPr>
          <w:sz w:val="24"/>
          <w:szCs w:val="24"/>
        </w:rPr>
        <w:t xml:space="preserve"> </w:t>
      </w:r>
      <w:r w:rsidRPr="00392CEF">
        <w:rPr>
          <w:sz w:val="24"/>
          <w:szCs w:val="24"/>
        </w:rPr>
        <w:lastRenderedPageBreak/>
        <w:t xml:space="preserve">Andrade (2013), </w:t>
      </w:r>
      <w:r w:rsidR="00634341">
        <w:rPr>
          <w:sz w:val="24"/>
          <w:szCs w:val="24"/>
        </w:rPr>
        <w:t>menciona</w:t>
      </w:r>
      <w:r w:rsidRPr="00392CEF">
        <w:rPr>
          <w:sz w:val="24"/>
          <w:szCs w:val="24"/>
        </w:rPr>
        <w:t xml:space="preserve"> </w:t>
      </w:r>
      <w:r>
        <w:rPr>
          <w:sz w:val="24"/>
          <w:szCs w:val="24"/>
        </w:rPr>
        <w:t xml:space="preserve">os portais de transparência, </w:t>
      </w:r>
      <w:r w:rsidRPr="00392CEF">
        <w:rPr>
          <w:sz w:val="24"/>
          <w:szCs w:val="24"/>
        </w:rPr>
        <w:t xml:space="preserve">como exemplo de ferramenta </w:t>
      </w:r>
      <w:r>
        <w:rPr>
          <w:sz w:val="24"/>
          <w:szCs w:val="24"/>
        </w:rPr>
        <w:t>de</w:t>
      </w:r>
      <w:r w:rsidRPr="00392CEF">
        <w:rPr>
          <w:sz w:val="24"/>
          <w:szCs w:val="24"/>
        </w:rPr>
        <w:t xml:space="preserve"> prestação de contas</w:t>
      </w:r>
      <w:r>
        <w:rPr>
          <w:sz w:val="24"/>
          <w:szCs w:val="24"/>
        </w:rPr>
        <w:t>,</w:t>
      </w:r>
      <w:r w:rsidRPr="00392CEF">
        <w:rPr>
          <w:sz w:val="24"/>
          <w:szCs w:val="24"/>
        </w:rPr>
        <w:t xml:space="preserve"> que disponibilizam as informações sobre as contas públicas e orçamento de forma tempestiva, facilitando o acesso por parte da sociedade.</w:t>
      </w:r>
      <w:r>
        <w:rPr>
          <w:sz w:val="24"/>
          <w:szCs w:val="24"/>
        </w:rPr>
        <w:t xml:space="preserve"> </w:t>
      </w:r>
      <w:r w:rsidRPr="00392CEF">
        <w:rPr>
          <w:sz w:val="24"/>
          <w:szCs w:val="24"/>
        </w:rPr>
        <w:t>Os tribunais de contas também disponibilizam informações sobre a execução orçamentária, e na qualidade de órgãos técnicos, julgam os gastos dos administradores públicos.</w:t>
      </w:r>
    </w:p>
    <w:p w:rsidR="00B624A1" w:rsidRPr="00392CEF" w:rsidRDefault="00B624A1" w:rsidP="00B624A1">
      <w:pPr>
        <w:tabs>
          <w:tab w:val="left" w:pos="709"/>
        </w:tabs>
        <w:ind w:firstLine="709"/>
        <w:jc w:val="both"/>
        <w:rPr>
          <w:sz w:val="24"/>
          <w:szCs w:val="24"/>
        </w:rPr>
      </w:pPr>
      <w:r w:rsidRPr="00392CEF">
        <w:rPr>
          <w:sz w:val="24"/>
          <w:szCs w:val="24"/>
        </w:rPr>
        <w:t>Ainda sobre o acesso às informações por parte da população, cabe mencionar a Lei n° 12.527/11 (Lei de Acesso a Informação), em vigor desde 17 de maio de 2012. Para Rodrigues (2011), e</w:t>
      </w:r>
      <w:r>
        <w:rPr>
          <w:sz w:val="24"/>
          <w:szCs w:val="24"/>
        </w:rPr>
        <w:t xml:space="preserve">la </w:t>
      </w:r>
      <w:r w:rsidRPr="00392CEF">
        <w:rPr>
          <w:sz w:val="24"/>
          <w:szCs w:val="24"/>
        </w:rPr>
        <w:t>aproxima</w:t>
      </w:r>
      <w:r>
        <w:rPr>
          <w:sz w:val="24"/>
          <w:szCs w:val="24"/>
        </w:rPr>
        <w:t xml:space="preserve"> </w:t>
      </w:r>
      <w:r w:rsidRPr="00392CEF">
        <w:rPr>
          <w:sz w:val="24"/>
          <w:szCs w:val="24"/>
        </w:rPr>
        <w:t xml:space="preserve">o cidadão </w:t>
      </w:r>
      <w:r>
        <w:rPr>
          <w:sz w:val="24"/>
          <w:szCs w:val="24"/>
        </w:rPr>
        <w:t>d</w:t>
      </w:r>
      <w:r w:rsidRPr="00392CEF">
        <w:rPr>
          <w:sz w:val="24"/>
          <w:szCs w:val="24"/>
        </w:rPr>
        <w:t>o acesso às informações financeiras da gestão pública. O autor afirma que é a abertura do que sempre se teve como mais sigiloso, as contas públicas, com a intenção de evitar as inúmeras possibilidades de desvios e corrupções.</w:t>
      </w:r>
    </w:p>
    <w:p w:rsidR="00B624A1" w:rsidRPr="00392CEF" w:rsidRDefault="00B624A1" w:rsidP="00B624A1">
      <w:pPr>
        <w:tabs>
          <w:tab w:val="left" w:pos="709"/>
        </w:tabs>
        <w:ind w:firstLine="709"/>
        <w:jc w:val="both"/>
        <w:rPr>
          <w:sz w:val="24"/>
          <w:szCs w:val="24"/>
        </w:rPr>
      </w:pPr>
      <w:r w:rsidRPr="00392CEF">
        <w:rPr>
          <w:sz w:val="24"/>
          <w:szCs w:val="24"/>
        </w:rPr>
        <w:t>O acesso às contas públicas facilita a fiscalização e promove a participação popular. O gerenciamento dos recursos públicos</w:t>
      </w:r>
      <w:r>
        <w:rPr>
          <w:sz w:val="24"/>
          <w:szCs w:val="24"/>
        </w:rPr>
        <w:t xml:space="preserve"> </w:t>
      </w:r>
      <w:r w:rsidRPr="00392CEF">
        <w:rPr>
          <w:sz w:val="24"/>
          <w:szCs w:val="24"/>
        </w:rPr>
        <w:t>exige cada vez mais atenção dos gestores e informações pontuais da contabilidade, para tomada de decisão. Nos últimos 10 anos, de acordo com Fabre e Bonfante (2017), os temas mais pesquisados na área de contabilidade pública foram: 1)</w:t>
      </w:r>
      <w:r w:rsidRPr="00392CEF">
        <w:rPr>
          <w:color w:val="000000"/>
          <w:sz w:val="24"/>
          <w:szCs w:val="24"/>
        </w:rPr>
        <w:t xml:space="preserve"> Plano de contas, registros e evidenciação obrigatória; 2) Custos e despesa; 3) Accountability e transparência. </w:t>
      </w:r>
      <w:r w:rsidR="00E91669">
        <w:rPr>
          <w:color w:val="000000"/>
          <w:sz w:val="24"/>
          <w:szCs w:val="24"/>
        </w:rPr>
        <w:t>Assim, para</w:t>
      </w:r>
      <w:r w:rsidRPr="00392CEF">
        <w:rPr>
          <w:sz w:val="24"/>
          <w:szCs w:val="24"/>
        </w:rPr>
        <w:t xml:space="preserve"> Raupp (2011), existe uma falha na administração pública que precisa ser corrigida, o próprio governo municipal ignora os custos dos processos de trabalho governamentais, desconhece onde há desperdício ou eficiência dos recursos que aplica.</w:t>
      </w:r>
    </w:p>
    <w:p w:rsidR="00B624A1" w:rsidRPr="00392CEF" w:rsidRDefault="00B624A1" w:rsidP="00B624A1">
      <w:pPr>
        <w:pStyle w:val="Ttulo3"/>
        <w:spacing w:line="240" w:lineRule="auto"/>
        <w:rPr>
          <w:rFonts w:ascii="Times New Roman" w:hAnsi="Times New Roman" w:cs="Times New Roman"/>
          <w:b w:val="0"/>
          <w:szCs w:val="24"/>
        </w:rPr>
      </w:pPr>
      <w:r w:rsidRPr="00392CEF">
        <w:rPr>
          <w:rFonts w:ascii="Times New Roman" w:hAnsi="Times New Roman" w:cs="Times New Roman"/>
          <w:szCs w:val="24"/>
        </w:rPr>
        <w:tab/>
      </w:r>
      <w:r w:rsidRPr="00392CEF">
        <w:rPr>
          <w:rFonts w:ascii="Times New Roman" w:hAnsi="Times New Roman" w:cs="Times New Roman"/>
          <w:b w:val="0"/>
          <w:szCs w:val="24"/>
        </w:rPr>
        <w:t>Isso é perceptível atualmente, quando notícias sobre o mau uso dos recursos públicos tomam a mídia diariamente. No caso das despesas públicas com deslocamento de servidores a serviço, manchetes como as publicadas por Gazeta do Povo (2015), MPSC (2016), A Hora (2017), G1 (2017) e Diário Catarinense (2017), revelam que algo está errado. Apesar disso, as notícias não apresentam um comparativo destes gastos com as demais despesas ou receitas públicas.</w:t>
      </w:r>
    </w:p>
    <w:p w:rsidR="00B624A1" w:rsidRPr="00392CEF" w:rsidRDefault="00B624A1" w:rsidP="00B624A1">
      <w:pPr>
        <w:jc w:val="both"/>
        <w:rPr>
          <w:sz w:val="24"/>
          <w:szCs w:val="24"/>
        </w:rPr>
      </w:pPr>
      <w:r w:rsidRPr="00392CEF">
        <w:rPr>
          <w:sz w:val="24"/>
          <w:szCs w:val="24"/>
        </w:rPr>
        <w:tab/>
        <w:t>Os Tribunais de Contas têm papel importante na investigação das despesas públicas. Em 2015, o Tribunal de Contas do Paraná (TCPR), notificou 45 prefeituras e câmaras de vereadores por abuso de gastos com diárias. A operação denominada "pente fino", foi noticiada no jornal Gazeta do Povo (2015), que apresentou dados com nome das prefeituras e valores totais gastos. Conforme descrito na matéria jornalística,</w:t>
      </w:r>
      <w:r>
        <w:rPr>
          <w:sz w:val="24"/>
          <w:szCs w:val="24"/>
        </w:rPr>
        <w:t xml:space="preserve"> </w:t>
      </w:r>
      <w:r w:rsidRPr="00392CEF">
        <w:rPr>
          <w:sz w:val="24"/>
          <w:szCs w:val="24"/>
        </w:rPr>
        <w:t xml:space="preserve">"prefeitos de 18 municípios emitiram 1.330 diárias" em 2014, "somando R$ 565 mil em gastos". </w:t>
      </w:r>
      <w:r>
        <w:rPr>
          <w:sz w:val="24"/>
          <w:szCs w:val="24"/>
        </w:rPr>
        <w:t>Ainda segundo o Jornal, o</w:t>
      </w:r>
      <w:r w:rsidRPr="00392CEF">
        <w:rPr>
          <w:sz w:val="24"/>
          <w:szCs w:val="24"/>
        </w:rPr>
        <w:t>utras "27 Câmaras foram notificadas – três por excesso de viagens por pessoa e 24 por gastos com diárias acima de 7% do orçamento das Casas", foram mais de R$ 3,7 milhões em diárias.</w:t>
      </w:r>
    </w:p>
    <w:p w:rsidR="00B624A1" w:rsidRPr="00392CEF" w:rsidRDefault="00B624A1" w:rsidP="00B624A1">
      <w:pPr>
        <w:jc w:val="both"/>
        <w:rPr>
          <w:sz w:val="24"/>
          <w:szCs w:val="24"/>
        </w:rPr>
      </w:pPr>
      <w:r w:rsidRPr="00392CEF">
        <w:rPr>
          <w:sz w:val="24"/>
          <w:szCs w:val="24"/>
        </w:rPr>
        <w:tab/>
        <w:t>O Ministério Público de Santa Catarina (MPSC) já instaurou inquérito civil contra alguns vereadores por abuso no recebimento de diárias, mediante denúncia não identificada de cidadãos. A quantidade e valores anuais despendidos para realização de vários cursos em uma mesma instituição foram considerados duvidosos. O Promotor Cozza Bruno, revelou que a legislação atual é "genérica” e não limita gastos, nem cobra justificativas pertinentes. Na matéria veiculada, ele afirma que “</w:t>
      </w:r>
      <w:r>
        <w:rPr>
          <w:sz w:val="24"/>
          <w:szCs w:val="24"/>
        </w:rPr>
        <w:t>f</w:t>
      </w:r>
      <w:r w:rsidRPr="00392CEF">
        <w:rPr>
          <w:sz w:val="24"/>
          <w:szCs w:val="24"/>
        </w:rPr>
        <w:t>alta transparência</w:t>
      </w:r>
      <w:r>
        <w:rPr>
          <w:sz w:val="24"/>
          <w:szCs w:val="24"/>
        </w:rPr>
        <w:t>” e que “a legislação não determina que sejam motivadas”, autorizando o presidente ao pagamento de diárias sem maiores justificativas</w:t>
      </w:r>
      <w:r w:rsidRPr="00392CEF">
        <w:rPr>
          <w:sz w:val="24"/>
          <w:szCs w:val="24"/>
        </w:rPr>
        <w:t xml:space="preserve"> (MPSC, 2016). Segundo A Hora (2017), que noticiou este mesmo caso, somente "dois vereadores investigados gastaram juntos em 2016 um total de R$ 24,8 mil em diárias".</w:t>
      </w:r>
    </w:p>
    <w:p w:rsidR="00B624A1" w:rsidRPr="00392CEF" w:rsidRDefault="00B624A1" w:rsidP="00B624A1">
      <w:pPr>
        <w:jc w:val="both"/>
        <w:rPr>
          <w:sz w:val="24"/>
          <w:szCs w:val="24"/>
        </w:rPr>
      </w:pPr>
      <w:r w:rsidRPr="00392CEF">
        <w:rPr>
          <w:sz w:val="24"/>
          <w:szCs w:val="24"/>
        </w:rPr>
        <w:tab/>
        <w:t xml:space="preserve">As normas que regem a contabilidade pública estabelecem como etapas da despesa pública a fixação, empenho, liquidação e pagamento. Ocorre que no caso das diárias, o pedido deve ser feito pelo servidor interessado, apreciado e aprovado pelo gestor responsável, para posteriormente ser empenhado (antes da data da viagem). Mas em alguns casos, além do abuso </w:t>
      </w:r>
      <w:r w:rsidRPr="00392CEF">
        <w:rPr>
          <w:sz w:val="24"/>
          <w:szCs w:val="24"/>
        </w:rPr>
        <w:lastRenderedPageBreak/>
        <w:t>nos gastos, nem mesmo as etapas da despesa estão sendo respeitadas. O G1 (2017) noticiou em maio de 2017, o caso do município de Iguatemi - MS, que segundo o promotor de justiça Thiago Barbosa da Silva, empenhava as diárias antes mesmo do pedido ser realizado, ele afirma que "diárias deixaram de ser uma verba indenizatória para serem uma verba remuneratória", que representa</w:t>
      </w:r>
      <w:r>
        <w:rPr>
          <w:sz w:val="24"/>
          <w:szCs w:val="24"/>
        </w:rPr>
        <w:t>m</w:t>
      </w:r>
      <w:r w:rsidRPr="00392CEF">
        <w:rPr>
          <w:sz w:val="24"/>
          <w:szCs w:val="24"/>
        </w:rPr>
        <w:t xml:space="preserve"> um incremento em torno de 25% do salário dos vereadores.</w:t>
      </w:r>
    </w:p>
    <w:p w:rsidR="00B624A1" w:rsidRPr="00392CEF" w:rsidRDefault="00B624A1" w:rsidP="00B624A1">
      <w:pPr>
        <w:tabs>
          <w:tab w:val="left" w:pos="709"/>
        </w:tabs>
        <w:jc w:val="both"/>
        <w:rPr>
          <w:sz w:val="24"/>
          <w:szCs w:val="24"/>
        </w:rPr>
      </w:pPr>
      <w:r w:rsidRPr="00392CEF">
        <w:rPr>
          <w:sz w:val="24"/>
          <w:szCs w:val="24"/>
        </w:rPr>
        <w:tab/>
        <w:t xml:space="preserve">A temática desta pesquisa </w:t>
      </w:r>
      <w:r>
        <w:rPr>
          <w:sz w:val="24"/>
          <w:szCs w:val="24"/>
        </w:rPr>
        <w:t>carece de</w:t>
      </w:r>
      <w:r w:rsidRPr="00392CEF">
        <w:rPr>
          <w:sz w:val="24"/>
          <w:szCs w:val="24"/>
        </w:rPr>
        <w:t xml:space="preserve"> literatura acadêmica, </w:t>
      </w:r>
      <w:r>
        <w:rPr>
          <w:sz w:val="24"/>
          <w:szCs w:val="24"/>
        </w:rPr>
        <w:t xml:space="preserve">pois o assunto </w:t>
      </w:r>
      <w:r w:rsidRPr="00392CEF">
        <w:rPr>
          <w:sz w:val="24"/>
          <w:szCs w:val="24"/>
        </w:rPr>
        <w:t xml:space="preserve">tem </w:t>
      </w:r>
      <w:r>
        <w:rPr>
          <w:sz w:val="24"/>
          <w:szCs w:val="24"/>
        </w:rPr>
        <w:t>ganho</w:t>
      </w:r>
      <w:r w:rsidRPr="00392CEF">
        <w:rPr>
          <w:sz w:val="24"/>
          <w:szCs w:val="24"/>
        </w:rPr>
        <w:t xml:space="preserve"> o interesse dos cidadãos e dos diversos canais de comunicação, nos últimos anos. Em matéria jornalística do Diário Catarinenses (2017), assinada por Hyury Potter, foi revelado um levantamento das diárias no poder legislativo estadual, feito de 2011 a 2016.  Foram 67 mil viagens informadas no portal de transparência da Assembléia Legislativa de Santa Catarina (ALESC), R$ 7,6 milhões gastos apenas em 2016, no período todo foram mais de R$ 61 milhões em diárias. O curioso do texto foi a revelação de que a maioria das diárias é fornecida para períodos de feriados e férias parlamentares, o comparativo por número de servidor, revelou que a cada R$ 1 gasto no Congresso Nacional, a ALESC desembolsou R$ 14,50 com a mesma finalidade em 2016.</w:t>
      </w:r>
    </w:p>
    <w:p w:rsidR="00B624A1" w:rsidRPr="00392CEF" w:rsidRDefault="00B624A1" w:rsidP="00B624A1">
      <w:pPr>
        <w:tabs>
          <w:tab w:val="left" w:pos="709"/>
        </w:tabs>
        <w:jc w:val="both"/>
        <w:rPr>
          <w:sz w:val="24"/>
          <w:szCs w:val="24"/>
        </w:rPr>
      </w:pPr>
      <w:r w:rsidRPr="00392CEF">
        <w:rPr>
          <w:sz w:val="24"/>
          <w:szCs w:val="24"/>
        </w:rPr>
        <w:tab/>
        <w:t xml:space="preserve">Os gastos com diárias e passagens, representam um valor expressivo de recursos público que podem estar sendo utilizados para cometer atos de improbidade administrativa. A ciência contábil possui ferramentas que auxiliam no levantamento das informações e na interpretação, para melhorar a tomada de decisão. </w:t>
      </w:r>
      <w:bookmarkEnd w:id="6"/>
      <w:r>
        <w:rPr>
          <w:sz w:val="24"/>
          <w:szCs w:val="24"/>
        </w:rPr>
        <w:t>Porém, a</w:t>
      </w:r>
      <w:r w:rsidRPr="00392CEF">
        <w:rPr>
          <w:sz w:val="24"/>
          <w:szCs w:val="24"/>
        </w:rPr>
        <w:t xml:space="preserve"> nomenclatura utilizada na contabilidade pública pode confundir o leitor. Fabre, Schlup e Pandini (2017), </w:t>
      </w:r>
      <w:r>
        <w:rPr>
          <w:sz w:val="24"/>
          <w:szCs w:val="24"/>
        </w:rPr>
        <w:t xml:space="preserve">explicam </w:t>
      </w:r>
      <w:r w:rsidRPr="00392CEF">
        <w:rPr>
          <w:sz w:val="24"/>
          <w:szCs w:val="24"/>
        </w:rPr>
        <w:t>que</w:t>
      </w:r>
      <w:r>
        <w:rPr>
          <w:sz w:val="24"/>
          <w:szCs w:val="24"/>
        </w:rPr>
        <w:t xml:space="preserve"> </w:t>
      </w:r>
      <w:r w:rsidRPr="00392CEF">
        <w:rPr>
          <w:sz w:val="24"/>
          <w:szCs w:val="24"/>
        </w:rPr>
        <w:t>" na contabilidade pública, o conceito de gasto coincide com o termo despesa orçamentária, utilizado na normatização da área, para estruturação de plano de contas e demonstrativos contábeis públicos". Assim, as contas denominadas despesas públicas, na verdade envolvem todos os gastos, sejam eles classificados como custos, despesas ou investimentos (nomenclatura utilizada pela contabilidade de custos). Para efeitos desta pesquisa, gastos e despesas públicas são considerados sinônimos.</w:t>
      </w:r>
    </w:p>
    <w:p w:rsidR="00B624A1" w:rsidRDefault="00B624A1" w:rsidP="00B624A1">
      <w:pPr>
        <w:tabs>
          <w:tab w:val="left" w:pos="709"/>
        </w:tabs>
        <w:ind w:firstLine="709"/>
        <w:contextualSpacing/>
        <w:jc w:val="both"/>
        <w:rPr>
          <w:sz w:val="24"/>
          <w:szCs w:val="24"/>
        </w:rPr>
      </w:pPr>
      <w:r w:rsidRPr="00392CEF">
        <w:rPr>
          <w:sz w:val="24"/>
          <w:szCs w:val="24"/>
        </w:rPr>
        <w:t>A definição de despesa pública está relacionada ao conjunto de dispêndios da entidade governamental</w:t>
      </w:r>
      <w:r>
        <w:rPr>
          <w:sz w:val="24"/>
          <w:szCs w:val="24"/>
        </w:rPr>
        <w:t>,</w:t>
      </w:r>
      <w:r w:rsidRPr="00392CEF">
        <w:rPr>
          <w:sz w:val="24"/>
          <w:szCs w:val="24"/>
        </w:rPr>
        <w:t xml:space="preserve"> necessária para manter o funcionamento dos serviços públicos, </w:t>
      </w:r>
      <w:r>
        <w:rPr>
          <w:sz w:val="24"/>
          <w:szCs w:val="24"/>
        </w:rPr>
        <w:t>e</w:t>
      </w:r>
      <w:r w:rsidRPr="00392CEF">
        <w:rPr>
          <w:sz w:val="24"/>
          <w:szCs w:val="24"/>
        </w:rPr>
        <w:t xml:space="preserve"> compreendem as autorizações para gastos com as funções e atribuições do Estado (L</w:t>
      </w:r>
      <w:r w:rsidR="00E91669">
        <w:rPr>
          <w:sz w:val="24"/>
          <w:szCs w:val="24"/>
        </w:rPr>
        <w:t>ima</w:t>
      </w:r>
      <w:r w:rsidRPr="00392CEF">
        <w:rPr>
          <w:sz w:val="24"/>
          <w:szCs w:val="24"/>
        </w:rPr>
        <w:t>, 2009).</w:t>
      </w:r>
      <w:r>
        <w:rPr>
          <w:sz w:val="24"/>
          <w:szCs w:val="24"/>
        </w:rPr>
        <w:t xml:space="preserve"> T</w:t>
      </w:r>
      <w:r w:rsidRPr="00392CEF">
        <w:rPr>
          <w:sz w:val="24"/>
          <w:szCs w:val="24"/>
        </w:rPr>
        <w:t>ambém são conceituadas como os recursos fixados em normas legais, destinados à prestação dos serviços públicos e ao aumento do patrimônio (K</w:t>
      </w:r>
      <w:r w:rsidR="00E91669">
        <w:rPr>
          <w:sz w:val="24"/>
          <w:szCs w:val="24"/>
        </w:rPr>
        <w:t>ohama</w:t>
      </w:r>
      <w:r w:rsidRPr="00392CEF">
        <w:rPr>
          <w:sz w:val="24"/>
          <w:szCs w:val="24"/>
        </w:rPr>
        <w:t xml:space="preserve">, 2008). </w:t>
      </w:r>
    </w:p>
    <w:p w:rsidR="00E91669" w:rsidRPr="00392CEF" w:rsidRDefault="00E91669" w:rsidP="00B624A1">
      <w:pPr>
        <w:tabs>
          <w:tab w:val="left" w:pos="709"/>
        </w:tabs>
        <w:ind w:firstLine="709"/>
        <w:contextualSpacing/>
        <w:jc w:val="both"/>
        <w:rPr>
          <w:sz w:val="24"/>
          <w:szCs w:val="24"/>
        </w:rPr>
      </w:pP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rPr>
          <w:b/>
        </w:rPr>
      </w:pPr>
      <w:r w:rsidRPr="00BE222D">
        <w:rPr>
          <w:b/>
        </w:rPr>
        <w:t>AA. BB. CC. DDD. EEE. F. GGGG. H. I. JJ. LL. MM. NNNN</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AA</w:t>
      </w:r>
      <w:r w:rsidRPr="00BE222D">
        <w:t xml:space="preserve"> - Órgão</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BB</w:t>
      </w:r>
      <w:r w:rsidRPr="00BE222D">
        <w:t xml:space="preserve"> - Unidade</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CC</w:t>
      </w:r>
      <w:r w:rsidRPr="00BE222D">
        <w:t xml:space="preserve"> - Função</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DDD</w:t>
      </w:r>
      <w:r w:rsidRPr="00BE222D">
        <w:t xml:space="preserve"> - Subfunção</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EEE</w:t>
      </w:r>
      <w:r w:rsidRPr="00BE222D">
        <w:t xml:space="preserve"> - Programa</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 xml:space="preserve">F </w:t>
      </w:r>
      <w:r w:rsidRPr="00BE222D">
        <w:t xml:space="preserve">- Projeto, atividade ou operação especial </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GGGG</w:t>
      </w:r>
      <w:r w:rsidRPr="00BE222D">
        <w:t xml:space="preserve"> - Nº do P/A/OE</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 xml:space="preserve">H </w:t>
      </w:r>
      <w:r w:rsidRPr="00BE222D">
        <w:t>- Categoria Econômica</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 xml:space="preserve">I </w:t>
      </w:r>
      <w:r w:rsidRPr="00BE222D">
        <w:t>- Grupo de natureza da despesa</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 xml:space="preserve">JJ </w:t>
      </w:r>
      <w:r w:rsidRPr="00BE222D">
        <w:t>- Modalidade de aplicação</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LL</w:t>
      </w:r>
      <w:r w:rsidRPr="00BE222D">
        <w:t xml:space="preserve"> - Elemento de despesa</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MM</w:t>
      </w:r>
      <w:r w:rsidRPr="00BE222D">
        <w:t xml:space="preserve"> - Desdobramento do elemento</w:t>
      </w:r>
    </w:p>
    <w:p w:rsidR="00E91669" w:rsidRPr="00BE222D" w:rsidRDefault="00E91669" w:rsidP="00E91669">
      <w:pPr>
        <w:pBdr>
          <w:top w:val="single" w:sz="4" w:space="1" w:color="auto"/>
          <w:left w:val="single" w:sz="4" w:space="4" w:color="auto"/>
          <w:bottom w:val="single" w:sz="4" w:space="1" w:color="auto"/>
          <w:right w:val="single" w:sz="4" w:space="1" w:color="auto"/>
        </w:pBdr>
        <w:ind w:firstLine="284"/>
        <w:contextualSpacing/>
        <w:jc w:val="both"/>
      </w:pPr>
      <w:r w:rsidRPr="00BE222D">
        <w:rPr>
          <w:b/>
        </w:rPr>
        <w:t xml:space="preserve">NNNN </w:t>
      </w:r>
      <w:r w:rsidRPr="00BE222D">
        <w:t>– Fonte de Recursos</w:t>
      </w:r>
    </w:p>
    <w:p w:rsidR="00E91669" w:rsidRPr="00392CEF" w:rsidRDefault="00E91669" w:rsidP="00E91669">
      <w:pPr>
        <w:pStyle w:val="Legenda"/>
        <w:spacing w:line="240" w:lineRule="auto"/>
        <w:ind w:firstLine="0"/>
        <w:jc w:val="left"/>
        <w:rPr>
          <w:sz w:val="24"/>
          <w:szCs w:val="24"/>
        </w:rPr>
      </w:pPr>
      <w:r w:rsidRPr="00E5698C">
        <w:rPr>
          <w:bCs w:val="0"/>
        </w:rPr>
        <w:t>Figura 1.</w:t>
      </w:r>
      <w:r w:rsidRPr="00392CEF">
        <w:rPr>
          <w:b w:val="0"/>
          <w:bCs w:val="0"/>
        </w:rPr>
        <w:t xml:space="preserve"> Representação da classificação da despesa pública orçamentária</w:t>
      </w:r>
      <w:r w:rsidRPr="00392CEF">
        <w:rPr>
          <w:sz w:val="24"/>
          <w:szCs w:val="24"/>
        </w:rPr>
        <w:tab/>
      </w:r>
    </w:p>
    <w:p w:rsidR="00E91669" w:rsidRPr="00392CEF" w:rsidRDefault="00E91669" w:rsidP="00E91669">
      <w:r w:rsidRPr="00392CEF">
        <w:t xml:space="preserve">Fonte: Elaborada pelos autores </w:t>
      </w:r>
    </w:p>
    <w:p w:rsidR="00B624A1" w:rsidRPr="00392CEF" w:rsidRDefault="00B624A1" w:rsidP="00B624A1">
      <w:pPr>
        <w:ind w:firstLine="709"/>
        <w:contextualSpacing/>
        <w:jc w:val="both"/>
        <w:rPr>
          <w:sz w:val="24"/>
          <w:szCs w:val="24"/>
        </w:rPr>
      </w:pPr>
      <w:r w:rsidRPr="00392CEF">
        <w:rPr>
          <w:sz w:val="24"/>
          <w:szCs w:val="24"/>
        </w:rPr>
        <w:lastRenderedPageBreak/>
        <w:t>A classificação das despesas orçamentárias segue determinações jurídicas normativas da Secretaria do Tesouro Nacional (STN). O conjunto de classificações que dá origem a conta contábil analítica é também chamado de dotação orçamentária. É na dotação orçamentária específica que são registrados todos os gastos com determinada despesa.</w:t>
      </w:r>
    </w:p>
    <w:p w:rsidR="00B624A1" w:rsidRPr="00392CEF" w:rsidRDefault="00B624A1" w:rsidP="00B624A1">
      <w:pPr>
        <w:ind w:firstLine="709"/>
        <w:contextualSpacing/>
        <w:jc w:val="both"/>
        <w:rPr>
          <w:sz w:val="24"/>
          <w:szCs w:val="24"/>
        </w:rPr>
      </w:pPr>
      <w:r w:rsidRPr="00392CEF">
        <w:rPr>
          <w:sz w:val="24"/>
          <w:szCs w:val="24"/>
        </w:rPr>
        <w:t>Em resumo, para os municípios de Santa Catarina, quanto a classificação da despesa pública orçamentária, as normas jurídicas que regem a matéria são: Lei Federal 4.320/64, Constituição Federal/88, Decreto Federal 2.829/98, Portaria SOF 42/99, Portaria Interministerial 163/01 e alterações, Portaria Conjunta 3/08 e alterações, e as Leis Orgânicas Municipais. A classificação da dotação orçamentária, pode ser representada pela Figura 1.</w:t>
      </w:r>
    </w:p>
    <w:p w:rsidR="00B624A1" w:rsidRPr="00392CEF" w:rsidRDefault="00B624A1" w:rsidP="00B624A1">
      <w:pPr>
        <w:tabs>
          <w:tab w:val="left" w:pos="709"/>
        </w:tabs>
        <w:ind w:firstLine="709"/>
        <w:contextualSpacing/>
        <w:jc w:val="both"/>
        <w:rPr>
          <w:sz w:val="24"/>
          <w:szCs w:val="24"/>
        </w:rPr>
      </w:pPr>
      <w:r>
        <w:rPr>
          <w:sz w:val="24"/>
          <w:szCs w:val="24"/>
        </w:rPr>
        <w:t xml:space="preserve">Entre as classificações quanto a Categoria Econômica, segundo a STN (2016), estão os Elementos de Despesa, dentre eles os classificados como Diárias Civis (elemento de número 14) e Passagens e Despesas com Locomoção (elemento de número 33). </w:t>
      </w:r>
      <w:r w:rsidRPr="00392CEF">
        <w:rPr>
          <w:sz w:val="24"/>
          <w:szCs w:val="24"/>
        </w:rPr>
        <w:t>As referidas contas de despesa são conceituadas</w:t>
      </w:r>
      <w:r>
        <w:rPr>
          <w:sz w:val="24"/>
          <w:szCs w:val="24"/>
        </w:rPr>
        <w:t xml:space="preserve"> </w:t>
      </w:r>
      <w:r w:rsidRPr="00392CEF">
        <w:rPr>
          <w:sz w:val="24"/>
          <w:szCs w:val="24"/>
        </w:rPr>
        <w:t>pelo Manual de Contabilidade Aplicado ao Setor Público (STN, 2016, p. 84 e 87) como:</w:t>
      </w:r>
    </w:p>
    <w:p w:rsidR="00B624A1" w:rsidRPr="00392CEF" w:rsidRDefault="00B624A1" w:rsidP="00B624A1">
      <w:pPr>
        <w:ind w:left="2268"/>
        <w:contextualSpacing/>
        <w:jc w:val="both"/>
      </w:pPr>
      <w:r w:rsidRPr="00392CEF">
        <w:t>14 - Diárias civis</w:t>
      </w:r>
    </w:p>
    <w:p w:rsidR="00B624A1" w:rsidRPr="00392CEF" w:rsidRDefault="00B624A1" w:rsidP="00B624A1">
      <w:pPr>
        <w:ind w:left="2268"/>
        <w:contextualSpacing/>
        <w:jc w:val="both"/>
      </w:pPr>
      <w:r w:rsidRPr="00392CEF">
        <w:t>Despesas orçamentárias com cobertura de alimentação, pousada e locomoção urbana, do servidor público estatutário ou celetista que se desloca de sua sede em objeto de serviço, em caráter eventual ou transitório, entendido como sede o Município onde a repartição estiver instalada e onde o servidor tiver exercício em caráter permanente.</w:t>
      </w:r>
    </w:p>
    <w:p w:rsidR="00B624A1" w:rsidRPr="00392CEF" w:rsidRDefault="00B624A1" w:rsidP="00B624A1">
      <w:pPr>
        <w:ind w:left="2268"/>
        <w:contextualSpacing/>
        <w:jc w:val="both"/>
      </w:pPr>
      <w:r w:rsidRPr="00392CEF">
        <w:t>...</w:t>
      </w:r>
    </w:p>
    <w:p w:rsidR="00B624A1" w:rsidRPr="00392CEF" w:rsidRDefault="00B624A1" w:rsidP="00B624A1">
      <w:pPr>
        <w:ind w:left="2268"/>
        <w:contextualSpacing/>
        <w:jc w:val="both"/>
      </w:pPr>
      <w:r w:rsidRPr="00392CEF">
        <w:t>33 – Passagens e Despesas com Locomoção</w:t>
      </w:r>
    </w:p>
    <w:p w:rsidR="00B624A1" w:rsidRPr="00392CEF" w:rsidRDefault="00B624A1" w:rsidP="00B624A1">
      <w:pPr>
        <w:ind w:left="2268"/>
        <w:contextualSpacing/>
        <w:jc w:val="both"/>
      </w:pPr>
      <w:r w:rsidRPr="00392CEF">
        <w:t>Despesas orçamentárias, realizadas diretamente ou por meio de empresa contratada, com aquisição de passagens (aéreas, terrestres, fluviais ou marítimas), taxas de embarque, seguros, fretamento, pedágios, locação ou uso de veículos para transporte de pessoas e suas respectivas bagagens, inclusive quando decorrentes de mudanças de domicílio no interesse da administração.</w:t>
      </w:r>
    </w:p>
    <w:p w:rsidR="00B624A1" w:rsidRDefault="00B624A1" w:rsidP="00B624A1">
      <w:pPr>
        <w:tabs>
          <w:tab w:val="left" w:pos="709"/>
        </w:tabs>
        <w:ind w:firstLine="709"/>
        <w:contextualSpacing/>
        <w:jc w:val="both"/>
        <w:rPr>
          <w:sz w:val="24"/>
          <w:szCs w:val="24"/>
        </w:rPr>
      </w:pPr>
    </w:p>
    <w:p w:rsidR="00B624A1" w:rsidRPr="00392CEF" w:rsidRDefault="00B624A1" w:rsidP="00B624A1">
      <w:pPr>
        <w:tabs>
          <w:tab w:val="left" w:pos="709"/>
        </w:tabs>
        <w:ind w:firstLine="709"/>
        <w:contextualSpacing/>
        <w:jc w:val="both"/>
      </w:pPr>
      <w:r w:rsidRPr="00392CEF">
        <w:rPr>
          <w:sz w:val="24"/>
          <w:szCs w:val="24"/>
        </w:rPr>
        <w:t>No tocante à</w:t>
      </w:r>
      <w:r>
        <w:rPr>
          <w:sz w:val="24"/>
          <w:szCs w:val="24"/>
        </w:rPr>
        <w:t xml:space="preserve"> </w:t>
      </w:r>
      <w:r w:rsidRPr="00392CEF">
        <w:rPr>
          <w:sz w:val="24"/>
          <w:szCs w:val="24"/>
        </w:rPr>
        <w:t xml:space="preserve">esta pesquisa, os elementos 14 e 33, pertencem </w:t>
      </w:r>
      <w:r>
        <w:rPr>
          <w:sz w:val="24"/>
          <w:szCs w:val="24"/>
        </w:rPr>
        <w:t>à</w:t>
      </w:r>
      <w:r w:rsidRPr="00392CEF">
        <w:rPr>
          <w:sz w:val="24"/>
          <w:szCs w:val="24"/>
        </w:rPr>
        <w:t>s Despesas</w:t>
      </w:r>
      <w:r>
        <w:rPr>
          <w:sz w:val="24"/>
          <w:szCs w:val="24"/>
        </w:rPr>
        <w:t xml:space="preserve"> </w:t>
      </w:r>
      <w:r w:rsidRPr="00392CEF">
        <w:rPr>
          <w:sz w:val="24"/>
          <w:szCs w:val="24"/>
        </w:rPr>
        <w:t>Correntes, portanto, não compõem o total de gastos com Pessoal, nem tão pouco são somados para fins de limite da despesa de pessoa definido na Lei 101/00 (Lei de Responsabilidade Fiscal). Para fins de tributação são consideradas despesas de caráter indenizatório e livre de tributação, a exceção</w:t>
      </w:r>
      <w:r>
        <w:rPr>
          <w:sz w:val="24"/>
          <w:szCs w:val="24"/>
        </w:rPr>
        <w:t xml:space="preserve"> </w:t>
      </w:r>
      <w:r w:rsidRPr="00392CEF">
        <w:rPr>
          <w:sz w:val="24"/>
          <w:szCs w:val="24"/>
        </w:rPr>
        <w:t xml:space="preserve">são as diárias que no mês ultrapassem 50% da remuneração do servidor beneficiário, sobre as quais incidirá imposto de renda. </w:t>
      </w:r>
    </w:p>
    <w:p w:rsidR="00B624A1" w:rsidRPr="00392CEF" w:rsidRDefault="00B624A1" w:rsidP="00B624A1">
      <w:pPr>
        <w:ind w:firstLine="709"/>
        <w:contextualSpacing/>
        <w:jc w:val="both"/>
        <w:rPr>
          <w:sz w:val="24"/>
          <w:szCs w:val="24"/>
        </w:rPr>
      </w:pPr>
      <w:r w:rsidRPr="00392CEF">
        <w:rPr>
          <w:sz w:val="24"/>
          <w:szCs w:val="24"/>
        </w:rPr>
        <w:t>Cabe destacar que no elemento de despesa 33 não são registradas as despesas com transporte coletivo habitual do servidor, destinado ao deslocamento casa-trabalho-casa, estas despesas têm elemento específico (49 - Auxílio transporte).</w:t>
      </w:r>
    </w:p>
    <w:p w:rsidR="00B624A1" w:rsidRPr="00392CEF" w:rsidRDefault="00B624A1" w:rsidP="00B624A1">
      <w:pPr>
        <w:ind w:firstLine="709"/>
        <w:contextualSpacing/>
        <w:jc w:val="both"/>
        <w:rPr>
          <w:sz w:val="24"/>
          <w:szCs w:val="24"/>
        </w:rPr>
      </w:pPr>
      <w:r w:rsidRPr="00392CEF">
        <w:rPr>
          <w:sz w:val="24"/>
          <w:szCs w:val="24"/>
        </w:rPr>
        <w:t>O gasto com deslocamento de servidores a serviço faz parte da rotina na administração pública, necessário para realização das atividades. Cabe aos servidores e principalmente aos administradores, a coerência na utilização de diárias e passagens, visando a boa gestão e otimização</w:t>
      </w:r>
      <w:r>
        <w:rPr>
          <w:sz w:val="24"/>
          <w:szCs w:val="24"/>
        </w:rPr>
        <w:t xml:space="preserve"> </w:t>
      </w:r>
      <w:r w:rsidRPr="00392CEF">
        <w:rPr>
          <w:sz w:val="24"/>
          <w:szCs w:val="24"/>
        </w:rPr>
        <w:t>dos recursos públicos.</w:t>
      </w:r>
    </w:p>
    <w:p w:rsidR="00B624A1" w:rsidRDefault="00B624A1" w:rsidP="00B624A1">
      <w:pPr>
        <w:widowControl w:val="0"/>
        <w:ind w:firstLine="709"/>
        <w:jc w:val="both"/>
        <w:rPr>
          <w:sz w:val="24"/>
          <w:szCs w:val="24"/>
        </w:rPr>
      </w:pPr>
      <w:r>
        <w:rPr>
          <w:sz w:val="24"/>
          <w:szCs w:val="24"/>
        </w:rPr>
        <w:t xml:space="preserve">As </w:t>
      </w:r>
      <w:r w:rsidRPr="00392CEF">
        <w:rPr>
          <w:sz w:val="24"/>
          <w:szCs w:val="24"/>
        </w:rPr>
        <w:t>despesas dos elementos 14 e 33, são normalmente registras na contabilidade quando os servidores se deslocam para participar de atividades como cursos, reuniões e participação em eventos nos quais estão a trabalho, representando a instituição de origem. Cada município possui</w:t>
      </w:r>
      <w:r>
        <w:rPr>
          <w:sz w:val="24"/>
          <w:szCs w:val="24"/>
        </w:rPr>
        <w:t xml:space="preserve"> </w:t>
      </w:r>
      <w:r w:rsidRPr="00392CEF">
        <w:rPr>
          <w:sz w:val="24"/>
          <w:szCs w:val="24"/>
        </w:rPr>
        <w:t>autonomia para legislar sobre o tema, estabelecendo regras, valores e limites. É comum que as normas jurídicas municipais vedem a concessão de diárias para deslocamentos a</w:t>
      </w:r>
      <w:r>
        <w:rPr>
          <w:sz w:val="24"/>
          <w:szCs w:val="24"/>
        </w:rPr>
        <w:t xml:space="preserve">os </w:t>
      </w:r>
      <w:r w:rsidRPr="00392CEF">
        <w:rPr>
          <w:sz w:val="24"/>
          <w:szCs w:val="24"/>
        </w:rPr>
        <w:t>municípios limítrofes e para deslocamentos com início e retorno no mesmo dia,</w:t>
      </w:r>
      <w:r>
        <w:rPr>
          <w:sz w:val="24"/>
          <w:szCs w:val="24"/>
        </w:rPr>
        <w:t xml:space="preserve"> </w:t>
      </w:r>
      <w:r w:rsidRPr="00392CEF">
        <w:rPr>
          <w:sz w:val="24"/>
          <w:szCs w:val="24"/>
        </w:rPr>
        <w:t>durante o horário de expediente do órgão público.</w:t>
      </w:r>
    </w:p>
    <w:p w:rsidR="00B624A1" w:rsidRPr="00392CEF" w:rsidRDefault="00B624A1" w:rsidP="00B624A1">
      <w:pPr>
        <w:ind w:firstLine="709"/>
        <w:contextualSpacing/>
        <w:jc w:val="both"/>
        <w:rPr>
          <w:sz w:val="24"/>
          <w:szCs w:val="24"/>
        </w:rPr>
      </w:pPr>
      <w:r w:rsidRPr="00392CEF">
        <w:rPr>
          <w:sz w:val="24"/>
          <w:szCs w:val="24"/>
        </w:rPr>
        <w:lastRenderedPageBreak/>
        <w:t xml:space="preserve"> </w:t>
      </w:r>
    </w:p>
    <w:p w:rsidR="00B624A1" w:rsidRPr="00E91669" w:rsidRDefault="00B624A1" w:rsidP="00E91669">
      <w:pPr>
        <w:jc w:val="both"/>
        <w:rPr>
          <w:b/>
          <w:sz w:val="24"/>
          <w:szCs w:val="24"/>
        </w:rPr>
      </w:pPr>
      <w:bookmarkStart w:id="7" w:name="_Toc465887049"/>
      <w:r w:rsidRPr="00E91669">
        <w:rPr>
          <w:b/>
          <w:sz w:val="24"/>
          <w:szCs w:val="24"/>
        </w:rPr>
        <w:t xml:space="preserve">3 Método e procedimentos da pesquisa </w:t>
      </w:r>
      <w:bookmarkEnd w:id="7"/>
    </w:p>
    <w:p w:rsidR="00E91669" w:rsidRDefault="00B624A1" w:rsidP="00E91669">
      <w:pPr>
        <w:ind w:firstLine="708"/>
        <w:jc w:val="both"/>
        <w:rPr>
          <w:sz w:val="24"/>
          <w:szCs w:val="24"/>
        </w:rPr>
      </w:pPr>
      <w:bookmarkStart w:id="8" w:name="_Toc444591073"/>
      <w:r w:rsidRPr="00E91669">
        <w:rPr>
          <w:sz w:val="24"/>
          <w:szCs w:val="24"/>
        </w:rPr>
        <w:t>Esta pesquisa possui abordagem quantitativa, objetivos exploratórios, com procedimentos de pesquisa participativa e levantamento de dados documentais.</w:t>
      </w:r>
      <w:bookmarkEnd w:id="8"/>
      <w:r w:rsidRPr="00E91669">
        <w:rPr>
          <w:sz w:val="24"/>
          <w:szCs w:val="24"/>
        </w:rPr>
        <w:t xml:space="preserve"> A intenção foi estudar os gastos públicos com </w:t>
      </w:r>
      <w:r w:rsidR="00E91669">
        <w:rPr>
          <w:sz w:val="24"/>
          <w:szCs w:val="24"/>
        </w:rPr>
        <w:t>deslocamento de servidores</w:t>
      </w:r>
      <w:r w:rsidRPr="00E91669">
        <w:rPr>
          <w:sz w:val="24"/>
          <w:szCs w:val="24"/>
        </w:rPr>
        <w:t xml:space="preserve"> dos pequenos municípios, aqui considerados aqueles com população inferior a 5.000 habitantes. </w:t>
      </w:r>
    </w:p>
    <w:p w:rsidR="00B624A1" w:rsidRPr="00E91669" w:rsidRDefault="00B624A1" w:rsidP="00E91669">
      <w:pPr>
        <w:ind w:firstLine="708"/>
        <w:jc w:val="both"/>
        <w:rPr>
          <w:sz w:val="24"/>
          <w:szCs w:val="24"/>
        </w:rPr>
      </w:pPr>
      <w:r w:rsidRPr="00E91669">
        <w:rPr>
          <w:sz w:val="24"/>
          <w:szCs w:val="24"/>
        </w:rPr>
        <w:t>A escolha foi pelos municípios que se encontram no território do estado de Santa Catarina, localizado na região sul do Brasil, pois alguns deles fazem parte do cotidiano profissional dos autores desta pesquisa. Da população de 108 pequenos municípios, apenas um deles (Santa Rosa do Sul), não compõem a amostra desta pesquisa, por não ter divulgado os dados oficiais até a data da coleta (2017).</w:t>
      </w:r>
    </w:p>
    <w:p w:rsidR="00B624A1" w:rsidRDefault="00B624A1" w:rsidP="00B624A1">
      <w:pPr>
        <w:pStyle w:val="Legenda"/>
        <w:spacing w:line="240" w:lineRule="auto"/>
        <w:ind w:firstLine="0"/>
        <w:jc w:val="center"/>
        <w:rPr>
          <w:b w:val="0"/>
          <w:bCs w:val="0"/>
        </w:rPr>
      </w:pPr>
    </w:p>
    <w:p w:rsidR="00E91669" w:rsidRDefault="00B624A1" w:rsidP="00E91669">
      <w:pPr>
        <w:pStyle w:val="Legenda"/>
        <w:spacing w:line="240" w:lineRule="auto"/>
        <w:ind w:firstLine="0"/>
        <w:jc w:val="left"/>
        <w:rPr>
          <w:b w:val="0"/>
          <w:bCs w:val="0"/>
        </w:rPr>
      </w:pPr>
      <w:r w:rsidRPr="00392CEF">
        <w:rPr>
          <w:b w:val="0"/>
          <w:bCs w:val="0"/>
        </w:rPr>
        <w:t>Tabela1</w:t>
      </w:r>
    </w:p>
    <w:p w:rsidR="00B624A1" w:rsidRPr="00392CEF" w:rsidRDefault="00B624A1" w:rsidP="00E91669">
      <w:pPr>
        <w:pStyle w:val="Legenda"/>
        <w:spacing w:line="240" w:lineRule="auto"/>
        <w:ind w:firstLine="0"/>
        <w:jc w:val="left"/>
        <w:rPr>
          <w:color w:val="000000"/>
          <w:sz w:val="24"/>
          <w:szCs w:val="24"/>
        </w:rPr>
      </w:pPr>
      <w:r w:rsidRPr="00392CEF">
        <w:rPr>
          <w:b w:val="0"/>
          <w:bCs w:val="0"/>
        </w:rPr>
        <w:t>Pequenos municípios de Santa Catarina</w:t>
      </w:r>
    </w:p>
    <w:tbl>
      <w:tblPr>
        <w:tblW w:w="0" w:type="auto"/>
        <w:tblLook w:val="04A0" w:firstRow="1" w:lastRow="0" w:firstColumn="1" w:lastColumn="0" w:noHBand="0" w:noVBand="1"/>
      </w:tblPr>
      <w:tblGrid>
        <w:gridCol w:w="1966"/>
        <w:gridCol w:w="1072"/>
        <w:gridCol w:w="1949"/>
        <w:gridCol w:w="1072"/>
        <w:gridCol w:w="1934"/>
        <w:gridCol w:w="1072"/>
      </w:tblGrid>
      <w:tr w:rsidR="00C91A5B" w:rsidRPr="00A81D68" w:rsidTr="00C91A5B">
        <w:trPr>
          <w:trHeight w:val="511"/>
        </w:trPr>
        <w:tc>
          <w:tcPr>
            <w:tcW w:w="2127" w:type="dxa"/>
            <w:tcBorders>
              <w:top w:val="single" w:sz="4" w:space="0" w:color="auto"/>
              <w:bottom w:val="single" w:sz="4" w:space="0" w:color="auto"/>
            </w:tcBorders>
            <w:vAlign w:val="center"/>
            <w:hideMark/>
          </w:tcPr>
          <w:p w:rsidR="00B624A1" w:rsidRPr="00A81D68" w:rsidRDefault="00B624A1" w:rsidP="003746AA">
            <w:pPr>
              <w:jc w:val="center"/>
              <w:rPr>
                <w:bCs/>
                <w:color w:val="000000"/>
              </w:rPr>
            </w:pPr>
            <w:r w:rsidRPr="00A81D68">
              <w:rPr>
                <w:bCs/>
                <w:color w:val="000000"/>
              </w:rPr>
              <w:t>Nome do Município</w:t>
            </w:r>
          </w:p>
        </w:tc>
        <w:tc>
          <w:tcPr>
            <w:tcW w:w="850" w:type="dxa"/>
            <w:tcBorders>
              <w:top w:val="single" w:sz="4" w:space="0" w:color="auto"/>
              <w:bottom w:val="single" w:sz="4" w:space="0" w:color="auto"/>
              <w:right w:val="single" w:sz="4" w:space="0" w:color="auto"/>
            </w:tcBorders>
            <w:vAlign w:val="center"/>
            <w:hideMark/>
          </w:tcPr>
          <w:p w:rsidR="00B624A1" w:rsidRPr="00A81D68" w:rsidRDefault="00B624A1" w:rsidP="003746AA">
            <w:pPr>
              <w:jc w:val="center"/>
              <w:rPr>
                <w:bCs/>
                <w:color w:val="000000"/>
              </w:rPr>
            </w:pPr>
            <w:r w:rsidRPr="00A81D68">
              <w:rPr>
                <w:bCs/>
                <w:color w:val="000000"/>
              </w:rPr>
              <w:t>Habitantes</w:t>
            </w:r>
          </w:p>
        </w:tc>
        <w:tc>
          <w:tcPr>
            <w:tcW w:w="2123" w:type="dxa"/>
            <w:tcBorders>
              <w:top w:val="single" w:sz="4" w:space="0" w:color="auto"/>
              <w:left w:val="single" w:sz="4" w:space="0" w:color="auto"/>
              <w:bottom w:val="single" w:sz="4" w:space="0" w:color="auto"/>
            </w:tcBorders>
            <w:vAlign w:val="center"/>
            <w:hideMark/>
          </w:tcPr>
          <w:p w:rsidR="00B624A1" w:rsidRPr="00A81D68" w:rsidRDefault="00B624A1" w:rsidP="003746AA">
            <w:pPr>
              <w:jc w:val="center"/>
              <w:rPr>
                <w:bCs/>
                <w:color w:val="000000"/>
              </w:rPr>
            </w:pPr>
            <w:r w:rsidRPr="00A81D68">
              <w:rPr>
                <w:bCs/>
                <w:color w:val="000000"/>
              </w:rPr>
              <w:t>Nome do Município</w:t>
            </w:r>
          </w:p>
        </w:tc>
        <w:tc>
          <w:tcPr>
            <w:tcW w:w="1005" w:type="dxa"/>
            <w:tcBorders>
              <w:top w:val="single" w:sz="4" w:space="0" w:color="auto"/>
              <w:bottom w:val="single" w:sz="4" w:space="0" w:color="auto"/>
              <w:right w:val="single" w:sz="4" w:space="0" w:color="auto"/>
            </w:tcBorders>
            <w:vAlign w:val="center"/>
            <w:hideMark/>
          </w:tcPr>
          <w:p w:rsidR="00B624A1" w:rsidRPr="00A81D68" w:rsidRDefault="00B624A1" w:rsidP="003746AA">
            <w:pPr>
              <w:jc w:val="center"/>
              <w:rPr>
                <w:bCs/>
                <w:color w:val="000000"/>
              </w:rPr>
            </w:pPr>
            <w:r w:rsidRPr="00A81D68">
              <w:rPr>
                <w:bCs/>
                <w:color w:val="000000"/>
              </w:rPr>
              <w:t>Habitantes</w:t>
            </w:r>
          </w:p>
        </w:tc>
        <w:tc>
          <w:tcPr>
            <w:tcW w:w="1934" w:type="dxa"/>
            <w:tcBorders>
              <w:top w:val="single" w:sz="4" w:space="0" w:color="auto"/>
              <w:left w:val="single" w:sz="4" w:space="0" w:color="auto"/>
              <w:bottom w:val="single" w:sz="4" w:space="0" w:color="auto"/>
            </w:tcBorders>
            <w:vAlign w:val="center"/>
            <w:hideMark/>
          </w:tcPr>
          <w:p w:rsidR="00B624A1" w:rsidRPr="00A81D68" w:rsidRDefault="00B624A1" w:rsidP="003746AA">
            <w:pPr>
              <w:jc w:val="center"/>
              <w:rPr>
                <w:bCs/>
                <w:color w:val="000000"/>
              </w:rPr>
            </w:pPr>
            <w:r w:rsidRPr="00A81D68">
              <w:rPr>
                <w:bCs/>
                <w:color w:val="000000"/>
              </w:rPr>
              <w:t>Nome do Município</w:t>
            </w:r>
          </w:p>
        </w:tc>
        <w:tc>
          <w:tcPr>
            <w:tcW w:w="1026" w:type="dxa"/>
            <w:tcBorders>
              <w:top w:val="single" w:sz="4" w:space="0" w:color="auto"/>
              <w:bottom w:val="single" w:sz="4" w:space="0" w:color="auto"/>
            </w:tcBorders>
            <w:vAlign w:val="center"/>
            <w:hideMark/>
          </w:tcPr>
          <w:p w:rsidR="00B624A1" w:rsidRPr="00A81D68" w:rsidRDefault="00C91A5B" w:rsidP="00C91A5B">
            <w:pPr>
              <w:rPr>
                <w:bCs/>
                <w:color w:val="000000"/>
              </w:rPr>
            </w:pPr>
            <w:r>
              <w:rPr>
                <w:bCs/>
                <w:color w:val="000000"/>
              </w:rPr>
              <w:t>H</w:t>
            </w:r>
            <w:r w:rsidR="00B624A1" w:rsidRPr="00A81D68">
              <w:rPr>
                <w:bCs/>
                <w:color w:val="000000"/>
              </w:rPr>
              <w:t>abitantes</w:t>
            </w:r>
          </w:p>
        </w:tc>
      </w:tr>
      <w:tr w:rsidR="00A81D68" w:rsidRPr="00E91669" w:rsidTr="00C91A5B">
        <w:trPr>
          <w:trHeight w:val="284"/>
        </w:trPr>
        <w:tc>
          <w:tcPr>
            <w:tcW w:w="2127" w:type="dxa"/>
            <w:tcBorders>
              <w:top w:val="single" w:sz="4" w:space="0" w:color="auto"/>
            </w:tcBorders>
            <w:hideMark/>
          </w:tcPr>
          <w:p w:rsidR="00B624A1" w:rsidRPr="00E91669" w:rsidRDefault="00B624A1" w:rsidP="003746AA">
            <w:pPr>
              <w:rPr>
                <w:color w:val="000000"/>
              </w:rPr>
            </w:pPr>
            <w:r w:rsidRPr="00E91669">
              <w:rPr>
                <w:color w:val="000000"/>
              </w:rPr>
              <w:t>Santiago do Sul</w:t>
            </w:r>
          </w:p>
        </w:tc>
        <w:tc>
          <w:tcPr>
            <w:tcW w:w="850" w:type="dxa"/>
            <w:tcBorders>
              <w:top w:val="single" w:sz="4" w:space="0" w:color="auto"/>
              <w:right w:val="single" w:sz="4" w:space="0" w:color="auto"/>
            </w:tcBorders>
            <w:hideMark/>
          </w:tcPr>
          <w:p w:rsidR="00B624A1" w:rsidRPr="00E91669" w:rsidRDefault="00B624A1" w:rsidP="003746AA">
            <w:pPr>
              <w:jc w:val="center"/>
              <w:rPr>
                <w:color w:val="000000"/>
              </w:rPr>
            </w:pPr>
            <w:r w:rsidRPr="00E91669">
              <w:rPr>
                <w:color w:val="000000"/>
              </w:rPr>
              <w:t>1.465</w:t>
            </w:r>
          </w:p>
        </w:tc>
        <w:tc>
          <w:tcPr>
            <w:tcW w:w="2123" w:type="dxa"/>
            <w:tcBorders>
              <w:top w:val="single" w:sz="4" w:space="0" w:color="auto"/>
              <w:left w:val="single" w:sz="4" w:space="0" w:color="auto"/>
            </w:tcBorders>
            <w:hideMark/>
          </w:tcPr>
          <w:p w:rsidR="00B624A1" w:rsidRPr="00E91669" w:rsidRDefault="00B624A1" w:rsidP="003746AA">
            <w:pPr>
              <w:rPr>
                <w:color w:val="000000"/>
              </w:rPr>
            </w:pPr>
            <w:r w:rsidRPr="00E91669">
              <w:rPr>
                <w:color w:val="000000"/>
              </w:rPr>
              <w:t>São Bernardino</w:t>
            </w:r>
          </w:p>
        </w:tc>
        <w:tc>
          <w:tcPr>
            <w:tcW w:w="1005" w:type="dxa"/>
            <w:tcBorders>
              <w:top w:val="single" w:sz="4" w:space="0" w:color="auto"/>
              <w:right w:val="single" w:sz="4" w:space="0" w:color="auto"/>
            </w:tcBorders>
            <w:hideMark/>
          </w:tcPr>
          <w:p w:rsidR="00B624A1" w:rsidRPr="00E91669" w:rsidRDefault="00B624A1" w:rsidP="003746AA">
            <w:pPr>
              <w:jc w:val="center"/>
              <w:rPr>
                <w:color w:val="000000"/>
              </w:rPr>
            </w:pPr>
            <w:r w:rsidRPr="00E91669">
              <w:rPr>
                <w:color w:val="000000"/>
              </w:rPr>
              <w:t>2.677</w:t>
            </w:r>
          </w:p>
        </w:tc>
        <w:tc>
          <w:tcPr>
            <w:tcW w:w="1934" w:type="dxa"/>
            <w:tcBorders>
              <w:top w:val="single" w:sz="4" w:space="0" w:color="auto"/>
              <w:left w:val="single" w:sz="4" w:space="0" w:color="auto"/>
            </w:tcBorders>
            <w:hideMark/>
          </w:tcPr>
          <w:p w:rsidR="00B624A1" w:rsidRPr="00E91669" w:rsidRDefault="00B624A1" w:rsidP="003746AA">
            <w:pPr>
              <w:rPr>
                <w:color w:val="000000"/>
              </w:rPr>
            </w:pPr>
            <w:r w:rsidRPr="00E91669">
              <w:rPr>
                <w:color w:val="000000"/>
              </w:rPr>
              <w:t>Vargeão</w:t>
            </w:r>
          </w:p>
        </w:tc>
        <w:tc>
          <w:tcPr>
            <w:tcW w:w="1026" w:type="dxa"/>
            <w:tcBorders>
              <w:top w:val="single" w:sz="4" w:space="0" w:color="auto"/>
            </w:tcBorders>
            <w:hideMark/>
          </w:tcPr>
          <w:p w:rsidR="00B624A1" w:rsidRPr="00E91669" w:rsidRDefault="00B624A1" w:rsidP="003746AA">
            <w:pPr>
              <w:jc w:val="center"/>
              <w:rPr>
                <w:color w:val="000000"/>
              </w:rPr>
            </w:pPr>
            <w:r w:rsidRPr="00E91669">
              <w:rPr>
                <w:color w:val="000000"/>
              </w:rPr>
              <w:t>3.532</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Lajeado Grande</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1.490</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Iomerê</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2.739</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Cerro Negro</w:t>
            </w:r>
          </w:p>
        </w:tc>
        <w:tc>
          <w:tcPr>
            <w:tcW w:w="1026" w:type="dxa"/>
            <w:hideMark/>
          </w:tcPr>
          <w:p w:rsidR="00B624A1" w:rsidRPr="00E91669" w:rsidRDefault="00B624A1" w:rsidP="003746AA">
            <w:pPr>
              <w:jc w:val="center"/>
              <w:rPr>
                <w:color w:val="000000"/>
              </w:rPr>
            </w:pPr>
            <w:r w:rsidRPr="00E91669">
              <w:rPr>
                <w:color w:val="000000"/>
              </w:rPr>
              <w:t>3.581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Flor do Sertão</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1.588</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Rancho Queimado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2.748</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Witmarsum</w:t>
            </w:r>
          </w:p>
        </w:tc>
        <w:tc>
          <w:tcPr>
            <w:tcW w:w="1026" w:type="dxa"/>
            <w:hideMark/>
          </w:tcPr>
          <w:p w:rsidR="00B624A1" w:rsidRPr="00E91669" w:rsidRDefault="00B624A1" w:rsidP="003746AA">
            <w:pPr>
              <w:jc w:val="center"/>
              <w:rPr>
                <w:color w:val="000000"/>
              </w:rPr>
            </w:pPr>
            <w:r w:rsidRPr="00E91669">
              <w:rPr>
                <w:color w:val="000000"/>
              </w:rPr>
              <w:t>3.600</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Presidente Castello Branco</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1.725</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Novo Horizonte</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2.750</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Doutor Pedrinho</w:t>
            </w:r>
          </w:p>
        </w:tc>
        <w:tc>
          <w:tcPr>
            <w:tcW w:w="1026" w:type="dxa"/>
            <w:hideMark/>
          </w:tcPr>
          <w:p w:rsidR="00B624A1" w:rsidRPr="00E91669" w:rsidRDefault="00B624A1" w:rsidP="003746AA">
            <w:pPr>
              <w:jc w:val="center"/>
              <w:rPr>
                <w:color w:val="000000"/>
              </w:rPr>
            </w:pPr>
            <w:r w:rsidRPr="00E91669">
              <w:rPr>
                <w:color w:val="000000"/>
              </w:rPr>
              <w:t>3.604</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Tigrinhos</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1.757</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Capão Alto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2.753</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Dona Emma</w:t>
            </w:r>
          </w:p>
        </w:tc>
        <w:tc>
          <w:tcPr>
            <w:tcW w:w="1026" w:type="dxa"/>
            <w:hideMark/>
          </w:tcPr>
          <w:p w:rsidR="00B624A1" w:rsidRPr="00E91669" w:rsidRDefault="00B624A1" w:rsidP="003746AA">
            <w:pPr>
              <w:jc w:val="center"/>
              <w:rPr>
                <w:color w:val="000000"/>
              </w:rPr>
            </w:pPr>
            <w:r w:rsidRPr="00E91669">
              <w:rPr>
                <w:color w:val="000000"/>
              </w:rPr>
              <w:t>3.721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Paial</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1.763</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Princesa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2.758</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Cordilheira Alta</w:t>
            </w:r>
          </w:p>
        </w:tc>
        <w:tc>
          <w:tcPr>
            <w:tcW w:w="1026" w:type="dxa"/>
            <w:hideMark/>
          </w:tcPr>
          <w:p w:rsidR="00B624A1" w:rsidRPr="00E91669" w:rsidRDefault="00B624A1" w:rsidP="003746AA">
            <w:pPr>
              <w:jc w:val="center"/>
              <w:rPr>
                <w:color w:val="000000"/>
              </w:rPr>
            </w:pPr>
            <w:r w:rsidRPr="00E91669">
              <w:rPr>
                <w:color w:val="000000"/>
              </w:rPr>
              <w:t>3.767</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Jardinópolis</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1.766</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Chapadão do Lageado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2.762</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Saltinho</w:t>
            </w:r>
          </w:p>
        </w:tc>
        <w:tc>
          <w:tcPr>
            <w:tcW w:w="1026" w:type="dxa"/>
            <w:hideMark/>
          </w:tcPr>
          <w:p w:rsidR="00B624A1" w:rsidRPr="00E91669" w:rsidRDefault="00B624A1" w:rsidP="003746AA">
            <w:pPr>
              <w:jc w:val="center"/>
              <w:rPr>
                <w:color w:val="000000"/>
              </w:rPr>
            </w:pPr>
            <w:r w:rsidRPr="00E91669">
              <w:rPr>
                <w:color w:val="000000"/>
              </w:rPr>
              <w:t>3.961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Macieira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1.826</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Sul Brasil</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2.766</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Jaborá</w:t>
            </w:r>
          </w:p>
        </w:tc>
        <w:tc>
          <w:tcPr>
            <w:tcW w:w="1026" w:type="dxa"/>
            <w:hideMark/>
          </w:tcPr>
          <w:p w:rsidR="00B624A1" w:rsidRPr="00E91669" w:rsidRDefault="00B624A1" w:rsidP="003746AA">
            <w:pPr>
              <w:jc w:val="center"/>
              <w:rPr>
                <w:color w:val="000000"/>
              </w:rPr>
            </w:pPr>
            <w:r w:rsidRPr="00E91669">
              <w:rPr>
                <w:color w:val="000000"/>
              </w:rPr>
              <w:t>4.041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Barra Bonita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1.878</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Celso Ramos</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2.771</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Modelo</w:t>
            </w:r>
          </w:p>
        </w:tc>
        <w:tc>
          <w:tcPr>
            <w:tcW w:w="1026" w:type="dxa"/>
            <w:hideMark/>
          </w:tcPr>
          <w:p w:rsidR="00B624A1" w:rsidRPr="00E91669" w:rsidRDefault="00B624A1" w:rsidP="003746AA">
            <w:pPr>
              <w:jc w:val="center"/>
              <w:rPr>
                <w:color w:val="000000"/>
              </w:rPr>
            </w:pPr>
            <w:r w:rsidRPr="00E91669">
              <w:rPr>
                <w:color w:val="000000"/>
              </w:rPr>
              <w:t>4.045</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Cunhataí</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1.882</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Vargem</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2.808</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Paraíso</w:t>
            </w:r>
          </w:p>
        </w:tc>
        <w:tc>
          <w:tcPr>
            <w:tcW w:w="1026" w:type="dxa"/>
            <w:hideMark/>
          </w:tcPr>
          <w:p w:rsidR="00B624A1" w:rsidRPr="00E91669" w:rsidRDefault="00B624A1" w:rsidP="003746AA">
            <w:pPr>
              <w:jc w:val="center"/>
              <w:rPr>
                <w:color w:val="000000"/>
              </w:rPr>
            </w:pPr>
            <w:r w:rsidRPr="00E91669">
              <w:rPr>
                <w:color w:val="000000"/>
              </w:rPr>
              <w:t>4.080</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São Miguel da Boa Vista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1.904</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Matos Costa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2.839</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Pedras Grandes</w:t>
            </w:r>
          </w:p>
        </w:tc>
        <w:tc>
          <w:tcPr>
            <w:tcW w:w="1026" w:type="dxa"/>
            <w:hideMark/>
          </w:tcPr>
          <w:p w:rsidR="00B624A1" w:rsidRPr="00E91669" w:rsidRDefault="00B624A1" w:rsidP="003746AA">
            <w:pPr>
              <w:jc w:val="center"/>
              <w:rPr>
                <w:color w:val="000000"/>
              </w:rPr>
            </w:pPr>
            <w:r w:rsidRPr="00E91669">
              <w:rPr>
                <w:color w:val="000000"/>
              </w:rPr>
              <w:t>4.107</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Ibiam</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1.945</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Brunópolis</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2.850</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Xavantina</w:t>
            </w:r>
          </w:p>
        </w:tc>
        <w:tc>
          <w:tcPr>
            <w:tcW w:w="1026" w:type="dxa"/>
            <w:hideMark/>
          </w:tcPr>
          <w:p w:rsidR="00B624A1" w:rsidRPr="00E91669" w:rsidRDefault="00B624A1" w:rsidP="003746AA">
            <w:pPr>
              <w:jc w:val="center"/>
              <w:rPr>
                <w:color w:val="000000"/>
              </w:rPr>
            </w:pPr>
            <w:r w:rsidRPr="00E91669">
              <w:rPr>
                <w:color w:val="000000"/>
              </w:rPr>
              <w:t>4.142</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Alto Bela Vista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2.005</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Morro Grande</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2.890</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Arabutã</w:t>
            </w:r>
          </w:p>
        </w:tc>
        <w:tc>
          <w:tcPr>
            <w:tcW w:w="1026" w:type="dxa"/>
            <w:hideMark/>
          </w:tcPr>
          <w:p w:rsidR="00B624A1" w:rsidRPr="00E91669" w:rsidRDefault="00B624A1" w:rsidP="003746AA">
            <w:pPr>
              <w:jc w:val="center"/>
              <w:rPr>
                <w:color w:val="000000"/>
              </w:rPr>
            </w:pPr>
            <w:r w:rsidRPr="00E91669">
              <w:rPr>
                <w:color w:val="000000"/>
              </w:rPr>
              <w:t>4.193</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Ermo</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2.050</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Santa Terezinha do Progresso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2.896</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Iraceminha</w:t>
            </w:r>
          </w:p>
        </w:tc>
        <w:tc>
          <w:tcPr>
            <w:tcW w:w="1026" w:type="dxa"/>
            <w:hideMark/>
          </w:tcPr>
          <w:p w:rsidR="00B624A1" w:rsidRPr="00E91669" w:rsidRDefault="00B624A1" w:rsidP="003746AA">
            <w:pPr>
              <w:jc w:val="center"/>
              <w:rPr>
                <w:color w:val="000000"/>
              </w:rPr>
            </w:pPr>
            <w:r w:rsidRPr="00E91669">
              <w:rPr>
                <w:color w:val="000000"/>
              </w:rPr>
              <w:t>4.253</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Irati</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2.096</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Bandeirante</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2.906</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Nova Itaberaba</w:t>
            </w:r>
          </w:p>
        </w:tc>
        <w:tc>
          <w:tcPr>
            <w:tcW w:w="1026" w:type="dxa"/>
            <w:hideMark/>
          </w:tcPr>
          <w:p w:rsidR="00B624A1" w:rsidRPr="00E91669" w:rsidRDefault="00B624A1" w:rsidP="003746AA">
            <w:pPr>
              <w:jc w:val="center"/>
              <w:rPr>
                <w:color w:val="000000"/>
              </w:rPr>
            </w:pPr>
            <w:r w:rsidRPr="00E91669">
              <w:rPr>
                <w:color w:val="000000"/>
              </w:rPr>
              <w:t>4.267</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Bom Jesus do Oeste</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2.132</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União do Oeste</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2.910</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Nova Erechim</w:t>
            </w:r>
          </w:p>
        </w:tc>
        <w:tc>
          <w:tcPr>
            <w:tcW w:w="1026" w:type="dxa"/>
            <w:hideMark/>
          </w:tcPr>
          <w:p w:rsidR="00B624A1" w:rsidRPr="00E91669" w:rsidRDefault="00B624A1" w:rsidP="003746AA">
            <w:pPr>
              <w:jc w:val="center"/>
              <w:rPr>
                <w:color w:val="000000"/>
              </w:rPr>
            </w:pPr>
            <w:r w:rsidRPr="00E91669">
              <w:rPr>
                <w:color w:val="000000"/>
              </w:rPr>
              <w:t>4.275</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Jupiá</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2.148</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Peritiba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2.988</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Salto Veloso</w:t>
            </w:r>
          </w:p>
        </w:tc>
        <w:tc>
          <w:tcPr>
            <w:tcW w:w="1026" w:type="dxa"/>
            <w:hideMark/>
          </w:tcPr>
          <w:p w:rsidR="00B624A1" w:rsidRPr="00E91669" w:rsidRDefault="00B624A1" w:rsidP="003746AA">
            <w:pPr>
              <w:jc w:val="center"/>
              <w:rPr>
                <w:color w:val="000000"/>
              </w:rPr>
            </w:pPr>
            <w:r w:rsidRPr="00E91669">
              <w:rPr>
                <w:color w:val="000000"/>
              </w:rPr>
              <w:t>4.301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Lacerdópolis</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2.199</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Zortéa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2.991</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Erval Velho</w:t>
            </w:r>
          </w:p>
        </w:tc>
        <w:tc>
          <w:tcPr>
            <w:tcW w:w="1026" w:type="dxa"/>
            <w:hideMark/>
          </w:tcPr>
          <w:p w:rsidR="00B624A1" w:rsidRPr="00E91669" w:rsidRDefault="00B624A1" w:rsidP="003746AA">
            <w:pPr>
              <w:jc w:val="center"/>
              <w:rPr>
                <w:color w:val="000000"/>
              </w:rPr>
            </w:pPr>
            <w:r w:rsidRPr="00E91669">
              <w:rPr>
                <w:color w:val="000000"/>
              </w:rPr>
              <w:t>4.352</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Marema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2.203</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São Bonifácio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3.008</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Bom Jardim da Serra</w:t>
            </w:r>
          </w:p>
        </w:tc>
        <w:tc>
          <w:tcPr>
            <w:tcW w:w="1026" w:type="dxa"/>
            <w:hideMark/>
          </w:tcPr>
          <w:p w:rsidR="00B624A1" w:rsidRPr="00E91669" w:rsidRDefault="00B624A1" w:rsidP="003746AA">
            <w:pPr>
              <w:jc w:val="center"/>
              <w:rPr>
                <w:color w:val="000000"/>
              </w:rPr>
            </w:pPr>
            <w:r w:rsidRPr="00E91669">
              <w:rPr>
                <w:color w:val="000000"/>
              </w:rPr>
              <w:t>4.395</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Arvoredo</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2.260</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Entre Rios</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3.018</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Caxambu do Sul</w:t>
            </w:r>
          </w:p>
        </w:tc>
        <w:tc>
          <w:tcPr>
            <w:tcW w:w="1026" w:type="dxa"/>
            <w:hideMark/>
          </w:tcPr>
          <w:p w:rsidR="00B624A1" w:rsidRPr="00E91669" w:rsidRDefault="00B624A1" w:rsidP="003746AA">
            <w:pPr>
              <w:jc w:val="center"/>
              <w:rPr>
                <w:color w:val="000000"/>
              </w:rPr>
            </w:pPr>
            <w:r w:rsidRPr="00E91669">
              <w:rPr>
                <w:color w:val="000000"/>
              </w:rPr>
              <w:t>4.411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Ouro Verde</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2.271</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Pinheiro Preto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3.147</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Passos Maia</w:t>
            </w:r>
          </w:p>
        </w:tc>
        <w:tc>
          <w:tcPr>
            <w:tcW w:w="1026" w:type="dxa"/>
            <w:hideMark/>
          </w:tcPr>
          <w:p w:rsidR="00B624A1" w:rsidRPr="00E91669" w:rsidRDefault="00B624A1" w:rsidP="003746AA">
            <w:pPr>
              <w:jc w:val="center"/>
              <w:rPr>
                <w:color w:val="000000"/>
              </w:rPr>
            </w:pPr>
            <w:r w:rsidRPr="00E91669">
              <w:rPr>
                <w:color w:val="000000"/>
              </w:rPr>
              <w:t>4.425</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Presidente Nereu</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2.284</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São Martinho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3.209</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Rio Fortuna</w:t>
            </w:r>
          </w:p>
        </w:tc>
        <w:tc>
          <w:tcPr>
            <w:tcW w:w="1026" w:type="dxa"/>
            <w:hideMark/>
          </w:tcPr>
          <w:p w:rsidR="00B624A1" w:rsidRPr="00E91669" w:rsidRDefault="00B624A1" w:rsidP="003746AA">
            <w:pPr>
              <w:jc w:val="center"/>
              <w:rPr>
                <w:color w:val="000000"/>
              </w:rPr>
            </w:pPr>
            <w:r w:rsidRPr="00E91669">
              <w:rPr>
                <w:color w:val="000000"/>
              </w:rPr>
              <w:t>4.446</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Painel</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2.353</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Anitápolis</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3.214</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Botuverá</w:t>
            </w:r>
          </w:p>
        </w:tc>
        <w:tc>
          <w:tcPr>
            <w:tcW w:w="1026" w:type="dxa"/>
            <w:hideMark/>
          </w:tcPr>
          <w:p w:rsidR="00B624A1" w:rsidRPr="00E91669" w:rsidRDefault="00B624A1" w:rsidP="003746AA">
            <w:pPr>
              <w:jc w:val="center"/>
              <w:rPr>
                <w:color w:val="000000"/>
              </w:rPr>
            </w:pPr>
            <w:r w:rsidRPr="00E91669">
              <w:rPr>
                <w:color w:val="000000"/>
              </w:rPr>
              <w:t>4.468</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Palmeira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2.373</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Major Gercino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3.279</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Tunápolis</w:t>
            </w:r>
          </w:p>
        </w:tc>
        <w:tc>
          <w:tcPr>
            <w:tcW w:w="1026" w:type="dxa"/>
            <w:hideMark/>
          </w:tcPr>
          <w:p w:rsidR="00B624A1" w:rsidRPr="00E91669" w:rsidRDefault="00B624A1" w:rsidP="003746AA">
            <w:pPr>
              <w:jc w:val="center"/>
              <w:rPr>
                <w:color w:val="000000"/>
              </w:rPr>
            </w:pPr>
            <w:r w:rsidRPr="00E91669">
              <w:rPr>
                <w:color w:val="000000"/>
              </w:rPr>
              <w:t>4.633</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Santa Helena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2.382</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Serra Alta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3.285</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Lindóia do Sul</w:t>
            </w:r>
          </w:p>
        </w:tc>
        <w:tc>
          <w:tcPr>
            <w:tcW w:w="1026" w:type="dxa"/>
            <w:hideMark/>
          </w:tcPr>
          <w:p w:rsidR="00B624A1" w:rsidRPr="00E91669" w:rsidRDefault="00B624A1" w:rsidP="003746AA">
            <w:pPr>
              <w:jc w:val="center"/>
              <w:rPr>
                <w:color w:val="000000"/>
              </w:rPr>
            </w:pPr>
            <w:r w:rsidRPr="00E91669">
              <w:rPr>
                <w:color w:val="000000"/>
              </w:rPr>
              <w:t>4.642</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Águas Frias</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2.424</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Bocaina do Sul</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3.290</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Guatambú</w:t>
            </w:r>
          </w:p>
        </w:tc>
        <w:tc>
          <w:tcPr>
            <w:tcW w:w="1026" w:type="dxa"/>
            <w:hideMark/>
          </w:tcPr>
          <w:p w:rsidR="00B624A1" w:rsidRPr="00E91669" w:rsidRDefault="00B624A1" w:rsidP="003746AA">
            <w:pPr>
              <w:jc w:val="center"/>
              <w:rPr>
                <w:color w:val="000000"/>
              </w:rPr>
            </w:pPr>
            <w:r w:rsidRPr="00E91669">
              <w:rPr>
                <w:color w:val="000000"/>
              </w:rPr>
              <w:t>4.679</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lastRenderedPageBreak/>
              <w:t>Rio Rufino</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2.436</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Atalanta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3.300</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São Pedro de Alcântara</w:t>
            </w:r>
          </w:p>
        </w:tc>
        <w:tc>
          <w:tcPr>
            <w:tcW w:w="1026" w:type="dxa"/>
            <w:hideMark/>
          </w:tcPr>
          <w:p w:rsidR="00B624A1" w:rsidRPr="00E91669" w:rsidRDefault="00B624A1" w:rsidP="003746AA">
            <w:pPr>
              <w:jc w:val="center"/>
              <w:rPr>
                <w:color w:val="000000"/>
              </w:rPr>
            </w:pPr>
            <w:r w:rsidRPr="00E91669">
              <w:rPr>
                <w:color w:val="000000"/>
              </w:rPr>
              <w:t>4.704</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Coronel Martins</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2.458</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Ponte Alta do Norte</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3.303</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José Boiteux</w:t>
            </w:r>
          </w:p>
        </w:tc>
        <w:tc>
          <w:tcPr>
            <w:tcW w:w="1026" w:type="dxa"/>
            <w:hideMark/>
          </w:tcPr>
          <w:p w:rsidR="00B624A1" w:rsidRPr="00E91669" w:rsidRDefault="00B624A1" w:rsidP="003746AA">
            <w:pPr>
              <w:jc w:val="center"/>
              <w:rPr>
                <w:color w:val="000000"/>
              </w:rPr>
            </w:pPr>
            <w:r w:rsidRPr="00E91669">
              <w:rPr>
                <w:color w:val="000000"/>
              </w:rPr>
              <w:t>4.721</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Frei Rogério</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2.474</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Leoberto Leal</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3.365</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Ipira</w:t>
            </w:r>
          </w:p>
        </w:tc>
        <w:tc>
          <w:tcPr>
            <w:tcW w:w="1026" w:type="dxa"/>
            <w:hideMark/>
          </w:tcPr>
          <w:p w:rsidR="00B624A1" w:rsidRPr="00E91669" w:rsidRDefault="00B624A1" w:rsidP="003746AA">
            <w:pPr>
              <w:jc w:val="center"/>
              <w:rPr>
                <w:color w:val="000000"/>
              </w:rPr>
            </w:pPr>
            <w:r w:rsidRPr="00E91669">
              <w:rPr>
                <w:color w:val="000000"/>
              </w:rPr>
              <w:t>4.752</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Urupema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2.482</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Ibicaré</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3.373</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Piratuba</w:t>
            </w:r>
          </w:p>
        </w:tc>
        <w:tc>
          <w:tcPr>
            <w:tcW w:w="1026" w:type="dxa"/>
            <w:hideMark/>
          </w:tcPr>
          <w:p w:rsidR="00B624A1" w:rsidRPr="00E91669" w:rsidRDefault="00B624A1" w:rsidP="003746AA">
            <w:pPr>
              <w:jc w:val="center"/>
              <w:rPr>
                <w:color w:val="000000"/>
              </w:rPr>
            </w:pPr>
            <w:r w:rsidRPr="00E91669">
              <w:rPr>
                <w:color w:val="000000"/>
              </w:rPr>
              <w:t>4.786</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Mirim Doce</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2.513</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Calmon</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3.387</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Vargem Bonita</w:t>
            </w:r>
          </w:p>
        </w:tc>
        <w:tc>
          <w:tcPr>
            <w:tcW w:w="1026" w:type="dxa"/>
            <w:hideMark/>
          </w:tcPr>
          <w:p w:rsidR="00B624A1" w:rsidRPr="00E91669" w:rsidRDefault="00B624A1" w:rsidP="003746AA">
            <w:pPr>
              <w:jc w:val="center"/>
              <w:rPr>
                <w:color w:val="000000"/>
              </w:rPr>
            </w:pPr>
            <w:r w:rsidRPr="00E91669">
              <w:rPr>
                <w:color w:val="000000"/>
              </w:rPr>
              <w:t>4.793</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Bom Jesus</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2.526</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São João do Itaperiú</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3.435</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Riqueza</w:t>
            </w:r>
          </w:p>
        </w:tc>
        <w:tc>
          <w:tcPr>
            <w:tcW w:w="1026" w:type="dxa"/>
            <w:hideMark/>
          </w:tcPr>
          <w:p w:rsidR="00B624A1" w:rsidRPr="00E91669" w:rsidRDefault="00B624A1" w:rsidP="003746AA">
            <w:pPr>
              <w:jc w:val="center"/>
              <w:rPr>
                <w:color w:val="000000"/>
              </w:rPr>
            </w:pPr>
            <w:r w:rsidRPr="00E91669">
              <w:rPr>
                <w:color w:val="000000"/>
              </w:rPr>
              <w:t>4.838</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Formosa do Sul</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2.601</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Braço do Trombudo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3.457</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Ponte Alta</w:t>
            </w:r>
          </w:p>
        </w:tc>
        <w:tc>
          <w:tcPr>
            <w:tcW w:w="1026" w:type="dxa"/>
            <w:hideMark/>
          </w:tcPr>
          <w:p w:rsidR="00B624A1" w:rsidRPr="00E91669" w:rsidRDefault="00B624A1" w:rsidP="003746AA">
            <w:pPr>
              <w:jc w:val="center"/>
              <w:rPr>
                <w:color w:val="000000"/>
              </w:rPr>
            </w:pPr>
            <w:r w:rsidRPr="00E91669">
              <w:rPr>
                <w:color w:val="000000"/>
              </w:rPr>
              <w:t>4.894</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Belmonte</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2.635</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Galvão</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3.472</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Agronômica</w:t>
            </w:r>
          </w:p>
        </w:tc>
        <w:tc>
          <w:tcPr>
            <w:tcW w:w="1026" w:type="dxa"/>
            <w:hideMark/>
          </w:tcPr>
          <w:p w:rsidR="00B624A1" w:rsidRPr="00E91669" w:rsidRDefault="00B624A1" w:rsidP="003746AA">
            <w:pPr>
              <w:jc w:val="center"/>
              <w:rPr>
                <w:color w:val="000000"/>
              </w:rPr>
            </w:pPr>
            <w:r w:rsidRPr="00E91669">
              <w:rPr>
                <w:color w:val="000000"/>
              </w:rPr>
              <w:t>4.904</w:t>
            </w:r>
          </w:p>
        </w:tc>
      </w:tr>
      <w:tr w:rsidR="00A81D68" w:rsidRPr="00E91669" w:rsidTr="00C91A5B">
        <w:trPr>
          <w:trHeight w:val="284"/>
        </w:trPr>
        <w:tc>
          <w:tcPr>
            <w:tcW w:w="2127" w:type="dxa"/>
            <w:hideMark/>
          </w:tcPr>
          <w:p w:rsidR="00B624A1" w:rsidRPr="00E91669" w:rsidRDefault="00B624A1" w:rsidP="003746AA">
            <w:pPr>
              <w:rPr>
                <w:color w:val="000000"/>
              </w:rPr>
            </w:pPr>
            <w:r w:rsidRPr="00E91669">
              <w:rPr>
                <w:color w:val="000000"/>
              </w:rPr>
              <w:t>Abdon Batista</w:t>
            </w:r>
          </w:p>
        </w:tc>
        <w:tc>
          <w:tcPr>
            <w:tcW w:w="850" w:type="dxa"/>
            <w:tcBorders>
              <w:right w:val="single" w:sz="4" w:space="0" w:color="auto"/>
            </w:tcBorders>
            <w:hideMark/>
          </w:tcPr>
          <w:p w:rsidR="00B624A1" w:rsidRPr="00E91669" w:rsidRDefault="00B624A1" w:rsidP="003746AA">
            <w:pPr>
              <w:jc w:val="center"/>
              <w:rPr>
                <w:color w:val="000000"/>
              </w:rPr>
            </w:pPr>
            <w:r w:rsidRPr="00E91669">
              <w:rPr>
                <w:color w:val="000000"/>
              </w:rPr>
              <w:t>2.653</w:t>
            </w:r>
          </w:p>
        </w:tc>
        <w:tc>
          <w:tcPr>
            <w:tcW w:w="2123" w:type="dxa"/>
            <w:tcBorders>
              <w:left w:val="single" w:sz="4" w:space="0" w:color="auto"/>
            </w:tcBorders>
            <w:hideMark/>
          </w:tcPr>
          <w:p w:rsidR="00B624A1" w:rsidRPr="00E91669" w:rsidRDefault="00B624A1" w:rsidP="003746AA">
            <w:pPr>
              <w:rPr>
                <w:color w:val="000000"/>
              </w:rPr>
            </w:pPr>
            <w:r w:rsidRPr="00E91669">
              <w:rPr>
                <w:color w:val="000000"/>
              </w:rPr>
              <w:t>Arroio Trinta</w:t>
            </w:r>
          </w:p>
        </w:tc>
        <w:tc>
          <w:tcPr>
            <w:tcW w:w="1005" w:type="dxa"/>
            <w:tcBorders>
              <w:right w:val="single" w:sz="4" w:space="0" w:color="auto"/>
            </w:tcBorders>
            <w:hideMark/>
          </w:tcPr>
          <w:p w:rsidR="00B624A1" w:rsidRPr="00E91669" w:rsidRDefault="00B624A1" w:rsidP="003746AA">
            <w:pPr>
              <w:jc w:val="center"/>
              <w:rPr>
                <w:color w:val="000000"/>
              </w:rPr>
            </w:pPr>
            <w:r w:rsidRPr="00E91669">
              <w:rPr>
                <w:color w:val="000000"/>
              </w:rPr>
              <w:t>3.502</w:t>
            </w:r>
          </w:p>
        </w:tc>
        <w:tc>
          <w:tcPr>
            <w:tcW w:w="1934" w:type="dxa"/>
            <w:tcBorders>
              <w:left w:val="single" w:sz="4" w:space="0" w:color="auto"/>
            </w:tcBorders>
            <w:hideMark/>
          </w:tcPr>
          <w:p w:rsidR="00B624A1" w:rsidRPr="00E91669" w:rsidRDefault="00B624A1" w:rsidP="003746AA">
            <w:pPr>
              <w:rPr>
                <w:color w:val="000000"/>
              </w:rPr>
            </w:pPr>
            <w:r w:rsidRPr="00E91669">
              <w:rPr>
                <w:color w:val="000000"/>
              </w:rPr>
              <w:t>Guarujá do Sul</w:t>
            </w:r>
          </w:p>
        </w:tc>
        <w:tc>
          <w:tcPr>
            <w:tcW w:w="1026" w:type="dxa"/>
            <w:hideMark/>
          </w:tcPr>
          <w:p w:rsidR="00B624A1" w:rsidRPr="00E91669" w:rsidRDefault="00B624A1" w:rsidP="003746AA">
            <w:pPr>
              <w:jc w:val="center"/>
              <w:rPr>
                <w:color w:val="000000"/>
              </w:rPr>
            </w:pPr>
            <w:r w:rsidRPr="00E91669">
              <w:rPr>
                <w:color w:val="000000"/>
              </w:rPr>
              <w:t>4.908</w:t>
            </w:r>
          </w:p>
        </w:tc>
      </w:tr>
      <w:tr w:rsidR="00A81D68" w:rsidRPr="00E91669" w:rsidTr="00C91A5B">
        <w:trPr>
          <w:trHeight w:val="284"/>
        </w:trPr>
        <w:tc>
          <w:tcPr>
            <w:tcW w:w="2127" w:type="dxa"/>
            <w:tcBorders>
              <w:bottom w:val="single" w:sz="4" w:space="0" w:color="auto"/>
            </w:tcBorders>
            <w:hideMark/>
          </w:tcPr>
          <w:p w:rsidR="00B624A1" w:rsidRPr="00E91669" w:rsidRDefault="00B624A1" w:rsidP="003746AA">
            <w:pPr>
              <w:rPr>
                <w:color w:val="000000"/>
              </w:rPr>
            </w:pPr>
            <w:r w:rsidRPr="00E91669">
              <w:rPr>
                <w:color w:val="000000"/>
              </w:rPr>
              <w:t>Planalto Alegre</w:t>
            </w:r>
          </w:p>
        </w:tc>
        <w:tc>
          <w:tcPr>
            <w:tcW w:w="850" w:type="dxa"/>
            <w:tcBorders>
              <w:bottom w:val="single" w:sz="4" w:space="0" w:color="auto"/>
              <w:right w:val="single" w:sz="4" w:space="0" w:color="auto"/>
            </w:tcBorders>
            <w:hideMark/>
          </w:tcPr>
          <w:p w:rsidR="00B624A1" w:rsidRPr="00E91669" w:rsidRDefault="00B624A1" w:rsidP="003746AA">
            <w:pPr>
              <w:jc w:val="center"/>
              <w:rPr>
                <w:color w:val="000000"/>
              </w:rPr>
            </w:pPr>
            <w:r w:rsidRPr="00E91669">
              <w:rPr>
                <w:color w:val="000000"/>
              </w:rPr>
              <w:t>2.654</w:t>
            </w:r>
          </w:p>
        </w:tc>
        <w:tc>
          <w:tcPr>
            <w:tcW w:w="2123" w:type="dxa"/>
            <w:tcBorders>
              <w:left w:val="single" w:sz="4" w:space="0" w:color="auto"/>
              <w:bottom w:val="single" w:sz="4" w:space="0" w:color="auto"/>
            </w:tcBorders>
            <w:hideMark/>
          </w:tcPr>
          <w:p w:rsidR="00B624A1" w:rsidRPr="00E91669" w:rsidRDefault="00B624A1" w:rsidP="003746AA">
            <w:pPr>
              <w:rPr>
                <w:color w:val="000000"/>
              </w:rPr>
            </w:pPr>
            <w:r w:rsidRPr="00E91669">
              <w:rPr>
                <w:color w:val="000000"/>
              </w:rPr>
              <w:t>Treviso</w:t>
            </w:r>
          </w:p>
        </w:tc>
        <w:tc>
          <w:tcPr>
            <w:tcW w:w="1005" w:type="dxa"/>
            <w:tcBorders>
              <w:bottom w:val="single" w:sz="4" w:space="0" w:color="auto"/>
              <w:right w:val="single" w:sz="4" w:space="0" w:color="auto"/>
            </w:tcBorders>
            <w:hideMark/>
          </w:tcPr>
          <w:p w:rsidR="00B624A1" w:rsidRPr="00E91669" w:rsidRDefault="00B624A1" w:rsidP="003746AA">
            <w:pPr>
              <w:jc w:val="center"/>
              <w:rPr>
                <w:color w:val="000000"/>
              </w:rPr>
            </w:pPr>
            <w:r w:rsidRPr="00E91669">
              <w:rPr>
                <w:color w:val="000000"/>
              </w:rPr>
              <w:t>3.527</w:t>
            </w:r>
          </w:p>
        </w:tc>
        <w:tc>
          <w:tcPr>
            <w:tcW w:w="1934" w:type="dxa"/>
            <w:tcBorders>
              <w:left w:val="single" w:sz="4" w:space="0" w:color="auto"/>
              <w:bottom w:val="single" w:sz="4" w:space="0" w:color="auto"/>
            </w:tcBorders>
            <w:noWrap/>
            <w:hideMark/>
          </w:tcPr>
          <w:p w:rsidR="00B624A1" w:rsidRPr="00E91669" w:rsidRDefault="00B624A1" w:rsidP="003746AA">
            <w:pPr>
              <w:rPr>
                <w:color w:val="000000"/>
              </w:rPr>
            </w:pPr>
            <w:r w:rsidRPr="00E91669">
              <w:rPr>
                <w:color w:val="000000"/>
              </w:rPr>
              <w:t> </w:t>
            </w:r>
          </w:p>
        </w:tc>
        <w:tc>
          <w:tcPr>
            <w:tcW w:w="1026" w:type="dxa"/>
            <w:tcBorders>
              <w:bottom w:val="single" w:sz="4" w:space="0" w:color="auto"/>
            </w:tcBorders>
            <w:noWrap/>
            <w:hideMark/>
          </w:tcPr>
          <w:p w:rsidR="00B624A1" w:rsidRPr="00E91669" w:rsidRDefault="00B624A1" w:rsidP="003746AA">
            <w:pPr>
              <w:rPr>
                <w:color w:val="000000"/>
              </w:rPr>
            </w:pPr>
            <w:r w:rsidRPr="00E91669">
              <w:rPr>
                <w:color w:val="000000"/>
              </w:rPr>
              <w:t> </w:t>
            </w:r>
          </w:p>
        </w:tc>
      </w:tr>
    </w:tbl>
    <w:p w:rsidR="00B624A1" w:rsidRPr="00BE222D" w:rsidRDefault="00A81D68" w:rsidP="00B624A1">
      <w:pPr>
        <w:jc w:val="both"/>
        <w:rPr>
          <w:color w:val="000000"/>
        </w:rPr>
      </w:pPr>
      <w:r>
        <w:rPr>
          <w:color w:val="000000"/>
        </w:rPr>
        <w:t>Not</w:t>
      </w:r>
      <w:r w:rsidR="00E5698C">
        <w:rPr>
          <w:color w:val="000000"/>
        </w:rPr>
        <w:t>a</w:t>
      </w:r>
      <w:r>
        <w:rPr>
          <w:color w:val="000000"/>
        </w:rPr>
        <w:t>.</w:t>
      </w:r>
      <w:r w:rsidR="00B624A1" w:rsidRPr="00BE222D">
        <w:rPr>
          <w:color w:val="000000"/>
        </w:rPr>
        <w:t xml:space="preserve"> Adaptado do IBGE, 2016</w:t>
      </w:r>
    </w:p>
    <w:p w:rsidR="00B624A1" w:rsidRPr="00392CEF" w:rsidRDefault="00B624A1" w:rsidP="00B624A1">
      <w:pPr>
        <w:ind w:firstLine="851"/>
        <w:jc w:val="both"/>
        <w:rPr>
          <w:sz w:val="24"/>
          <w:szCs w:val="24"/>
        </w:rPr>
      </w:pPr>
    </w:p>
    <w:p w:rsidR="00B624A1" w:rsidRPr="00392CEF" w:rsidRDefault="00B624A1" w:rsidP="00B624A1">
      <w:pPr>
        <w:tabs>
          <w:tab w:val="left" w:pos="709"/>
        </w:tabs>
        <w:ind w:firstLine="709"/>
        <w:jc w:val="both"/>
        <w:rPr>
          <w:sz w:val="24"/>
          <w:szCs w:val="24"/>
        </w:rPr>
      </w:pPr>
      <w:r w:rsidRPr="00392CEF">
        <w:rPr>
          <w:sz w:val="24"/>
          <w:szCs w:val="24"/>
        </w:rPr>
        <w:t>A pesquisa foi efetuada com base nos últimos</w:t>
      </w:r>
      <w:r>
        <w:rPr>
          <w:sz w:val="24"/>
          <w:szCs w:val="24"/>
        </w:rPr>
        <w:t xml:space="preserve"> </w:t>
      </w:r>
      <w:r w:rsidRPr="00392CEF">
        <w:rPr>
          <w:sz w:val="24"/>
          <w:szCs w:val="24"/>
        </w:rPr>
        <w:t xml:space="preserve">6 anos de balanços publicados: 2011, 2012, 2013, 2014, 2015 e 2016. A maioria dos dados da pesquisa foram coletados no portal do cidadão do Tribunal de Contas de Santa Catarina (TCE-SC), quando não estavam disponíveis neste, foram coletados do portal de transparência de cada município. Todos os dados foram coletados manualmente, nos relatórios disponibilizados pelos municípios na </w:t>
      </w:r>
      <w:r w:rsidRPr="00392CEF">
        <w:rPr>
          <w:i/>
          <w:sz w:val="24"/>
          <w:szCs w:val="24"/>
        </w:rPr>
        <w:t>internet</w:t>
      </w:r>
      <w:r w:rsidRPr="00392CEF">
        <w:rPr>
          <w:sz w:val="24"/>
          <w:szCs w:val="24"/>
        </w:rPr>
        <w:t xml:space="preserve">. </w:t>
      </w:r>
    </w:p>
    <w:p w:rsidR="00B624A1" w:rsidRPr="00392CEF" w:rsidRDefault="00B624A1" w:rsidP="00B624A1">
      <w:pPr>
        <w:tabs>
          <w:tab w:val="left" w:pos="709"/>
        </w:tabs>
        <w:ind w:firstLine="709"/>
        <w:contextualSpacing/>
        <w:jc w:val="both"/>
        <w:rPr>
          <w:sz w:val="24"/>
          <w:szCs w:val="24"/>
        </w:rPr>
      </w:pPr>
      <w:r w:rsidRPr="00392CEF">
        <w:rPr>
          <w:sz w:val="24"/>
          <w:szCs w:val="24"/>
        </w:rPr>
        <w:t>Esta pesquisa irá analisar as despesas classificadas em nível de Elemento de despesa (representada por LL na Figura 1). Neste sentido as Diárias civis e as Passagens e despesas com locomoção, pertencem ao mesmo nível de classificação quanto a natureza, demonstrada na Figura 2.</w:t>
      </w:r>
    </w:p>
    <w:p w:rsidR="00B624A1" w:rsidRPr="00392CEF" w:rsidRDefault="00B624A1" w:rsidP="00B624A1">
      <w:pPr>
        <w:contextualSpacing/>
        <w:jc w:val="center"/>
        <w:rPr>
          <w:noProof/>
          <w:sz w:val="24"/>
          <w:szCs w:val="24"/>
        </w:rPr>
      </w:pPr>
    </w:p>
    <w:p w:rsidR="00B624A1" w:rsidRPr="00392CEF" w:rsidRDefault="00B624A1" w:rsidP="00B624A1">
      <w:pPr>
        <w:contextualSpacing/>
        <w:jc w:val="center"/>
        <w:rPr>
          <w:noProof/>
          <w:sz w:val="24"/>
          <w:szCs w:val="24"/>
        </w:rPr>
      </w:pPr>
      <w:r w:rsidRPr="00392CEF">
        <w:rPr>
          <w:noProof/>
          <w:sz w:val="24"/>
          <w:szCs w:val="24"/>
        </w:rPr>
        <w:drawing>
          <wp:inline distT="0" distB="0" distL="0" distR="0" wp14:anchorId="694AB09B" wp14:editId="71661DD8">
            <wp:extent cx="3343275" cy="1682115"/>
            <wp:effectExtent l="38100" t="0" r="9525" b="514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B6C82" w:rsidRDefault="007B6C82" w:rsidP="007B6C82">
      <w:pPr>
        <w:ind w:left="1135" w:firstLine="708"/>
        <w:contextualSpacing/>
        <w:rPr>
          <w:noProof/>
        </w:rPr>
      </w:pPr>
      <w:r w:rsidRPr="00E5698C">
        <w:rPr>
          <w:b/>
          <w:noProof/>
        </w:rPr>
        <w:t>Figura 2</w:t>
      </w:r>
      <w:r>
        <w:rPr>
          <w:noProof/>
        </w:rPr>
        <w:t>.</w:t>
      </w:r>
      <w:r w:rsidRPr="00392CEF">
        <w:rPr>
          <w:noProof/>
        </w:rPr>
        <w:t xml:space="preserve"> Classificação quanto a natureza</w:t>
      </w:r>
    </w:p>
    <w:p w:rsidR="00B624A1" w:rsidRPr="00392CEF" w:rsidRDefault="00B624A1" w:rsidP="007B6C82">
      <w:pPr>
        <w:ind w:left="1135" w:firstLine="708"/>
        <w:contextualSpacing/>
        <w:rPr>
          <w:noProof/>
        </w:rPr>
      </w:pPr>
      <w:r w:rsidRPr="00392CEF">
        <w:rPr>
          <w:noProof/>
        </w:rPr>
        <w:t>Fonte: Adaptado de STN (2016)</w:t>
      </w:r>
    </w:p>
    <w:p w:rsidR="00B624A1" w:rsidRPr="00392CEF" w:rsidRDefault="00B624A1" w:rsidP="00B624A1">
      <w:pPr>
        <w:ind w:firstLine="851"/>
        <w:contextualSpacing/>
        <w:jc w:val="both"/>
        <w:rPr>
          <w:sz w:val="24"/>
          <w:szCs w:val="24"/>
        </w:rPr>
      </w:pPr>
    </w:p>
    <w:p w:rsidR="00B624A1" w:rsidRDefault="00B624A1" w:rsidP="00B624A1">
      <w:pPr>
        <w:tabs>
          <w:tab w:val="left" w:pos="709"/>
        </w:tabs>
        <w:ind w:firstLine="709"/>
        <w:jc w:val="both"/>
        <w:rPr>
          <w:sz w:val="24"/>
          <w:szCs w:val="24"/>
        </w:rPr>
      </w:pPr>
      <w:r w:rsidRPr="00392CEF">
        <w:rPr>
          <w:sz w:val="24"/>
          <w:szCs w:val="24"/>
        </w:rPr>
        <w:t xml:space="preserve">Para efeitos desta pesquisa, será considerado gasto com deslocamento do servidor a serviço, a soma das contas contábeis de Diárias e de Passagens e Despesas com Locomoção. </w:t>
      </w:r>
    </w:p>
    <w:p w:rsidR="00B624A1" w:rsidRPr="00392CEF" w:rsidRDefault="00B624A1" w:rsidP="00B624A1">
      <w:pPr>
        <w:tabs>
          <w:tab w:val="left" w:pos="709"/>
        </w:tabs>
        <w:ind w:firstLine="709"/>
        <w:jc w:val="both"/>
        <w:rPr>
          <w:color w:val="000000"/>
          <w:sz w:val="24"/>
          <w:szCs w:val="24"/>
        </w:rPr>
      </w:pPr>
      <w:r w:rsidRPr="00392CEF">
        <w:rPr>
          <w:sz w:val="24"/>
          <w:szCs w:val="24"/>
        </w:rPr>
        <w:t>A variável dependente são os gastos relacionados na conta Diárias e na conta Passagens e Despesas de Deslocamento (GDP). Como variáveis independentes foram selecionadas as variáveis:</w:t>
      </w:r>
      <w:r>
        <w:rPr>
          <w:sz w:val="24"/>
          <w:szCs w:val="24"/>
        </w:rPr>
        <w:t xml:space="preserve"> </w:t>
      </w:r>
      <w:r w:rsidRPr="00392CEF">
        <w:rPr>
          <w:color w:val="000000"/>
          <w:sz w:val="24"/>
          <w:szCs w:val="24"/>
        </w:rPr>
        <w:t xml:space="preserve">Despesa corrente (DC), Despesas de pessoal (DP), Receita Corrente Líquida (RCL), Receita Tributária (RT) e Distância da Capital. </w:t>
      </w:r>
    </w:p>
    <w:p w:rsidR="00B624A1" w:rsidRPr="00392CEF" w:rsidRDefault="00B624A1" w:rsidP="00B624A1">
      <w:pPr>
        <w:tabs>
          <w:tab w:val="left" w:pos="709"/>
        </w:tabs>
        <w:ind w:firstLine="709"/>
        <w:jc w:val="both"/>
        <w:rPr>
          <w:sz w:val="24"/>
          <w:szCs w:val="24"/>
        </w:rPr>
      </w:pPr>
      <w:r w:rsidRPr="00392CEF">
        <w:rPr>
          <w:color w:val="000000"/>
          <w:sz w:val="24"/>
          <w:szCs w:val="24"/>
        </w:rPr>
        <w:t xml:space="preserve">Inicialmente foi realizada a </w:t>
      </w:r>
      <w:r w:rsidRPr="00392CEF">
        <w:rPr>
          <w:sz w:val="24"/>
          <w:szCs w:val="24"/>
        </w:rPr>
        <w:t xml:space="preserve">análise descritiva dos GDP, apresentado um gráfico comparativo </w:t>
      </w:r>
      <w:r>
        <w:rPr>
          <w:sz w:val="24"/>
          <w:szCs w:val="24"/>
        </w:rPr>
        <w:t>dos</w:t>
      </w:r>
      <w:r w:rsidRPr="00392CEF">
        <w:rPr>
          <w:sz w:val="24"/>
          <w:szCs w:val="24"/>
        </w:rPr>
        <w:t xml:space="preserve"> municípios pesquisados e </w:t>
      </w:r>
      <w:r>
        <w:rPr>
          <w:sz w:val="24"/>
          <w:szCs w:val="24"/>
        </w:rPr>
        <w:t>t</w:t>
      </w:r>
      <w:r w:rsidRPr="00392CEF">
        <w:rPr>
          <w:sz w:val="24"/>
          <w:szCs w:val="24"/>
        </w:rPr>
        <w:t xml:space="preserve">otal de gastos por ano. Na sequência foi realizada a análise por correlação e posteriormente uma análise individualizada do comprometimento em relação às variáveis de despesas e receitas. Por fim foi realizado o cálculo da média de gastos </w:t>
      </w:r>
      <w:r w:rsidRPr="00392CEF">
        <w:rPr>
          <w:sz w:val="24"/>
          <w:szCs w:val="24"/>
        </w:rPr>
        <w:lastRenderedPageBreak/>
        <w:t>dos municípios de acordo com a distância em que se encontram da capital do estado (Florianópolis- SC).</w:t>
      </w:r>
    </w:p>
    <w:p w:rsidR="00B624A1" w:rsidRPr="00392CEF" w:rsidRDefault="00B624A1" w:rsidP="00B624A1">
      <w:pPr>
        <w:tabs>
          <w:tab w:val="left" w:pos="709"/>
        </w:tabs>
        <w:ind w:firstLine="709"/>
        <w:jc w:val="both"/>
        <w:rPr>
          <w:sz w:val="24"/>
          <w:szCs w:val="24"/>
        </w:rPr>
      </w:pPr>
      <w:r w:rsidRPr="00392CEF">
        <w:rPr>
          <w:sz w:val="24"/>
          <w:szCs w:val="24"/>
        </w:rPr>
        <w:t>As variáveis utilizadas nesta pesquisa não tiveram como base estudos anteriores e sim, foram selecionadas de acordo com a experiência profissional dos autores, na área contábil de pequenos municípios de Santa Catarina.</w:t>
      </w:r>
      <w:r>
        <w:rPr>
          <w:sz w:val="24"/>
          <w:szCs w:val="24"/>
        </w:rPr>
        <w:t xml:space="preserve"> </w:t>
      </w:r>
      <w:r w:rsidRPr="00392CEF">
        <w:rPr>
          <w:sz w:val="24"/>
          <w:szCs w:val="24"/>
        </w:rPr>
        <w:t>Como a temática é nova e a necessidade de pesquisa emerge do clamor social pela transparência na aplicação dos recursos públicos, percebeu-se a necessidade de uma pesquisa participativa, contribuindo assim com o desenvolvimento de novas pesquisas na temática.</w:t>
      </w:r>
    </w:p>
    <w:p w:rsidR="00B624A1" w:rsidRPr="00392CEF" w:rsidRDefault="00B624A1" w:rsidP="00B624A1">
      <w:pPr>
        <w:tabs>
          <w:tab w:val="left" w:pos="709"/>
        </w:tabs>
        <w:ind w:firstLine="709"/>
        <w:jc w:val="both"/>
        <w:rPr>
          <w:sz w:val="24"/>
          <w:szCs w:val="24"/>
        </w:rPr>
      </w:pPr>
      <w:r w:rsidRPr="00392CEF">
        <w:rPr>
          <w:sz w:val="24"/>
          <w:szCs w:val="24"/>
        </w:rPr>
        <w:t xml:space="preserve">Segundo </w:t>
      </w:r>
      <w:r w:rsidRPr="00392CEF">
        <w:rPr>
          <w:bCs/>
          <w:iCs/>
          <w:sz w:val="24"/>
          <w:szCs w:val="24"/>
        </w:rPr>
        <w:t>Dyckman e Zeff (2015), as pesquisas estão se afastando da prática contábil, desde a década de 60 se valorizam pesquisas com vasto referencial teórico e com análises estatísticas robustas, que dificultam a compreensão dos stakeholders e afastam os achados teóricos da realidade prática dos contadores, mas é preciso mudar.</w:t>
      </w:r>
    </w:p>
    <w:p w:rsidR="00B624A1" w:rsidRPr="00392CEF" w:rsidRDefault="00B624A1" w:rsidP="00B624A1">
      <w:pPr>
        <w:tabs>
          <w:tab w:val="left" w:pos="709"/>
        </w:tabs>
        <w:ind w:firstLine="709"/>
        <w:jc w:val="both"/>
        <w:rPr>
          <w:sz w:val="24"/>
          <w:szCs w:val="24"/>
        </w:rPr>
      </w:pPr>
      <w:r w:rsidRPr="00392CEF">
        <w:rPr>
          <w:sz w:val="24"/>
          <w:szCs w:val="24"/>
        </w:rPr>
        <w:t xml:space="preserve">Esta pesquisa buscou apresentar um texto em </w:t>
      </w:r>
      <w:r w:rsidRPr="00392CEF">
        <w:rPr>
          <w:bCs/>
          <w:iCs/>
          <w:sz w:val="24"/>
          <w:szCs w:val="24"/>
        </w:rPr>
        <w:t xml:space="preserve">linguagem simples e com análises de fácil compreensão, a fim de estimular a leitura de </w:t>
      </w:r>
      <w:r>
        <w:rPr>
          <w:bCs/>
          <w:iCs/>
          <w:sz w:val="24"/>
          <w:szCs w:val="24"/>
        </w:rPr>
        <w:t>jovens pesquisadores</w:t>
      </w:r>
      <w:r w:rsidRPr="00392CEF">
        <w:rPr>
          <w:bCs/>
          <w:iCs/>
          <w:sz w:val="24"/>
          <w:szCs w:val="24"/>
        </w:rPr>
        <w:t xml:space="preserve"> e profissionais do mercado. </w:t>
      </w:r>
      <w:r w:rsidRPr="00392CEF">
        <w:rPr>
          <w:sz w:val="24"/>
          <w:szCs w:val="24"/>
        </w:rPr>
        <w:t xml:space="preserve">A intenção foi mensurar o percentual de comprometimento dos recursos públicos com os GDP. Assim, a principal limitação desta pesquisa </w:t>
      </w:r>
      <w:r>
        <w:rPr>
          <w:sz w:val="24"/>
          <w:szCs w:val="24"/>
        </w:rPr>
        <w:t>foi</w:t>
      </w:r>
      <w:r w:rsidRPr="00392CEF">
        <w:rPr>
          <w:sz w:val="24"/>
          <w:szCs w:val="24"/>
        </w:rPr>
        <w:t xml:space="preserve"> a escolha das variáveis e os métodos de análise empregados. </w:t>
      </w:r>
    </w:p>
    <w:p w:rsidR="00B624A1" w:rsidRPr="00392CEF" w:rsidRDefault="00B624A1" w:rsidP="00B624A1">
      <w:pPr>
        <w:ind w:firstLine="851"/>
        <w:jc w:val="both"/>
        <w:rPr>
          <w:sz w:val="24"/>
          <w:szCs w:val="24"/>
        </w:rPr>
      </w:pPr>
    </w:p>
    <w:p w:rsidR="00B624A1" w:rsidRPr="00392CEF" w:rsidRDefault="00B624A1" w:rsidP="00B624A1">
      <w:pPr>
        <w:pStyle w:val="Ttulo1"/>
        <w:spacing w:before="0" w:after="0"/>
        <w:rPr>
          <w:rFonts w:ascii="Times New Roman" w:hAnsi="Times New Roman"/>
          <w:szCs w:val="24"/>
        </w:rPr>
      </w:pPr>
      <w:bookmarkStart w:id="9" w:name="_Toc436674124"/>
      <w:bookmarkStart w:id="10" w:name="_Toc465887054"/>
      <w:r w:rsidRPr="00392CEF">
        <w:rPr>
          <w:rFonts w:ascii="Times New Roman" w:hAnsi="Times New Roman"/>
          <w:szCs w:val="24"/>
        </w:rPr>
        <w:t xml:space="preserve">4 Resultado e análise dos dados </w:t>
      </w:r>
      <w:bookmarkEnd w:id="9"/>
      <w:bookmarkEnd w:id="10"/>
    </w:p>
    <w:p w:rsidR="00B624A1" w:rsidRPr="00392CEF" w:rsidRDefault="00B624A1" w:rsidP="00B624A1">
      <w:pPr>
        <w:tabs>
          <w:tab w:val="left" w:pos="1800"/>
        </w:tabs>
        <w:ind w:firstLine="709"/>
        <w:jc w:val="both"/>
        <w:rPr>
          <w:sz w:val="24"/>
          <w:szCs w:val="24"/>
        </w:rPr>
      </w:pPr>
      <w:r w:rsidRPr="00392CEF">
        <w:rPr>
          <w:sz w:val="24"/>
          <w:szCs w:val="24"/>
        </w:rPr>
        <w:t xml:space="preserve">Inicialmente foram levantados os gastos do deslocamento de servidores a serviço, nos últimos 6 exercícios (2011 a 2016). A estatística descritiva com base na média municipal dos gastos anuais no período, relevou uma variação elevada no valor entre os </w:t>
      </w:r>
      <w:r>
        <w:rPr>
          <w:sz w:val="24"/>
          <w:szCs w:val="24"/>
        </w:rPr>
        <w:t xml:space="preserve">municípios </w:t>
      </w:r>
      <w:r w:rsidRPr="00392CEF">
        <w:rPr>
          <w:sz w:val="24"/>
          <w:szCs w:val="24"/>
        </w:rPr>
        <w:t>pesquisados</w:t>
      </w:r>
      <w:r w:rsidR="00E5698C">
        <w:rPr>
          <w:sz w:val="24"/>
          <w:szCs w:val="24"/>
        </w:rPr>
        <w:t>.</w:t>
      </w:r>
    </w:p>
    <w:p w:rsidR="00E5698C" w:rsidRPr="00392CEF" w:rsidRDefault="00E5698C" w:rsidP="00E5698C">
      <w:pPr>
        <w:ind w:firstLine="709"/>
        <w:jc w:val="both"/>
        <w:rPr>
          <w:color w:val="000000"/>
          <w:sz w:val="24"/>
          <w:szCs w:val="24"/>
        </w:rPr>
      </w:pPr>
      <w:r w:rsidRPr="00392CEF">
        <w:rPr>
          <w:sz w:val="24"/>
          <w:szCs w:val="24"/>
        </w:rPr>
        <w:t xml:space="preserve">Conforme </w:t>
      </w:r>
      <w:r>
        <w:rPr>
          <w:sz w:val="24"/>
          <w:szCs w:val="24"/>
        </w:rPr>
        <w:t xml:space="preserve">se </w:t>
      </w:r>
      <w:r w:rsidRPr="00392CEF">
        <w:rPr>
          <w:sz w:val="24"/>
          <w:szCs w:val="24"/>
        </w:rPr>
        <w:t xml:space="preserve">percebe na Tabela 2 e na Figura 3, ocorreu grande variação nos gastos dos municípios pesquisados. As diárias variaram de R$ 199,31 a R$ </w:t>
      </w:r>
      <w:r w:rsidRPr="00392CEF">
        <w:rPr>
          <w:color w:val="000000"/>
          <w:sz w:val="24"/>
          <w:szCs w:val="24"/>
        </w:rPr>
        <w:t>216.321,40 por ano, enquanto que para as passagens e despesas de locomoção, houve municípios que não gastaram nada e outros que gastaram R$ 124.155,00 no mesmo período.</w:t>
      </w:r>
    </w:p>
    <w:p w:rsidR="00B624A1" w:rsidRPr="00392CEF" w:rsidRDefault="00B624A1" w:rsidP="00B624A1">
      <w:pPr>
        <w:ind w:firstLine="851"/>
        <w:contextualSpacing/>
        <w:jc w:val="both"/>
        <w:rPr>
          <w:sz w:val="24"/>
          <w:szCs w:val="24"/>
        </w:rPr>
      </w:pPr>
    </w:p>
    <w:p w:rsidR="00E5698C" w:rsidRPr="00392CEF" w:rsidRDefault="00E5698C" w:rsidP="00E5698C">
      <w:pPr>
        <w:contextualSpacing/>
        <w:jc w:val="center"/>
        <w:rPr>
          <w:sz w:val="24"/>
          <w:szCs w:val="24"/>
        </w:rPr>
      </w:pPr>
      <w:r w:rsidRPr="00392CEF">
        <w:rPr>
          <w:noProof/>
          <w:sz w:val="24"/>
          <w:szCs w:val="24"/>
        </w:rPr>
        <w:drawing>
          <wp:inline distT="0" distB="0" distL="0" distR="0" wp14:anchorId="515F34BF" wp14:editId="4C7759A1">
            <wp:extent cx="5702935" cy="2473569"/>
            <wp:effectExtent l="0" t="0" r="12065" b="3175"/>
            <wp:docPr id="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698C" w:rsidRPr="00392CEF" w:rsidRDefault="00E5698C" w:rsidP="00E5698C">
      <w:pPr>
        <w:tabs>
          <w:tab w:val="left" w:pos="2268"/>
        </w:tabs>
        <w:contextualSpacing/>
      </w:pPr>
      <w:r w:rsidRPr="00E5698C">
        <w:rPr>
          <w:b/>
        </w:rPr>
        <w:t>Figura 3.</w:t>
      </w:r>
      <w:r w:rsidRPr="00392CEF">
        <w:t xml:space="preserve"> Total de gastos no período (2011-2016)</w:t>
      </w:r>
    </w:p>
    <w:p w:rsidR="00E5698C" w:rsidRDefault="00E5698C" w:rsidP="00E5698C">
      <w:pPr>
        <w:contextualSpacing/>
      </w:pPr>
      <w:r w:rsidRPr="00392CEF">
        <w:t>Fonte: Dados da pesquisa</w:t>
      </w:r>
    </w:p>
    <w:p w:rsidR="00E5698C" w:rsidRDefault="00E5698C" w:rsidP="00E5698C">
      <w:pPr>
        <w:contextualSpacing/>
      </w:pPr>
    </w:p>
    <w:p w:rsidR="00E5698C" w:rsidRPr="00392CEF" w:rsidRDefault="00E5698C" w:rsidP="00E5698C">
      <w:pPr>
        <w:contextualSpacing/>
      </w:pPr>
    </w:p>
    <w:p w:rsidR="007B6C82" w:rsidRDefault="00B624A1" w:rsidP="007B6C82">
      <w:pPr>
        <w:tabs>
          <w:tab w:val="left" w:pos="2127"/>
        </w:tabs>
        <w:ind w:left="-142" w:firstLine="142"/>
        <w:contextualSpacing/>
      </w:pPr>
      <w:r w:rsidRPr="00392CEF">
        <w:lastRenderedPageBreak/>
        <w:t>Tabela 2</w:t>
      </w:r>
    </w:p>
    <w:p w:rsidR="00B624A1" w:rsidRPr="00392CEF" w:rsidRDefault="00B624A1" w:rsidP="007B6C82">
      <w:pPr>
        <w:tabs>
          <w:tab w:val="left" w:pos="2127"/>
        </w:tabs>
        <w:ind w:left="-142" w:firstLine="142"/>
        <w:contextualSpacing/>
      </w:pPr>
      <w:r w:rsidRPr="00392CEF">
        <w:t>Principais resultados da estatística descritiva</w:t>
      </w:r>
    </w:p>
    <w:tbl>
      <w:tblPr>
        <w:tblW w:w="5024" w:type="pct"/>
        <w:tblCellMar>
          <w:left w:w="70" w:type="dxa"/>
          <w:right w:w="70" w:type="dxa"/>
        </w:tblCellMar>
        <w:tblLook w:val="04A0" w:firstRow="1" w:lastRow="0" w:firstColumn="1" w:lastColumn="0" w:noHBand="0" w:noVBand="1"/>
      </w:tblPr>
      <w:tblGrid>
        <w:gridCol w:w="2278"/>
        <w:gridCol w:w="2277"/>
        <w:gridCol w:w="2277"/>
        <w:gridCol w:w="2277"/>
      </w:tblGrid>
      <w:tr w:rsidR="00B624A1" w:rsidRPr="00392CEF" w:rsidTr="00E5698C">
        <w:trPr>
          <w:trHeight w:val="357"/>
        </w:trPr>
        <w:tc>
          <w:tcPr>
            <w:tcW w:w="2500" w:type="pct"/>
            <w:gridSpan w:val="2"/>
            <w:tcBorders>
              <w:top w:val="single" w:sz="8" w:space="0" w:color="auto"/>
              <w:left w:val="nil"/>
              <w:bottom w:val="single" w:sz="4" w:space="0" w:color="auto"/>
              <w:right w:val="single" w:sz="4" w:space="0" w:color="auto"/>
            </w:tcBorders>
            <w:shd w:val="clear" w:color="auto" w:fill="auto"/>
            <w:noWrap/>
            <w:vAlign w:val="bottom"/>
            <w:hideMark/>
          </w:tcPr>
          <w:p w:rsidR="00B624A1" w:rsidRPr="00392CEF" w:rsidRDefault="00B624A1" w:rsidP="003746AA">
            <w:pPr>
              <w:jc w:val="center"/>
              <w:rPr>
                <w:iCs/>
                <w:color w:val="000000"/>
              </w:rPr>
            </w:pPr>
            <w:r w:rsidRPr="00392CEF">
              <w:rPr>
                <w:iCs/>
                <w:color w:val="000000"/>
              </w:rPr>
              <w:t>Diárias</w:t>
            </w:r>
          </w:p>
        </w:tc>
        <w:tc>
          <w:tcPr>
            <w:tcW w:w="2500" w:type="pct"/>
            <w:gridSpan w:val="2"/>
            <w:tcBorders>
              <w:top w:val="single" w:sz="8" w:space="0" w:color="auto"/>
              <w:left w:val="single" w:sz="4" w:space="0" w:color="auto"/>
              <w:bottom w:val="single" w:sz="4" w:space="0" w:color="auto"/>
              <w:right w:val="nil"/>
            </w:tcBorders>
            <w:shd w:val="clear" w:color="auto" w:fill="auto"/>
            <w:noWrap/>
            <w:vAlign w:val="bottom"/>
            <w:hideMark/>
          </w:tcPr>
          <w:p w:rsidR="00B624A1" w:rsidRPr="00392CEF" w:rsidRDefault="00B624A1" w:rsidP="003746AA">
            <w:pPr>
              <w:jc w:val="center"/>
              <w:rPr>
                <w:iCs/>
                <w:color w:val="000000"/>
              </w:rPr>
            </w:pPr>
            <w:r w:rsidRPr="00392CEF">
              <w:rPr>
                <w:iCs/>
                <w:color w:val="000000"/>
              </w:rPr>
              <w:t>Passagens e despesas de locomoção</w:t>
            </w:r>
          </w:p>
        </w:tc>
      </w:tr>
      <w:tr w:rsidR="00B624A1" w:rsidRPr="00392CEF" w:rsidTr="003746AA">
        <w:trPr>
          <w:trHeight w:val="276"/>
        </w:trPr>
        <w:tc>
          <w:tcPr>
            <w:tcW w:w="1250" w:type="pct"/>
            <w:tcBorders>
              <w:left w:val="nil"/>
              <w:bottom w:val="nil"/>
            </w:tcBorders>
            <w:shd w:val="clear" w:color="auto" w:fill="auto"/>
            <w:noWrap/>
            <w:vAlign w:val="bottom"/>
            <w:hideMark/>
          </w:tcPr>
          <w:p w:rsidR="00B624A1" w:rsidRPr="00392CEF" w:rsidRDefault="00B624A1" w:rsidP="003746AA">
            <w:pPr>
              <w:rPr>
                <w:color w:val="000000"/>
              </w:rPr>
            </w:pPr>
            <w:r w:rsidRPr="00392CEF">
              <w:rPr>
                <w:color w:val="000000"/>
              </w:rPr>
              <w:t>Média</w:t>
            </w:r>
          </w:p>
        </w:tc>
        <w:tc>
          <w:tcPr>
            <w:tcW w:w="1250" w:type="pct"/>
            <w:tcBorders>
              <w:bottom w:val="nil"/>
              <w:right w:val="single" w:sz="4" w:space="0" w:color="auto"/>
            </w:tcBorders>
            <w:shd w:val="clear" w:color="auto" w:fill="auto"/>
            <w:noWrap/>
            <w:vAlign w:val="bottom"/>
            <w:hideMark/>
          </w:tcPr>
          <w:p w:rsidR="00B624A1" w:rsidRPr="00392CEF" w:rsidRDefault="00B624A1" w:rsidP="003746AA">
            <w:pPr>
              <w:jc w:val="right"/>
              <w:rPr>
                <w:color w:val="000000"/>
              </w:rPr>
            </w:pPr>
            <w:r w:rsidRPr="00392CEF">
              <w:rPr>
                <w:color w:val="000000"/>
              </w:rPr>
              <w:t>72.143,44</w:t>
            </w:r>
          </w:p>
        </w:tc>
        <w:tc>
          <w:tcPr>
            <w:tcW w:w="1250" w:type="pct"/>
            <w:tcBorders>
              <w:left w:val="single" w:sz="4" w:space="0" w:color="auto"/>
              <w:bottom w:val="nil"/>
            </w:tcBorders>
            <w:shd w:val="clear" w:color="auto" w:fill="auto"/>
            <w:noWrap/>
            <w:vAlign w:val="bottom"/>
            <w:hideMark/>
          </w:tcPr>
          <w:p w:rsidR="00B624A1" w:rsidRPr="00392CEF" w:rsidRDefault="00B624A1" w:rsidP="003746AA">
            <w:pPr>
              <w:rPr>
                <w:color w:val="000000"/>
              </w:rPr>
            </w:pPr>
            <w:r w:rsidRPr="00392CEF">
              <w:rPr>
                <w:color w:val="000000"/>
              </w:rPr>
              <w:t>Média</w:t>
            </w:r>
          </w:p>
        </w:tc>
        <w:tc>
          <w:tcPr>
            <w:tcW w:w="1250" w:type="pct"/>
            <w:tcBorders>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14.085,66</w:t>
            </w:r>
          </w:p>
        </w:tc>
      </w:tr>
      <w:tr w:rsidR="00B624A1" w:rsidRPr="00392CEF" w:rsidTr="003746AA">
        <w:trPr>
          <w:trHeight w:val="276"/>
        </w:trPr>
        <w:tc>
          <w:tcPr>
            <w:tcW w:w="1250" w:type="pct"/>
            <w:tcBorders>
              <w:top w:val="nil"/>
              <w:left w:val="nil"/>
              <w:bottom w:val="nil"/>
            </w:tcBorders>
            <w:shd w:val="clear" w:color="auto" w:fill="auto"/>
            <w:noWrap/>
            <w:vAlign w:val="bottom"/>
            <w:hideMark/>
          </w:tcPr>
          <w:p w:rsidR="00B624A1" w:rsidRPr="00392CEF" w:rsidRDefault="00B624A1" w:rsidP="003746AA">
            <w:pPr>
              <w:rPr>
                <w:color w:val="000000"/>
              </w:rPr>
            </w:pPr>
            <w:r w:rsidRPr="00392CEF">
              <w:rPr>
                <w:color w:val="000000"/>
              </w:rPr>
              <w:t>Mediana</w:t>
            </w:r>
          </w:p>
        </w:tc>
        <w:tc>
          <w:tcPr>
            <w:tcW w:w="1250" w:type="pct"/>
            <w:tcBorders>
              <w:top w:val="nil"/>
              <w:left w:val="nil"/>
              <w:bottom w:val="nil"/>
              <w:right w:val="single" w:sz="4" w:space="0" w:color="auto"/>
            </w:tcBorders>
            <w:shd w:val="clear" w:color="auto" w:fill="auto"/>
            <w:noWrap/>
            <w:vAlign w:val="bottom"/>
            <w:hideMark/>
          </w:tcPr>
          <w:p w:rsidR="00B624A1" w:rsidRPr="00392CEF" w:rsidRDefault="00B624A1" w:rsidP="003746AA">
            <w:pPr>
              <w:jc w:val="right"/>
              <w:rPr>
                <w:color w:val="000000"/>
              </w:rPr>
            </w:pPr>
            <w:r w:rsidRPr="00392CEF">
              <w:rPr>
                <w:color w:val="000000"/>
              </w:rPr>
              <w:t>63.602,80</w:t>
            </w:r>
          </w:p>
        </w:tc>
        <w:tc>
          <w:tcPr>
            <w:tcW w:w="1250" w:type="pct"/>
            <w:tcBorders>
              <w:top w:val="nil"/>
              <w:left w:val="single" w:sz="4" w:space="0" w:color="auto"/>
              <w:bottom w:val="nil"/>
            </w:tcBorders>
            <w:shd w:val="clear" w:color="auto" w:fill="auto"/>
            <w:noWrap/>
            <w:vAlign w:val="bottom"/>
            <w:hideMark/>
          </w:tcPr>
          <w:p w:rsidR="00B624A1" w:rsidRPr="00392CEF" w:rsidRDefault="00B624A1" w:rsidP="003746AA">
            <w:pPr>
              <w:rPr>
                <w:color w:val="000000"/>
              </w:rPr>
            </w:pPr>
            <w:r w:rsidRPr="00392CEF">
              <w:rPr>
                <w:color w:val="000000"/>
              </w:rPr>
              <w:t>Mediana</w:t>
            </w:r>
          </w:p>
        </w:tc>
        <w:tc>
          <w:tcPr>
            <w:tcW w:w="1250" w:type="pct"/>
            <w:tcBorders>
              <w:top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9.516,51</w:t>
            </w:r>
          </w:p>
        </w:tc>
      </w:tr>
      <w:tr w:rsidR="00B624A1" w:rsidRPr="00392CEF" w:rsidTr="003746AA">
        <w:trPr>
          <w:trHeight w:val="276"/>
        </w:trPr>
        <w:tc>
          <w:tcPr>
            <w:tcW w:w="1250" w:type="pct"/>
            <w:tcBorders>
              <w:top w:val="nil"/>
              <w:left w:val="nil"/>
              <w:bottom w:val="nil"/>
            </w:tcBorders>
            <w:shd w:val="clear" w:color="auto" w:fill="auto"/>
            <w:noWrap/>
            <w:vAlign w:val="bottom"/>
            <w:hideMark/>
          </w:tcPr>
          <w:p w:rsidR="00B624A1" w:rsidRPr="00392CEF" w:rsidRDefault="00B624A1" w:rsidP="003746AA">
            <w:pPr>
              <w:rPr>
                <w:color w:val="000000"/>
              </w:rPr>
            </w:pPr>
            <w:r w:rsidRPr="00392CEF">
              <w:rPr>
                <w:color w:val="000000"/>
              </w:rPr>
              <w:t>Mínimo</w:t>
            </w:r>
          </w:p>
        </w:tc>
        <w:tc>
          <w:tcPr>
            <w:tcW w:w="1250" w:type="pct"/>
            <w:tcBorders>
              <w:top w:val="nil"/>
              <w:left w:val="nil"/>
              <w:bottom w:val="nil"/>
              <w:right w:val="single" w:sz="4" w:space="0" w:color="auto"/>
            </w:tcBorders>
            <w:shd w:val="clear" w:color="auto" w:fill="auto"/>
            <w:noWrap/>
            <w:vAlign w:val="bottom"/>
            <w:hideMark/>
          </w:tcPr>
          <w:p w:rsidR="00B624A1" w:rsidRPr="00392CEF" w:rsidRDefault="00B624A1" w:rsidP="003746AA">
            <w:pPr>
              <w:jc w:val="right"/>
              <w:rPr>
                <w:color w:val="000000"/>
              </w:rPr>
            </w:pPr>
            <w:r w:rsidRPr="00392CEF">
              <w:rPr>
                <w:color w:val="000000"/>
              </w:rPr>
              <w:t>199,31</w:t>
            </w:r>
          </w:p>
        </w:tc>
        <w:tc>
          <w:tcPr>
            <w:tcW w:w="1250" w:type="pct"/>
            <w:tcBorders>
              <w:top w:val="nil"/>
              <w:left w:val="single" w:sz="4" w:space="0" w:color="auto"/>
              <w:bottom w:val="nil"/>
            </w:tcBorders>
            <w:shd w:val="clear" w:color="auto" w:fill="auto"/>
            <w:noWrap/>
            <w:vAlign w:val="bottom"/>
            <w:hideMark/>
          </w:tcPr>
          <w:p w:rsidR="00B624A1" w:rsidRPr="00392CEF" w:rsidRDefault="00B624A1" w:rsidP="003746AA">
            <w:pPr>
              <w:rPr>
                <w:color w:val="000000"/>
              </w:rPr>
            </w:pPr>
            <w:r w:rsidRPr="00392CEF">
              <w:rPr>
                <w:color w:val="000000"/>
              </w:rPr>
              <w:t>Mínimo</w:t>
            </w:r>
          </w:p>
        </w:tc>
        <w:tc>
          <w:tcPr>
            <w:tcW w:w="1250" w:type="pct"/>
            <w:tcBorders>
              <w:top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w:t>
            </w:r>
          </w:p>
        </w:tc>
      </w:tr>
      <w:tr w:rsidR="00B624A1" w:rsidRPr="00392CEF" w:rsidTr="003746AA">
        <w:trPr>
          <w:trHeight w:val="276"/>
        </w:trPr>
        <w:tc>
          <w:tcPr>
            <w:tcW w:w="1250" w:type="pct"/>
            <w:tcBorders>
              <w:top w:val="nil"/>
              <w:left w:val="nil"/>
              <w:bottom w:val="nil"/>
            </w:tcBorders>
            <w:shd w:val="clear" w:color="auto" w:fill="auto"/>
            <w:noWrap/>
            <w:vAlign w:val="bottom"/>
            <w:hideMark/>
          </w:tcPr>
          <w:p w:rsidR="00B624A1" w:rsidRPr="00392CEF" w:rsidRDefault="00B624A1" w:rsidP="003746AA">
            <w:pPr>
              <w:rPr>
                <w:color w:val="000000"/>
              </w:rPr>
            </w:pPr>
            <w:r w:rsidRPr="00392CEF">
              <w:rPr>
                <w:color w:val="000000"/>
              </w:rPr>
              <w:t>Máximo</w:t>
            </w:r>
          </w:p>
        </w:tc>
        <w:tc>
          <w:tcPr>
            <w:tcW w:w="1250" w:type="pct"/>
            <w:tcBorders>
              <w:top w:val="nil"/>
              <w:left w:val="nil"/>
              <w:bottom w:val="nil"/>
              <w:right w:val="single" w:sz="4" w:space="0" w:color="auto"/>
            </w:tcBorders>
            <w:shd w:val="clear" w:color="auto" w:fill="auto"/>
            <w:noWrap/>
            <w:vAlign w:val="bottom"/>
            <w:hideMark/>
          </w:tcPr>
          <w:p w:rsidR="00B624A1" w:rsidRPr="00392CEF" w:rsidRDefault="00B624A1" w:rsidP="003746AA">
            <w:pPr>
              <w:jc w:val="right"/>
              <w:rPr>
                <w:color w:val="000000"/>
              </w:rPr>
            </w:pPr>
            <w:r w:rsidRPr="00392CEF">
              <w:rPr>
                <w:color w:val="000000"/>
              </w:rPr>
              <w:t>216.321,40</w:t>
            </w:r>
          </w:p>
        </w:tc>
        <w:tc>
          <w:tcPr>
            <w:tcW w:w="1250" w:type="pct"/>
            <w:tcBorders>
              <w:top w:val="nil"/>
              <w:left w:val="single" w:sz="4" w:space="0" w:color="auto"/>
              <w:bottom w:val="nil"/>
            </w:tcBorders>
            <w:shd w:val="clear" w:color="auto" w:fill="auto"/>
            <w:noWrap/>
            <w:vAlign w:val="bottom"/>
            <w:hideMark/>
          </w:tcPr>
          <w:p w:rsidR="00B624A1" w:rsidRPr="00392CEF" w:rsidRDefault="00B624A1" w:rsidP="003746AA">
            <w:pPr>
              <w:rPr>
                <w:color w:val="000000"/>
              </w:rPr>
            </w:pPr>
            <w:r w:rsidRPr="00392CEF">
              <w:rPr>
                <w:color w:val="000000"/>
              </w:rPr>
              <w:t>Máximo</w:t>
            </w:r>
          </w:p>
        </w:tc>
        <w:tc>
          <w:tcPr>
            <w:tcW w:w="1250" w:type="pct"/>
            <w:tcBorders>
              <w:top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124.155,00</w:t>
            </w:r>
          </w:p>
        </w:tc>
      </w:tr>
      <w:tr w:rsidR="00B624A1" w:rsidRPr="00392CEF" w:rsidTr="003746AA">
        <w:trPr>
          <w:trHeight w:val="276"/>
        </w:trPr>
        <w:tc>
          <w:tcPr>
            <w:tcW w:w="1250" w:type="pct"/>
            <w:tcBorders>
              <w:top w:val="nil"/>
              <w:left w:val="nil"/>
              <w:bottom w:val="single" w:sz="4" w:space="0" w:color="auto"/>
            </w:tcBorders>
            <w:shd w:val="clear" w:color="auto" w:fill="auto"/>
            <w:noWrap/>
            <w:vAlign w:val="bottom"/>
            <w:hideMark/>
          </w:tcPr>
          <w:p w:rsidR="00B624A1" w:rsidRPr="00392CEF" w:rsidRDefault="00B624A1" w:rsidP="003746AA">
            <w:pPr>
              <w:rPr>
                <w:color w:val="000000"/>
              </w:rPr>
            </w:pPr>
            <w:r w:rsidRPr="00392CEF">
              <w:rPr>
                <w:color w:val="000000"/>
              </w:rPr>
              <w:t>Soma</w:t>
            </w:r>
          </w:p>
        </w:tc>
        <w:tc>
          <w:tcPr>
            <w:tcW w:w="1250" w:type="pct"/>
            <w:tcBorders>
              <w:top w:val="nil"/>
              <w:left w:val="nil"/>
              <w:bottom w:val="single" w:sz="4" w:space="0" w:color="auto"/>
              <w:right w:val="single" w:sz="4" w:space="0" w:color="auto"/>
            </w:tcBorders>
            <w:shd w:val="clear" w:color="auto" w:fill="auto"/>
            <w:noWrap/>
            <w:vAlign w:val="bottom"/>
            <w:hideMark/>
          </w:tcPr>
          <w:p w:rsidR="00B624A1" w:rsidRPr="00392CEF" w:rsidRDefault="00B624A1" w:rsidP="003746AA">
            <w:pPr>
              <w:jc w:val="right"/>
              <w:rPr>
                <w:color w:val="000000"/>
              </w:rPr>
            </w:pPr>
            <w:r w:rsidRPr="00392CEF">
              <w:rPr>
                <w:color w:val="000000"/>
              </w:rPr>
              <w:t>7.719.349,00</w:t>
            </w:r>
          </w:p>
        </w:tc>
        <w:tc>
          <w:tcPr>
            <w:tcW w:w="1250" w:type="pct"/>
            <w:tcBorders>
              <w:top w:val="nil"/>
              <w:left w:val="single" w:sz="4" w:space="0" w:color="auto"/>
              <w:bottom w:val="single" w:sz="4" w:space="0" w:color="auto"/>
            </w:tcBorders>
            <w:shd w:val="clear" w:color="auto" w:fill="auto"/>
            <w:noWrap/>
            <w:vAlign w:val="bottom"/>
            <w:hideMark/>
          </w:tcPr>
          <w:p w:rsidR="00B624A1" w:rsidRPr="00392CEF" w:rsidRDefault="00B624A1" w:rsidP="003746AA">
            <w:pPr>
              <w:rPr>
                <w:color w:val="000000"/>
              </w:rPr>
            </w:pPr>
            <w:r w:rsidRPr="00392CEF">
              <w:rPr>
                <w:color w:val="000000"/>
              </w:rPr>
              <w:t>Soma</w:t>
            </w:r>
          </w:p>
        </w:tc>
        <w:tc>
          <w:tcPr>
            <w:tcW w:w="1250" w:type="pct"/>
            <w:tcBorders>
              <w:top w:val="nil"/>
              <w:bottom w:val="single" w:sz="4" w:space="0" w:color="auto"/>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1.507.166,00</w:t>
            </w:r>
          </w:p>
        </w:tc>
      </w:tr>
    </w:tbl>
    <w:p w:rsidR="00B624A1" w:rsidRPr="00BE222D" w:rsidRDefault="007B6C82" w:rsidP="00B624A1">
      <w:pPr>
        <w:contextualSpacing/>
        <w:jc w:val="both"/>
      </w:pPr>
      <w:r>
        <w:t>Nota.</w:t>
      </w:r>
      <w:r w:rsidR="00B624A1" w:rsidRPr="00BE222D">
        <w:t xml:space="preserve"> Dados da pesquisa</w:t>
      </w:r>
    </w:p>
    <w:p w:rsidR="00B624A1" w:rsidRPr="00392CEF" w:rsidRDefault="00B624A1" w:rsidP="00B624A1">
      <w:pPr>
        <w:contextualSpacing/>
        <w:jc w:val="both"/>
        <w:rPr>
          <w:sz w:val="24"/>
          <w:szCs w:val="24"/>
        </w:rPr>
      </w:pPr>
    </w:p>
    <w:p w:rsidR="00B624A1" w:rsidRPr="00392CEF" w:rsidRDefault="00B624A1" w:rsidP="00B624A1">
      <w:pPr>
        <w:ind w:firstLine="709"/>
        <w:jc w:val="both"/>
        <w:rPr>
          <w:color w:val="000000"/>
          <w:sz w:val="24"/>
          <w:szCs w:val="24"/>
        </w:rPr>
      </w:pPr>
      <w:r w:rsidRPr="00392CEF">
        <w:rPr>
          <w:color w:val="000000"/>
          <w:sz w:val="24"/>
          <w:szCs w:val="24"/>
        </w:rPr>
        <w:t>O gasto médio anual, acumulado nestes elementos de despesas, dos 107 municípios pesquisados, foi de R$ 9.226.515,00 no período analisado. Partindo da afirmação do promotor de justiça do Ministério Público de Mato Grosso do Sul, de que as diárias estão deixando de ser verba indenizatória para, em alguns casos, se tornarem verbas remuneratórias (G1,2017), isso representaria o equivalente a 9.847 salários mínimos atuais.</w:t>
      </w:r>
    </w:p>
    <w:p w:rsidR="00B624A1" w:rsidRPr="00392CEF" w:rsidRDefault="00B624A1" w:rsidP="00B624A1">
      <w:pPr>
        <w:ind w:firstLine="709"/>
        <w:jc w:val="both"/>
        <w:rPr>
          <w:color w:val="000000"/>
          <w:sz w:val="24"/>
          <w:szCs w:val="24"/>
        </w:rPr>
      </w:pPr>
      <w:r w:rsidRPr="00392CEF">
        <w:rPr>
          <w:color w:val="000000"/>
          <w:sz w:val="24"/>
          <w:szCs w:val="24"/>
        </w:rPr>
        <w:t xml:space="preserve">Avaliando o total acumulado de gastos por ano, observou-se que no ano de eleições estadual/federal (2014) os gastos tiveram seu maior pico. A Figura </w:t>
      </w:r>
      <w:r>
        <w:rPr>
          <w:color w:val="000000"/>
          <w:sz w:val="24"/>
          <w:szCs w:val="24"/>
        </w:rPr>
        <w:t>4</w:t>
      </w:r>
      <w:r w:rsidRPr="00392CEF">
        <w:rPr>
          <w:color w:val="000000"/>
          <w:sz w:val="24"/>
          <w:szCs w:val="24"/>
        </w:rPr>
        <w:t xml:space="preserve"> ilustra estes resultados.</w:t>
      </w:r>
    </w:p>
    <w:p w:rsidR="00B624A1" w:rsidRPr="00392CEF" w:rsidRDefault="00B624A1" w:rsidP="00B624A1">
      <w:pPr>
        <w:jc w:val="center"/>
        <w:rPr>
          <w:color w:val="000000"/>
          <w:sz w:val="24"/>
          <w:szCs w:val="24"/>
        </w:rPr>
      </w:pPr>
    </w:p>
    <w:p w:rsidR="00B624A1" w:rsidRPr="00392CEF" w:rsidRDefault="00B624A1" w:rsidP="00B624A1">
      <w:pPr>
        <w:jc w:val="center"/>
        <w:rPr>
          <w:color w:val="000000"/>
          <w:sz w:val="24"/>
          <w:szCs w:val="24"/>
        </w:rPr>
      </w:pPr>
      <w:r w:rsidRPr="00392CEF">
        <w:rPr>
          <w:noProof/>
          <w:color w:val="000000"/>
          <w:sz w:val="24"/>
          <w:szCs w:val="24"/>
        </w:rPr>
        <w:drawing>
          <wp:inline distT="0" distB="0" distL="0" distR="0" wp14:anchorId="5EFD55D6" wp14:editId="37D2D50D">
            <wp:extent cx="3929184" cy="1889125"/>
            <wp:effectExtent l="0" t="0" r="14605" b="15875"/>
            <wp:docPr id="6"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6C82" w:rsidRDefault="007B6C82" w:rsidP="007B6C82">
      <w:pPr>
        <w:ind w:left="708" w:firstLine="708"/>
        <w:rPr>
          <w:color w:val="000000"/>
        </w:rPr>
      </w:pPr>
      <w:r w:rsidRPr="00E5698C">
        <w:rPr>
          <w:b/>
          <w:color w:val="000000"/>
        </w:rPr>
        <w:t>Figura 4.</w:t>
      </w:r>
      <w:r w:rsidRPr="00392CEF">
        <w:rPr>
          <w:color w:val="000000"/>
        </w:rPr>
        <w:t xml:space="preserve"> Total de gastos por ano (acumulado dos municípios)</w:t>
      </w:r>
    </w:p>
    <w:p w:rsidR="00B624A1" w:rsidRPr="00392CEF" w:rsidRDefault="00B624A1" w:rsidP="007B6C82">
      <w:pPr>
        <w:ind w:left="708" w:firstLine="708"/>
        <w:rPr>
          <w:color w:val="000000"/>
        </w:rPr>
      </w:pPr>
      <w:r w:rsidRPr="00392CEF">
        <w:rPr>
          <w:color w:val="000000"/>
        </w:rPr>
        <w:t>Fonte: dados da pesquisa</w:t>
      </w:r>
    </w:p>
    <w:p w:rsidR="00B624A1" w:rsidRPr="00392CEF" w:rsidRDefault="00B624A1" w:rsidP="00B624A1">
      <w:pPr>
        <w:jc w:val="both"/>
        <w:rPr>
          <w:color w:val="000000"/>
          <w:sz w:val="24"/>
          <w:szCs w:val="24"/>
        </w:rPr>
      </w:pPr>
    </w:p>
    <w:p w:rsidR="00B624A1" w:rsidRPr="00392CEF" w:rsidRDefault="00B624A1" w:rsidP="00B624A1">
      <w:pPr>
        <w:ind w:firstLine="709"/>
        <w:jc w:val="both"/>
        <w:rPr>
          <w:color w:val="000000"/>
          <w:sz w:val="24"/>
          <w:szCs w:val="24"/>
        </w:rPr>
      </w:pPr>
      <w:r w:rsidRPr="00392CEF">
        <w:rPr>
          <w:color w:val="000000"/>
          <w:sz w:val="24"/>
          <w:szCs w:val="24"/>
        </w:rPr>
        <w:t>Os resultados da Figura 4 são semelhantes aos apresentados pelo Diário Catarinense (2017) para os gastos da ALESC, porém, o pico de gastos no legislativo estadual foi no ano de 2013 (pré-eleitoral), seguindo e muito próximo de 2014 (ano eleitoral). Na matéria veiculada, outras informações foram levantadas e revelaram que a maioria das diárias iniciam nas quintas e sextas-feiras e em período de recesso parlamentar ou feriados prolongados. Estas informações não foram levantadas nesta pesquisa, em relação aos dados municipais.</w:t>
      </w:r>
    </w:p>
    <w:p w:rsidR="00B624A1" w:rsidRPr="00392CEF" w:rsidRDefault="00B624A1" w:rsidP="00B624A1">
      <w:pPr>
        <w:ind w:firstLine="709"/>
        <w:jc w:val="both"/>
        <w:rPr>
          <w:color w:val="000000"/>
          <w:sz w:val="24"/>
          <w:szCs w:val="24"/>
        </w:rPr>
      </w:pPr>
      <w:r w:rsidRPr="00392CEF">
        <w:rPr>
          <w:color w:val="000000"/>
          <w:sz w:val="24"/>
          <w:szCs w:val="24"/>
        </w:rPr>
        <w:t>Apesar dos elevados gastos na análise geral, se analisado caso a caso, observa-se que alguns municípios estão gastando valores insignificantes, o que, de acordo com a experiência profissional dos autores, pode ser uma manobra contábil. Ocorre que a legislação atual autoriza o empenho de "adiantamento de despesas", na modalidade empenho estimativo, que permite que sejam empenhados, liquidados e pagos, valores estimados da despesa, que irá ocorre</w:t>
      </w:r>
      <w:r>
        <w:rPr>
          <w:color w:val="000000"/>
          <w:sz w:val="24"/>
          <w:szCs w:val="24"/>
        </w:rPr>
        <w:t xml:space="preserve">r </w:t>
      </w:r>
      <w:r w:rsidRPr="00392CEF">
        <w:rPr>
          <w:i/>
          <w:color w:val="000000"/>
          <w:sz w:val="24"/>
          <w:szCs w:val="24"/>
        </w:rPr>
        <w:t>a posteriori</w:t>
      </w:r>
      <w:r w:rsidRPr="00392CEF">
        <w:rPr>
          <w:color w:val="000000"/>
          <w:sz w:val="24"/>
          <w:szCs w:val="24"/>
        </w:rPr>
        <w:t>.</w:t>
      </w:r>
    </w:p>
    <w:p w:rsidR="00B624A1" w:rsidRPr="00392CEF" w:rsidRDefault="00B624A1" w:rsidP="00B624A1">
      <w:pPr>
        <w:ind w:firstLine="709"/>
        <w:jc w:val="both"/>
        <w:rPr>
          <w:color w:val="000000"/>
          <w:sz w:val="24"/>
          <w:szCs w:val="24"/>
        </w:rPr>
      </w:pPr>
      <w:r w:rsidRPr="00392CEF">
        <w:rPr>
          <w:color w:val="000000"/>
          <w:sz w:val="24"/>
          <w:szCs w:val="24"/>
        </w:rPr>
        <w:t xml:space="preserve">Em relação ao regime de adiantamento de despesas, além das normas federais, os municípios pesquisados estão sujeitos aos procedimentos estabelecidos na Resolução 14/2012 </w:t>
      </w:r>
      <w:r w:rsidRPr="00392CEF">
        <w:rPr>
          <w:color w:val="000000"/>
          <w:sz w:val="24"/>
          <w:szCs w:val="24"/>
        </w:rPr>
        <w:lastRenderedPageBreak/>
        <w:t>(TCE-SC, 2012), que estabelece "</w:t>
      </w:r>
      <w:r w:rsidRPr="00392CEF">
        <w:rPr>
          <w:sz w:val="24"/>
          <w:szCs w:val="24"/>
        </w:rPr>
        <w:t>Art. 6º Os recursos públicos concedidos para realização de despesas pelo regime de adiantamento serão aplicados diretamente pelo servidor formalmente designado para gerir os recursos."</w:t>
      </w:r>
      <w:r w:rsidRPr="00392CEF">
        <w:rPr>
          <w:color w:val="000000"/>
          <w:sz w:val="24"/>
          <w:szCs w:val="24"/>
        </w:rPr>
        <w:t xml:space="preserve"> Cabe destacar que os adiantamentos exigem do beneficiário a posterior prestação de contas e devolução dos recursos não utilizados, porém, a fiscalização desta prestação de contas, em primeira instância, é feita por agente municipal que tem por obrigação conferir se os documentos fiscais entregues estão de acordo com o objetivo do empenho, previamente estabelecido. Neste caso, poderiam ser realizadas na modalidade adiantamento, as despesas que correspondem às diárias e passagens.</w:t>
      </w:r>
    </w:p>
    <w:p w:rsidR="00B624A1" w:rsidRPr="00392CEF" w:rsidRDefault="00B624A1" w:rsidP="00B624A1">
      <w:pPr>
        <w:tabs>
          <w:tab w:val="left" w:pos="709"/>
        </w:tabs>
        <w:ind w:firstLine="709"/>
        <w:jc w:val="both"/>
        <w:rPr>
          <w:color w:val="000000"/>
          <w:sz w:val="24"/>
          <w:szCs w:val="24"/>
        </w:rPr>
      </w:pPr>
      <w:r w:rsidRPr="00392CEF">
        <w:rPr>
          <w:color w:val="000000"/>
          <w:sz w:val="24"/>
          <w:szCs w:val="24"/>
        </w:rPr>
        <w:t>Os valores despendidos em diárias e passagens demonstram ser vultuosos, principalmente por se tratarem de municípios pequenos, com menos de 5.000 habitantes. Mas é importante verificar se os GDP t</w:t>
      </w:r>
      <w:r>
        <w:rPr>
          <w:color w:val="000000"/>
          <w:sz w:val="24"/>
          <w:szCs w:val="24"/>
        </w:rPr>
        <w:t>ê</w:t>
      </w:r>
      <w:r w:rsidRPr="00392CEF">
        <w:rPr>
          <w:color w:val="000000"/>
          <w:sz w:val="24"/>
          <w:szCs w:val="24"/>
        </w:rPr>
        <w:t>m alguma relação com outras variáveis. A Tabela 3 apresenta o cálculo da correlação, conforme já mencionado nos aspectos metodológicos.</w:t>
      </w:r>
    </w:p>
    <w:p w:rsidR="00B624A1" w:rsidRPr="00392CEF" w:rsidRDefault="00B624A1" w:rsidP="00B624A1">
      <w:pPr>
        <w:jc w:val="both"/>
        <w:rPr>
          <w:color w:val="000000"/>
          <w:sz w:val="24"/>
          <w:szCs w:val="24"/>
        </w:rPr>
      </w:pPr>
    </w:p>
    <w:p w:rsidR="007B6C82" w:rsidRDefault="00B624A1" w:rsidP="007B6C82">
      <w:pPr>
        <w:rPr>
          <w:color w:val="000000"/>
        </w:rPr>
      </w:pPr>
      <w:r w:rsidRPr="00392CEF">
        <w:rPr>
          <w:color w:val="000000"/>
        </w:rPr>
        <w:t>Tabela 3</w:t>
      </w:r>
    </w:p>
    <w:p w:rsidR="00B624A1" w:rsidRPr="00392CEF" w:rsidRDefault="00B624A1" w:rsidP="007B6C82">
      <w:pPr>
        <w:rPr>
          <w:color w:val="000000"/>
        </w:rPr>
      </w:pPr>
      <w:r w:rsidRPr="00392CEF">
        <w:rPr>
          <w:color w:val="000000"/>
        </w:rPr>
        <w:t>Cálculo da correlação</w:t>
      </w:r>
    </w:p>
    <w:tbl>
      <w:tblPr>
        <w:tblW w:w="4983" w:type="pct"/>
        <w:tblCellMar>
          <w:left w:w="70" w:type="dxa"/>
          <w:right w:w="70" w:type="dxa"/>
        </w:tblCellMar>
        <w:tblLook w:val="04A0" w:firstRow="1" w:lastRow="0" w:firstColumn="1" w:lastColumn="0" w:noHBand="0" w:noVBand="1"/>
      </w:tblPr>
      <w:tblGrid>
        <w:gridCol w:w="1506"/>
        <w:gridCol w:w="1506"/>
        <w:gridCol w:w="1506"/>
        <w:gridCol w:w="1506"/>
        <w:gridCol w:w="1505"/>
        <w:gridCol w:w="1505"/>
      </w:tblGrid>
      <w:tr w:rsidR="00B624A1" w:rsidRPr="00392CEF" w:rsidTr="00E93540">
        <w:trPr>
          <w:trHeight w:val="280"/>
        </w:trPr>
        <w:tc>
          <w:tcPr>
            <w:tcW w:w="833" w:type="pct"/>
            <w:tcBorders>
              <w:top w:val="single" w:sz="8" w:space="0" w:color="auto"/>
              <w:left w:val="nil"/>
              <w:bottom w:val="single" w:sz="4" w:space="0" w:color="auto"/>
              <w:right w:val="nil"/>
            </w:tcBorders>
            <w:shd w:val="clear" w:color="auto" w:fill="auto"/>
            <w:noWrap/>
            <w:vAlign w:val="bottom"/>
            <w:hideMark/>
          </w:tcPr>
          <w:p w:rsidR="00B624A1" w:rsidRPr="00392CEF" w:rsidRDefault="00B624A1" w:rsidP="003746AA">
            <w:pPr>
              <w:jc w:val="center"/>
              <w:rPr>
                <w:i/>
                <w:iCs/>
                <w:color w:val="000000"/>
              </w:rPr>
            </w:pPr>
            <w:r w:rsidRPr="00392CEF">
              <w:rPr>
                <w:i/>
                <w:iCs/>
                <w:color w:val="000000"/>
              </w:rPr>
              <w:t> </w:t>
            </w:r>
          </w:p>
        </w:tc>
        <w:tc>
          <w:tcPr>
            <w:tcW w:w="833" w:type="pct"/>
            <w:tcBorders>
              <w:top w:val="single" w:sz="8" w:space="0" w:color="auto"/>
              <w:left w:val="nil"/>
              <w:bottom w:val="single" w:sz="4" w:space="0" w:color="auto"/>
              <w:right w:val="nil"/>
            </w:tcBorders>
            <w:shd w:val="clear" w:color="auto" w:fill="auto"/>
            <w:noWrap/>
            <w:vAlign w:val="bottom"/>
            <w:hideMark/>
          </w:tcPr>
          <w:p w:rsidR="00B624A1" w:rsidRPr="00392CEF" w:rsidRDefault="00B624A1" w:rsidP="003746AA">
            <w:pPr>
              <w:jc w:val="center"/>
              <w:rPr>
                <w:i/>
                <w:iCs/>
                <w:color w:val="000000"/>
              </w:rPr>
            </w:pPr>
            <w:r w:rsidRPr="00392CEF">
              <w:rPr>
                <w:i/>
                <w:iCs/>
                <w:color w:val="000000"/>
              </w:rPr>
              <w:t>GDP</w:t>
            </w:r>
          </w:p>
        </w:tc>
        <w:tc>
          <w:tcPr>
            <w:tcW w:w="833" w:type="pct"/>
            <w:tcBorders>
              <w:top w:val="single" w:sz="8" w:space="0" w:color="auto"/>
              <w:left w:val="nil"/>
              <w:bottom w:val="single" w:sz="4" w:space="0" w:color="auto"/>
              <w:right w:val="nil"/>
            </w:tcBorders>
            <w:shd w:val="clear" w:color="auto" w:fill="auto"/>
            <w:noWrap/>
            <w:vAlign w:val="bottom"/>
            <w:hideMark/>
          </w:tcPr>
          <w:p w:rsidR="00B624A1" w:rsidRPr="00392CEF" w:rsidRDefault="00B624A1" w:rsidP="003746AA">
            <w:pPr>
              <w:jc w:val="center"/>
              <w:rPr>
                <w:i/>
                <w:iCs/>
                <w:color w:val="000000"/>
              </w:rPr>
            </w:pPr>
            <w:r w:rsidRPr="00392CEF">
              <w:rPr>
                <w:i/>
                <w:iCs/>
                <w:color w:val="000000"/>
              </w:rPr>
              <w:t>DC</w:t>
            </w:r>
          </w:p>
        </w:tc>
        <w:tc>
          <w:tcPr>
            <w:tcW w:w="833" w:type="pct"/>
            <w:tcBorders>
              <w:top w:val="single" w:sz="8" w:space="0" w:color="auto"/>
              <w:left w:val="nil"/>
              <w:bottom w:val="single" w:sz="4" w:space="0" w:color="auto"/>
              <w:right w:val="nil"/>
            </w:tcBorders>
            <w:shd w:val="clear" w:color="auto" w:fill="auto"/>
            <w:noWrap/>
            <w:vAlign w:val="bottom"/>
            <w:hideMark/>
          </w:tcPr>
          <w:p w:rsidR="00B624A1" w:rsidRPr="00392CEF" w:rsidRDefault="00B624A1" w:rsidP="003746AA">
            <w:pPr>
              <w:jc w:val="center"/>
              <w:rPr>
                <w:i/>
                <w:iCs/>
                <w:color w:val="000000"/>
              </w:rPr>
            </w:pPr>
            <w:r w:rsidRPr="00392CEF">
              <w:rPr>
                <w:i/>
                <w:iCs/>
                <w:color w:val="000000"/>
              </w:rPr>
              <w:t>DP</w:t>
            </w:r>
          </w:p>
        </w:tc>
        <w:tc>
          <w:tcPr>
            <w:tcW w:w="833" w:type="pct"/>
            <w:tcBorders>
              <w:top w:val="single" w:sz="8" w:space="0" w:color="auto"/>
              <w:left w:val="nil"/>
              <w:bottom w:val="single" w:sz="4" w:space="0" w:color="auto"/>
              <w:right w:val="nil"/>
            </w:tcBorders>
            <w:shd w:val="clear" w:color="auto" w:fill="auto"/>
            <w:noWrap/>
            <w:vAlign w:val="bottom"/>
            <w:hideMark/>
          </w:tcPr>
          <w:p w:rsidR="00B624A1" w:rsidRPr="00392CEF" w:rsidRDefault="00B624A1" w:rsidP="003746AA">
            <w:pPr>
              <w:jc w:val="center"/>
              <w:rPr>
                <w:i/>
                <w:iCs/>
                <w:color w:val="000000"/>
              </w:rPr>
            </w:pPr>
            <w:r w:rsidRPr="00392CEF">
              <w:rPr>
                <w:i/>
                <w:iCs/>
                <w:color w:val="000000"/>
              </w:rPr>
              <w:t>RCL</w:t>
            </w:r>
          </w:p>
        </w:tc>
        <w:tc>
          <w:tcPr>
            <w:tcW w:w="833" w:type="pct"/>
            <w:tcBorders>
              <w:top w:val="single" w:sz="8" w:space="0" w:color="auto"/>
              <w:left w:val="nil"/>
              <w:bottom w:val="single" w:sz="4" w:space="0" w:color="auto"/>
              <w:right w:val="nil"/>
            </w:tcBorders>
            <w:shd w:val="clear" w:color="auto" w:fill="auto"/>
            <w:noWrap/>
            <w:vAlign w:val="bottom"/>
            <w:hideMark/>
          </w:tcPr>
          <w:p w:rsidR="00B624A1" w:rsidRPr="00392CEF" w:rsidRDefault="00B624A1" w:rsidP="003746AA">
            <w:pPr>
              <w:jc w:val="center"/>
              <w:rPr>
                <w:i/>
                <w:iCs/>
                <w:color w:val="000000"/>
              </w:rPr>
            </w:pPr>
            <w:r w:rsidRPr="00392CEF">
              <w:rPr>
                <w:i/>
                <w:iCs/>
                <w:color w:val="000000"/>
              </w:rPr>
              <w:t>RT</w:t>
            </w:r>
          </w:p>
        </w:tc>
      </w:tr>
      <w:tr w:rsidR="00B624A1" w:rsidRPr="00392CEF" w:rsidTr="00E93540">
        <w:trPr>
          <w:trHeight w:val="280"/>
        </w:trPr>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r w:rsidRPr="00392CEF">
              <w:rPr>
                <w:color w:val="000000"/>
              </w:rPr>
              <w:t>Total</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r>
      <w:tr w:rsidR="00B624A1" w:rsidRPr="00392CEF" w:rsidTr="00E93540">
        <w:trPr>
          <w:trHeight w:val="280"/>
        </w:trPr>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r w:rsidRPr="00392CEF">
              <w:rPr>
                <w:color w:val="000000"/>
              </w:rPr>
              <w:t>DC</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b/>
                <w:color w:val="000000"/>
              </w:rPr>
            </w:pPr>
            <w:r w:rsidRPr="00392CEF">
              <w:rPr>
                <w:b/>
                <w:color w:val="000000"/>
              </w:rPr>
              <w:t>-0,04705</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r>
      <w:tr w:rsidR="00B624A1" w:rsidRPr="00392CEF" w:rsidTr="00E93540">
        <w:trPr>
          <w:trHeight w:val="280"/>
        </w:trPr>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r w:rsidRPr="00392CEF">
              <w:rPr>
                <w:color w:val="000000"/>
              </w:rPr>
              <w:t>DP</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b/>
                <w:color w:val="000000"/>
              </w:rPr>
            </w:pPr>
            <w:r w:rsidRPr="00392CEF">
              <w:rPr>
                <w:b/>
                <w:color w:val="000000"/>
              </w:rPr>
              <w:t>0,16097</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0,07255</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r>
      <w:tr w:rsidR="00B624A1" w:rsidRPr="00392CEF" w:rsidTr="00E93540">
        <w:trPr>
          <w:trHeight w:val="280"/>
        </w:trPr>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r w:rsidRPr="00392CEF">
              <w:rPr>
                <w:color w:val="000000"/>
              </w:rPr>
              <w:t>RCL</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b/>
                <w:color w:val="000000"/>
              </w:rPr>
            </w:pPr>
            <w:r w:rsidRPr="00392CEF">
              <w:rPr>
                <w:b/>
                <w:color w:val="000000"/>
              </w:rPr>
              <w:t>-0,06263</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0,98208</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0,09257</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w:t>
            </w:r>
          </w:p>
        </w:tc>
        <w:tc>
          <w:tcPr>
            <w:tcW w:w="833" w:type="pct"/>
            <w:tcBorders>
              <w:top w:val="nil"/>
              <w:left w:val="nil"/>
              <w:bottom w:val="nil"/>
              <w:right w:val="nil"/>
            </w:tcBorders>
            <w:shd w:val="clear" w:color="auto" w:fill="auto"/>
            <w:noWrap/>
            <w:vAlign w:val="bottom"/>
            <w:hideMark/>
          </w:tcPr>
          <w:p w:rsidR="00B624A1" w:rsidRPr="00392CEF" w:rsidRDefault="00B624A1" w:rsidP="003746AA">
            <w:pPr>
              <w:rPr>
                <w:color w:val="000000"/>
              </w:rPr>
            </w:pPr>
          </w:p>
        </w:tc>
      </w:tr>
      <w:tr w:rsidR="00B624A1" w:rsidRPr="00392CEF" w:rsidTr="00E93540">
        <w:trPr>
          <w:trHeight w:val="294"/>
        </w:trPr>
        <w:tc>
          <w:tcPr>
            <w:tcW w:w="833" w:type="pct"/>
            <w:tcBorders>
              <w:top w:val="nil"/>
              <w:left w:val="nil"/>
              <w:bottom w:val="single" w:sz="8" w:space="0" w:color="auto"/>
              <w:right w:val="nil"/>
            </w:tcBorders>
            <w:shd w:val="clear" w:color="auto" w:fill="auto"/>
            <w:noWrap/>
            <w:vAlign w:val="bottom"/>
            <w:hideMark/>
          </w:tcPr>
          <w:p w:rsidR="00B624A1" w:rsidRPr="00392CEF" w:rsidRDefault="00B624A1" w:rsidP="003746AA">
            <w:pPr>
              <w:rPr>
                <w:color w:val="000000"/>
              </w:rPr>
            </w:pPr>
            <w:r w:rsidRPr="00392CEF">
              <w:rPr>
                <w:color w:val="000000"/>
              </w:rPr>
              <w:t>RT</w:t>
            </w:r>
          </w:p>
        </w:tc>
        <w:tc>
          <w:tcPr>
            <w:tcW w:w="833" w:type="pct"/>
            <w:tcBorders>
              <w:top w:val="nil"/>
              <w:left w:val="nil"/>
              <w:bottom w:val="single" w:sz="8" w:space="0" w:color="auto"/>
              <w:right w:val="nil"/>
            </w:tcBorders>
            <w:shd w:val="clear" w:color="auto" w:fill="auto"/>
            <w:noWrap/>
            <w:vAlign w:val="bottom"/>
            <w:hideMark/>
          </w:tcPr>
          <w:p w:rsidR="00B624A1" w:rsidRPr="00392CEF" w:rsidRDefault="00B624A1" w:rsidP="003746AA">
            <w:pPr>
              <w:jc w:val="right"/>
              <w:rPr>
                <w:b/>
                <w:color w:val="000000"/>
              </w:rPr>
            </w:pPr>
            <w:r w:rsidRPr="00392CEF">
              <w:rPr>
                <w:b/>
                <w:color w:val="000000"/>
              </w:rPr>
              <w:t>-0,13292</w:t>
            </w:r>
          </w:p>
        </w:tc>
        <w:tc>
          <w:tcPr>
            <w:tcW w:w="833" w:type="pct"/>
            <w:tcBorders>
              <w:top w:val="nil"/>
              <w:left w:val="nil"/>
              <w:bottom w:val="single" w:sz="8" w:space="0" w:color="auto"/>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0,60257</w:t>
            </w:r>
          </w:p>
        </w:tc>
        <w:tc>
          <w:tcPr>
            <w:tcW w:w="833" w:type="pct"/>
            <w:tcBorders>
              <w:top w:val="nil"/>
              <w:left w:val="nil"/>
              <w:bottom w:val="single" w:sz="8" w:space="0" w:color="auto"/>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0,04202</w:t>
            </w:r>
          </w:p>
        </w:tc>
        <w:tc>
          <w:tcPr>
            <w:tcW w:w="833" w:type="pct"/>
            <w:tcBorders>
              <w:top w:val="nil"/>
              <w:left w:val="nil"/>
              <w:bottom w:val="single" w:sz="8" w:space="0" w:color="auto"/>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0,646157</w:t>
            </w:r>
          </w:p>
        </w:tc>
        <w:tc>
          <w:tcPr>
            <w:tcW w:w="833" w:type="pct"/>
            <w:tcBorders>
              <w:top w:val="nil"/>
              <w:left w:val="nil"/>
              <w:bottom w:val="single" w:sz="8" w:space="0" w:color="auto"/>
              <w:right w:val="nil"/>
            </w:tcBorders>
            <w:shd w:val="clear" w:color="auto" w:fill="auto"/>
            <w:noWrap/>
            <w:vAlign w:val="bottom"/>
            <w:hideMark/>
          </w:tcPr>
          <w:p w:rsidR="00B624A1" w:rsidRPr="00392CEF" w:rsidRDefault="00B624A1" w:rsidP="003746AA">
            <w:pPr>
              <w:jc w:val="right"/>
              <w:rPr>
                <w:color w:val="000000"/>
              </w:rPr>
            </w:pPr>
            <w:r w:rsidRPr="00392CEF">
              <w:rPr>
                <w:color w:val="000000"/>
              </w:rPr>
              <w:t>1</w:t>
            </w:r>
          </w:p>
        </w:tc>
      </w:tr>
    </w:tbl>
    <w:p w:rsidR="00B624A1" w:rsidRPr="008D40AF" w:rsidRDefault="007B6C82" w:rsidP="00B624A1">
      <w:pPr>
        <w:jc w:val="both"/>
        <w:rPr>
          <w:color w:val="000000"/>
        </w:rPr>
      </w:pPr>
      <w:r>
        <w:rPr>
          <w:color w:val="000000"/>
        </w:rPr>
        <w:t>Nota.</w:t>
      </w:r>
      <w:r w:rsidR="00B624A1" w:rsidRPr="008D40AF">
        <w:rPr>
          <w:color w:val="000000"/>
        </w:rPr>
        <w:t xml:space="preserve"> dados da pesquisa</w:t>
      </w:r>
    </w:p>
    <w:p w:rsidR="00B624A1" w:rsidRPr="00392CEF" w:rsidRDefault="00B624A1" w:rsidP="00B624A1">
      <w:pPr>
        <w:jc w:val="both"/>
        <w:rPr>
          <w:color w:val="000000"/>
          <w:sz w:val="24"/>
          <w:szCs w:val="24"/>
        </w:rPr>
      </w:pPr>
    </w:p>
    <w:p w:rsidR="00B624A1" w:rsidRPr="00392CEF" w:rsidRDefault="00B624A1" w:rsidP="00B624A1">
      <w:pPr>
        <w:jc w:val="both"/>
        <w:rPr>
          <w:color w:val="000000"/>
          <w:sz w:val="24"/>
          <w:szCs w:val="24"/>
        </w:rPr>
      </w:pPr>
      <w:r w:rsidRPr="00392CEF">
        <w:rPr>
          <w:color w:val="000000"/>
          <w:sz w:val="24"/>
          <w:szCs w:val="24"/>
        </w:rPr>
        <w:tab/>
        <w:t xml:space="preserve">Observa-se que de acordo com a Tabela 3 não existe correlação representativa entre despesas com deslocamento de servidores e as demais variáveis, por serem todos os valores da coluna GDP, muito próximos de zero. Estes resultados sugerem que realmente, o volume no fornecimento de diárias e passagens depende da avaliação subjetiva do gestor, que pode ou não autorizar o gasto. </w:t>
      </w:r>
    </w:p>
    <w:p w:rsidR="00B624A1" w:rsidRPr="00392CEF" w:rsidRDefault="00B624A1" w:rsidP="00B624A1">
      <w:pPr>
        <w:jc w:val="both"/>
        <w:rPr>
          <w:color w:val="000000"/>
          <w:sz w:val="24"/>
          <w:szCs w:val="24"/>
        </w:rPr>
      </w:pPr>
      <w:r w:rsidRPr="00392CEF">
        <w:rPr>
          <w:color w:val="000000"/>
          <w:sz w:val="24"/>
          <w:szCs w:val="24"/>
        </w:rPr>
        <w:tab/>
        <w:t>Para melhor analisar a relação, foi realizada uma análise vertical</w:t>
      </w:r>
      <w:r>
        <w:rPr>
          <w:color w:val="000000"/>
          <w:sz w:val="24"/>
          <w:szCs w:val="24"/>
        </w:rPr>
        <w:t xml:space="preserve"> nos balanços</w:t>
      </w:r>
      <w:r w:rsidRPr="00392CEF">
        <w:rPr>
          <w:color w:val="000000"/>
          <w:sz w:val="24"/>
          <w:szCs w:val="24"/>
        </w:rPr>
        <w:t>, utilizando as mesmas variáveis como base, a fim de calcular o percentual de comprometimento com GDP</w:t>
      </w:r>
      <w:r>
        <w:rPr>
          <w:color w:val="000000"/>
          <w:sz w:val="24"/>
          <w:szCs w:val="24"/>
        </w:rPr>
        <w:t xml:space="preserve"> </w:t>
      </w:r>
      <w:r w:rsidRPr="00392CEF">
        <w:rPr>
          <w:color w:val="000000"/>
          <w:sz w:val="24"/>
          <w:szCs w:val="24"/>
        </w:rPr>
        <w:t>no período estudado (2001-2016). A Tabela 4 apresenta o</w:t>
      </w:r>
      <w:r>
        <w:rPr>
          <w:color w:val="000000"/>
          <w:sz w:val="24"/>
          <w:szCs w:val="24"/>
        </w:rPr>
        <w:t xml:space="preserve"> resumo do</w:t>
      </w:r>
      <w:r w:rsidRPr="00392CEF">
        <w:rPr>
          <w:color w:val="000000"/>
          <w:sz w:val="24"/>
          <w:szCs w:val="24"/>
        </w:rPr>
        <w:t>s resultados desta análise.</w:t>
      </w:r>
    </w:p>
    <w:p w:rsidR="00B624A1" w:rsidRPr="00392CEF" w:rsidRDefault="00B624A1" w:rsidP="00B624A1">
      <w:pPr>
        <w:jc w:val="both"/>
        <w:rPr>
          <w:color w:val="000000"/>
          <w:sz w:val="24"/>
          <w:szCs w:val="24"/>
        </w:rPr>
      </w:pPr>
    </w:p>
    <w:p w:rsidR="007B6C82" w:rsidRDefault="00B624A1" w:rsidP="007B6C82">
      <w:pPr>
        <w:rPr>
          <w:color w:val="000000"/>
        </w:rPr>
      </w:pPr>
      <w:r w:rsidRPr="00392CEF">
        <w:rPr>
          <w:color w:val="000000"/>
        </w:rPr>
        <w:t>Tabela 4</w:t>
      </w:r>
    </w:p>
    <w:p w:rsidR="00B624A1" w:rsidRPr="00392CEF" w:rsidRDefault="00B624A1" w:rsidP="007B6C82">
      <w:pPr>
        <w:rPr>
          <w:color w:val="000000"/>
        </w:rPr>
      </w:pPr>
      <w:r w:rsidRPr="00392CEF">
        <w:rPr>
          <w:color w:val="000000"/>
        </w:rPr>
        <w:t>Comprometimento com GDP</w:t>
      </w:r>
    </w:p>
    <w:tbl>
      <w:tblPr>
        <w:tblW w:w="4982" w:type="pct"/>
        <w:tblCellMar>
          <w:left w:w="70" w:type="dxa"/>
          <w:right w:w="70" w:type="dxa"/>
        </w:tblCellMar>
        <w:tblLook w:val="04A0" w:firstRow="1" w:lastRow="0" w:firstColumn="1" w:lastColumn="0" w:noHBand="0" w:noVBand="1"/>
      </w:tblPr>
      <w:tblGrid>
        <w:gridCol w:w="1930"/>
        <w:gridCol w:w="566"/>
        <w:gridCol w:w="566"/>
        <w:gridCol w:w="568"/>
        <w:gridCol w:w="657"/>
        <w:gridCol w:w="2285"/>
        <w:gridCol w:w="590"/>
        <w:gridCol w:w="590"/>
        <w:gridCol w:w="590"/>
        <w:gridCol w:w="690"/>
      </w:tblGrid>
      <w:tr w:rsidR="00E5698C" w:rsidRPr="00E5698C" w:rsidTr="00E93540">
        <w:trPr>
          <w:trHeight w:val="279"/>
        </w:trPr>
        <w:tc>
          <w:tcPr>
            <w:tcW w:w="1072"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rPr>
                <w:bCs/>
                <w:color w:val="000000"/>
              </w:rPr>
            </w:pPr>
            <w:r w:rsidRPr="00E5698C">
              <w:rPr>
                <w:bCs/>
                <w:color w:val="000000"/>
              </w:rPr>
              <w:t>N</w:t>
            </w:r>
            <w:r w:rsidR="00E5698C" w:rsidRPr="00E5698C">
              <w:rPr>
                <w:bCs/>
                <w:color w:val="000000"/>
              </w:rPr>
              <w:t>ome do Município</w:t>
            </w:r>
          </w:p>
        </w:tc>
        <w:tc>
          <w:tcPr>
            <w:tcW w:w="31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DC</w:t>
            </w:r>
          </w:p>
        </w:tc>
        <w:tc>
          <w:tcPr>
            <w:tcW w:w="31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DP</w:t>
            </w:r>
          </w:p>
        </w:tc>
        <w:tc>
          <w:tcPr>
            <w:tcW w:w="317"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RCL</w:t>
            </w:r>
          </w:p>
        </w:tc>
        <w:tc>
          <w:tcPr>
            <w:tcW w:w="362"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RT</w:t>
            </w:r>
          </w:p>
        </w:tc>
        <w:tc>
          <w:tcPr>
            <w:tcW w:w="1261" w:type="pct"/>
            <w:tcBorders>
              <w:top w:val="single" w:sz="4" w:space="0" w:color="auto"/>
              <w:left w:val="single" w:sz="4" w:space="0" w:color="auto"/>
              <w:bottom w:val="single" w:sz="4" w:space="0" w:color="auto"/>
              <w:right w:val="nil"/>
            </w:tcBorders>
            <w:shd w:val="clear" w:color="auto" w:fill="auto"/>
            <w:noWrap/>
            <w:vAlign w:val="bottom"/>
            <w:hideMark/>
          </w:tcPr>
          <w:p w:rsidR="00B624A1" w:rsidRPr="00E5698C" w:rsidRDefault="00E5698C" w:rsidP="003746AA">
            <w:pPr>
              <w:rPr>
                <w:bCs/>
                <w:color w:val="000000"/>
              </w:rPr>
            </w:pPr>
            <w:r w:rsidRPr="00E5698C">
              <w:rPr>
                <w:bCs/>
                <w:color w:val="000000"/>
              </w:rPr>
              <w:t>Nome do Município</w:t>
            </w:r>
          </w:p>
        </w:tc>
        <w:tc>
          <w:tcPr>
            <w:tcW w:w="32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DC</w:t>
            </w:r>
          </w:p>
        </w:tc>
        <w:tc>
          <w:tcPr>
            <w:tcW w:w="32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DP</w:t>
            </w:r>
          </w:p>
        </w:tc>
        <w:tc>
          <w:tcPr>
            <w:tcW w:w="32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RCL</w:t>
            </w:r>
          </w:p>
        </w:tc>
        <w:tc>
          <w:tcPr>
            <w:tcW w:w="380"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center"/>
              <w:rPr>
                <w:bCs/>
                <w:color w:val="000000"/>
              </w:rPr>
            </w:pPr>
            <w:r w:rsidRPr="00E5698C">
              <w:rPr>
                <w:bCs/>
                <w:color w:val="000000"/>
              </w:rPr>
              <w:t>RT</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Abdon Batista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6,2%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Major Gercino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25,2%</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Agronômica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9,3%</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Marema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Águas Frias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8,7%</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Matos Costa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50,1%</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Alto Bela Vista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7,2%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Mirim Doce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34,6%</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Anitápolis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4,0%</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46,9%</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Modelo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26,0%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Arabutã</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2,1%</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26,3%</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Morro Grande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3,4%</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Arroio Trinta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4,9%</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Nova Erechim</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Arvoredo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3,0%</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Nova Itaberaba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Atalanta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8,0%</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Novo Horizonte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13,6%</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Bandeirante</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3,3%</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24,6%</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Ouro Verde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24,6%</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lastRenderedPageBreak/>
              <w:t>Barra Bonita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9,5%</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Paial</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Belmonte</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3,9%</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16,6%</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Painel</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Bocaina do Sul</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2,3%</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Palmeira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6,9%</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Bom Jardim da Serra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2,4%</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15,3%</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Paraíso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30,4%</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Bom Jesus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37,7%</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Passos Maia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Bom Jesus do Oeste</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3,4%</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19,5%</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Pedras Grandes</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7,7%</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Botuverá</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9,4%</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Peritiba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5,5%</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Braço do Trombudo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2,3%</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16,4%</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Pinheiro Preto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29,7%</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Brunópolis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Piratuba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Calmon</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2,4%</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25,8%</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Planalto Alegre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12,2%</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Capão Alto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25,4%</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Ponte Alta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22,3%</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Caxambu do Sul</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8,0%</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Ponte Alta do Norte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20,6%</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Celso Ramos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44,6%</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Presidente Castello Branco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16,5%</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Cerro Negro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Presidente Nereu</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18,6%</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Chapadão do Lageado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9,6%</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Princesa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30,0%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Cordilheira Alta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9,8%</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Rancho Queimado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9,6%</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Coronel Martins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23,1%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Rio Fortuna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0,0%</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Cunhataí</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6,7%</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Rio Rufino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11,5%</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Dona Emma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Riqueza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27,5%</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Doutor Pedrinho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5,9%</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Saltinho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3,2%</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35,5%</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Entre Rios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Salto Veloso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5,7%</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Ermo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0,0%</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0,0%</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Santa Helena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Erval Velho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11,4%</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Santa Terezinha do Progresso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49,9%</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Flor do Sertão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10,6%</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Santiago do Sul</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36,5%</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Formosa do Sul</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9,0%</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São Bernardino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49,3%</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Frei Rogério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São Bonifácio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12,1%</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Galvão</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São João do Itaperiú</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2,3%</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Guarujá do Sul</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19,7%</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São Martinho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23,3%</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Guatambú</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4,7%</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São Miguel da Boa Vista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54,8%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Ibiam</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13,5%</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São Pedro de Alcântara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12,4%</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Ibicaré</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0,1%</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Serra Alta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3,1%</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38,2%</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Iomerê</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9,0%</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Sul Brasil</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20,3%</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Ipira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1,4%</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8,9%</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Tigrinhos</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60,1%</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Iraceminha</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15,4%</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Treviso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12,4%</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Irati</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Tunápolis</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23,4%</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Jaborá</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União do Oeste</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Jardinópolis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24,9%</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Urupema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9,2%</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José Boiteux</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0,4%</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0,3%</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8,3%</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Vargeão</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18,0%</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Jupiá</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2,6%</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34,0%</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Vargem</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2,6%</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31,8%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Lacerdópolis</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1,0%</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27,1%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Vargem Bonita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33,9%</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Lajeado Grande</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1,7%</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20,2%</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Witmarsum</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3,8%</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Leoberto Leal</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1,6%</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18,9%</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Xavantina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1,5%</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13,9%</w:t>
            </w:r>
          </w:p>
        </w:tc>
      </w:tr>
      <w:tr w:rsidR="00E5698C" w:rsidRPr="00392CEF" w:rsidTr="00E93540">
        <w:trPr>
          <w:trHeight w:val="279"/>
        </w:trPr>
        <w:tc>
          <w:tcPr>
            <w:tcW w:w="1072" w:type="pct"/>
            <w:tcBorders>
              <w:top w:val="nil"/>
              <w:left w:val="nil"/>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Lindóia do Sul</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0,6%</w:t>
            </w:r>
          </w:p>
        </w:tc>
        <w:tc>
          <w:tcPr>
            <w:tcW w:w="31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0,9%</w:t>
            </w:r>
          </w:p>
        </w:tc>
        <w:tc>
          <w:tcPr>
            <w:tcW w:w="317"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0,5%</w:t>
            </w:r>
          </w:p>
        </w:tc>
        <w:tc>
          <w:tcPr>
            <w:tcW w:w="362"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11,1%</w:t>
            </w:r>
          </w:p>
        </w:tc>
        <w:tc>
          <w:tcPr>
            <w:tcW w:w="1261" w:type="pct"/>
            <w:tcBorders>
              <w:top w:val="nil"/>
              <w:left w:val="single" w:sz="4" w:space="0" w:color="auto"/>
              <w:bottom w:val="nil"/>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Zortéa</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0,8%</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w:t>
            </w:r>
          </w:p>
        </w:tc>
        <w:tc>
          <w:tcPr>
            <w:tcW w:w="326"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0,7%</w:t>
            </w:r>
          </w:p>
        </w:tc>
        <w:tc>
          <w:tcPr>
            <w:tcW w:w="380" w:type="pct"/>
            <w:tcBorders>
              <w:top w:val="nil"/>
              <w:left w:val="nil"/>
              <w:bottom w:val="nil"/>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24,1%</w:t>
            </w:r>
          </w:p>
        </w:tc>
      </w:tr>
      <w:tr w:rsidR="00E5698C" w:rsidRPr="00392CEF" w:rsidTr="00E93540">
        <w:trPr>
          <w:trHeight w:val="279"/>
        </w:trPr>
        <w:tc>
          <w:tcPr>
            <w:tcW w:w="1072" w:type="pct"/>
            <w:tcBorders>
              <w:top w:val="nil"/>
              <w:left w:val="nil"/>
              <w:bottom w:val="single" w:sz="4" w:space="0" w:color="auto"/>
              <w:right w:val="nil"/>
            </w:tcBorders>
            <w:shd w:val="clear" w:color="auto" w:fill="auto"/>
            <w:noWrap/>
            <w:vAlign w:val="bottom"/>
            <w:hideMark/>
          </w:tcPr>
          <w:p w:rsidR="00B624A1" w:rsidRPr="00392CEF" w:rsidRDefault="00B624A1" w:rsidP="003746AA">
            <w:pPr>
              <w:rPr>
                <w:color w:val="000000"/>
                <w:sz w:val="18"/>
                <w:szCs w:val="18"/>
              </w:rPr>
            </w:pPr>
            <w:r w:rsidRPr="00392CEF">
              <w:rPr>
                <w:color w:val="000000"/>
                <w:sz w:val="18"/>
                <w:szCs w:val="18"/>
              </w:rPr>
              <w:t>Macieira</w:t>
            </w:r>
          </w:p>
        </w:tc>
        <w:tc>
          <w:tcPr>
            <w:tcW w:w="316" w:type="pct"/>
            <w:tcBorders>
              <w:top w:val="nil"/>
              <w:left w:val="nil"/>
              <w:bottom w:val="single" w:sz="4" w:space="0" w:color="auto"/>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1,3%</w:t>
            </w:r>
          </w:p>
        </w:tc>
        <w:tc>
          <w:tcPr>
            <w:tcW w:w="316" w:type="pct"/>
            <w:tcBorders>
              <w:top w:val="nil"/>
              <w:left w:val="nil"/>
              <w:bottom w:val="single" w:sz="4" w:space="0" w:color="auto"/>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3,0%</w:t>
            </w:r>
          </w:p>
        </w:tc>
        <w:tc>
          <w:tcPr>
            <w:tcW w:w="317" w:type="pct"/>
            <w:tcBorders>
              <w:top w:val="nil"/>
              <w:left w:val="nil"/>
              <w:bottom w:val="single" w:sz="4" w:space="0" w:color="auto"/>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1,2%</w:t>
            </w:r>
          </w:p>
        </w:tc>
        <w:tc>
          <w:tcPr>
            <w:tcW w:w="362" w:type="pct"/>
            <w:tcBorders>
              <w:top w:val="nil"/>
              <w:left w:val="nil"/>
              <w:bottom w:val="single" w:sz="4" w:space="0" w:color="auto"/>
              <w:right w:val="nil"/>
            </w:tcBorders>
            <w:shd w:val="clear" w:color="auto" w:fill="auto"/>
            <w:noWrap/>
            <w:vAlign w:val="bottom"/>
            <w:hideMark/>
          </w:tcPr>
          <w:p w:rsidR="00B624A1" w:rsidRPr="00E5698C" w:rsidRDefault="00B624A1" w:rsidP="003746AA">
            <w:pPr>
              <w:jc w:val="right"/>
              <w:rPr>
                <w:color w:val="000000"/>
              </w:rPr>
            </w:pPr>
            <w:r w:rsidRPr="00E5698C">
              <w:rPr>
                <w:color w:val="000000"/>
              </w:rPr>
              <w:t>20,7%</w:t>
            </w:r>
          </w:p>
        </w:tc>
        <w:tc>
          <w:tcPr>
            <w:tcW w:w="1261" w:type="pct"/>
            <w:tcBorders>
              <w:top w:val="single" w:sz="4" w:space="0" w:color="auto"/>
              <w:left w:val="single" w:sz="4" w:space="0" w:color="auto"/>
              <w:bottom w:val="single" w:sz="4" w:space="0" w:color="auto"/>
              <w:right w:val="nil"/>
            </w:tcBorders>
            <w:shd w:val="clear" w:color="auto" w:fill="auto"/>
            <w:noWrap/>
            <w:vAlign w:val="bottom"/>
            <w:hideMark/>
          </w:tcPr>
          <w:p w:rsidR="00B624A1" w:rsidRPr="00392CEF" w:rsidRDefault="00B624A1" w:rsidP="003746AA">
            <w:pPr>
              <w:rPr>
                <w:b/>
                <w:bCs/>
                <w:color w:val="000000"/>
                <w:sz w:val="18"/>
                <w:szCs w:val="18"/>
              </w:rPr>
            </w:pPr>
            <w:r w:rsidRPr="00392CEF">
              <w:rPr>
                <w:b/>
                <w:bCs/>
                <w:color w:val="000000"/>
                <w:sz w:val="18"/>
                <w:szCs w:val="18"/>
              </w:rPr>
              <w:t>MÉDIA</w:t>
            </w:r>
          </w:p>
        </w:tc>
        <w:tc>
          <w:tcPr>
            <w:tcW w:w="32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right"/>
              <w:rPr>
                <w:b/>
                <w:bCs/>
                <w:color w:val="000000"/>
              </w:rPr>
            </w:pPr>
            <w:r w:rsidRPr="00E5698C">
              <w:rPr>
                <w:b/>
                <w:bCs/>
                <w:color w:val="000000"/>
              </w:rPr>
              <w:t>0,8%</w:t>
            </w:r>
          </w:p>
        </w:tc>
        <w:tc>
          <w:tcPr>
            <w:tcW w:w="32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right"/>
              <w:rPr>
                <w:b/>
                <w:bCs/>
                <w:color w:val="000000"/>
              </w:rPr>
            </w:pPr>
            <w:r w:rsidRPr="00E5698C">
              <w:rPr>
                <w:b/>
                <w:bCs/>
                <w:color w:val="000000"/>
              </w:rPr>
              <w:t>1,6%</w:t>
            </w:r>
          </w:p>
        </w:tc>
        <w:tc>
          <w:tcPr>
            <w:tcW w:w="326"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right"/>
              <w:rPr>
                <w:b/>
                <w:bCs/>
                <w:color w:val="000000"/>
              </w:rPr>
            </w:pPr>
            <w:r w:rsidRPr="00E5698C">
              <w:rPr>
                <w:b/>
                <w:bCs/>
                <w:color w:val="000000"/>
              </w:rPr>
              <w:t>0,8%</w:t>
            </w:r>
          </w:p>
        </w:tc>
        <w:tc>
          <w:tcPr>
            <w:tcW w:w="380" w:type="pct"/>
            <w:tcBorders>
              <w:top w:val="single" w:sz="4" w:space="0" w:color="auto"/>
              <w:left w:val="nil"/>
              <w:bottom w:val="single" w:sz="4" w:space="0" w:color="auto"/>
              <w:right w:val="nil"/>
            </w:tcBorders>
            <w:shd w:val="clear" w:color="auto" w:fill="auto"/>
            <w:noWrap/>
            <w:vAlign w:val="bottom"/>
            <w:hideMark/>
          </w:tcPr>
          <w:p w:rsidR="00B624A1" w:rsidRPr="00E5698C" w:rsidRDefault="00B624A1" w:rsidP="003746AA">
            <w:pPr>
              <w:jc w:val="right"/>
              <w:rPr>
                <w:b/>
                <w:bCs/>
                <w:color w:val="000000"/>
              </w:rPr>
            </w:pPr>
            <w:r w:rsidRPr="00E5698C">
              <w:rPr>
                <w:b/>
                <w:bCs/>
                <w:color w:val="000000"/>
              </w:rPr>
              <w:t>17,7%</w:t>
            </w:r>
          </w:p>
        </w:tc>
      </w:tr>
    </w:tbl>
    <w:p w:rsidR="00B624A1" w:rsidRPr="008D40AF" w:rsidRDefault="007B6C82" w:rsidP="00B624A1">
      <w:pPr>
        <w:rPr>
          <w:color w:val="000000"/>
        </w:rPr>
      </w:pPr>
      <w:r>
        <w:rPr>
          <w:color w:val="000000"/>
        </w:rPr>
        <w:t>Nota.</w:t>
      </w:r>
      <w:r w:rsidR="00B624A1" w:rsidRPr="008D40AF">
        <w:rPr>
          <w:color w:val="000000"/>
        </w:rPr>
        <w:t xml:space="preserve"> Dados da pesquisa</w:t>
      </w:r>
    </w:p>
    <w:p w:rsidR="00B624A1" w:rsidRPr="00392CEF" w:rsidRDefault="00B624A1" w:rsidP="00B624A1">
      <w:pPr>
        <w:tabs>
          <w:tab w:val="left" w:pos="5067"/>
        </w:tabs>
        <w:rPr>
          <w:sz w:val="24"/>
          <w:szCs w:val="24"/>
        </w:rPr>
      </w:pPr>
      <w:r w:rsidRPr="00392CEF">
        <w:rPr>
          <w:sz w:val="24"/>
          <w:szCs w:val="24"/>
        </w:rPr>
        <w:lastRenderedPageBreak/>
        <w:tab/>
      </w:r>
    </w:p>
    <w:p w:rsidR="00B624A1" w:rsidRPr="00392CEF" w:rsidRDefault="00B624A1" w:rsidP="00B624A1">
      <w:pPr>
        <w:ind w:firstLine="709"/>
        <w:jc w:val="both"/>
        <w:rPr>
          <w:sz w:val="24"/>
          <w:szCs w:val="24"/>
        </w:rPr>
      </w:pPr>
      <w:r w:rsidRPr="00392CEF">
        <w:rPr>
          <w:sz w:val="24"/>
          <w:szCs w:val="24"/>
        </w:rPr>
        <w:t xml:space="preserve">A Tabela 4 apresenta ao final a média dos comprometimentos dos municípios. Partindo-se deste parâmetro, observa-se que não existe um padrão de gastos com deslocamento de servidores a serviço, entre os municípios com menos de 5.000 habitantes. Analisando a média geral de comprometimento, não é tão preocupante. Porém, alguns municípios estão comprometendo muito além da média geral. Na análise do comprometimento dos recursos correntes gerais, os municípios de Tigrinho e Piratuba são os que mais gastaram (2% da DC; 1,8% e 1,95 da RCL). </w:t>
      </w:r>
    </w:p>
    <w:p w:rsidR="00B624A1" w:rsidRPr="007B6C82" w:rsidRDefault="00B624A1" w:rsidP="00B624A1">
      <w:pPr>
        <w:jc w:val="both"/>
        <w:rPr>
          <w:sz w:val="24"/>
          <w:szCs w:val="24"/>
        </w:rPr>
      </w:pPr>
      <w:r w:rsidRPr="00392CEF">
        <w:rPr>
          <w:sz w:val="24"/>
          <w:szCs w:val="24"/>
        </w:rPr>
        <w:tab/>
        <w:t xml:space="preserve">Cabe destacar </w:t>
      </w:r>
      <w:r w:rsidRPr="007B6C82">
        <w:rPr>
          <w:sz w:val="24"/>
          <w:szCs w:val="24"/>
        </w:rPr>
        <w:t>que os elementos de despesa objeto desta pesquisa (diárias e passagens), pertencem às DC. Assim, as DP só foram utilizadas como variável comparativa, porque afirmações de promotores públicos (G</w:t>
      </w:r>
      <w:r w:rsidR="003746AA">
        <w:rPr>
          <w:sz w:val="24"/>
          <w:szCs w:val="24"/>
        </w:rPr>
        <w:t>azeta do povo</w:t>
      </w:r>
      <w:r w:rsidRPr="007B6C82">
        <w:rPr>
          <w:sz w:val="24"/>
          <w:szCs w:val="24"/>
        </w:rPr>
        <w:t>, 2015; MPSC, 2016; A H</w:t>
      </w:r>
      <w:r w:rsidR="003746AA">
        <w:rPr>
          <w:sz w:val="24"/>
          <w:szCs w:val="24"/>
        </w:rPr>
        <w:t>ora</w:t>
      </w:r>
      <w:r w:rsidRPr="007B6C82">
        <w:rPr>
          <w:sz w:val="24"/>
          <w:szCs w:val="24"/>
        </w:rPr>
        <w:t xml:space="preserve">, 2017 e G1, 2017), indicam que as diárias e passagens que legalmente tem caráter indenizatório, estão se configurando como complemento das despesas remuneratórias. Tigrinho e Santa Terezinha do Progresso comprometeram o equivalente a 3,7% da DP com diárias e passagens, porém, nem todos os servidores públicos recebem diárias e esta análise deveria ser mais aprofundada em outras pesquisas. </w:t>
      </w:r>
    </w:p>
    <w:p w:rsidR="00B624A1" w:rsidRPr="007B6C82" w:rsidRDefault="00B624A1" w:rsidP="00B624A1">
      <w:pPr>
        <w:jc w:val="both"/>
        <w:rPr>
          <w:sz w:val="24"/>
          <w:szCs w:val="24"/>
        </w:rPr>
      </w:pPr>
      <w:r w:rsidRPr="007B6C82">
        <w:rPr>
          <w:sz w:val="24"/>
          <w:szCs w:val="24"/>
        </w:rPr>
        <w:tab/>
        <w:t>O dado mais preocupante é o comparativo com a RT, que envolve Impostos, Taxas e a Contribuição de Melhoria, pagos pelo cidadão e revertidos diretamente em recursos para o município. A RT é considerada a principal fonte de recursos próprios e livres dos municípios, e revelou a maior variação de comprometimento, além dos maiores percentuais calculados. Foram 11 municípios que comprometeram mais que o dobro da média geral (35%), entre eles destacam-se 3 que gastaram mais de 50% do que arrecadaram em RT (Tigrinho, São Miguel da Boa Vista e Matos Costa). O município de Tigrinho foi o que mais comprometeu recursos, 60% de sua RT.</w:t>
      </w:r>
    </w:p>
    <w:p w:rsidR="00B624A1" w:rsidRPr="007B6C82" w:rsidRDefault="00B624A1" w:rsidP="00B624A1">
      <w:pPr>
        <w:jc w:val="both"/>
        <w:rPr>
          <w:sz w:val="24"/>
          <w:szCs w:val="24"/>
        </w:rPr>
      </w:pPr>
      <w:r w:rsidRPr="007B6C82">
        <w:rPr>
          <w:sz w:val="24"/>
          <w:szCs w:val="24"/>
        </w:rPr>
        <w:tab/>
        <w:t>Considerando que em municípios pequenos a estrutura física e de pessoal, nem sempre é a necessária para atender a população, muitos deles buscam ajuda em centros maiores, o que, de acordo com a experiências dos pesquisadores, eleva as despesas com diárias, principalmente dos motoristas da área de saúde e pessoal do setor administrativo. Neste sentido, foi calculada a média de gastos dos municípios, agrupados por faixas de acordo com a distância até a capital do estado de Santa Catarina (Florianópolis).</w:t>
      </w:r>
    </w:p>
    <w:p w:rsidR="00B624A1" w:rsidRPr="00392CEF" w:rsidRDefault="00B624A1" w:rsidP="00B624A1">
      <w:pPr>
        <w:jc w:val="both"/>
        <w:rPr>
          <w:szCs w:val="24"/>
        </w:rPr>
      </w:pPr>
    </w:p>
    <w:p w:rsidR="007B6C82" w:rsidRDefault="00B624A1" w:rsidP="007B6C82">
      <w:pPr>
        <w:tabs>
          <w:tab w:val="left" w:pos="1875"/>
        </w:tabs>
        <w:jc w:val="both"/>
      </w:pPr>
      <w:r w:rsidRPr="00392CEF">
        <w:t>Tabela 5</w:t>
      </w:r>
    </w:p>
    <w:p w:rsidR="00B624A1" w:rsidRPr="00392CEF" w:rsidRDefault="00B624A1" w:rsidP="007B6C82">
      <w:pPr>
        <w:tabs>
          <w:tab w:val="left" w:pos="1875"/>
        </w:tabs>
        <w:jc w:val="both"/>
      </w:pPr>
      <w:r w:rsidRPr="00392CEF">
        <w:t>Valor médio de gasto em relação à distância até a capital</w:t>
      </w:r>
    </w:p>
    <w:tbl>
      <w:tblPr>
        <w:tblW w:w="8971" w:type="dxa"/>
        <w:tblInd w:w="70" w:type="dxa"/>
        <w:tblLayout w:type="fixed"/>
        <w:tblCellMar>
          <w:left w:w="70" w:type="dxa"/>
          <w:right w:w="70" w:type="dxa"/>
        </w:tblCellMar>
        <w:tblLook w:val="04A0" w:firstRow="1" w:lastRow="0" w:firstColumn="1" w:lastColumn="0" w:noHBand="0" w:noVBand="1"/>
      </w:tblPr>
      <w:tblGrid>
        <w:gridCol w:w="2242"/>
        <w:gridCol w:w="748"/>
        <w:gridCol w:w="1495"/>
        <w:gridCol w:w="1495"/>
        <w:gridCol w:w="329"/>
        <w:gridCol w:w="2662"/>
      </w:tblGrid>
      <w:tr w:rsidR="003746AA" w:rsidRPr="003746AA" w:rsidTr="00C56A76">
        <w:trPr>
          <w:trHeight w:val="266"/>
        </w:trPr>
        <w:tc>
          <w:tcPr>
            <w:tcW w:w="2242" w:type="dxa"/>
            <w:tcBorders>
              <w:top w:val="single" w:sz="4" w:space="0" w:color="auto"/>
              <w:left w:val="nil"/>
              <w:bottom w:val="single" w:sz="4" w:space="0" w:color="auto"/>
            </w:tcBorders>
            <w:shd w:val="clear" w:color="000000" w:fill="FFFFFF"/>
            <w:noWrap/>
            <w:vAlign w:val="center"/>
            <w:hideMark/>
          </w:tcPr>
          <w:p w:rsidR="00B624A1" w:rsidRPr="003746AA" w:rsidRDefault="00B624A1" w:rsidP="003746AA">
            <w:pPr>
              <w:jc w:val="center"/>
              <w:rPr>
                <w:bCs/>
                <w:color w:val="000000"/>
              </w:rPr>
            </w:pPr>
            <w:r w:rsidRPr="003746AA">
              <w:rPr>
                <w:bCs/>
                <w:color w:val="000000"/>
              </w:rPr>
              <w:t>F</w:t>
            </w:r>
            <w:r w:rsidR="003746AA">
              <w:rPr>
                <w:bCs/>
                <w:color w:val="000000"/>
              </w:rPr>
              <w:t>aixa de corte</w:t>
            </w:r>
          </w:p>
        </w:tc>
        <w:tc>
          <w:tcPr>
            <w:tcW w:w="2243" w:type="dxa"/>
            <w:gridSpan w:val="2"/>
            <w:tcBorders>
              <w:top w:val="single" w:sz="4" w:space="0" w:color="auto"/>
              <w:bottom w:val="single" w:sz="4" w:space="0" w:color="auto"/>
            </w:tcBorders>
            <w:shd w:val="clear" w:color="000000" w:fill="FFFFFF"/>
            <w:noWrap/>
            <w:vAlign w:val="center"/>
            <w:hideMark/>
          </w:tcPr>
          <w:p w:rsidR="00B624A1" w:rsidRPr="003746AA" w:rsidRDefault="00B624A1" w:rsidP="003746AA">
            <w:pPr>
              <w:jc w:val="center"/>
              <w:rPr>
                <w:bCs/>
                <w:color w:val="000000"/>
              </w:rPr>
            </w:pPr>
            <w:r w:rsidRPr="003746AA">
              <w:rPr>
                <w:bCs/>
                <w:color w:val="000000"/>
              </w:rPr>
              <w:t>D</w:t>
            </w:r>
            <w:r w:rsidR="003746AA">
              <w:rPr>
                <w:bCs/>
                <w:color w:val="000000"/>
              </w:rPr>
              <w:t>istância da Capital</w:t>
            </w:r>
          </w:p>
        </w:tc>
        <w:tc>
          <w:tcPr>
            <w:tcW w:w="1824" w:type="dxa"/>
            <w:gridSpan w:val="2"/>
            <w:tcBorders>
              <w:top w:val="single" w:sz="4" w:space="0" w:color="auto"/>
              <w:bottom w:val="single" w:sz="4" w:space="0" w:color="auto"/>
            </w:tcBorders>
            <w:shd w:val="clear" w:color="000000" w:fill="FFFFFF"/>
            <w:noWrap/>
            <w:vAlign w:val="center"/>
            <w:hideMark/>
          </w:tcPr>
          <w:p w:rsidR="00B624A1" w:rsidRPr="003746AA" w:rsidRDefault="00B624A1" w:rsidP="003746AA">
            <w:pPr>
              <w:jc w:val="center"/>
              <w:rPr>
                <w:bCs/>
                <w:color w:val="000000"/>
              </w:rPr>
            </w:pPr>
            <w:r w:rsidRPr="003746AA">
              <w:rPr>
                <w:bCs/>
                <w:color w:val="000000"/>
              </w:rPr>
              <w:t>N°</w:t>
            </w:r>
            <w:r w:rsidR="003746AA">
              <w:rPr>
                <w:bCs/>
                <w:color w:val="000000"/>
              </w:rPr>
              <w:t xml:space="preserve"> de Municípios</w:t>
            </w:r>
          </w:p>
        </w:tc>
        <w:tc>
          <w:tcPr>
            <w:tcW w:w="2662" w:type="dxa"/>
            <w:tcBorders>
              <w:top w:val="single" w:sz="4" w:space="0" w:color="auto"/>
              <w:bottom w:val="single" w:sz="4" w:space="0" w:color="auto"/>
              <w:right w:val="nil"/>
            </w:tcBorders>
            <w:shd w:val="clear" w:color="000000" w:fill="FFFFFF"/>
            <w:noWrap/>
            <w:vAlign w:val="center"/>
            <w:hideMark/>
          </w:tcPr>
          <w:p w:rsidR="00C56A76" w:rsidRDefault="00B624A1" w:rsidP="003746AA">
            <w:pPr>
              <w:jc w:val="center"/>
              <w:rPr>
                <w:bCs/>
                <w:color w:val="000000"/>
              </w:rPr>
            </w:pPr>
            <w:r w:rsidRPr="003746AA">
              <w:rPr>
                <w:bCs/>
                <w:color w:val="000000"/>
              </w:rPr>
              <w:t>G</w:t>
            </w:r>
            <w:r w:rsidR="003746AA">
              <w:rPr>
                <w:bCs/>
                <w:color w:val="000000"/>
              </w:rPr>
              <w:t>asto médio por Município no</w:t>
            </w:r>
          </w:p>
          <w:p w:rsidR="00B624A1" w:rsidRPr="003746AA" w:rsidRDefault="003746AA" w:rsidP="003746AA">
            <w:pPr>
              <w:jc w:val="center"/>
              <w:rPr>
                <w:bCs/>
                <w:color w:val="000000"/>
              </w:rPr>
            </w:pPr>
            <w:r>
              <w:rPr>
                <w:bCs/>
                <w:color w:val="000000"/>
              </w:rPr>
              <w:t xml:space="preserve"> período </w:t>
            </w:r>
            <w:r w:rsidR="00B624A1" w:rsidRPr="003746AA">
              <w:rPr>
                <w:bCs/>
                <w:color w:val="000000"/>
              </w:rPr>
              <w:t>(2011-2016)</w:t>
            </w:r>
          </w:p>
        </w:tc>
      </w:tr>
      <w:tr w:rsidR="003746AA" w:rsidRPr="00392CEF" w:rsidTr="00C56A76">
        <w:trPr>
          <w:trHeight w:val="253"/>
        </w:trPr>
        <w:tc>
          <w:tcPr>
            <w:tcW w:w="2242" w:type="dxa"/>
            <w:tcBorders>
              <w:top w:val="single" w:sz="4" w:space="0" w:color="auto"/>
              <w:left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1</w:t>
            </w:r>
          </w:p>
        </w:tc>
        <w:tc>
          <w:tcPr>
            <w:tcW w:w="2243" w:type="dxa"/>
            <w:gridSpan w:val="2"/>
            <w:tcBorders>
              <w:top w:val="single" w:sz="4" w:space="0" w:color="auto"/>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0 a 200 KM</w:t>
            </w:r>
          </w:p>
        </w:tc>
        <w:tc>
          <w:tcPr>
            <w:tcW w:w="1824" w:type="dxa"/>
            <w:gridSpan w:val="2"/>
            <w:tcBorders>
              <w:top w:val="single" w:sz="4" w:space="0" w:color="auto"/>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16</w:t>
            </w:r>
          </w:p>
        </w:tc>
        <w:tc>
          <w:tcPr>
            <w:tcW w:w="2662" w:type="dxa"/>
            <w:tcBorders>
              <w:top w:val="single" w:sz="4" w:space="0" w:color="auto"/>
              <w:bottom w:val="nil"/>
              <w:right w:val="nil"/>
            </w:tcBorders>
            <w:shd w:val="clear" w:color="000000" w:fill="FFFFFF"/>
            <w:noWrap/>
            <w:vAlign w:val="bottom"/>
            <w:hideMark/>
          </w:tcPr>
          <w:p w:rsidR="00B624A1" w:rsidRPr="00392CEF" w:rsidRDefault="00B624A1" w:rsidP="003746AA">
            <w:pPr>
              <w:jc w:val="center"/>
              <w:rPr>
                <w:color w:val="000000"/>
              </w:rPr>
            </w:pPr>
            <w:r w:rsidRPr="00392CEF">
              <w:rPr>
                <w:color w:val="000000"/>
              </w:rPr>
              <w:t>334.574,14</w:t>
            </w:r>
          </w:p>
        </w:tc>
      </w:tr>
      <w:tr w:rsidR="003746AA" w:rsidRPr="00392CEF" w:rsidTr="00C56A76">
        <w:trPr>
          <w:trHeight w:val="253"/>
        </w:trPr>
        <w:tc>
          <w:tcPr>
            <w:tcW w:w="2242" w:type="dxa"/>
            <w:tcBorders>
              <w:top w:val="nil"/>
              <w:left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2</w:t>
            </w:r>
          </w:p>
        </w:tc>
        <w:tc>
          <w:tcPr>
            <w:tcW w:w="2243" w:type="dxa"/>
            <w:gridSpan w:val="2"/>
            <w:tcBorders>
              <w:top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De 201 a 400 KM</w:t>
            </w:r>
          </w:p>
        </w:tc>
        <w:tc>
          <w:tcPr>
            <w:tcW w:w="1824" w:type="dxa"/>
            <w:gridSpan w:val="2"/>
            <w:tcBorders>
              <w:top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24</w:t>
            </w:r>
          </w:p>
        </w:tc>
        <w:tc>
          <w:tcPr>
            <w:tcW w:w="2662" w:type="dxa"/>
            <w:tcBorders>
              <w:top w:val="nil"/>
              <w:bottom w:val="nil"/>
              <w:right w:val="nil"/>
            </w:tcBorders>
            <w:shd w:val="clear" w:color="000000" w:fill="FFFFFF"/>
            <w:noWrap/>
            <w:vAlign w:val="bottom"/>
            <w:hideMark/>
          </w:tcPr>
          <w:p w:rsidR="00B624A1" w:rsidRPr="00392CEF" w:rsidRDefault="00B624A1" w:rsidP="003746AA">
            <w:pPr>
              <w:jc w:val="center"/>
              <w:rPr>
                <w:color w:val="000000"/>
              </w:rPr>
            </w:pPr>
            <w:r w:rsidRPr="00392CEF">
              <w:rPr>
                <w:color w:val="000000"/>
              </w:rPr>
              <w:t>518.738,54</w:t>
            </w:r>
          </w:p>
        </w:tc>
      </w:tr>
      <w:tr w:rsidR="003746AA" w:rsidRPr="00392CEF" w:rsidTr="00C56A76">
        <w:trPr>
          <w:trHeight w:val="253"/>
        </w:trPr>
        <w:tc>
          <w:tcPr>
            <w:tcW w:w="2242" w:type="dxa"/>
            <w:tcBorders>
              <w:top w:val="nil"/>
              <w:left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3</w:t>
            </w:r>
          </w:p>
        </w:tc>
        <w:tc>
          <w:tcPr>
            <w:tcW w:w="2243" w:type="dxa"/>
            <w:gridSpan w:val="2"/>
            <w:tcBorders>
              <w:top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De 401 a 600 KM</w:t>
            </w:r>
          </w:p>
        </w:tc>
        <w:tc>
          <w:tcPr>
            <w:tcW w:w="1824" w:type="dxa"/>
            <w:gridSpan w:val="2"/>
            <w:tcBorders>
              <w:top w:val="nil"/>
              <w:bottom w:val="nil"/>
            </w:tcBorders>
            <w:shd w:val="clear" w:color="000000" w:fill="FFFFFF"/>
            <w:noWrap/>
            <w:vAlign w:val="bottom"/>
            <w:hideMark/>
          </w:tcPr>
          <w:p w:rsidR="00B624A1" w:rsidRPr="00392CEF" w:rsidRDefault="00B624A1" w:rsidP="003746AA">
            <w:pPr>
              <w:jc w:val="center"/>
              <w:rPr>
                <w:color w:val="000000"/>
              </w:rPr>
            </w:pPr>
            <w:r w:rsidRPr="00392CEF">
              <w:rPr>
                <w:color w:val="000000"/>
              </w:rPr>
              <w:t>30</w:t>
            </w:r>
          </w:p>
        </w:tc>
        <w:tc>
          <w:tcPr>
            <w:tcW w:w="2662" w:type="dxa"/>
            <w:tcBorders>
              <w:top w:val="nil"/>
              <w:bottom w:val="nil"/>
              <w:right w:val="nil"/>
            </w:tcBorders>
            <w:shd w:val="clear" w:color="000000" w:fill="FFFFFF"/>
            <w:noWrap/>
            <w:vAlign w:val="bottom"/>
            <w:hideMark/>
          </w:tcPr>
          <w:p w:rsidR="00B624A1" w:rsidRPr="00392CEF" w:rsidRDefault="00B624A1" w:rsidP="003746AA">
            <w:pPr>
              <w:jc w:val="center"/>
              <w:rPr>
                <w:color w:val="000000"/>
              </w:rPr>
            </w:pPr>
            <w:r w:rsidRPr="00392CEF">
              <w:rPr>
                <w:color w:val="000000"/>
              </w:rPr>
              <w:t>504.996,80</w:t>
            </w:r>
          </w:p>
        </w:tc>
      </w:tr>
      <w:tr w:rsidR="003746AA" w:rsidRPr="00392CEF" w:rsidTr="00C56A76">
        <w:trPr>
          <w:trHeight w:val="266"/>
        </w:trPr>
        <w:tc>
          <w:tcPr>
            <w:tcW w:w="2242" w:type="dxa"/>
            <w:tcBorders>
              <w:top w:val="nil"/>
              <w:left w:val="nil"/>
              <w:bottom w:val="single" w:sz="4" w:space="0" w:color="auto"/>
            </w:tcBorders>
            <w:shd w:val="clear" w:color="000000" w:fill="FFFFFF"/>
            <w:noWrap/>
            <w:vAlign w:val="bottom"/>
            <w:hideMark/>
          </w:tcPr>
          <w:p w:rsidR="00B624A1" w:rsidRPr="00392CEF" w:rsidRDefault="00B624A1" w:rsidP="003746AA">
            <w:pPr>
              <w:jc w:val="center"/>
              <w:rPr>
                <w:color w:val="000000"/>
              </w:rPr>
            </w:pPr>
            <w:r w:rsidRPr="00392CEF">
              <w:rPr>
                <w:color w:val="000000"/>
              </w:rPr>
              <w:t>4</w:t>
            </w:r>
          </w:p>
        </w:tc>
        <w:tc>
          <w:tcPr>
            <w:tcW w:w="2243" w:type="dxa"/>
            <w:gridSpan w:val="2"/>
            <w:tcBorders>
              <w:top w:val="nil"/>
              <w:bottom w:val="single" w:sz="4" w:space="0" w:color="auto"/>
            </w:tcBorders>
            <w:shd w:val="clear" w:color="000000" w:fill="FFFFFF"/>
            <w:noWrap/>
            <w:vAlign w:val="bottom"/>
            <w:hideMark/>
          </w:tcPr>
          <w:p w:rsidR="00B624A1" w:rsidRPr="00392CEF" w:rsidRDefault="00B624A1" w:rsidP="003746AA">
            <w:pPr>
              <w:jc w:val="center"/>
              <w:rPr>
                <w:color w:val="000000"/>
              </w:rPr>
            </w:pPr>
            <w:r w:rsidRPr="00392CEF">
              <w:rPr>
                <w:color w:val="000000"/>
              </w:rPr>
              <w:t>Acima de 601 km</w:t>
            </w:r>
          </w:p>
        </w:tc>
        <w:tc>
          <w:tcPr>
            <w:tcW w:w="1824" w:type="dxa"/>
            <w:gridSpan w:val="2"/>
            <w:tcBorders>
              <w:top w:val="nil"/>
              <w:bottom w:val="single" w:sz="4" w:space="0" w:color="auto"/>
            </w:tcBorders>
            <w:shd w:val="clear" w:color="000000" w:fill="FFFFFF"/>
            <w:noWrap/>
            <w:vAlign w:val="bottom"/>
            <w:hideMark/>
          </w:tcPr>
          <w:p w:rsidR="00B624A1" w:rsidRPr="00392CEF" w:rsidRDefault="00B624A1" w:rsidP="003746AA">
            <w:pPr>
              <w:jc w:val="center"/>
              <w:rPr>
                <w:color w:val="000000"/>
              </w:rPr>
            </w:pPr>
            <w:r w:rsidRPr="00392CEF">
              <w:rPr>
                <w:color w:val="000000"/>
              </w:rPr>
              <w:t>37</w:t>
            </w:r>
          </w:p>
        </w:tc>
        <w:tc>
          <w:tcPr>
            <w:tcW w:w="2662" w:type="dxa"/>
            <w:tcBorders>
              <w:top w:val="nil"/>
              <w:bottom w:val="single" w:sz="4" w:space="0" w:color="auto"/>
              <w:right w:val="nil"/>
            </w:tcBorders>
            <w:shd w:val="clear" w:color="000000" w:fill="FFFFFF"/>
            <w:noWrap/>
            <w:vAlign w:val="bottom"/>
            <w:hideMark/>
          </w:tcPr>
          <w:p w:rsidR="00B624A1" w:rsidRPr="00392CEF" w:rsidRDefault="00B624A1" w:rsidP="003746AA">
            <w:pPr>
              <w:jc w:val="center"/>
              <w:rPr>
                <w:color w:val="000000"/>
              </w:rPr>
            </w:pPr>
            <w:r w:rsidRPr="00392CEF">
              <w:rPr>
                <w:color w:val="000000"/>
              </w:rPr>
              <w:t>605.574,93</w:t>
            </w:r>
          </w:p>
        </w:tc>
      </w:tr>
      <w:tr w:rsidR="003746AA" w:rsidRPr="008D40AF" w:rsidTr="00C56A76">
        <w:trPr>
          <w:trHeight w:val="253"/>
        </w:trPr>
        <w:tc>
          <w:tcPr>
            <w:tcW w:w="2990" w:type="dxa"/>
            <w:gridSpan w:val="2"/>
            <w:tcBorders>
              <w:top w:val="single" w:sz="4" w:space="0" w:color="auto"/>
              <w:left w:val="nil"/>
              <w:bottom w:val="nil"/>
              <w:right w:val="nil"/>
            </w:tcBorders>
            <w:shd w:val="clear" w:color="000000" w:fill="FFFFFF"/>
            <w:noWrap/>
            <w:vAlign w:val="bottom"/>
            <w:hideMark/>
          </w:tcPr>
          <w:p w:rsidR="00B624A1" w:rsidRPr="008D40AF" w:rsidRDefault="007B6C82" w:rsidP="003746AA">
            <w:pPr>
              <w:rPr>
                <w:color w:val="000000"/>
              </w:rPr>
            </w:pPr>
            <w:r>
              <w:rPr>
                <w:color w:val="000000"/>
              </w:rPr>
              <w:t>Nota.</w:t>
            </w:r>
            <w:r w:rsidR="00B624A1" w:rsidRPr="008D40AF">
              <w:rPr>
                <w:color w:val="000000"/>
              </w:rPr>
              <w:t xml:space="preserve"> Dados da pesquisa</w:t>
            </w:r>
          </w:p>
        </w:tc>
        <w:tc>
          <w:tcPr>
            <w:tcW w:w="2990" w:type="dxa"/>
            <w:gridSpan w:val="2"/>
            <w:tcBorders>
              <w:top w:val="single" w:sz="4" w:space="0" w:color="auto"/>
              <w:left w:val="nil"/>
              <w:bottom w:val="nil"/>
              <w:right w:val="nil"/>
            </w:tcBorders>
            <w:shd w:val="clear" w:color="000000" w:fill="FFFFFF"/>
            <w:noWrap/>
            <w:vAlign w:val="bottom"/>
            <w:hideMark/>
          </w:tcPr>
          <w:p w:rsidR="00B624A1" w:rsidRPr="008D40AF" w:rsidRDefault="00B624A1" w:rsidP="003746AA">
            <w:pPr>
              <w:rPr>
                <w:color w:val="000000"/>
              </w:rPr>
            </w:pPr>
            <w:r w:rsidRPr="008D40AF">
              <w:rPr>
                <w:color w:val="000000"/>
              </w:rPr>
              <w:t> </w:t>
            </w:r>
          </w:p>
        </w:tc>
        <w:tc>
          <w:tcPr>
            <w:tcW w:w="2991" w:type="dxa"/>
            <w:gridSpan w:val="2"/>
            <w:tcBorders>
              <w:top w:val="single" w:sz="4" w:space="0" w:color="auto"/>
              <w:left w:val="nil"/>
              <w:bottom w:val="nil"/>
              <w:right w:val="nil"/>
            </w:tcBorders>
            <w:shd w:val="clear" w:color="000000" w:fill="FFFFFF"/>
            <w:noWrap/>
            <w:vAlign w:val="bottom"/>
            <w:hideMark/>
          </w:tcPr>
          <w:p w:rsidR="00B624A1" w:rsidRPr="008D40AF" w:rsidRDefault="00B624A1" w:rsidP="003746AA">
            <w:pPr>
              <w:rPr>
                <w:color w:val="000000"/>
              </w:rPr>
            </w:pPr>
            <w:r w:rsidRPr="008D40AF">
              <w:rPr>
                <w:color w:val="000000"/>
              </w:rPr>
              <w:t> </w:t>
            </w:r>
          </w:p>
        </w:tc>
      </w:tr>
    </w:tbl>
    <w:p w:rsidR="00B624A1" w:rsidRPr="00392CEF" w:rsidRDefault="00B624A1" w:rsidP="00B624A1">
      <w:pPr>
        <w:jc w:val="both"/>
        <w:rPr>
          <w:sz w:val="24"/>
          <w:szCs w:val="24"/>
        </w:rPr>
      </w:pPr>
    </w:p>
    <w:p w:rsidR="00B624A1" w:rsidRPr="00392CEF" w:rsidRDefault="00B624A1" w:rsidP="00B624A1">
      <w:pPr>
        <w:tabs>
          <w:tab w:val="left" w:pos="709"/>
        </w:tabs>
        <w:ind w:firstLine="709"/>
        <w:jc w:val="both"/>
        <w:rPr>
          <w:sz w:val="24"/>
          <w:szCs w:val="24"/>
        </w:rPr>
      </w:pPr>
      <w:r w:rsidRPr="00392CEF">
        <w:rPr>
          <w:sz w:val="24"/>
          <w:szCs w:val="24"/>
        </w:rPr>
        <w:t xml:space="preserve">Conforme </w:t>
      </w:r>
      <w:r>
        <w:rPr>
          <w:sz w:val="24"/>
          <w:szCs w:val="24"/>
        </w:rPr>
        <w:t>a T</w:t>
      </w:r>
      <w:r w:rsidRPr="00392CEF">
        <w:rPr>
          <w:sz w:val="24"/>
          <w:szCs w:val="24"/>
        </w:rPr>
        <w:t>abela</w:t>
      </w:r>
      <w:r>
        <w:rPr>
          <w:sz w:val="24"/>
          <w:szCs w:val="24"/>
        </w:rPr>
        <w:t xml:space="preserve"> </w:t>
      </w:r>
      <w:r w:rsidRPr="00392CEF">
        <w:rPr>
          <w:sz w:val="24"/>
          <w:szCs w:val="24"/>
        </w:rPr>
        <w:t>5, observa-se que quanto maior a distância dos municípios até a capital, maior o gasto médio destes com diárias. Porém, devido a</w:t>
      </w:r>
      <w:r>
        <w:rPr>
          <w:sz w:val="24"/>
          <w:szCs w:val="24"/>
        </w:rPr>
        <w:t xml:space="preserve"> </w:t>
      </w:r>
      <w:r w:rsidRPr="00392CEF">
        <w:rPr>
          <w:sz w:val="24"/>
          <w:szCs w:val="24"/>
        </w:rPr>
        <w:t>grande quantidade de municípios em cada faixa analisada, é importante aprofundar a análise em pesquisas futuras, visto que existe grande variação no gasto de cada um deles, o que pode distorcer a interpretação pela média dos resultados.</w:t>
      </w:r>
    </w:p>
    <w:p w:rsidR="00B624A1" w:rsidRPr="00392CEF" w:rsidRDefault="00B624A1" w:rsidP="00B624A1">
      <w:pPr>
        <w:jc w:val="both"/>
        <w:rPr>
          <w:sz w:val="24"/>
          <w:szCs w:val="24"/>
        </w:rPr>
      </w:pPr>
    </w:p>
    <w:p w:rsidR="00B624A1" w:rsidRPr="00392CEF" w:rsidRDefault="00B624A1" w:rsidP="00B624A1">
      <w:pPr>
        <w:pStyle w:val="Ttulo1"/>
        <w:spacing w:before="0" w:after="0"/>
        <w:rPr>
          <w:rFonts w:ascii="Times New Roman" w:hAnsi="Times New Roman"/>
          <w:szCs w:val="24"/>
        </w:rPr>
      </w:pPr>
      <w:bookmarkStart w:id="11" w:name="_Toc465887060"/>
      <w:r w:rsidRPr="00392CEF">
        <w:rPr>
          <w:rFonts w:ascii="Times New Roman" w:hAnsi="Times New Roman"/>
          <w:szCs w:val="24"/>
        </w:rPr>
        <w:t>5 C</w:t>
      </w:r>
      <w:bookmarkEnd w:id="11"/>
      <w:r w:rsidRPr="00392CEF">
        <w:rPr>
          <w:rFonts w:ascii="Times New Roman" w:hAnsi="Times New Roman"/>
          <w:szCs w:val="24"/>
        </w:rPr>
        <w:t>onclusão</w:t>
      </w:r>
    </w:p>
    <w:p w:rsidR="00B624A1" w:rsidRPr="00392CEF" w:rsidRDefault="00B624A1" w:rsidP="00B624A1">
      <w:pPr>
        <w:jc w:val="both"/>
        <w:rPr>
          <w:sz w:val="24"/>
          <w:szCs w:val="24"/>
        </w:rPr>
      </w:pPr>
      <w:r w:rsidRPr="00392CEF">
        <w:rPr>
          <w:sz w:val="24"/>
          <w:szCs w:val="24"/>
        </w:rPr>
        <w:tab/>
        <w:t xml:space="preserve">Esta pesquisa analisou os gastos com deslocamento a serviço, de servidores dos municípios de Santa Catarina com menos de 5.000 habitantes, no período de 2011 a 2016. Os resultados revelaram que os valores desembolsados foram elevados e que não existe correlação entre estes gastos e as variáveis de recursos correntes utilizadas (DC, DP, RCL e RT). Ao analisar a distância dos municípios em relação a capital do estado de Santa Catarina, pela média de gastos, pode-se afirmar que quanto maior a distância maior o gasto com diárias. </w:t>
      </w:r>
    </w:p>
    <w:p w:rsidR="00B624A1" w:rsidRPr="00392CEF" w:rsidRDefault="00B624A1" w:rsidP="00B624A1">
      <w:pPr>
        <w:jc w:val="both"/>
        <w:rPr>
          <w:sz w:val="24"/>
          <w:szCs w:val="24"/>
        </w:rPr>
      </w:pPr>
      <w:r w:rsidRPr="00392CEF">
        <w:rPr>
          <w:sz w:val="24"/>
          <w:szCs w:val="24"/>
        </w:rPr>
        <w:tab/>
        <w:t>Na comparação anual dos gastos, percebe-se que em anos de eleições estaduais</w:t>
      </w:r>
      <w:r>
        <w:rPr>
          <w:sz w:val="24"/>
          <w:szCs w:val="24"/>
        </w:rPr>
        <w:t xml:space="preserve"> e </w:t>
      </w:r>
      <w:r w:rsidRPr="00392CEF">
        <w:rPr>
          <w:sz w:val="24"/>
          <w:szCs w:val="24"/>
        </w:rPr>
        <w:t>federais ocorreram os maiores volumes de gastos.</w:t>
      </w:r>
      <w:r>
        <w:rPr>
          <w:sz w:val="24"/>
          <w:szCs w:val="24"/>
        </w:rPr>
        <w:t xml:space="preserve"> </w:t>
      </w:r>
      <w:r w:rsidRPr="00392CEF">
        <w:rPr>
          <w:sz w:val="24"/>
          <w:szCs w:val="24"/>
        </w:rPr>
        <w:t>Es</w:t>
      </w:r>
      <w:r>
        <w:rPr>
          <w:sz w:val="24"/>
          <w:szCs w:val="24"/>
        </w:rPr>
        <w:t>s</w:t>
      </w:r>
      <w:r w:rsidRPr="00392CEF">
        <w:rPr>
          <w:sz w:val="24"/>
          <w:szCs w:val="24"/>
        </w:rPr>
        <w:t>e resultado corrobora com os achados veiculados pelo Diário Catarinense (2017), em relação a ALESC.</w:t>
      </w:r>
    </w:p>
    <w:p w:rsidR="00B624A1" w:rsidRPr="00392CEF" w:rsidRDefault="00B624A1" w:rsidP="00B624A1">
      <w:pPr>
        <w:jc w:val="both"/>
        <w:rPr>
          <w:sz w:val="24"/>
          <w:szCs w:val="24"/>
        </w:rPr>
      </w:pPr>
      <w:r w:rsidRPr="00392CEF">
        <w:rPr>
          <w:sz w:val="24"/>
          <w:szCs w:val="24"/>
        </w:rPr>
        <w:tab/>
        <w:t xml:space="preserve">Os recentes escândalos envolvendo gastos abusivos com diárias e as afirmações de promotores de justiça e auditores de </w:t>
      </w:r>
      <w:r>
        <w:rPr>
          <w:sz w:val="24"/>
          <w:szCs w:val="24"/>
        </w:rPr>
        <w:t>T</w:t>
      </w:r>
      <w:r w:rsidRPr="00392CEF">
        <w:rPr>
          <w:sz w:val="24"/>
          <w:szCs w:val="24"/>
        </w:rPr>
        <w:t xml:space="preserve">ribunais de </w:t>
      </w:r>
      <w:r>
        <w:rPr>
          <w:sz w:val="24"/>
          <w:szCs w:val="24"/>
        </w:rPr>
        <w:t>C</w:t>
      </w:r>
      <w:r w:rsidRPr="00392CEF">
        <w:rPr>
          <w:sz w:val="24"/>
          <w:szCs w:val="24"/>
        </w:rPr>
        <w:t>ontas, de que os gastos com deslocamento de servidores a serviço estão se configurando como parcelas irregulares de incremento da remuneração pessoal dos servidores beneficiados (</w:t>
      </w:r>
      <w:r w:rsidRPr="00392CEF">
        <w:rPr>
          <w:szCs w:val="24"/>
        </w:rPr>
        <w:t>G</w:t>
      </w:r>
      <w:r w:rsidR="007B6C82">
        <w:rPr>
          <w:szCs w:val="24"/>
        </w:rPr>
        <w:t>azeta do Povo</w:t>
      </w:r>
      <w:r w:rsidRPr="00392CEF">
        <w:rPr>
          <w:szCs w:val="24"/>
        </w:rPr>
        <w:t>, 2015; MPSC, 2016; A H</w:t>
      </w:r>
      <w:r w:rsidR="007B6C82">
        <w:rPr>
          <w:szCs w:val="24"/>
        </w:rPr>
        <w:t>ora</w:t>
      </w:r>
      <w:r w:rsidRPr="00392CEF">
        <w:rPr>
          <w:szCs w:val="24"/>
        </w:rPr>
        <w:t>, 2017 e G1, 2017),</w:t>
      </w:r>
      <w:r w:rsidRPr="00392CEF">
        <w:rPr>
          <w:sz w:val="24"/>
          <w:szCs w:val="24"/>
        </w:rPr>
        <w:t xml:space="preserve"> parece se confirmar nesta pesquisa. Porém, como não foram encontrados outros estudos acadêmicos com este foco, é necessária </w:t>
      </w:r>
      <w:r>
        <w:rPr>
          <w:sz w:val="24"/>
          <w:szCs w:val="24"/>
        </w:rPr>
        <w:t>ampliar o arcabouço teórico sobre o tema.</w:t>
      </w:r>
    </w:p>
    <w:p w:rsidR="00B624A1" w:rsidRPr="00392CEF" w:rsidRDefault="00B624A1" w:rsidP="00B624A1">
      <w:pPr>
        <w:jc w:val="both"/>
        <w:rPr>
          <w:sz w:val="24"/>
          <w:szCs w:val="24"/>
        </w:rPr>
      </w:pPr>
      <w:r w:rsidRPr="00392CEF">
        <w:rPr>
          <w:sz w:val="24"/>
          <w:szCs w:val="24"/>
        </w:rPr>
        <w:tab/>
        <w:t>A grande variação de dispêndios em municípios com características populacionais e orçamentárias semelhantes, aliada a falta de legislação que limite os gastos com diárias e passagens, direciona para a interpretação de que o pagamento destas despesas depende principalmente da iniciativa do servidor em realizar o pedido, e da anuência do gestor em autorizá-lo. Com base nisso, em uma próxima pesquisa pode-se partir do pressuposto de que servidores que tem uma relação mais próxima com o gestor, podem ser mais beneficiados com fornecimento de diárias e passagens.</w:t>
      </w:r>
    </w:p>
    <w:p w:rsidR="00B624A1" w:rsidRPr="00392CEF" w:rsidRDefault="00B624A1" w:rsidP="00B624A1">
      <w:pPr>
        <w:jc w:val="both"/>
        <w:rPr>
          <w:sz w:val="24"/>
          <w:szCs w:val="24"/>
        </w:rPr>
      </w:pPr>
      <w:r w:rsidRPr="00392CEF">
        <w:rPr>
          <w:sz w:val="24"/>
          <w:szCs w:val="24"/>
        </w:rPr>
        <w:tab/>
        <w:t xml:space="preserve">A análise individual por município revelou discrepâncias entre os valores, que precisam ser aprofundadas em pesquisas contábeis futuras. Com base na experiência profissional dos autores, </w:t>
      </w:r>
      <w:r>
        <w:rPr>
          <w:sz w:val="24"/>
          <w:szCs w:val="24"/>
        </w:rPr>
        <w:t xml:space="preserve">não é possível que o </w:t>
      </w:r>
      <w:r w:rsidRPr="00392CEF">
        <w:rPr>
          <w:sz w:val="24"/>
          <w:szCs w:val="24"/>
        </w:rPr>
        <w:t>município não tenha realizado nenhum gasto com diárias e passagens no ano. Porém, os dados revelaram que enquanto alguns municípios não tiveram nenhuma despesa com passagem em 6 anos analisados, outro teve R$ 124.155,00. O mesmo comportamento foi observado quanto às despesas com diárias, o gasto anual de R$ 199,31 em um município, contrasta com o gasto de R$ 216.321,40 em outro município. A sugestão é verificar em futuros estudos, se os gastos estão sendo registrados contabilmente em outra modalidade (desviando então o foco da mídia), para isso, o ideal é verificar os históricos dos registros contábeis dos empenhos estimativos do tipo "adiantamento de despesa". Fica a sugestão de partir do pressuposto de que é necessário e devido o gasto com diárias de servidores que se deslocam a serviço.</w:t>
      </w:r>
    </w:p>
    <w:p w:rsidR="00B624A1" w:rsidRPr="00392CEF" w:rsidRDefault="00B624A1" w:rsidP="00B624A1">
      <w:pPr>
        <w:jc w:val="both"/>
        <w:rPr>
          <w:sz w:val="24"/>
          <w:szCs w:val="24"/>
        </w:rPr>
      </w:pPr>
      <w:r w:rsidRPr="00392CEF">
        <w:rPr>
          <w:sz w:val="24"/>
          <w:szCs w:val="24"/>
        </w:rPr>
        <w:tab/>
        <w:t>Outro achado da pesquisa que merece destaque foi o comprometimento dos recursos públicos municipais, que segundo a CNM (2015), já são escassos. Em alguns municípios, comparado com o valor total arrecadado da receita tributária, os gastos com deslocamento de servidores ultrapassaram 50% da arrecadação. O município de Tigrinho chegou a comprometer 60,1% da RT, o que é inviável sob o aspecto da sustentabilidade do município.</w:t>
      </w:r>
    </w:p>
    <w:p w:rsidR="00B624A1" w:rsidRPr="00392CEF" w:rsidRDefault="00B624A1" w:rsidP="00B624A1">
      <w:pPr>
        <w:jc w:val="both"/>
        <w:rPr>
          <w:sz w:val="24"/>
          <w:szCs w:val="24"/>
        </w:rPr>
      </w:pPr>
      <w:r w:rsidRPr="00392CEF">
        <w:rPr>
          <w:sz w:val="24"/>
          <w:szCs w:val="24"/>
        </w:rPr>
        <w:tab/>
        <w:t xml:space="preserve">Para municípios tão pequenos, onde alguns gastaram mais de R$ 1.200.000,00 no período, cabe verificar as justificativas apresentadas pelos beneficiários para concessão das diárias e passagens, comparando com os possíveis benefícios que estes gastos trouxeram para o município. Ao analisar um espaço temporal posterior ao pagamento destas despesas, talvez </w:t>
      </w:r>
      <w:r w:rsidRPr="00392CEF">
        <w:rPr>
          <w:sz w:val="24"/>
          <w:szCs w:val="24"/>
        </w:rPr>
        <w:lastRenderedPageBreak/>
        <w:t xml:space="preserve">sejam identificados benefícios de natureza qualitativa e quantitativa. </w:t>
      </w:r>
      <w:r>
        <w:rPr>
          <w:sz w:val="24"/>
          <w:szCs w:val="24"/>
        </w:rPr>
        <w:t>O</w:t>
      </w:r>
      <w:r w:rsidRPr="00392CEF">
        <w:rPr>
          <w:sz w:val="24"/>
          <w:szCs w:val="24"/>
        </w:rPr>
        <w:t xml:space="preserve"> pressuposto </w:t>
      </w:r>
      <w:r>
        <w:rPr>
          <w:sz w:val="24"/>
          <w:szCs w:val="24"/>
        </w:rPr>
        <w:t xml:space="preserve">é de </w:t>
      </w:r>
      <w:r w:rsidRPr="00392CEF">
        <w:rPr>
          <w:sz w:val="24"/>
          <w:szCs w:val="24"/>
        </w:rPr>
        <w:t>que a concessão de diárias e passagens para algumas atividades inerentes aos órgãos públicos, possa trazer benefícios à formação do capital intelectual dos servidores e angariar recursos externos para o município. Esse é um ganho sustentável que justificaria os elevados gastos registrados.</w:t>
      </w:r>
    </w:p>
    <w:p w:rsidR="00B624A1" w:rsidRPr="00392CEF" w:rsidRDefault="00B624A1" w:rsidP="00B624A1">
      <w:pPr>
        <w:ind w:firstLine="709"/>
        <w:jc w:val="both"/>
        <w:rPr>
          <w:rFonts w:eastAsia="Calibri"/>
          <w:sz w:val="24"/>
          <w:szCs w:val="24"/>
        </w:rPr>
      </w:pPr>
      <w:r w:rsidRPr="00392CEF">
        <w:rPr>
          <w:rFonts w:eastAsia="Calibri"/>
          <w:sz w:val="24"/>
          <w:szCs w:val="24"/>
        </w:rPr>
        <w:t xml:space="preserve">Como já mencionado na metodologia, esta pesquisa apresenta como principais limitações as variáveis escolhidas e a metodologia de análise utilizada, principalmente por </w:t>
      </w:r>
      <w:r>
        <w:rPr>
          <w:rFonts w:eastAsia="Calibri"/>
          <w:sz w:val="24"/>
          <w:szCs w:val="24"/>
        </w:rPr>
        <w:t xml:space="preserve">algumas de suas conclusões se </w:t>
      </w:r>
      <w:r w:rsidRPr="00392CEF">
        <w:rPr>
          <w:rFonts w:eastAsia="Calibri"/>
          <w:sz w:val="24"/>
          <w:szCs w:val="24"/>
        </w:rPr>
        <w:t xml:space="preserve">sustentarem na experiência </w:t>
      </w:r>
      <w:r>
        <w:rPr>
          <w:rFonts w:eastAsia="Calibri"/>
          <w:sz w:val="24"/>
          <w:szCs w:val="24"/>
        </w:rPr>
        <w:t xml:space="preserve">profissional dos </w:t>
      </w:r>
      <w:r w:rsidRPr="00392CEF">
        <w:rPr>
          <w:rFonts w:eastAsia="Calibri"/>
          <w:sz w:val="24"/>
          <w:szCs w:val="24"/>
        </w:rPr>
        <w:t xml:space="preserve">autores e não em um vasto arcabouço teórico sobre a temática. </w:t>
      </w:r>
      <w:r>
        <w:rPr>
          <w:rFonts w:eastAsia="Calibri"/>
          <w:sz w:val="24"/>
          <w:szCs w:val="24"/>
        </w:rPr>
        <w:t>Assim</w:t>
      </w:r>
      <w:r w:rsidRPr="00392CEF">
        <w:rPr>
          <w:rFonts w:eastAsia="Calibri"/>
          <w:sz w:val="24"/>
          <w:szCs w:val="24"/>
        </w:rPr>
        <w:t xml:space="preserve">, </w:t>
      </w:r>
      <w:r>
        <w:rPr>
          <w:rFonts w:eastAsia="Calibri"/>
          <w:sz w:val="24"/>
          <w:szCs w:val="24"/>
        </w:rPr>
        <w:t xml:space="preserve">apresenta </w:t>
      </w:r>
      <w:r w:rsidRPr="00392CEF">
        <w:rPr>
          <w:rFonts w:eastAsia="Calibri"/>
          <w:sz w:val="24"/>
          <w:szCs w:val="24"/>
        </w:rPr>
        <w:t>as contribuições típicas de uma pesquisa participativa.</w:t>
      </w:r>
    </w:p>
    <w:p w:rsidR="00B624A1" w:rsidRPr="00392CEF" w:rsidRDefault="00B624A1" w:rsidP="00B624A1">
      <w:pPr>
        <w:ind w:firstLine="851"/>
        <w:jc w:val="both"/>
        <w:rPr>
          <w:rFonts w:eastAsia="Calibri"/>
          <w:sz w:val="24"/>
          <w:szCs w:val="24"/>
        </w:rPr>
      </w:pPr>
    </w:p>
    <w:p w:rsidR="00B624A1" w:rsidRPr="00392CEF" w:rsidRDefault="00B624A1" w:rsidP="00B624A1">
      <w:pPr>
        <w:rPr>
          <w:b/>
          <w:sz w:val="24"/>
          <w:szCs w:val="24"/>
        </w:rPr>
      </w:pPr>
      <w:r w:rsidRPr="00392CEF">
        <w:rPr>
          <w:b/>
          <w:sz w:val="24"/>
          <w:szCs w:val="24"/>
        </w:rPr>
        <w:t>Referências</w:t>
      </w:r>
    </w:p>
    <w:p w:rsidR="00B624A1" w:rsidRPr="00E93540" w:rsidRDefault="00B624A1" w:rsidP="00E93540">
      <w:pPr>
        <w:spacing w:after="120"/>
        <w:rPr>
          <w:sz w:val="24"/>
          <w:szCs w:val="24"/>
        </w:rPr>
      </w:pPr>
      <w:r w:rsidRPr="00E93540">
        <w:rPr>
          <w:sz w:val="24"/>
          <w:szCs w:val="24"/>
        </w:rPr>
        <w:t>A H</w:t>
      </w:r>
      <w:r w:rsidR="00FB6ECC" w:rsidRPr="00E93540">
        <w:rPr>
          <w:sz w:val="24"/>
          <w:szCs w:val="24"/>
        </w:rPr>
        <w:t>ora</w:t>
      </w:r>
      <w:r w:rsidRPr="00E93540">
        <w:rPr>
          <w:sz w:val="24"/>
          <w:szCs w:val="24"/>
        </w:rPr>
        <w:t xml:space="preserve">. </w:t>
      </w:r>
      <w:r w:rsidR="00FB6ECC" w:rsidRPr="00E93540">
        <w:rPr>
          <w:sz w:val="24"/>
          <w:szCs w:val="24"/>
        </w:rPr>
        <w:t xml:space="preserve">(2017). </w:t>
      </w:r>
      <w:r w:rsidRPr="00E93540">
        <w:rPr>
          <w:sz w:val="24"/>
          <w:szCs w:val="24"/>
        </w:rPr>
        <w:t xml:space="preserve">MP investiga vereadores por uso excessivo de diárias. Matéria veiculada em 04 de maio de 2017. Disponível em: </w:t>
      </w:r>
      <w:hyperlink r:id="rId14" w:history="1">
        <w:r w:rsidRPr="00E93540">
          <w:rPr>
            <w:rStyle w:val="Hyperlink"/>
            <w:sz w:val="24"/>
            <w:szCs w:val="24"/>
          </w:rPr>
          <w:t>http://www.jornalahora.com.br/2017/05/04/mp-investiga-vereadores-por-uso-excessivo-de-diarias</w:t>
        </w:r>
      </w:hyperlink>
      <w:r w:rsidRPr="00E93540">
        <w:rPr>
          <w:sz w:val="24"/>
          <w:szCs w:val="24"/>
        </w:rPr>
        <w:t>. Acesso em: 18 maio 2017.</w:t>
      </w:r>
    </w:p>
    <w:p w:rsidR="00B624A1" w:rsidRPr="00E93540" w:rsidRDefault="00B624A1" w:rsidP="00E93540">
      <w:pPr>
        <w:spacing w:after="120"/>
        <w:rPr>
          <w:sz w:val="24"/>
          <w:szCs w:val="24"/>
        </w:rPr>
      </w:pPr>
      <w:r w:rsidRPr="00E93540">
        <w:rPr>
          <w:sz w:val="24"/>
          <w:szCs w:val="24"/>
        </w:rPr>
        <w:t>A</w:t>
      </w:r>
      <w:r w:rsidR="00FB6ECC" w:rsidRPr="00E93540">
        <w:rPr>
          <w:sz w:val="24"/>
          <w:szCs w:val="24"/>
        </w:rPr>
        <w:t>ndrade</w:t>
      </w:r>
      <w:r w:rsidRPr="00E93540">
        <w:rPr>
          <w:sz w:val="24"/>
          <w:szCs w:val="24"/>
        </w:rPr>
        <w:t xml:space="preserve">, N. D. A. </w:t>
      </w:r>
      <w:r w:rsidR="00FB6ECC" w:rsidRPr="00E93540">
        <w:rPr>
          <w:sz w:val="24"/>
          <w:szCs w:val="24"/>
        </w:rPr>
        <w:t xml:space="preserve">(2013). </w:t>
      </w:r>
      <w:r w:rsidRPr="00E93540">
        <w:rPr>
          <w:sz w:val="24"/>
          <w:szCs w:val="24"/>
        </w:rPr>
        <w:t>Contabilidade pública na gestão municipal: Métodos com base nas normas brasileiras de contabilidade aplicadas ao setor</w:t>
      </w:r>
      <w:r w:rsidR="00FB6ECC" w:rsidRPr="00E93540">
        <w:rPr>
          <w:sz w:val="24"/>
          <w:szCs w:val="24"/>
        </w:rPr>
        <w:t xml:space="preserve"> </w:t>
      </w:r>
      <w:r w:rsidRPr="00E93540">
        <w:rPr>
          <w:sz w:val="24"/>
          <w:szCs w:val="24"/>
        </w:rPr>
        <w:t>público (NBCASP) e nos padrões internacionais de contabilidade</w:t>
      </w:r>
      <w:r w:rsidR="00FB6ECC" w:rsidRPr="00E93540">
        <w:rPr>
          <w:sz w:val="24"/>
          <w:szCs w:val="24"/>
        </w:rPr>
        <w:t xml:space="preserve"> (</w:t>
      </w:r>
      <w:r w:rsidRPr="00E93540">
        <w:rPr>
          <w:sz w:val="24"/>
          <w:szCs w:val="24"/>
        </w:rPr>
        <w:t>5</w:t>
      </w:r>
      <w:r w:rsidR="00FB6ECC" w:rsidRPr="00E93540">
        <w:rPr>
          <w:sz w:val="24"/>
          <w:szCs w:val="24"/>
        </w:rPr>
        <w:t>ª</w:t>
      </w:r>
      <w:r w:rsidRPr="00E93540">
        <w:rPr>
          <w:sz w:val="24"/>
          <w:szCs w:val="24"/>
        </w:rPr>
        <w:t xml:space="preserve"> </w:t>
      </w:r>
      <w:r w:rsidR="00FB6ECC" w:rsidRPr="00E93540">
        <w:rPr>
          <w:sz w:val="24"/>
          <w:szCs w:val="24"/>
        </w:rPr>
        <w:t>edição)</w:t>
      </w:r>
      <w:r w:rsidRPr="00E93540">
        <w:rPr>
          <w:sz w:val="24"/>
          <w:szCs w:val="24"/>
        </w:rPr>
        <w:t>. São Paulo: A</w:t>
      </w:r>
      <w:r w:rsidR="00FB6ECC" w:rsidRPr="00E93540">
        <w:rPr>
          <w:sz w:val="24"/>
          <w:szCs w:val="24"/>
        </w:rPr>
        <w:t>tlas</w:t>
      </w:r>
      <w:r w:rsidRPr="00E93540">
        <w:rPr>
          <w:sz w:val="24"/>
          <w:szCs w:val="24"/>
        </w:rPr>
        <w:t>.</w:t>
      </w:r>
    </w:p>
    <w:p w:rsidR="00B624A1" w:rsidRPr="00E93540" w:rsidRDefault="00B624A1" w:rsidP="00E93540">
      <w:pPr>
        <w:spacing w:after="120"/>
        <w:rPr>
          <w:sz w:val="24"/>
          <w:szCs w:val="24"/>
        </w:rPr>
      </w:pPr>
      <w:r w:rsidRPr="00E93540">
        <w:rPr>
          <w:sz w:val="24"/>
          <w:szCs w:val="24"/>
        </w:rPr>
        <w:t>A</w:t>
      </w:r>
      <w:r w:rsidR="00FB6ECC" w:rsidRPr="00E93540">
        <w:rPr>
          <w:sz w:val="24"/>
          <w:szCs w:val="24"/>
        </w:rPr>
        <w:t>raújo</w:t>
      </w:r>
      <w:r w:rsidRPr="00E93540">
        <w:rPr>
          <w:sz w:val="24"/>
          <w:szCs w:val="24"/>
        </w:rPr>
        <w:t>, I.;</w:t>
      </w:r>
      <w:r w:rsidR="00FB6ECC" w:rsidRPr="00E93540">
        <w:rPr>
          <w:sz w:val="24"/>
          <w:szCs w:val="24"/>
        </w:rPr>
        <w:t xml:space="preserve"> &amp;</w:t>
      </w:r>
      <w:r w:rsidRPr="00E93540">
        <w:rPr>
          <w:sz w:val="24"/>
          <w:szCs w:val="24"/>
        </w:rPr>
        <w:t xml:space="preserve"> A</w:t>
      </w:r>
      <w:r w:rsidR="00FB6ECC" w:rsidRPr="00E93540">
        <w:rPr>
          <w:sz w:val="24"/>
          <w:szCs w:val="24"/>
        </w:rPr>
        <w:t>rruda</w:t>
      </w:r>
      <w:r w:rsidRPr="00E93540">
        <w:rPr>
          <w:sz w:val="24"/>
          <w:szCs w:val="24"/>
        </w:rPr>
        <w:t xml:space="preserve">, D. </w:t>
      </w:r>
      <w:r w:rsidR="00FB6ECC" w:rsidRPr="00E93540">
        <w:rPr>
          <w:sz w:val="24"/>
          <w:szCs w:val="24"/>
        </w:rPr>
        <w:t xml:space="preserve">(2009). </w:t>
      </w:r>
      <w:r w:rsidRPr="00E93540">
        <w:rPr>
          <w:sz w:val="24"/>
          <w:szCs w:val="24"/>
        </w:rPr>
        <w:t>Contabilidade pública: Da teoria à prática</w:t>
      </w:r>
      <w:r w:rsidR="00FB6ECC" w:rsidRPr="00E93540">
        <w:rPr>
          <w:sz w:val="24"/>
          <w:szCs w:val="24"/>
        </w:rPr>
        <w:t xml:space="preserve"> (2ª edição).</w:t>
      </w:r>
      <w:r w:rsidRPr="00E93540">
        <w:rPr>
          <w:sz w:val="24"/>
          <w:szCs w:val="24"/>
        </w:rPr>
        <w:t xml:space="preserve"> São Paulo: </w:t>
      </w:r>
      <w:r w:rsidR="00FB6ECC" w:rsidRPr="00E93540">
        <w:rPr>
          <w:sz w:val="24"/>
          <w:szCs w:val="24"/>
        </w:rPr>
        <w:t>Saraiva.</w:t>
      </w:r>
    </w:p>
    <w:p w:rsidR="00B624A1" w:rsidRPr="00E93540" w:rsidRDefault="00B624A1" w:rsidP="00E93540">
      <w:pPr>
        <w:spacing w:after="120"/>
        <w:rPr>
          <w:sz w:val="24"/>
          <w:szCs w:val="24"/>
        </w:rPr>
      </w:pPr>
      <w:r w:rsidRPr="00E93540">
        <w:rPr>
          <w:sz w:val="24"/>
          <w:szCs w:val="24"/>
        </w:rPr>
        <w:t>B</w:t>
      </w:r>
      <w:r w:rsidR="00FB6ECC" w:rsidRPr="00E93540">
        <w:rPr>
          <w:sz w:val="24"/>
          <w:szCs w:val="24"/>
        </w:rPr>
        <w:t>rasil</w:t>
      </w:r>
      <w:r w:rsidRPr="00E93540">
        <w:rPr>
          <w:sz w:val="24"/>
          <w:szCs w:val="24"/>
        </w:rPr>
        <w:t xml:space="preserve">. Lei Complementar n° 101, de 04 de maio de 2000. Disponível em: </w:t>
      </w:r>
      <w:hyperlink r:id="rId15" w:history="1">
        <w:r w:rsidRPr="00E93540">
          <w:rPr>
            <w:rStyle w:val="Hyperlink"/>
            <w:sz w:val="24"/>
            <w:szCs w:val="24"/>
          </w:rPr>
          <w:t>http://www.planalto.gov.br/ccivil_03/leis/LCP/Lcp101.htm</w:t>
        </w:r>
      </w:hyperlink>
      <w:r w:rsidRPr="00E93540">
        <w:rPr>
          <w:sz w:val="24"/>
          <w:szCs w:val="24"/>
        </w:rPr>
        <w:t>. Acesso em: 15 ago. 2017.</w:t>
      </w:r>
    </w:p>
    <w:p w:rsidR="00B624A1" w:rsidRPr="00E93540" w:rsidRDefault="00B624A1" w:rsidP="00E93540">
      <w:pPr>
        <w:spacing w:after="120"/>
        <w:rPr>
          <w:sz w:val="24"/>
          <w:szCs w:val="24"/>
        </w:rPr>
      </w:pPr>
      <w:r w:rsidRPr="00E93540">
        <w:rPr>
          <w:sz w:val="24"/>
          <w:szCs w:val="24"/>
        </w:rPr>
        <w:t xml:space="preserve">_______. Lei nº 4.320, de 17 de março de 1964. Disponível em: </w:t>
      </w:r>
      <w:hyperlink r:id="rId16" w:history="1">
        <w:r w:rsidRPr="00E93540">
          <w:rPr>
            <w:rStyle w:val="Hyperlink"/>
            <w:sz w:val="24"/>
            <w:szCs w:val="24"/>
          </w:rPr>
          <w:t>http://www.planalto.gov.br/ccivil_03/leis/L4320.htm</w:t>
        </w:r>
      </w:hyperlink>
      <w:r w:rsidRPr="00E93540">
        <w:rPr>
          <w:sz w:val="24"/>
          <w:szCs w:val="24"/>
        </w:rPr>
        <w:t xml:space="preserve"> . Acesso em: 15 ago. 2017.</w:t>
      </w:r>
    </w:p>
    <w:p w:rsidR="00B624A1" w:rsidRPr="00E93540" w:rsidRDefault="00B624A1" w:rsidP="00E93540">
      <w:pPr>
        <w:spacing w:after="120"/>
        <w:rPr>
          <w:sz w:val="24"/>
          <w:szCs w:val="24"/>
        </w:rPr>
      </w:pPr>
      <w:r w:rsidRPr="00E93540">
        <w:rPr>
          <w:sz w:val="24"/>
          <w:szCs w:val="24"/>
        </w:rPr>
        <w:t xml:space="preserve">CNM, Confederação Nacional dos Municípios. </w:t>
      </w:r>
      <w:r w:rsidR="00FB6ECC" w:rsidRPr="00E93540">
        <w:rPr>
          <w:sz w:val="24"/>
          <w:szCs w:val="24"/>
        </w:rPr>
        <w:t xml:space="preserve">(2015). </w:t>
      </w:r>
      <w:r w:rsidRPr="00E93540">
        <w:rPr>
          <w:sz w:val="24"/>
          <w:szCs w:val="24"/>
        </w:rPr>
        <w:t>Modernizar a gestão pode ser um caminho de enfrentar a crise nos Municípios, aponta Seminário</w:t>
      </w:r>
      <w:r w:rsidR="00FB6ECC" w:rsidRPr="00E93540">
        <w:rPr>
          <w:sz w:val="24"/>
          <w:szCs w:val="24"/>
        </w:rPr>
        <w:t xml:space="preserve">. </w:t>
      </w:r>
      <w:r w:rsidRPr="00E93540">
        <w:rPr>
          <w:sz w:val="24"/>
          <w:szCs w:val="24"/>
        </w:rPr>
        <w:t xml:space="preserve">Matéria veiculada em 1 de outubro de 2015. Disponível em: </w:t>
      </w:r>
      <w:hyperlink r:id="rId17" w:history="1">
        <w:r w:rsidRPr="00E93540">
          <w:rPr>
            <w:rStyle w:val="Hyperlink"/>
            <w:sz w:val="24"/>
            <w:szCs w:val="24"/>
          </w:rPr>
          <w:t>http://www.cnm.org.br/comunicacao/noticias/modernizar-a-gestao-pode-ser-um-caminho-de-enfrentar-a-crise-nos-municipios-aponta-seminario</w:t>
        </w:r>
      </w:hyperlink>
      <w:r w:rsidRPr="00E93540">
        <w:rPr>
          <w:sz w:val="24"/>
          <w:szCs w:val="24"/>
        </w:rPr>
        <w:t>. Acesso em 02 ago. 2017.</w:t>
      </w:r>
    </w:p>
    <w:p w:rsidR="00B624A1" w:rsidRPr="00E93540" w:rsidRDefault="00B624A1" w:rsidP="00E93540">
      <w:pPr>
        <w:spacing w:after="120"/>
        <w:rPr>
          <w:sz w:val="24"/>
          <w:szCs w:val="24"/>
        </w:rPr>
      </w:pPr>
      <w:r w:rsidRPr="00E93540">
        <w:rPr>
          <w:sz w:val="24"/>
          <w:szCs w:val="24"/>
        </w:rPr>
        <w:t>CNM, Confederação Nacional dos Municípios</w:t>
      </w:r>
      <w:r w:rsidR="00FB6ECC" w:rsidRPr="00E93540">
        <w:rPr>
          <w:sz w:val="24"/>
          <w:szCs w:val="24"/>
        </w:rPr>
        <w:t xml:space="preserve">. (2017). </w:t>
      </w:r>
      <w:r w:rsidRPr="00E93540">
        <w:rPr>
          <w:sz w:val="24"/>
          <w:szCs w:val="24"/>
        </w:rPr>
        <w:t>Pauta Municipalista 2017 - XX Marcha. 124 p. Brasília: CNM</w:t>
      </w:r>
      <w:r w:rsidR="00FB6ECC" w:rsidRPr="00E93540">
        <w:rPr>
          <w:sz w:val="24"/>
          <w:szCs w:val="24"/>
        </w:rPr>
        <w:t>.</w:t>
      </w:r>
    </w:p>
    <w:p w:rsidR="00B624A1" w:rsidRPr="00E93540" w:rsidRDefault="00B624A1" w:rsidP="00E93540">
      <w:pPr>
        <w:spacing w:after="120"/>
        <w:rPr>
          <w:sz w:val="24"/>
          <w:szCs w:val="24"/>
        </w:rPr>
      </w:pPr>
      <w:r w:rsidRPr="00E93540">
        <w:rPr>
          <w:sz w:val="24"/>
          <w:szCs w:val="24"/>
        </w:rPr>
        <w:t>D</w:t>
      </w:r>
      <w:r w:rsidR="00C56A76" w:rsidRPr="00E93540">
        <w:rPr>
          <w:sz w:val="24"/>
          <w:szCs w:val="24"/>
        </w:rPr>
        <w:t>iário Catarinense. (2017).</w:t>
      </w:r>
      <w:r w:rsidRPr="00E93540">
        <w:rPr>
          <w:sz w:val="24"/>
          <w:szCs w:val="24"/>
        </w:rPr>
        <w:t xml:space="preserve"> Assembléia Legislativa de Santa Catarina gasta mais com diárias do que o Congresso Nacional. Matéria veiculada em 9 de maio de 2017. Disponível em:</w:t>
      </w:r>
      <w:hyperlink r:id="rId18" w:history="1">
        <w:r w:rsidRPr="00E93540">
          <w:rPr>
            <w:rStyle w:val="Hyperlink"/>
            <w:sz w:val="24"/>
            <w:szCs w:val="24"/>
          </w:rPr>
          <w:t>http://www.clicrbs.com.br/sites/swf/dc_diarias_alesc</w:t>
        </w:r>
      </w:hyperlink>
      <w:r w:rsidRPr="00E93540">
        <w:rPr>
          <w:sz w:val="24"/>
          <w:szCs w:val="24"/>
        </w:rPr>
        <w:t>.</w:t>
      </w:r>
      <w:r w:rsidR="00C56A76" w:rsidRPr="00E93540">
        <w:rPr>
          <w:sz w:val="24"/>
          <w:szCs w:val="24"/>
        </w:rPr>
        <w:t xml:space="preserve"> </w:t>
      </w:r>
      <w:r w:rsidRPr="00E93540">
        <w:rPr>
          <w:sz w:val="24"/>
          <w:szCs w:val="24"/>
        </w:rPr>
        <w:t>Acesso</w:t>
      </w:r>
      <w:r w:rsidR="00C56A76" w:rsidRPr="00E93540">
        <w:rPr>
          <w:sz w:val="24"/>
          <w:szCs w:val="24"/>
        </w:rPr>
        <w:t xml:space="preserve"> </w:t>
      </w:r>
      <w:r w:rsidRPr="00E93540">
        <w:rPr>
          <w:sz w:val="24"/>
          <w:szCs w:val="24"/>
        </w:rPr>
        <w:t>em: 05 ago. 2017.</w:t>
      </w:r>
    </w:p>
    <w:p w:rsidR="00B624A1" w:rsidRPr="00E93540" w:rsidRDefault="00B624A1" w:rsidP="00E93540">
      <w:pPr>
        <w:spacing w:after="120"/>
        <w:rPr>
          <w:sz w:val="24"/>
          <w:szCs w:val="24"/>
        </w:rPr>
      </w:pPr>
      <w:r w:rsidRPr="00E93540">
        <w:rPr>
          <w:sz w:val="24"/>
          <w:szCs w:val="24"/>
        </w:rPr>
        <w:t>D</w:t>
      </w:r>
      <w:r w:rsidR="00C56A76" w:rsidRPr="00E93540">
        <w:rPr>
          <w:sz w:val="24"/>
          <w:szCs w:val="24"/>
        </w:rPr>
        <w:t>yckman</w:t>
      </w:r>
      <w:r w:rsidRPr="00E93540">
        <w:rPr>
          <w:sz w:val="24"/>
          <w:szCs w:val="24"/>
        </w:rPr>
        <w:t>, T. R.;</w:t>
      </w:r>
      <w:r w:rsidR="00C56A76" w:rsidRPr="00E93540">
        <w:rPr>
          <w:sz w:val="24"/>
          <w:szCs w:val="24"/>
        </w:rPr>
        <w:t xml:space="preserve"> &amp;</w:t>
      </w:r>
      <w:r w:rsidRPr="00E93540">
        <w:rPr>
          <w:sz w:val="24"/>
          <w:szCs w:val="24"/>
        </w:rPr>
        <w:t xml:space="preserve"> Z</w:t>
      </w:r>
      <w:r w:rsidR="00C56A76" w:rsidRPr="00E93540">
        <w:rPr>
          <w:sz w:val="24"/>
          <w:szCs w:val="24"/>
        </w:rPr>
        <w:t>eff</w:t>
      </w:r>
      <w:r w:rsidRPr="00E93540">
        <w:rPr>
          <w:sz w:val="24"/>
          <w:szCs w:val="24"/>
        </w:rPr>
        <w:t xml:space="preserve">, S. A. Accounting Research: Past, Present, and Future. ABACUS, </w:t>
      </w:r>
      <w:r w:rsidR="00C56A76" w:rsidRPr="00E93540">
        <w:rPr>
          <w:sz w:val="24"/>
          <w:szCs w:val="24"/>
        </w:rPr>
        <w:t>51(4).</w:t>
      </w:r>
    </w:p>
    <w:p w:rsidR="00B624A1" w:rsidRPr="00E93540" w:rsidRDefault="00B624A1" w:rsidP="00E93540">
      <w:pPr>
        <w:spacing w:after="120"/>
        <w:rPr>
          <w:sz w:val="24"/>
          <w:szCs w:val="24"/>
        </w:rPr>
      </w:pPr>
      <w:r w:rsidRPr="00E93540">
        <w:rPr>
          <w:rFonts w:eastAsia="Calibri"/>
          <w:sz w:val="24"/>
          <w:szCs w:val="24"/>
        </w:rPr>
        <w:t>F</w:t>
      </w:r>
      <w:r w:rsidR="00280BA4" w:rsidRPr="00E93540">
        <w:rPr>
          <w:rFonts w:eastAsia="Calibri"/>
          <w:sz w:val="24"/>
          <w:szCs w:val="24"/>
        </w:rPr>
        <w:t>abre</w:t>
      </w:r>
      <w:r w:rsidRPr="00E93540">
        <w:rPr>
          <w:rFonts w:eastAsia="Calibri"/>
          <w:sz w:val="24"/>
          <w:szCs w:val="24"/>
        </w:rPr>
        <w:t xml:space="preserve">, V. V.; </w:t>
      </w:r>
      <w:r w:rsidR="00280BA4" w:rsidRPr="00E93540">
        <w:rPr>
          <w:rFonts w:eastAsia="Calibri"/>
          <w:sz w:val="24"/>
          <w:szCs w:val="24"/>
        </w:rPr>
        <w:t xml:space="preserve">&amp; </w:t>
      </w:r>
      <w:r w:rsidRPr="00E93540">
        <w:rPr>
          <w:rFonts w:eastAsia="Calibri"/>
          <w:sz w:val="24"/>
          <w:szCs w:val="24"/>
        </w:rPr>
        <w:t>B</w:t>
      </w:r>
      <w:r w:rsidR="00280BA4" w:rsidRPr="00E93540">
        <w:rPr>
          <w:rFonts w:eastAsia="Calibri"/>
          <w:sz w:val="24"/>
          <w:szCs w:val="24"/>
        </w:rPr>
        <w:t>onfante</w:t>
      </w:r>
      <w:r w:rsidRPr="00E93540">
        <w:rPr>
          <w:rFonts w:eastAsia="Calibri"/>
          <w:sz w:val="24"/>
          <w:szCs w:val="24"/>
        </w:rPr>
        <w:t xml:space="preserve">, E. A. </w:t>
      </w:r>
      <w:r w:rsidR="00280BA4" w:rsidRPr="00E93540">
        <w:rPr>
          <w:rFonts w:eastAsia="Calibri"/>
          <w:sz w:val="24"/>
          <w:szCs w:val="24"/>
        </w:rPr>
        <w:t xml:space="preserve">(2017). </w:t>
      </w:r>
      <w:r w:rsidRPr="00E93540">
        <w:rPr>
          <w:rFonts w:eastAsia="Calibri"/>
          <w:sz w:val="24"/>
          <w:szCs w:val="24"/>
        </w:rPr>
        <w:t>Produção Científica sobre Contabilidade Pública: Estudo</w:t>
      </w:r>
      <w:r w:rsidR="00280BA4" w:rsidRPr="00E93540">
        <w:rPr>
          <w:rFonts w:eastAsia="Calibri"/>
          <w:sz w:val="24"/>
          <w:szCs w:val="24"/>
        </w:rPr>
        <w:t xml:space="preserve"> </w:t>
      </w:r>
      <w:r w:rsidRPr="00E93540">
        <w:rPr>
          <w:rFonts w:eastAsia="Calibri"/>
          <w:sz w:val="24"/>
          <w:szCs w:val="24"/>
        </w:rPr>
        <w:t>Bibliométrico dos Últimos 10 Anos</w:t>
      </w:r>
      <w:r w:rsidRPr="00E93540">
        <w:rPr>
          <w:sz w:val="24"/>
          <w:szCs w:val="24"/>
        </w:rPr>
        <w:t xml:space="preserve">. </w:t>
      </w:r>
      <w:r w:rsidR="00280BA4" w:rsidRPr="00E93540">
        <w:rPr>
          <w:sz w:val="24"/>
          <w:szCs w:val="24"/>
        </w:rPr>
        <w:t xml:space="preserve">Anais do </w:t>
      </w:r>
      <w:r w:rsidRPr="00E93540">
        <w:rPr>
          <w:sz w:val="24"/>
          <w:szCs w:val="24"/>
        </w:rPr>
        <w:t>Congresso USP de Iniciação Científica, 17, São Paulo.</w:t>
      </w:r>
    </w:p>
    <w:p w:rsidR="00B624A1" w:rsidRPr="00E93540" w:rsidRDefault="00B624A1" w:rsidP="00E93540">
      <w:pPr>
        <w:spacing w:after="120"/>
        <w:rPr>
          <w:rFonts w:eastAsia="Calibri"/>
          <w:sz w:val="24"/>
          <w:szCs w:val="24"/>
        </w:rPr>
      </w:pPr>
      <w:r w:rsidRPr="00E93540">
        <w:rPr>
          <w:rFonts w:eastAsia="Calibri"/>
          <w:sz w:val="24"/>
          <w:szCs w:val="24"/>
        </w:rPr>
        <w:t>F</w:t>
      </w:r>
      <w:r w:rsidR="00C56A76" w:rsidRPr="00E93540">
        <w:rPr>
          <w:rFonts w:eastAsia="Calibri"/>
          <w:sz w:val="24"/>
          <w:szCs w:val="24"/>
        </w:rPr>
        <w:t>abre</w:t>
      </w:r>
      <w:r w:rsidRPr="00E93540">
        <w:rPr>
          <w:rFonts w:eastAsia="Calibri"/>
          <w:sz w:val="24"/>
          <w:szCs w:val="24"/>
        </w:rPr>
        <w:t>, V. V.; S</w:t>
      </w:r>
      <w:r w:rsidR="00C56A76" w:rsidRPr="00E93540">
        <w:rPr>
          <w:rFonts w:eastAsia="Calibri"/>
          <w:sz w:val="24"/>
          <w:szCs w:val="24"/>
        </w:rPr>
        <w:t>chlup</w:t>
      </w:r>
      <w:r w:rsidRPr="00E93540">
        <w:rPr>
          <w:rFonts w:eastAsia="Calibri"/>
          <w:sz w:val="24"/>
          <w:szCs w:val="24"/>
        </w:rPr>
        <w:t>, D.; P</w:t>
      </w:r>
      <w:r w:rsidR="00C56A76" w:rsidRPr="00E93540">
        <w:rPr>
          <w:rFonts w:eastAsia="Calibri"/>
          <w:sz w:val="24"/>
          <w:szCs w:val="24"/>
        </w:rPr>
        <w:t>andini</w:t>
      </w:r>
      <w:r w:rsidRPr="00E93540">
        <w:rPr>
          <w:rFonts w:eastAsia="Calibri"/>
          <w:sz w:val="24"/>
          <w:szCs w:val="24"/>
        </w:rPr>
        <w:t xml:space="preserve">, J. </w:t>
      </w:r>
      <w:r w:rsidR="00C56A76" w:rsidRPr="00E93540">
        <w:rPr>
          <w:rFonts w:eastAsia="Calibri"/>
          <w:sz w:val="24"/>
          <w:szCs w:val="24"/>
        </w:rPr>
        <w:t xml:space="preserve">(2016). </w:t>
      </w:r>
      <w:r w:rsidRPr="00E93540">
        <w:rPr>
          <w:rFonts w:eastAsia="Calibri"/>
          <w:sz w:val="24"/>
          <w:szCs w:val="24"/>
        </w:rPr>
        <w:t>Aplicação de Recursos públicos no ensino Fundamental: Será que o custo interfere na qualidade?</w:t>
      </w:r>
      <w:r w:rsidR="00C56A76" w:rsidRPr="00E93540">
        <w:rPr>
          <w:rFonts w:eastAsia="Calibri"/>
          <w:sz w:val="24"/>
          <w:szCs w:val="24"/>
        </w:rPr>
        <w:t xml:space="preserve"> Anais do</w:t>
      </w:r>
      <w:r w:rsidRPr="00E93540">
        <w:rPr>
          <w:rFonts w:eastAsia="Calibri"/>
          <w:sz w:val="24"/>
          <w:szCs w:val="24"/>
        </w:rPr>
        <w:t xml:space="preserve"> Congresso Brasileiros de Contabilidade, 20. Fortaleza</w:t>
      </w:r>
      <w:r w:rsidR="00C56A76" w:rsidRPr="00E93540">
        <w:rPr>
          <w:rFonts w:eastAsia="Calibri"/>
          <w:sz w:val="24"/>
          <w:szCs w:val="24"/>
        </w:rPr>
        <w:t>.</w:t>
      </w:r>
    </w:p>
    <w:p w:rsidR="00B624A1" w:rsidRPr="00E93540" w:rsidRDefault="00B624A1" w:rsidP="00E93540">
      <w:pPr>
        <w:spacing w:after="120"/>
        <w:rPr>
          <w:sz w:val="24"/>
          <w:szCs w:val="24"/>
        </w:rPr>
      </w:pPr>
      <w:r w:rsidRPr="00E93540">
        <w:rPr>
          <w:sz w:val="24"/>
          <w:szCs w:val="24"/>
        </w:rPr>
        <w:lastRenderedPageBreak/>
        <w:t>G1, Portal de notícias da central Globo de jornalismo</w:t>
      </w:r>
      <w:r w:rsidR="00C56A76" w:rsidRPr="00E93540">
        <w:rPr>
          <w:sz w:val="24"/>
          <w:szCs w:val="24"/>
        </w:rPr>
        <w:t>. (2017)</w:t>
      </w:r>
      <w:r w:rsidRPr="00E93540">
        <w:rPr>
          <w:sz w:val="24"/>
          <w:szCs w:val="24"/>
        </w:rPr>
        <w:t xml:space="preserve">. Câmara de Iguatemi empenha diária antes até do pedido da viagem, diz MP. Matéria veiculada em 21 de fevereiro de 2017. Disponível em: </w:t>
      </w:r>
      <w:hyperlink r:id="rId19" w:history="1">
        <w:r w:rsidRPr="00E93540">
          <w:rPr>
            <w:rStyle w:val="Hyperlink"/>
            <w:sz w:val="24"/>
            <w:szCs w:val="24"/>
          </w:rPr>
          <w:t>http://g1.globo.com/mato-grosso-do-sul/noticia/2017/02/camara-de-iguatemi-empenha-diaria-antes-ate-do-pedido-da-viagem-diz-mp.html.</w:t>
        </w:r>
      </w:hyperlink>
      <w:r w:rsidRPr="00E93540">
        <w:rPr>
          <w:sz w:val="24"/>
          <w:szCs w:val="24"/>
        </w:rPr>
        <w:t xml:space="preserve"> Acesso em: 12 ago. 2017.</w:t>
      </w:r>
    </w:p>
    <w:p w:rsidR="00B624A1" w:rsidRPr="00E93540" w:rsidRDefault="00B624A1" w:rsidP="00E93540">
      <w:pPr>
        <w:spacing w:after="120"/>
        <w:rPr>
          <w:sz w:val="24"/>
          <w:szCs w:val="24"/>
        </w:rPr>
      </w:pPr>
      <w:r w:rsidRPr="00E93540">
        <w:rPr>
          <w:sz w:val="24"/>
          <w:szCs w:val="24"/>
        </w:rPr>
        <w:t>G</w:t>
      </w:r>
      <w:r w:rsidR="00C56A76" w:rsidRPr="00E93540">
        <w:rPr>
          <w:sz w:val="24"/>
          <w:szCs w:val="24"/>
        </w:rPr>
        <w:t>azeta do Povo</w:t>
      </w:r>
      <w:r w:rsidRPr="00E93540">
        <w:rPr>
          <w:sz w:val="24"/>
          <w:szCs w:val="24"/>
        </w:rPr>
        <w:t xml:space="preserve">. </w:t>
      </w:r>
      <w:r w:rsidR="00C56A76" w:rsidRPr="00E93540">
        <w:rPr>
          <w:sz w:val="24"/>
          <w:szCs w:val="24"/>
        </w:rPr>
        <w:t xml:space="preserve">(2015). </w:t>
      </w:r>
      <w:r w:rsidRPr="00E93540">
        <w:rPr>
          <w:sz w:val="24"/>
          <w:szCs w:val="24"/>
        </w:rPr>
        <w:t xml:space="preserve">TC-PR notifica 45 prefeituras e câmaras por abuso de gastos com diárias. Matéria veiculada em 18 de agosto de 2015.Disponível em: </w:t>
      </w:r>
      <w:hyperlink r:id="rId20" w:history="1">
        <w:r w:rsidRPr="00E93540">
          <w:rPr>
            <w:rStyle w:val="Hyperlink"/>
            <w:sz w:val="24"/>
            <w:szCs w:val="24"/>
          </w:rPr>
          <w:t>http://www.gazetadopovo.com.br/vida-publica/tc-pr-notifica-45-prefeituras-e-camaras-por-abuso-de-gastos-com-diarias-0ti4crodmbn4mqndsuyli77ww.</w:t>
        </w:r>
      </w:hyperlink>
      <w:r w:rsidRPr="00E93540">
        <w:rPr>
          <w:sz w:val="24"/>
          <w:szCs w:val="24"/>
        </w:rPr>
        <w:t xml:space="preserve"> Acesso em: 10 ago. 2017.</w:t>
      </w:r>
    </w:p>
    <w:p w:rsidR="00E93540" w:rsidRPr="00E93540" w:rsidRDefault="00B624A1" w:rsidP="00E93540">
      <w:pPr>
        <w:spacing w:after="120"/>
        <w:rPr>
          <w:sz w:val="24"/>
          <w:szCs w:val="24"/>
        </w:rPr>
      </w:pPr>
      <w:r w:rsidRPr="00E93540">
        <w:rPr>
          <w:sz w:val="24"/>
          <w:szCs w:val="24"/>
        </w:rPr>
        <w:t xml:space="preserve">IBGE, Instituto Brasileiro de Geografia e Estatística. </w:t>
      </w:r>
      <w:r w:rsidR="00C56A76" w:rsidRPr="00E93540">
        <w:rPr>
          <w:sz w:val="24"/>
          <w:szCs w:val="24"/>
        </w:rPr>
        <w:t xml:space="preserve">(2017). </w:t>
      </w:r>
      <w:r w:rsidRPr="00E93540">
        <w:rPr>
          <w:sz w:val="24"/>
          <w:szCs w:val="24"/>
        </w:rPr>
        <w:t xml:space="preserve">Disponível em: </w:t>
      </w:r>
      <w:hyperlink r:id="rId21" w:history="1">
        <w:r w:rsidR="00E93540" w:rsidRPr="00E93540">
          <w:rPr>
            <w:rStyle w:val="Hyperlink"/>
            <w:sz w:val="24"/>
            <w:szCs w:val="24"/>
          </w:rPr>
          <w:t>http://www.ibge.gov.br/home.</w:t>
        </w:r>
      </w:hyperlink>
      <w:r w:rsidRPr="00E93540">
        <w:rPr>
          <w:sz w:val="24"/>
          <w:szCs w:val="24"/>
        </w:rPr>
        <w:t xml:space="preserve"> Acesso em: 20 maio 2017.</w:t>
      </w:r>
      <w:r w:rsidRPr="00E93540">
        <w:rPr>
          <w:sz w:val="24"/>
          <w:szCs w:val="24"/>
        </w:rPr>
        <w:tab/>
      </w:r>
    </w:p>
    <w:p w:rsidR="00B624A1" w:rsidRPr="00E93540" w:rsidRDefault="00B624A1" w:rsidP="00E93540">
      <w:pPr>
        <w:spacing w:after="120"/>
        <w:rPr>
          <w:sz w:val="24"/>
          <w:szCs w:val="24"/>
        </w:rPr>
      </w:pPr>
      <w:r w:rsidRPr="00E93540">
        <w:rPr>
          <w:sz w:val="24"/>
          <w:szCs w:val="24"/>
        </w:rPr>
        <w:t>K</w:t>
      </w:r>
      <w:r w:rsidR="00C56A76" w:rsidRPr="00E93540">
        <w:rPr>
          <w:sz w:val="24"/>
          <w:szCs w:val="24"/>
        </w:rPr>
        <w:t>ohama</w:t>
      </w:r>
      <w:r w:rsidRPr="00E93540">
        <w:rPr>
          <w:sz w:val="24"/>
          <w:szCs w:val="24"/>
        </w:rPr>
        <w:t xml:space="preserve">, H. </w:t>
      </w:r>
      <w:r w:rsidR="00C56A76" w:rsidRPr="00E93540">
        <w:rPr>
          <w:sz w:val="24"/>
          <w:szCs w:val="24"/>
        </w:rPr>
        <w:t xml:space="preserve">(2008). </w:t>
      </w:r>
      <w:r w:rsidRPr="00E93540">
        <w:rPr>
          <w:sz w:val="24"/>
          <w:szCs w:val="24"/>
        </w:rPr>
        <w:t>Contabilidade pública: Teoria e prática</w:t>
      </w:r>
      <w:r w:rsidR="00C56A76" w:rsidRPr="00E93540">
        <w:rPr>
          <w:sz w:val="24"/>
          <w:szCs w:val="24"/>
        </w:rPr>
        <w:t xml:space="preserve"> (</w:t>
      </w:r>
      <w:r w:rsidRPr="00E93540">
        <w:rPr>
          <w:sz w:val="24"/>
          <w:szCs w:val="24"/>
        </w:rPr>
        <w:t>10</w:t>
      </w:r>
      <w:r w:rsidR="00C56A76" w:rsidRPr="00E93540">
        <w:rPr>
          <w:sz w:val="24"/>
          <w:szCs w:val="24"/>
        </w:rPr>
        <w:t>ª</w:t>
      </w:r>
      <w:r w:rsidRPr="00E93540">
        <w:rPr>
          <w:sz w:val="24"/>
          <w:szCs w:val="24"/>
        </w:rPr>
        <w:t xml:space="preserve"> ed</w:t>
      </w:r>
      <w:r w:rsidR="00C56A76" w:rsidRPr="00E93540">
        <w:rPr>
          <w:sz w:val="24"/>
          <w:szCs w:val="24"/>
        </w:rPr>
        <w:t>ição).</w:t>
      </w:r>
      <w:r w:rsidRPr="00E93540">
        <w:rPr>
          <w:sz w:val="24"/>
          <w:szCs w:val="24"/>
        </w:rPr>
        <w:t xml:space="preserve"> São Paulo: A</w:t>
      </w:r>
      <w:r w:rsidR="00C56A76" w:rsidRPr="00E93540">
        <w:rPr>
          <w:sz w:val="24"/>
          <w:szCs w:val="24"/>
        </w:rPr>
        <w:t>tlas</w:t>
      </w:r>
      <w:r w:rsidRPr="00E93540">
        <w:rPr>
          <w:sz w:val="24"/>
          <w:szCs w:val="24"/>
        </w:rPr>
        <w:t>.</w:t>
      </w:r>
    </w:p>
    <w:p w:rsidR="00B624A1" w:rsidRPr="00E93540" w:rsidRDefault="00B624A1" w:rsidP="00E93540">
      <w:pPr>
        <w:spacing w:after="120"/>
        <w:rPr>
          <w:sz w:val="24"/>
          <w:szCs w:val="24"/>
        </w:rPr>
      </w:pPr>
      <w:r w:rsidRPr="00E93540">
        <w:rPr>
          <w:sz w:val="24"/>
          <w:szCs w:val="24"/>
        </w:rPr>
        <w:t>L</w:t>
      </w:r>
      <w:r w:rsidR="00C56A76" w:rsidRPr="00E93540">
        <w:rPr>
          <w:sz w:val="24"/>
          <w:szCs w:val="24"/>
        </w:rPr>
        <w:t>ima</w:t>
      </w:r>
      <w:r w:rsidRPr="00E93540">
        <w:rPr>
          <w:sz w:val="24"/>
          <w:szCs w:val="24"/>
        </w:rPr>
        <w:t xml:space="preserve">, D. V. D; </w:t>
      </w:r>
      <w:r w:rsidR="00C56A76" w:rsidRPr="00E93540">
        <w:rPr>
          <w:sz w:val="24"/>
          <w:szCs w:val="24"/>
        </w:rPr>
        <w:t>&amp; Castro</w:t>
      </w:r>
      <w:r w:rsidRPr="00E93540">
        <w:rPr>
          <w:sz w:val="24"/>
          <w:szCs w:val="24"/>
        </w:rPr>
        <w:t>, R. G. D. Contabilidade pública: Integrando união, estados e municípios (SIAFI e SIAFEM)</w:t>
      </w:r>
      <w:r w:rsidR="00C56A76" w:rsidRPr="00E93540">
        <w:rPr>
          <w:sz w:val="24"/>
          <w:szCs w:val="24"/>
        </w:rPr>
        <w:t xml:space="preserve"> (3ª edição)</w:t>
      </w:r>
      <w:r w:rsidRPr="00E93540">
        <w:rPr>
          <w:sz w:val="24"/>
          <w:szCs w:val="24"/>
        </w:rPr>
        <w:t>. São Paulo: A</w:t>
      </w:r>
      <w:r w:rsidR="00C56A76" w:rsidRPr="00E93540">
        <w:rPr>
          <w:sz w:val="24"/>
          <w:szCs w:val="24"/>
        </w:rPr>
        <w:t>tlas</w:t>
      </w:r>
      <w:r w:rsidRPr="00E93540">
        <w:rPr>
          <w:sz w:val="24"/>
          <w:szCs w:val="24"/>
        </w:rPr>
        <w:t>.</w:t>
      </w:r>
    </w:p>
    <w:p w:rsidR="00B624A1" w:rsidRPr="00E93540" w:rsidRDefault="00B624A1" w:rsidP="00E93540">
      <w:pPr>
        <w:spacing w:after="120"/>
        <w:rPr>
          <w:sz w:val="24"/>
          <w:szCs w:val="24"/>
        </w:rPr>
      </w:pPr>
      <w:r w:rsidRPr="00E93540">
        <w:rPr>
          <w:sz w:val="24"/>
          <w:szCs w:val="24"/>
        </w:rPr>
        <w:t>MPSC, Ministério Público de Santa Catarina.</w:t>
      </w:r>
      <w:r w:rsidR="00C56A76" w:rsidRPr="00E93540">
        <w:rPr>
          <w:sz w:val="24"/>
          <w:szCs w:val="24"/>
        </w:rPr>
        <w:t xml:space="preserve"> (2016).</w:t>
      </w:r>
      <w:r w:rsidRPr="00E93540">
        <w:rPr>
          <w:sz w:val="24"/>
          <w:szCs w:val="24"/>
        </w:rPr>
        <w:t xml:space="preserve"> Diárias irregulares em municípios catarinenses são investigadas pelo MPSC. Matéria veiculada em 29 de julho de 2016. Disponível em: </w:t>
      </w:r>
      <w:hyperlink r:id="rId22" w:history="1">
        <w:r w:rsidRPr="00E93540">
          <w:rPr>
            <w:rStyle w:val="Hyperlink"/>
            <w:sz w:val="24"/>
            <w:szCs w:val="24"/>
          </w:rPr>
          <w:t>https://www.mpsc.mp.br/noticias/diarias-irregulares-em-municipios-catarinenses-sao-investigadas-pelo-mpsc</w:t>
        </w:r>
      </w:hyperlink>
      <w:r w:rsidRPr="00E93540">
        <w:rPr>
          <w:sz w:val="24"/>
          <w:szCs w:val="24"/>
        </w:rPr>
        <w:t xml:space="preserve"> . Acesso em: 11 ago. 2017.</w:t>
      </w:r>
    </w:p>
    <w:p w:rsidR="00B624A1" w:rsidRPr="00E93540" w:rsidRDefault="00B624A1" w:rsidP="00E93540">
      <w:pPr>
        <w:spacing w:after="120"/>
        <w:rPr>
          <w:sz w:val="24"/>
          <w:szCs w:val="24"/>
        </w:rPr>
      </w:pPr>
      <w:r w:rsidRPr="00E93540">
        <w:rPr>
          <w:sz w:val="24"/>
          <w:szCs w:val="24"/>
        </w:rPr>
        <w:t>P</w:t>
      </w:r>
      <w:r w:rsidR="00B46405" w:rsidRPr="00E93540">
        <w:rPr>
          <w:sz w:val="24"/>
          <w:szCs w:val="24"/>
        </w:rPr>
        <w:t>latt</w:t>
      </w:r>
      <w:r w:rsidRPr="00E93540">
        <w:rPr>
          <w:sz w:val="24"/>
          <w:szCs w:val="24"/>
        </w:rPr>
        <w:t>, O. A.</w:t>
      </w:r>
      <w:r w:rsidR="00B46405" w:rsidRPr="00E93540">
        <w:rPr>
          <w:sz w:val="24"/>
          <w:szCs w:val="24"/>
        </w:rPr>
        <w:t xml:space="preserve"> N.</w:t>
      </w:r>
      <w:r w:rsidRPr="00E93540">
        <w:rPr>
          <w:sz w:val="24"/>
          <w:szCs w:val="24"/>
        </w:rPr>
        <w:t>; C</w:t>
      </w:r>
      <w:r w:rsidR="00B46405" w:rsidRPr="00E93540">
        <w:rPr>
          <w:sz w:val="24"/>
          <w:szCs w:val="24"/>
        </w:rPr>
        <w:t>ruz</w:t>
      </w:r>
      <w:r w:rsidRPr="00E93540">
        <w:rPr>
          <w:sz w:val="24"/>
          <w:szCs w:val="24"/>
        </w:rPr>
        <w:t>, F.; E</w:t>
      </w:r>
      <w:r w:rsidR="00B46405" w:rsidRPr="00E93540">
        <w:rPr>
          <w:sz w:val="24"/>
          <w:szCs w:val="24"/>
        </w:rPr>
        <w:t>nsslin</w:t>
      </w:r>
      <w:r w:rsidRPr="00E93540">
        <w:rPr>
          <w:sz w:val="24"/>
          <w:szCs w:val="24"/>
        </w:rPr>
        <w:t>, S. R.</w:t>
      </w:r>
      <w:r w:rsidR="00B46405" w:rsidRPr="00E93540">
        <w:rPr>
          <w:sz w:val="24"/>
          <w:szCs w:val="24"/>
        </w:rPr>
        <w:t>;</w:t>
      </w:r>
      <w:r w:rsidRPr="00E93540">
        <w:rPr>
          <w:sz w:val="24"/>
          <w:szCs w:val="24"/>
        </w:rPr>
        <w:t xml:space="preserve"> &amp; E</w:t>
      </w:r>
      <w:r w:rsidR="00B46405" w:rsidRPr="00E93540">
        <w:rPr>
          <w:sz w:val="24"/>
          <w:szCs w:val="24"/>
        </w:rPr>
        <w:t>nsslin</w:t>
      </w:r>
      <w:r w:rsidRPr="00E93540">
        <w:rPr>
          <w:sz w:val="24"/>
          <w:szCs w:val="24"/>
        </w:rPr>
        <w:t>, L.</w:t>
      </w:r>
      <w:r w:rsidR="00C56A76" w:rsidRPr="00E93540">
        <w:rPr>
          <w:sz w:val="24"/>
          <w:szCs w:val="24"/>
        </w:rPr>
        <w:t xml:space="preserve"> </w:t>
      </w:r>
      <w:r w:rsidRPr="00E93540">
        <w:rPr>
          <w:sz w:val="24"/>
          <w:szCs w:val="24"/>
        </w:rPr>
        <w:t>(2007).  Publicidade e transparência das contas públicas: obrigatoriedade e abrangência desses princípios na administração pública brasileira. Contabilidade Vista &amp; Revista, 18</w:t>
      </w:r>
      <w:r w:rsidR="00C56A76" w:rsidRPr="00E93540">
        <w:rPr>
          <w:sz w:val="24"/>
          <w:szCs w:val="24"/>
        </w:rPr>
        <w:t xml:space="preserve"> (1)</w:t>
      </w:r>
      <w:r w:rsidRPr="00E93540">
        <w:rPr>
          <w:sz w:val="24"/>
          <w:szCs w:val="24"/>
        </w:rPr>
        <w:t>, 75-94.</w:t>
      </w:r>
    </w:p>
    <w:p w:rsidR="00B624A1" w:rsidRPr="00E93540" w:rsidRDefault="00B624A1" w:rsidP="00E93540">
      <w:pPr>
        <w:spacing w:after="120"/>
        <w:rPr>
          <w:sz w:val="24"/>
          <w:szCs w:val="24"/>
        </w:rPr>
      </w:pPr>
      <w:r w:rsidRPr="00E93540">
        <w:rPr>
          <w:sz w:val="24"/>
          <w:szCs w:val="24"/>
        </w:rPr>
        <w:t>P</w:t>
      </w:r>
      <w:r w:rsidR="002300A6" w:rsidRPr="00E93540">
        <w:rPr>
          <w:sz w:val="24"/>
          <w:szCs w:val="24"/>
        </w:rPr>
        <w:t>rade</w:t>
      </w:r>
      <w:r w:rsidRPr="00E93540">
        <w:rPr>
          <w:sz w:val="24"/>
          <w:szCs w:val="24"/>
        </w:rPr>
        <w:t xml:space="preserve">, A. J.; </w:t>
      </w:r>
      <w:r w:rsidR="00C56A76" w:rsidRPr="00E93540">
        <w:rPr>
          <w:sz w:val="24"/>
          <w:szCs w:val="24"/>
        </w:rPr>
        <w:t xml:space="preserve">&amp; </w:t>
      </w:r>
      <w:r w:rsidRPr="00E93540">
        <w:rPr>
          <w:sz w:val="24"/>
          <w:szCs w:val="24"/>
        </w:rPr>
        <w:t>F</w:t>
      </w:r>
      <w:r w:rsidR="002300A6" w:rsidRPr="00E93540">
        <w:rPr>
          <w:sz w:val="24"/>
          <w:szCs w:val="24"/>
        </w:rPr>
        <w:t>abre</w:t>
      </w:r>
      <w:r w:rsidRPr="00E93540">
        <w:rPr>
          <w:sz w:val="24"/>
          <w:szCs w:val="24"/>
        </w:rPr>
        <w:t>, V. V.</w:t>
      </w:r>
      <w:r w:rsidR="002300A6" w:rsidRPr="00E93540">
        <w:rPr>
          <w:sz w:val="24"/>
          <w:szCs w:val="24"/>
        </w:rPr>
        <w:t xml:space="preserve"> (2018).</w:t>
      </w:r>
      <w:r w:rsidRPr="00E93540">
        <w:rPr>
          <w:sz w:val="24"/>
          <w:szCs w:val="24"/>
        </w:rPr>
        <w:t xml:space="preserve"> </w:t>
      </w:r>
      <w:r w:rsidR="002300A6" w:rsidRPr="00E93540">
        <w:rPr>
          <w:sz w:val="24"/>
          <w:szCs w:val="24"/>
        </w:rPr>
        <w:t>Poder Legislativo Municipal:</w:t>
      </w:r>
      <w:r w:rsidR="002300A6" w:rsidRPr="00E93540">
        <w:rPr>
          <w:sz w:val="24"/>
          <w:szCs w:val="24"/>
        </w:rPr>
        <w:br/>
        <w:t>análise dos gastos com pessoal nas capitais brasileiras</w:t>
      </w:r>
      <w:r w:rsidRPr="00E93540">
        <w:rPr>
          <w:sz w:val="24"/>
          <w:szCs w:val="24"/>
        </w:rPr>
        <w:t>.</w:t>
      </w:r>
      <w:r w:rsidR="002300A6" w:rsidRPr="00E93540">
        <w:rPr>
          <w:sz w:val="24"/>
          <w:szCs w:val="24"/>
        </w:rPr>
        <w:t xml:space="preserve"> Revista Brasileira de Contabilidade, 229 (47), 84-93.</w:t>
      </w:r>
    </w:p>
    <w:p w:rsidR="00B624A1" w:rsidRPr="00E93540" w:rsidRDefault="00B624A1" w:rsidP="00E93540">
      <w:pPr>
        <w:spacing w:after="120"/>
        <w:rPr>
          <w:sz w:val="24"/>
          <w:szCs w:val="24"/>
        </w:rPr>
      </w:pPr>
      <w:r w:rsidRPr="00E93540">
        <w:rPr>
          <w:sz w:val="24"/>
          <w:szCs w:val="24"/>
        </w:rPr>
        <w:t>R</w:t>
      </w:r>
      <w:r w:rsidR="00C56A76" w:rsidRPr="00E93540">
        <w:rPr>
          <w:sz w:val="24"/>
          <w:szCs w:val="24"/>
        </w:rPr>
        <w:t>aupp</w:t>
      </w:r>
      <w:r w:rsidRPr="00E93540">
        <w:rPr>
          <w:sz w:val="24"/>
          <w:szCs w:val="24"/>
        </w:rPr>
        <w:t xml:space="preserve">, F. M. </w:t>
      </w:r>
      <w:r w:rsidR="00C56A76" w:rsidRPr="00E93540">
        <w:rPr>
          <w:sz w:val="24"/>
          <w:szCs w:val="24"/>
        </w:rPr>
        <w:t xml:space="preserve">(2011). </w:t>
      </w:r>
      <w:r w:rsidRPr="00E93540">
        <w:rPr>
          <w:sz w:val="24"/>
          <w:szCs w:val="24"/>
        </w:rPr>
        <w:t>Gestão de custos no legislativo municipal como instrumento de prestação de contas: um comparativo entre o custeio por absorção e o custeio baseado em atividades. Cadernos Gestão Pública e Cidadania, 16</w:t>
      </w:r>
      <w:r w:rsidR="00C56A76" w:rsidRPr="00E93540">
        <w:rPr>
          <w:sz w:val="24"/>
          <w:szCs w:val="24"/>
        </w:rPr>
        <w:t xml:space="preserve"> (59)</w:t>
      </w:r>
      <w:r w:rsidRPr="00E93540">
        <w:rPr>
          <w:sz w:val="24"/>
          <w:szCs w:val="24"/>
        </w:rPr>
        <w:t>, São Paulo</w:t>
      </w:r>
      <w:r w:rsidR="00C56A76" w:rsidRPr="00E93540">
        <w:rPr>
          <w:sz w:val="24"/>
          <w:szCs w:val="24"/>
        </w:rPr>
        <w:t>.</w:t>
      </w:r>
    </w:p>
    <w:p w:rsidR="00B624A1" w:rsidRPr="00E93540" w:rsidRDefault="00B624A1" w:rsidP="00E93540">
      <w:pPr>
        <w:spacing w:after="120"/>
        <w:rPr>
          <w:sz w:val="24"/>
          <w:szCs w:val="24"/>
        </w:rPr>
      </w:pPr>
      <w:r w:rsidRPr="00E93540">
        <w:rPr>
          <w:sz w:val="24"/>
          <w:szCs w:val="24"/>
        </w:rPr>
        <w:t>R</w:t>
      </w:r>
      <w:r w:rsidR="00FC5866" w:rsidRPr="00E93540">
        <w:rPr>
          <w:sz w:val="24"/>
          <w:szCs w:val="24"/>
        </w:rPr>
        <w:t>odrigues</w:t>
      </w:r>
      <w:r w:rsidRPr="00E93540">
        <w:rPr>
          <w:sz w:val="24"/>
          <w:szCs w:val="24"/>
        </w:rPr>
        <w:t>, S.L.</w:t>
      </w:r>
      <w:r w:rsidR="00FC5866" w:rsidRPr="00E93540">
        <w:rPr>
          <w:sz w:val="24"/>
          <w:szCs w:val="24"/>
        </w:rPr>
        <w:t xml:space="preserve"> (2011).</w:t>
      </w:r>
      <w:r w:rsidRPr="00E93540">
        <w:rPr>
          <w:sz w:val="24"/>
          <w:szCs w:val="24"/>
        </w:rPr>
        <w:t xml:space="preserve"> Mídia, Informação e Transparência construindo a Cidadania Contra a Corrupção no Maranhão.</w:t>
      </w:r>
      <w:r w:rsidR="00FC5866" w:rsidRPr="00E93540">
        <w:rPr>
          <w:sz w:val="24"/>
          <w:szCs w:val="24"/>
        </w:rPr>
        <w:t xml:space="preserve"> </w:t>
      </w:r>
      <w:r w:rsidRPr="00E93540">
        <w:rPr>
          <w:sz w:val="24"/>
          <w:szCs w:val="24"/>
        </w:rPr>
        <w:t>Trabalho apresentado no Grupo de Trabalho da II Conferência Sul-Americana e VII Conferência Brasileira de Mídia Cidadã.</w:t>
      </w:r>
    </w:p>
    <w:p w:rsidR="00B624A1" w:rsidRPr="00E93540" w:rsidRDefault="00B624A1" w:rsidP="00E93540">
      <w:pPr>
        <w:spacing w:after="120"/>
        <w:rPr>
          <w:sz w:val="24"/>
          <w:szCs w:val="24"/>
        </w:rPr>
      </w:pPr>
      <w:r w:rsidRPr="00E93540">
        <w:rPr>
          <w:sz w:val="24"/>
          <w:szCs w:val="24"/>
        </w:rPr>
        <w:t>S</w:t>
      </w:r>
      <w:r w:rsidR="0033655F" w:rsidRPr="00E93540">
        <w:rPr>
          <w:sz w:val="24"/>
          <w:szCs w:val="24"/>
        </w:rPr>
        <w:t>ilva</w:t>
      </w:r>
      <w:r w:rsidRPr="00E93540">
        <w:rPr>
          <w:sz w:val="24"/>
          <w:szCs w:val="24"/>
        </w:rPr>
        <w:t xml:space="preserve">, L. M. </w:t>
      </w:r>
      <w:r w:rsidR="0033655F" w:rsidRPr="00E93540">
        <w:rPr>
          <w:sz w:val="24"/>
          <w:szCs w:val="24"/>
        </w:rPr>
        <w:t>(2011)</w:t>
      </w:r>
      <w:r w:rsidRPr="00E93540">
        <w:rPr>
          <w:sz w:val="24"/>
          <w:szCs w:val="24"/>
        </w:rPr>
        <w:t>. Contabilidade governamental: Um enfoque administrativo da nova contabilidade pública</w:t>
      </w:r>
      <w:r w:rsidR="0033655F" w:rsidRPr="00E93540">
        <w:rPr>
          <w:sz w:val="24"/>
          <w:szCs w:val="24"/>
        </w:rPr>
        <w:t xml:space="preserve"> (</w:t>
      </w:r>
      <w:r w:rsidRPr="00E93540">
        <w:rPr>
          <w:sz w:val="24"/>
          <w:szCs w:val="24"/>
        </w:rPr>
        <w:t>9</w:t>
      </w:r>
      <w:r w:rsidR="0033655F" w:rsidRPr="00E93540">
        <w:rPr>
          <w:sz w:val="24"/>
          <w:szCs w:val="24"/>
        </w:rPr>
        <w:t>ª</w:t>
      </w:r>
      <w:r w:rsidRPr="00E93540">
        <w:rPr>
          <w:sz w:val="24"/>
          <w:szCs w:val="24"/>
        </w:rPr>
        <w:t xml:space="preserve"> ed</w:t>
      </w:r>
      <w:r w:rsidR="0033655F" w:rsidRPr="00E93540">
        <w:rPr>
          <w:sz w:val="24"/>
          <w:szCs w:val="24"/>
        </w:rPr>
        <w:t>ição)</w:t>
      </w:r>
      <w:r w:rsidRPr="00E93540">
        <w:rPr>
          <w:sz w:val="24"/>
          <w:szCs w:val="24"/>
        </w:rPr>
        <w:t>. São Paulo: A</w:t>
      </w:r>
      <w:r w:rsidR="0033655F" w:rsidRPr="00E93540">
        <w:rPr>
          <w:sz w:val="24"/>
          <w:szCs w:val="24"/>
        </w:rPr>
        <w:t>tlas</w:t>
      </w:r>
      <w:r w:rsidRPr="00E93540">
        <w:rPr>
          <w:sz w:val="24"/>
          <w:szCs w:val="24"/>
        </w:rPr>
        <w:t>.</w:t>
      </w:r>
    </w:p>
    <w:p w:rsidR="00B624A1" w:rsidRPr="00E93540" w:rsidRDefault="00B624A1" w:rsidP="00E93540">
      <w:pPr>
        <w:spacing w:after="120"/>
        <w:rPr>
          <w:sz w:val="24"/>
          <w:szCs w:val="24"/>
        </w:rPr>
      </w:pPr>
      <w:r w:rsidRPr="00E93540">
        <w:rPr>
          <w:sz w:val="24"/>
          <w:szCs w:val="24"/>
        </w:rPr>
        <w:t>S</w:t>
      </w:r>
      <w:r w:rsidR="0033655F" w:rsidRPr="00E93540">
        <w:rPr>
          <w:sz w:val="24"/>
          <w:szCs w:val="24"/>
        </w:rPr>
        <w:t>ilva</w:t>
      </w:r>
      <w:r w:rsidRPr="00E93540">
        <w:rPr>
          <w:sz w:val="24"/>
          <w:szCs w:val="24"/>
        </w:rPr>
        <w:t xml:space="preserve">, L. M. </w:t>
      </w:r>
      <w:r w:rsidR="0033655F" w:rsidRPr="00E93540">
        <w:rPr>
          <w:sz w:val="24"/>
          <w:szCs w:val="24"/>
        </w:rPr>
        <w:t xml:space="preserve">(2008). </w:t>
      </w:r>
      <w:r w:rsidRPr="00E93540">
        <w:rPr>
          <w:sz w:val="24"/>
          <w:szCs w:val="24"/>
        </w:rPr>
        <w:t xml:space="preserve">Contabilidade governamental: um enfoque administrativo. São Paulo: Atlas. </w:t>
      </w:r>
    </w:p>
    <w:p w:rsidR="00B624A1" w:rsidRPr="00E93540" w:rsidRDefault="00B624A1" w:rsidP="00E93540">
      <w:pPr>
        <w:spacing w:after="120"/>
        <w:rPr>
          <w:sz w:val="24"/>
          <w:szCs w:val="24"/>
        </w:rPr>
      </w:pPr>
      <w:r w:rsidRPr="00E93540">
        <w:rPr>
          <w:sz w:val="24"/>
          <w:szCs w:val="24"/>
        </w:rPr>
        <w:t>S</w:t>
      </w:r>
      <w:r w:rsidR="0033655F" w:rsidRPr="00E93540">
        <w:rPr>
          <w:sz w:val="24"/>
          <w:szCs w:val="24"/>
        </w:rPr>
        <w:t>lomsky</w:t>
      </w:r>
      <w:r w:rsidRPr="00E93540">
        <w:rPr>
          <w:sz w:val="24"/>
          <w:szCs w:val="24"/>
        </w:rPr>
        <w:t xml:space="preserve">, V. </w:t>
      </w:r>
      <w:r w:rsidR="0033655F" w:rsidRPr="00E93540">
        <w:rPr>
          <w:sz w:val="24"/>
          <w:szCs w:val="24"/>
        </w:rPr>
        <w:t xml:space="preserve">(2009). </w:t>
      </w:r>
      <w:r w:rsidRPr="00E93540">
        <w:rPr>
          <w:sz w:val="24"/>
          <w:szCs w:val="24"/>
        </w:rPr>
        <w:t>Manual de Contabilidade Pública: um enfoque na contabilidade municipal, de acordo com a lei de responsabilidade fiscal</w:t>
      </w:r>
      <w:r w:rsidR="0033655F" w:rsidRPr="00E93540">
        <w:rPr>
          <w:sz w:val="24"/>
          <w:szCs w:val="24"/>
        </w:rPr>
        <w:t xml:space="preserve"> (</w:t>
      </w:r>
      <w:r w:rsidRPr="00E93540">
        <w:rPr>
          <w:sz w:val="24"/>
          <w:szCs w:val="24"/>
        </w:rPr>
        <w:t>2</w:t>
      </w:r>
      <w:r w:rsidR="0033655F" w:rsidRPr="00E93540">
        <w:rPr>
          <w:sz w:val="24"/>
          <w:szCs w:val="24"/>
        </w:rPr>
        <w:t>ª edição)</w:t>
      </w:r>
      <w:r w:rsidRPr="00E93540">
        <w:rPr>
          <w:sz w:val="24"/>
          <w:szCs w:val="24"/>
        </w:rPr>
        <w:t>. São Paulo: Atlas.</w:t>
      </w:r>
    </w:p>
    <w:p w:rsidR="00B624A1" w:rsidRPr="00E93540" w:rsidRDefault="00B624A1" w:rsidP="00E93540">
      <w:pPr>
        <w:spacing w:after="120"/>
        <w:rPr>
          <w:sz w:val="24"/>
          <w:szCs w:val="24"/>
        </w:rPr>
      </w:pPr>
      <w:r w:rsidRPr="00E93540">
        <w:rPr>
          <w:sz w:val="24"/>
          <w:szCs w:val="24"/>
        </w:rPr>
        <w:t xml:space="preserve">STN, Secretaria do Tesouro Nacional. </w:t>
      </w:r>
      <w:r w:rsidR="0033655F" w:rsidRPr="00E93540">
        <w:rPr>
          <w:sz w:val="24"/>
          <w:szCs w:val="24"/>
        </w:rPr>
        <w:t xml:space="preserve">(2016). </w:t>
      </w:r>
      <w:r w:rsidRPr="00E93540">
        <w:rPr>
          <w:sz w:val="24"/>
          <w:szCs w:val="24"/>
        </w:rPr>
        <w:t>Manual de Contabilidade Aplicado ao Setor Público - Exercício 2017.</w:t>
      </w:r>
      <w:r w:rsidR="0033655F" w:rsidRPr="00E93540">
        <w:rPr>
          <w:sz w:val="24"/>
          <w:szCs w:val="24"/>
        </w:rPr>
        <w:t xml:space="preserve"> </w:t>
      </w:r>
      <w:r w:rsidRPr="00E93540">
        <w:rPr>
          <w:sz w:val="24"/>
          <w:szCs w:val="24"/>
        </w:rPr>
        <w:t>1</w:t>
      </w:r>
      <w:r w:rsidR="0033655F" w:rsidRPr="00E93540">
        <w:rPr>
          <w:sz w:val="24"/>
          <w:szCs w:val="24"/>
        </w:rPr>
        <w:t>(7)</w:t>
      </w:r>
      <w:r w:rsidRPr="00E93540">
        <w:rPr>
          <w:sz w:val="24"/>
          <w:szCs w:val="24"/>
        </w:rPr>
        <w:t>, 416 p. Brasília:</w:t>
      </w:r>
      <w:r w:rsidR="0033655F" w:rsidRPr="00E93540">
        <w:rPr>
          <w:sz w:val="24"/>
          <w:szCs w:val="24"/>
        </w:rPr>
        <w:t xml:space="preserve"> </w:t>
      </w:r>
      <w:r w:rsidRPr="00E93540">
        <w:rPr>
          <w:sz w:val="24"/>
          <w:szCs w:val="24"/>
        </w:rPr>
        <w:t xml:space="preserve">MF. Disponível em: </w:t>
      </w:r>
      <w:hyperlink r:id="rId23" w:history="1">
        <w:r w:rsidRPr="00E93540">
          <w:rPr>
            <w:rStyle w:val="Hyperlink"/>
            <w:sz w:val="24"/>
            <w:szCs w:val="24"/>
          </w:rPr>
          <w:t>http://www.tesouro.fazenda.gov.br/documents/10180/456785/CPU_MCASP+6%C2%AA%20edi%C3%A7%C3%A3o_Republ2/fa1ee713-2fd3-4f51-8182-a542ce123773</w:t>
        </w:r>
      </w:hyperlink>
      <w:r w:rsidRPr="00E93540">
        <w:rPr>
          <w:sz w:val="24"/>
          <w:szCs w:val="24"/>
        </w:rPr>
        <w:t>.  Acesso em: 02 out. 2016.</w:t>
      </w:r>
    </w:p>
    <w:p w:rsidR="00B624A1" w:rsidRPr="00E93540" w:rsidRDefault="00B624A1" w:rsidP="00E93540">
      <w:pPr>
        <w:spacing w:after="120"/>
        <w:rPr>
          <w:sz w:val="24"/>
          <w:szCs w:val="24"/>
        </w:rPr>
      </w:pPr>
      <w:r w:rsidRPr="00E93540">
        <w:rPr>
          <w:sz w:val="24"/>
          <w:szCs w:val="24"/>
        </w:rPr>
        <w:lastRenderedPageBreak/>
        <w:t xml:space="preserve">TCE-SC, Tribunal de Contas do Estado de Santa Catarina. </w:t>
      </w:r>
      <w:r w:rsidR="0033655F" w:rsidRPr="00E93540">
        <w:rPr>
          <w:sz w:val="24"/>
          <w:szCs w:val="24"/>
        </w:rPr>
        <w:t xml:space="preserve">(2012). </w:t>
      </w:r>
      <w:r w:rsidRPr="00E93540">
        <w:rPr>
          <w:sz w:val="24"/>
          <w:szCs w:val="24"/>
        </w:rPr>
        <w:t xml:space="preserve">Instrução normativa 14, de 13 de junho de 2012. Disponível em: </w:t>
      </w:r>
      <w:hyperlink r:id="rId24" w:history="1">
        <w:r w:rsidRPr="00E93540">
          <w:rPr>
            <w:rStyle w:val="Hyperlink"/>
            <w:sz w:val="24"/>
            <w:szCs w:val="24"/>
          </w:rPr>
          <w:t>http://www.tce.sc.gov.br/site/legislacao/arquivos/instrucao_normativa_n_14-2012_consolidada.pdf%20</w:t>
        </w:r>
      </w:hyperlink>
      <w:r w:rsidRPr="00E93540">
        <w:rPr>
          <w:sz w:val="24"/>
          <w:szCs w:val="24"/>
        </w:rPr>
        <w:t xml:space="preserve"> . Acesso em: 13 ago. 2017.</w:t>
      </w:r>
    </w:p>
    <w:p w:rsidR="00B624A1" w:rsidRPr="00E93540" w:rsidRDefault="00B624A1" w:rsidP="00E93540">
      <w:pPr>
        <w:spacing w:after="120"/>
        <w:jc w:val="both"/>
        <w:rPr>
          <w:sz w:val="24"/>
          <w:szCs w:val="24"/>
        </w:rPr>
      </w:pPr>
    </w:p>
    <w:sectPr w:rsidR="00B624A1" w:rsidRPr="00E93540" w:rsidSect="00C04F45">
      <w:headerReference w:type="default" r:id="rId25"/>
      <w:footerReference w:type="default" r:id="rId26"/>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B7F" w:rsidRDefault="00B97B7F" w:rsidP="008A5824">
      <w:r>
        <w:separator/>
      </w:r>
    </w:p>
  </w:endnote>
  <w:endnote w:type="continuationSeparator" w:id="0">
    <w:p w:rsidR="00B97B7F" w:rsidRDefault="00B97B7F"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rsidR="003746AA" w:rsidRDefault="003746AA">
        <w:pPr>
          <w:pStyle w:val="Rodap"/>
          <w:jc w:val="right"/>
          <w:rPr>
            <w:rFonts w:ascii="Times New Roman" w:hAnsi="Times New Roman" w:cs="Times New Roman"/>
          </w:rPr>
        </w:pPr>
      </w:p>
      <w:p w:rsidR="003746AA" w:rsidRPr="00C04F45" w:rsidRDefault="003746AA">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rsidR="003746AA" w:rsidRDefault="003746AA">
    <w:pPr>
      <w:pStyle w:val="Rodap"/>
      <w:rPr>
        <w:rFonts w:ascii="Times New Roman" w:hAnsi="Times New Roman" w:cs="Times New Roman"/>
      </w:rPr>
    </w:pPr>
  </w:p>
  <w:p w:rsidR="003746AA" w:rsidRPr="00C04F45" w:rsidRDefault="003746AA"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B7F" w:rsidRDefault="00B97B7F" w:rsidP="008A5824">
      <w:r>
        <w:separator/>
      </w:r>
    </w:p>
  </w:footnote>
  <w:footnote w:type="continuationSeparator" w:id="0">
    <w:p w:rsidR="00B97B7F" w:rsidRDefault="00B97B7F"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6AA" w:rsidRPr="00E361F4" w:rsidRDefault="003746AA"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15"/>
    <w:lvl w:ilvl="0">
      <w:start w:val="1"/>
      <w:numFmt w:val="lowerLetter"/>
      <w:lvlText w:val="%1)"/>
      <w:lvlJc w:val="left"/>
      <w:pPr>
        <w:tabs>
          <w:tab w:val="num" w:pos="-76"/>
        </w:tabs>
        <w:ind w:left="644" w:hanging="360"/>
      </w:pPr>
      <w:rPr>
        <w:rFonts w:ascii="Times New Roman" w:eastAsia="Times New Roman" w:hAnsi="Times New Roman" w:cs="Times New Roman"/>
      </w:rPr>
    </w:lvl>
  </w:abstractNum>
  <w:abstractNum w:abstractNumId="1" w15:restartNumberingAfterBreak="0">
    <w:nsid w:val="14D5566F"/>
    <w:multiLevelType w:val="hybridMultilevel"/>
    <w:tmpl w:val="8926D8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E25234"/>
    <w:multiLevelType w:val="hybridMultilevel"/>
    <w:tmpl w:val="EB800D88"/>
    <w:lvl w:ilvl="0" w:tplc="67242822">
      <w:start w:val="5"/>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BC484C"/>
    <w:multiLevelType w:val="multilevel"/>
    <w:tmpl w:val="9D8ED81C"/>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2CAD2708"/>
    <w:multiLevelType w:val="hybridMultilevel"/>
    <w:tmpl w:val="0B88C5CC"/>
    <w:lvl w:ilvl="0" w:tplc="2484563E">
      <w:start w:val="1"/>
      <w:numFmt w:val="decimal"/>
      <w:lvlText w:val="%1"/>
      <w:lvlJc w:val="left"/>
      <w:pPr>
        <w:ind w:left="720" w:hanging="360"/>
      </w:pPr>
      <w:rPr>
        <w:rFonts w:hint="default"/>
      </w:rPr>
    </w:lvl>
    <w:lvl w:ilvl="1" w:tplc="20B0563C" w:tentative="1">
      <w:start w:val="1"/>
      <w:numFmt w:val="lowerLetter"/>
      <w:lvlText w:val="%2."/>
      <w:lvlJc w:val="left"/>
      <w:pPr>
        <w:ind w:left="1440" w:hanging="360"/>
      </w:pPr>
    </w:lvl>
    <w:lvl w:ilvl="2" w:tplc="D72EBCA6" w:tentative="1">
      <w:start w:val="1"/>
      <w:numFmt w:val="lowerRoman"/>
      <w:lvlText w:val="%3."/>
      <w:lvlJc w:val="right"/>
      <w:pPr>
        <w:ind w:left="2160" w:hanging="180"/>
      </w:pPr>
    </w:lvl>
    <w:lvl w:ilvl="3" w:tplc="E1147D40" w:tentative="1">
      <w:start w:val="1"/>
      <w:numFmt w:val="decimal"/>
      <w:lvlText w:val="%4."/>
      <w:lvlJc w:val="left"/>
      <w:pPr>
        <w:ind w:left="2880" w:hanging="360"/>
      </w:pPr>
    </w:lvl>
    <w:lvl w:ilvl="4" w:tplc="6C183200" w:tentative="1">
      <w:start w:val="1"/>
      <w:numFmt w:val="lowerLetter"/>
      <w:lvlText w:val="%5."/>
      <w:lvlJc w:val="left"/>
      <w:pPr>
        <w:ind w:left="3600" w:hanging="360"/>
      </w:pPr>
    </w:lvl>
    <w:lvl w:ilvl="5" w:tplc="8EDE75F4" w:tentative="1">
      <w:start w:val="1"/>
      <w:numFmt w:val="lowerRoman"/>
      <w:lvlText w:val="%6."/>
      <w:lvlJc w:val="right"/>
      <w:pPr>
        <w:ind w:left="4320" w:hanging="180"/>
      </w:pPr>
    </w:lvl>
    <w:lvl w:ilvl="6" w:tplc="A9CC8C3C" w:tentative="1">
      <w:start w:val="1"/>
      <w:numFmt w:val="decimal"/>
      <w:lvlText w:val="%7."/>
      <w:lvlJc w:val="left"/>
      <w:pPr>
        <w:ind w:left="5040" w:hanging="360"/>
      </w:pPr>
    </w:lvl>
    <w:lvl w:ilvl="7" w:tplc="5D3AE730" w:tentative="1">
      <w:start w:val="1"/>
      <w:numFmt w:val="lowerLetter"/>
      <w:lvlText w:val="%8."/>
      <w:lvlJc w:val="left"/>
      <w:pPr>
        <w:ind w:left="5760" w:hanging="360"/>
      </w:pPr>
    </w:lvl>
    <w:lvl w:ilvl="8" w:tplc="D6C25778" w:tentative="1">
      <w:start w:val="1"/>
      <w:numFmt w:val="lowerRoman"/>
      <w:lvlText w:val="%9."/>
      <w:lvlJc w:val="right"/>
      <w:pPr>
        <w:ind w:left="6480" w:hanging="180"/>
      </w:pPr>
    </w:lvl>
  </w:abstractNum>
  <w:abstractNum w:abstractNumId="7" w15:restartNumberingAfterBreak="0">
    <w:nsid w:val="2F076D53"/>
    <w:multiLevelType w:val="multilevel"/>
    <w:tmpl w:val="958A3EE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1A4CFA"/>
    <w:multiLevelType w:val="hybridMultilevel"/>
    <w:tmpl w:val="B1C68BF2"/>
    <w:lvl w:ilvl="0" w:tplc="A3CAFDEA">
      <w:start w:val="5"/>
      <w:numFmt w:val="bullet"/>
      <w:lvlText w:val=""/>
      <w:lvlJc w:val="left"/>
      <w:pPr>
        <w:ind w:left="1080" w:hanging="360"/>
      </w:pPr>
      <w:rPr>
        <w:rFonts w:ascii="Symbol" w:eastAsiaTheme="minorHAnsi"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AEC2C65"/>
    <w:multiLevelType w:val="hybridMultilevel"/>
    <w:tmpl w:val="C3D455D0"/>
    <w:lvl w:ilvl="0" w:tplc="A3F2EFD6">
      <w:start w:val="1"/>
      <w:numFmt w:val="decimal"/>
      <w:lvlText w:val="%1."/>
      <w:lvlJc w:val="left"/>
      <w:pPr>
        <w:ind w:left="720" w:hanging="360"/>
      </w:pPr>
    </w:lvl>
    <w:lvl w:ilvl="1" w:tplc="93DC015C" w:tentative="1">
      <w:start w:val="1"/>
      <w:numFmt w:val="lowerLetter"/>
      <w:lvlText w:val="%2."/>
      <w:lvlJc w:val="left"/>
      <w:pPr>
        <w:ind w:left="1440" w:hanging="360"/>
      </w:pPr>
    </w:lvl>
    <w:lvl w:ilvl="2" w:tplc="79EE019E" w:tentative="1">
      <w:start w:val="1"/>
      <w:numFmt w:val="lowerRoman"/>
      <w:lvlText w:val="%3."/>
      <w:lvlJc w:val="right"/>
      <w:pPr>
        <w:ind w:left="2160" w:hanging="180"/>
      </w:pPr>
    </w:lvl>
    <w:lvl w:ilvl="3" w:tplc="6E90E586" w:tentative="1">
      <w:start w:val="1"/>
      <w:numFmt w:val="decimal"/>
      <w:lvlText w:val="%4."/>
      <w:lvlJc w:val="left"/>
      <w:pPr>
        <w:ind w:left="2880" w:hanging="360"/>
      </w:pPr>
    </w:lvl>
    <w:lvl w:ilvl="4" w:tplc="F36C14F0" w:tentative="1">
      <w:start w:val="1"/>
      <w:numFmt w:val="lowerLetter"/>
      <w:lvlText w:val="%5."/>
      <w:lvlJc w:val="left"/>
      <w:pPr>
        <w:ind w:left="3600" w:hanging="360"/>
      </w:pPr>
    </w:lvl>
    <w:lvl w:ilvl="5" w:tplc="83E438A0" w:tentative="1">
      <w:start w:val="1"/>
      <w:numFmt w:val="lowerRoman"/>
      <w:lvlText w:val="%6."/>
      <w:lvlJc w:val="right"/>
      <w:pPr>
        <w:ind w:left="4320" w:hanging="180"/>
      </w:pPr>
    </w:lvl>
    <w:lvl w:ilvl="6" w:tplc="D9BECBFE" w:tentative="1">
      <w:start w:val="1"/>
      <w:numFmt w:val="decimal"/>
      <w:lvlText w:val="%7."/>
      <w:lvlJc w:val="left"/>
      <w:pPr>
        <w:ind w:left="5040" w:hanging="360"/>
      </w:pPr>
    </w:lvl>
    <w:lvl w:ilvl="7" w:tplc="624697B8" w:tentative="1">
      <w:start w:val="1"/>
      <w:numFmt w:val="lowerLetter"/>
      <w:lvlText w:val="%8."/>
      <w:lvlJc w:val="left"/>
      <w:pPr>
        <w:ind w:left="5760" w:hanging="360"/>
      </w:pPr>
    </w:lvl>
    <w:lvl w:ilvl="8" w:tplc="FAE82AC0" w:tentative="1">
      <w:start w:val="1"/>
      <w:numFmt w:val="lowerRoman"/>
      <w:lvlText w:val="%9."/>
      <w:lvlJc w:val="right"/>
      <w:pPr>
        <w:ind w:left="6480" w:hanging="180"/>
      </w:pPr>
    </w:lvl>
  </w:abstractNum>
  <w:abstractNum w:abstractNumId="10" w15:restartNumberingAfterBreak="0">
    <w:nsid w:val="3B2251D3"/>
    <w:multiLevelType w:val="hybridMultilevel"/>
    <w:tmpl w:val="31DE72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1C1A1D"/>
    <w:multiLevelType w:val="singleLevel"/>
    <w:tmpl w:val="00000003"/>
    <w:lvl w:ilvl="0">
      <w:start w:val="1"/>
      <w:numFmt w:val="lowerLetter"/>
      <w:lvlText w:val="%1)"/>
      <w:lvlJc w:val="left"/>
      <w:pPr>
        <w:tabs>
          <w:tab w:val="num" w:pos="0"/>
        </w:tabs>
        <w:ind w:left="720" w:hanging="360"/>
      </w:pPr>
      <w:rPr>
        <w:rFonts w:ascii="Times New Roman" w:eastAsia="Times New Roman" w:hAnsi="Times New Roman" w:cs="Times New Roman"/>
      </w:rPr>
    </w:lvl>
  </w:abstractNum>
  <w:abstractNum w:abstractNumId="12" w15:restartNumberingAfterBreak="0">
    <w:nsid w:val="503F5858"/>
    <w:multiLevelType w:val="hybridMultilevel"/>
    <w:tmpl w:val="F1A4B8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CD1268"/>
    <w:multiLevelType w:val="multilevel"/>
    <w:tmpl w:val="C17C37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7801DD"/>
    <w:multiLevelType w:val="multilevel"/>
    <w:tmpl w:val="5C547392"/>
    <w:lvl w:ilvl="0">
      <w:start w:val="1"/>
      <w:numFmt w:val="decimal"/>
      <w:lvlText w:val="%1"/>
      <w:lvlJc w:val="left"/>
      <w:pPr>
        <w:ind w:left="480" w:hanging="480"/>
      </w:pPr>
      <w:rPr>
        <w:rFonts w:hint="default"/>
      </w:rPr>
    </w:lvl>
    <w:lvl w:ilvl="1">
      <w:start w:val="2"/>
      <w:numFmt w:val="decimal"/>
      <w:lvlText w:val="%1.%2"/>
      <w:lvlJc w:val="left"/>
      <w:pPr>
        <w:ind w:left="832" w:hanging="48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16"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8200C"/>
    <w:multiLevelType w:val="multilevel"/>
    <w:tmpl w:val="6144D4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4"/>
  </w:num>
  <w:num w:numId="3">
    <w:abstractNumId w:val="16"/>
  </w:num>
  <w:num w:numId="4">
    <w:abstractNumId w:val="3"/>
  </w:num>
  <w:num w:numId="5">
    <w:abstractNumId w:val="6"/>
  </w:num>
  <w:num w:numId="6">
    <w:abstractNumId w:val="5"/>
  </w:num>
  <w:num w:numId="7">
    <w:abstractNumId w:val="15"/>
  </w:num>
  <w:num w:numId="8">
    <w:abstractNumId w:val="9"/>
  </w:num>
  <w:num w:numId="9">
    <w:abstractNumId w:val="0"/>
  </w:num>
  <w:num w:numId="10">
    <w:abstractNumId w:val="10"/>
  </w:num>
  <w:num w:numId="11">
    <w:abstractNumId w:val="11"/>
  </w:num>
  <w:num w:numId="12">
    <w:abstractNumId w:val="1"/>
  </w:num>
  <w:num w:numId="13">
    <w:abstractNumId w:val="12"/>
  </w:num>
  <w:num w:numId="14">
    <w:abstractNumId w:val="0"/>
    <w:lvlOverride w:ilvl="0">
      <w:startOverride w:val="1"/>
    </w:lvlOverride>
  </w:num>
  <w:num w:numId="15">
    <w:abstractNumId w:val="2"/>
  </w:num>
  <w:num w:numId="16">
    <w:abstractNumId w:val="8"/>
  </w:num>
  <w:num w:numId="17">
    <w:abstractNumId w:val="17"/>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67126"/>
    <w:rsid w:val="00074F1C"/>
    <w:rsid w:val="000C3156"/>
    <w:rsid w:val="000F72C9"/>
    <w:rsid w:val="0016220D"/>
    <w:rsid w:val="00194BA9"/>
    <w:rsid w:val="001A4423"/>
    <w:rsid w:val="001A6BCF"/>
    <w:rsid w:val="001C328B"/>
    <w:rsid w:val="001F6A6D"/>
    <w:rsid w:val="002300A6"/>
    <w:rsid w:val="00280BA4"/>
    <w:rsid w:val="002B0015"/>
    <w:rsid w:val="002B2B78"/>
    <w:rsid w:val="0033655F"/>
    <w:rsid w:val="00352B13"/>
    <w:rsid w:val="003633CB"/>
    <w:rsid w:val="0036377D"/>
    <w:rsid w:val="003746AA"/>
    <w:rsid w:val="0038579D"/>
    <w:rsid w:val="004020EB"/>
    <w:rsid w:val="00473887"/>
    <w:rsid w:val="00491708"/>
    <w:rsid w:val="006064A3"/>
    <w:rsid w:val="00631DCF"/>
    <w:rsid w:val="00634341"/>
    <w:rsid w:val="00686527"/>
    <w:rsid w:val="0070623F"/>
    <w:rsid w:val="00714B02"/>
    <w:rsid w:val="0072578D"/>
    <w:rsid w:val="00782FB3"/>
    <w:rsid w:val="007B6C82"/>
    <w:rsid w:val="007E5CF0"/>
    <w:rsid w:val="00860B20"/>
    <w:rsid w:val="008A5824"/>
    <w:rsid w:val="008D4F05"/>
    <w:rsid w:val="009833D5"/>
    <w:rsid w:val="009D516F"/>
    <w:rsid w:val="00A81D68"/>
    <w:rsid w:val="00A86ECF"/>
    <w:rsid w:val="00B32719"/>
    <w:rsid w:val="00B41CAF"/>
    <w:rsid w:val="00B46405"/>
    <w:rsid w:val="00B624A1"/>
    <w:rsid w:val="00B97B7F"/>
    <w:rsid w:val="00BD0F13"/>
    <w:rsid w:val="00C04F45"/>
    <w:rsid w:val="00C30374"/>
    <w:rsid w:val="00C56A76"/>
    <w:rsid w:val="00C91A5B"/>
    <w:rsid w:val="00CA2367"/>
    <w:rsid w:val="00CA25AA"/>
    <w:rsid w:val="00CE5296"/>
    <w:rsid w:val="00CF645C"/>
    <w:rsid w:val="00D91EAD"/>
    <w:rsid w:val="00DB66BE"/>
    <w:rsid w:val="00E361F4"/>
    <w:rsid w:val="00E5698C"/>
    <w:rsid w:val="00E6136F"/>
    <w:rsid w:val="00E67E4E"/>
    <w:rsid w:val="00E91669"/>
    <w:rsid w:val="00E93540"/>
    <w:rsid w:val="00EC3662"/>
    <w:rsid w:val="00ED6901"/>
    <w:rsid w:val="00ED7A83"/>
    <w:rsid w:val="00FB6ECC"/>
    <w:rsid w:val="00FC5866"/>
    <w:rsid w:val="00FE04F4"/>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2065CFF-F14C-47E0-A9F1-9E218E31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qFormat/>
    <w:rsid w:val="00B624A1"/>
    <w:pPr>
      <w:keepNext/>
      <w:suppressAutoHyphens w:val="0"/>
      <w:spacing w:before="240" w:after="60"/>
      <w:outlineLvl w:val="0"/>
    </w:pPr>
    <w:rPr>
      <w:rFonts w:ascii="Arial" w:eastAsia="Calibri" w:hAnsi="Arial"/>
      <w:b/>
      <w:bCs/>
      <w:iCs/>
      <w:kern w:val="32"/>
      <w:sz w:val="24"/>
      <w:szCs w:val="32"/>
    </w:rPr>
  </w:style>
  <w:style w:type="paragraph" w:styleId="Ttulo2">
    <w:name w:val="heading 2"/>
    <w:basedOn w:val="Normal"/>
    <w:next w:val="Normal"/>
    <w:link w:val="Ttulo2Char"/>
    <w:autoRedefine/>
    <w:unhideWhenUsed/>
    <w:qFormat/>
    <w:rsid w:val="00B624A1"/>
    <w:pPr>
      <w:keepNext/>
      <w:keepLines/>
      <w:suppressAutoHyphens w:val="0"/>
      <w:outlineLvl w:val="1"/>
    </w:pPr>
    <w:rPr>
      <w:rFonts w:eastAsiaTheme="majorEastAsia"/>
      <w:bCs/>
      <w:sz w:val="24"/>
      <w:szCs w:val="26"/>
      <w:lang w:eastAsia="en-US"/>
    </w:rPr>
  </w:style>
  <w:style w:type="paragraph" w:styleId="Ttulo3">
    <w:name w:val="heading 3"/>
    <w:basedOn w:val="Normal"/>
    <w:next w:val="Normal"/>
    <w:link w:val="Ttulo3Char"/>
    <w:qFormat/>
    <w:rsid w:val="00B624A1"/>
    <w:pPr>
      <w:keepNext/>
      <w:keepLines/>
      <w:suppressAutoHyphens w:val="0"/>
      <w:spacing w:line="360" w:lineRule="auto"/>
      <w:jc w:val="both"/>
      <w:outlineLvl w:val="2"/>
    </w:pPr>
    <w:rPr>
      <w:rFonts w:ascii="Arial" w:eastAsiaTheme="minorHAnsi" w:hAnsi="Arial" w:cstheme="minorBidi"/>
      <w:b/>
      <w:sz w:val="24"/>
      <w:szCs w:val="22"/>
      <w:lang w:eastAsia="en-US"/>
    </w:rPr>
  </w:style>
  <w:style w:type="paragraph" w:styleId="Ttulo4">
    <w:name w:val="heading 4"/>
    <w:basedOn w:val="Ttulo"/>
    <w:next w:val="Normal"/>
    <w:link w:val="Ttulo4Char"/>
    <w:qFormat/>
    <w:rsid w:val="00B624A1"/>
    <w:pPr>
      <w:keepNext/>
      <w:pBdr>
        <w:bottom w:val="none" w:sz="0" w:space="0" w:color="auto"/>
      </w:pBdr>
      <w:spacing w:after="0" w:line="360" w:lineRule="auto"/>
      <w:ind w:firstLine="0"/>
      <w:contextualSpacing w:val="0"/>
      <w:jc w:val="left"/>
      <w:outlineLvl w:val="3"/>
    </w:pPr>
    <w:rPr>
      <w:rFonts w:ascii="Arial" w:eastAsia="Times New Roman" w:hAnsi="Arial" w:cs="Times New Roman"/>
      <w:b/>
      <w:color w:val="auto"/>
      <w:spacing w:val="0"/>
      <w:sz w:val="24"/>
      <w:szCs w:val="20"/>
    </w:rPr>
  </w:style>
  <w:style w:type="paragraph" w:styleId="Ttulo5">
    <w:name w:val="heading 5"/>
    <w:basedOn w:val="Normal"/>
    <w:next w:val="Normal"/>
    <w:link w:val="Ttulo5Char"/>
    <w:unhideWhenUsed/>
    <w:qFormat/>
    <w:rsid w:val="00B624A1"/>
    <w:pPr>
      <w:keepNext/>
      <w:keepLines/>
      <w:suppressAutoHyphens w:val="0"/>
      <w:spacing w:before="200" w:line="360" w:lineRule="auto"/>
      <w:outlineLvl w:val="4"/>
    </w:pPr>
    <w:rPr>
      <w:rFonts w:asciiTheme="majorHAnsi" w:eastAsiaTheme="majorEastAsia" w:hAnsiTheme="majorHAnsi" w:cstheme="majorBidi"/>
      <w:color w:val="1F3763" w:themeColor="accent1" w:themeShade="7F"/>
      <w:sz w:val="22"/>
      <w:szCs w:val="22"/>
      <w:lang w:eastAsia="en-US"/>
    </w:rPr>
  </w:style>
  <w:style w:type="paragraph" w:styleId="Ttulo6">
    <w:name w:val="heading 6"/>
    <w:basedOn w:val="Normal"/>
    <w:next w:val="Normal"/>
    <w:link w:val="Ttulo6Char"/>
    <w:qFormat/>
    <w:rsid w:val="00B624A1"/>
    <w:pPr>
      <w:keepLines/>
      <w:suppressAutoHyphens w:val="0"/>
      <w:spacing w:line="360" w:lineRule="auto"/>
      <w:jc w:val="both"/>
      <w:outlineLvl w:val="5"/>
    </w:pPr>
    <w:rPr>
      <w:rFonts w:ascii="Arial" w:hAnsi="Arial"/>
      <w:b/>
      <w:sz w:val="24"/>
      <w:lang w:eastAsia="en-US"/>
    </w:rPr>
  </w:style>
  <w:style w:type="paragraph" w:styleId="Ttulo7">
    <w:name w:val="heading 7"/>
    <w:basedOn w:val="Normal"/>
    <w:next w:val="Normal"/>
    <w:link w:val="Ttulo7Char"/>
    <w:qFormat/>
    <w:rsid w:val="00B624A1"/>
    <w:pPr>
      <w:keepNext/>
      <w:keepLines/>
      <w:suppressAutoHyphens w:val="0"/>
      <w:spacing w:line="360" w:lineRule="auto"/>
      <w:jc w:val="both"/>
      <w:outlineLvl w:val="6"/>
    </w:pPr>
    <w:rPr>
      <w:rFonts w:ascii="Arial" w:hAnsi="Arial"/>
      <w:b/>
      <w:sz w:val="24"/>
      <w:lang w:eastAsia="en-US"/>
    </w:rPr>
  </w:style>
  <w:style w:type="paragraph" w:styleId="Ttulo8">
    <w:name w:val="heading 8"/>
    <w:basedOn w:val="Normal"/>
    <w:next w:val="Normal"/>
    <w:link w:val="Ttulo8Char"/>
    <w:qFormat/>
    <w:rsid w:val="00B624A1"/>
    <w:pPr>
      <w:keepNext/>
      <w:keepLines/>
      <w:suppressAutoHyphens w:val="0"/>
      <w:spacing w:line="360" w:lineRule="auto"/>
      <w:ind w:firstLine="709"/>
      <w:jc w:val="both"/>
      <w:outlineLvl w:val="7"/>
    </w:pPr>
    <w:rPr>
      <w:rFonts w:ascii="Arial" w:hAnsi="Arial"/>
      <w:b/>
      <w:sz w:val="24"/>
      <w:lang w:eastAsia="en-US"/>
    </w:rPr>
  </w:style>
  <w:style w:type="paragraph" w:styleId="Ttulo9">
    <w:name w:val="heading 9"/>
    <w:basedOn w:val="Ttulo"/>
    <w:next w:val="Normal"/>
    <w:link w:val="Ttulo9Char"/>
    <w:qFormat/>
    <w:rsid w:val="00B624A1"/>
    <w:pPr>
      <w:keepNext/>
      <w:keepLines/>
      <w:pBdr>
        <w:bottom w:val="none" w:sz="0" w:space="0" w:color="auto"/>
      </w:pBdr>
      <w:spacing w:after="0" w:line="360" w:lineRule="auto"/>
      <w:contextualSpacing w:val="0"/>
      <w:jc w:val="left"/>
      <w:outlineLvl w:val="8"/>
    </w:pPr>
    <w:rPr>
      <w:rFonts w:ascii="Arial" w:eastAsia="Times New Roman" w:hAnsi="Arial" w:cs="Times New Roman"/>
      <w:b/>
      <w:color w:val="auto"/>
      <w:spacing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MenoPendente">
    <w:name w:val="Unresolved Mention"/>
    <w:basedOn w:val="Fontepargpadro"/>
    <w:uiPriority w:val="99"/>
    <w:semiHidden/>
    <w:unhideWhenUsed/>
    <w:rsid w:val="00714B02"/>
    <w:rPr>
      <w:color w:val="808080"/>
      <w:shd w:val="clear" w:color="auto" w:fill="E6E6E6"/>
    </w:rPr>
  </w:style>
  <w:style w:type="character" w:customStyle="1" w:styleId="Ttulo1Char">
    <w:name w:val="Título 1 Char"/>
    <w:basedOn w:val="Fontepargpadro"/>
    <w:link w:val="Ttulo1"/>
    <w:rsid w:val="00B624A1"/>
    <w:rPr>
      <w:rFonts w:ascii="Arial" w:eastAsia="Calibri" w:hAnsi="Arial" w:cs="Times New Roman"/>
      <w:b/>
      <w:bCs/>
      <w:iCs/>
      <w:kern w:val="32"/>
      <w:szCs w:val="32"/>
      <w:lang w:eastAsia="pt-BR"/>
    </w:rPr>
  </w:style>
  <w:style w:type="character" w:customStyle="1" w:styleId="Ttulo2Char">
    <w:name w:val="Título 2 Char"/>
    <w:basedOn w:val="Fontepargpadro"/>
    <w:link w:val="Ttulo2"/>
    <w:rsid w:val="00B624A1"/>
    <w:rPr>
      <w:rFonts w:ascii="Times New Roman" w:eastAsiaTheme="majorEastAsia" w:hAnsi="Times New Roman" w:cs="Times New Roman"/>
      <w:bCs/>
      <w:szCs w:val="26"/>
    </w:rPr>
  </w:style>
  <w:style w:type="character" w:customStyle="1" w:styleId="Ttulo3Char">
    <w:name w:val="Título 3 Char"/>
    <w:basedOn w:val="Fontepargpadro"/>
    <w:link w:val="Ttulo3"/>
    <w:rsid w:val="00B624A1"/>
    <w:rPr>
      <w:rFonts w:ascii="Arial" w:hAnsi="Arial"/>
      <w:b/>
      <w:szCs w:val="22"/>
    </w:rPr>
  </w:style>
  <w:style w:type="character" w:customStyle="1" w:styleId="Ttulo4Char">
    <w:name w:val="Título 4 Char"/>
    <w:basedOn w:val="Fontepargpadro"/>
    <w:link w:val="Ttulo4"/>
    <w:rsid w:val="00B624A1"/>
    <w:rPr>
      <w:rFonts w:ascii="Arial" w:eastAsia="Times New Roman" w:hAnsi="Arial" w:cs="Times New Roman"/>
      <w:b/>
      <w:kern w:val="28"/>
      <w:szCs w:val="20"/>
    </w:rPr>
  </w:style>
  <w:style w:type="character" w:customStyle="1" w:styleId="Ttulo5Char">
    <w:name w:val="Título 5 Char"/>
    <w:basedOn w:val="Fontepargpadro"/>
    <w:link w:val="Ttulo5"/>
    <w:rsid w:val="00B624A1"/>
    <w:rPr>
      <w:rFonts w:asciiTheme="majorHAnsi" w:eastAsiaTheme="majorEastAsia" w:hAnsiTheme="majorHAnsi" w:cstheme="majorBidi"/>
      <w:color w:val="1F3763" w:themeColor="accent1" w:themeShade="7F"/>
      <w:sz w:val="22"/>
      <w:szCs w:val="22"/>
    </w:rPr>
  </w:style>
  <w:style w:type="character" w:customStyle="1" w:styleId="Ttulo6Char">
    <w:name w:val="Título 6 Char"/>
    <w:basedOn w:val="Fontepargpadro"/>
    <w:link w:val="Ttulo6"/>
    <w:rsid w:val="00B624A1"/>
    <w:rPr>
      <w:rFonts w:ascii="Arial" w:eastAsia="Times New Roman" w:hAnsi="Arial" w:cs="Times New Roman"/>
      <w:b/>
      <w:szCs w:val="20"/>
    </w:rPr>
  </w:style>
  <w:style w:type="character" w:customStyle="1" w:styleId="Ttulo7Char">
    <w:name w:val="Título 7 Char"/>
    <w:basedOn w:val="Fontepargpadro"/>
    <w:link w:val="Ttulo7"/>
    <w:rsid w:val="00B624A1"/>
    <w:rPr>
      <w:rFonts w:ascii="Arial" w:eastAsia="Times New Roman" w:hAnsi="Arial" w:cs="Times New Roman"/>
      <w:b/>
      <w:szCs w:val="20"/>
    </w:rPr>
  </w:style>
  <w:style w:type="character" w:customStyle="1" w:styleId="Ttulo8Char">
    <w:name w:val="Título 8 Char"/>
    <w:basedOn w:val="Fontepargpadro"/>
    <w:link w:val="Ttulo8"/>
    <w:rsid w:val="00B624A1"/>
    <w:rPr>
      <w:rFonts w:ascii="Arial" w:eastAsia="Times New Roman" w:hAnsi="Arial" w:cs="Times New Roman"/>
      <w:b/>
      <w:szCs w:val="20"/>
    </w:rPr>
  </w:style>
  <w:style w:type="character" w:customStyle="1" w:styleId="Ttulo9Char">
    <w:name w:val="Título 9 Char"/>
    <w:basedOn w:val="Fontepargpadro"/>
    <w:link w:val="Ttulo9"/>
    <w:rsid w:val="00B624A1"/>
    <w:rPr>
      <w:rFonts w:ascii="Arial" w:eastAsia="Times New Roman" w:hAnsi="Arial" w:cs="Times New Roman"/>
      <w:b/>
      <w:kern w:val="28"/>
      <w:szCs w:val="20"/>
    </w:rPr>
  </w:style>
  <w:style w:type="paragraph" w:styleId="Ttulo">
    <w:name w:val="Title"/>
    <w:basedOn w:val="Normal"/>
    <w:next w:val="Normal"/>
    <w:link w:val="TtuloChar"/>
    <w:uiPriority w:val="10"/>
    <w:rsid w:val="00B624A1"/>
    <w:pPr>
      <w:pBdr>
        <w:bottom w:val="single" w:sz="8" w:space="4" w:color="4472C4" w:themeColor="accent1"/>
      </w:pBdr>
      <w:suppressAutoHyphens w:val="0"/>
      <w:spacing w:after="300"/>
      <w:ind w:firstLine="709"/>
      <w:contextualSpacing/>
      <w:jc w:val="both"/>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tuloChar">
    <w:name w:val="Título Char"/>
    <w:basedOn w:val="Fontepargpadro"/>
    <w:link w:val="Ttulo"/>
    <w:uiPriority w:val="10"/>
    <w:rsid w:val="00B624A1"/>
    <w:rPr>
      <w:rFonts w:asciiTheme="majorHAnsi" w:eastAsiaTheme="majorEastAsia" w:hAnsiTheme="majorHAnsi" w:cstheme="majorBidi"/>
      <w:color w:val="323E4F" w:themeColor="text2" w:themeShade="BF"/>
      <w:spacing w:val="5"/>
      <w:kern w:val="28"/>
      <w:sz w:val="52"/>
      <w:szCs w:val="52"/>
    </w:rPr>
  </w:style>
  <w:style w:type="character" w:styleId="Forte">
    <w:name w:val="Strong"/>
    <w:basedOn w:val="Fontepargpadro"/>
    <w:uiPriority w:val="22"/>
    <w:qFormat/>
    <w:rsid w:val="00B624A1"/>
    <w:rPr>
      <w:b/>
      <w:bCs/>
    </w:rPr>
  </w:style>
  <w:style w:type="character" w:customStyle="1" w:styleId="grame">
    <w:name w:val="grame"/>
    <w:basedOn w:val="Fontepargpadro"/>
    <w:rsid w:val="00B624A1"/>
  </w:style>
  <w:style w:type="character" w:styleId="Refdenotadefim">
    <w:name w:val="endnote reference"/>
    <w:basedOn w:val="Fontepargpadro"/>
    <w:uiPriority w:val="99"/>
    <w:semiHidden/>
    <w:unhideWhenUsed/>
    <w:rsid w:val="00B624A1"/>
  </w:style>
  <w:style w:type="character" w:styleId="nfase">
    <w:name w:val="Emphasis"/>
    <w:basedOn w:val="Fontepargpadro"/>
    <w:uiPriority w:val="20"/>
    <w:qFormat/>
    <w:rsid w:val="00B624A1"/>
    <w:rPr>
      <w:i/>
      <w:iCs/>
    </w:rPr>
  </w:style>
  <w:style w:type="paragraph" w:styleId="MapadoDocumento">
    <w:name w:val="Document Map"/>
    <w:basedOn w:val="Normal"/>
    <w:link w:val="MapadoDocumentoChar"/>
    <w:uiPriority w:val="99"/>
    <w:semiHidden/>
    <w:unhideWhenUsed/>
    <w:rsid w:val="00B624A1"/>
    <w:pPr>
      <w:suppressAutoHyphens w:val="0"/>
    </w:pPr>
    <w:rPr>
      <w:rFonts w:ascii="Tahoma" w:eastAsiaTheme="minorHAnsi" w:hAnsi="Tahoma" w:cs="Tahoma"/>
      <w:sz w:val="16"/>
      <w:szCs w:val="16"/>
      <w:lang w:eastAsia="en-US"/>
    </w:rPr>
  </w:style>
  <w:style w:type="character" w:customStyle="1" w:styleId="MapadoDocumentoChar">
    <w:name w:val="Mapa do Documento Char"/>
    <w:basedOn w:val="Fontepargpadro"/>
    <w:link w:val="MapadoDocumento"/>
    <w:uiPriority w:val="99"/>
    <w:semiHidden/>
    <w:rsid w:val="00B624A1"/>
    <w:rPr>
      <w:rFonts w:ascii="Tahoma" w:hAnsi="Tahoma" w:cs="Tahoma"/>
      <w:sz w:val="16"/>
      <w:szCs w:val="16"/>
    </w:rPr>
  </w:style>
  <w:style w:type="character" w:styleId="Refdecomentrio">
    <w:name w:val="annotation reference"/>
    <w:basedOn w:val="Fontepargpadro"/>
    <w:uiPriority w:val="99"/>
    <w:semiHidden/>
    <w:unhideWhenUsed/>
    <w:rsid w:val="00B624A1"/>
    <w:rPr>
      <w:sz w:val="16"/>
      <w:szCs w:val="16"/>
    </w:rPr>
  </w:style>
  <w:style w:type="paragraph" w:styleId="Textodecomentrio">
    <w:name w:val="annotation text"/>
    <w:basedOn w:val="Normal"/>
    <w:link w:val="TextodecomentrioChar"/>
    <w:uiPriority w:val="99"/>
    <w:unhideWhenUsed/>
    <w:rsid w:val="00B624A1"/>
    <w:pPr>
      <w:suppressAutoHyphens w:val="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rsid w:val="00B624A1"/>
    <w:rPr>
      <w:sz w:val="20"/>
      <w:szCs w:val="20"/>
    </w:rPr>
  </w:style>
  <w:style w:type="paragraph" w:styleId="Assuntodocomentrio">
    <w:name w:val="annotation subject"/>
    <w:basedOn w:val="Textodecomentrio"/>
    <w:next w:val="Textodecomentrio"/>
    <w:link w:val="AssuntodocomentrioChar"/>
    <w:uiPriority w:val="99"/>
    <w:semiHidden/>
    <w:unhideWhenUsed/>
    <w:rsid w:val="00B624A1"/>
    <w:rPr>
      <w:b/>
      <w:bCs/>
    </w:rPr>
  </w:style>
  <w:style w:type="character" w:customStyle="1" w:styleId="AssuntodocomentrioChar">
    <w:name w:val="Assunto do comentário Char"/>
    <w:basedOn w:val="TextodecomentrioChar"/>
    <w:link w:val="Assuntodocomentrio"/>
    <w:uiPriority w:val="99"/>
    <w:semiHidden/>
    <w:rsid w:val="00B624A1"/>
    <w:rPr>
      <w:b/>
      <w:bCs/>
      <w:sz w:val="20"/>
      <w:szCs w:val="20"/>
    </w:rPr>
  </w:style>
  <w:style w:type="paragraph" w:styleId="CabealhodoSumrio">
    <w:name w:val="TOC Heading"/>
    <w:basedOn w:val="Ttulo1"/>
    <w:next w:val="Normal"/>
    <w:uiPriority w:val="39"/>
    <w:unhideWhenUsed/>
    <w:qFormat/>
    <w:rsid w:val="00B624A1"/>
    <w:pPr>
      <w:keepLines/>
      <w:spacing w:before="480" w:after="0" w:line="276" w:lineRule="auto"/>
      <w:outlineLvl w:val="9"/>
    </w:pPr>
    <w:rPr>
      <w:rFonts w:asciiTheme="majorHAnsi" w:eastAsiaTheme="majorEastAsia" w:hAnsiTheme="majorHAnsi" w:cstheme="majorBidi"/>
      <w:iCs w:val="0"/>
      <w:color w:val="2F5496" w:themeColor="accent1" w:themeShade="BF"/>
      <w:kern w:val="0"/>
      <w:sz w:val="28"/>
      <w:szCs w:val="28"/>
      <w:lang w:eastAsia="en-US"/>
    </w:rPr>
  </w:style>
  <w:style w:type="paragraph" w:styleId="Sumrio1">
    <w:name w:val="toc 1"/>
    <w:basedOn w:val="Normal"/>
    <w:next w:val="Normal"/>
    <w:autoRedefine/>
    <w:uiPriority w:val="39"/>
    <w:unhideWhenUsed/>
    <w:qFormat/>
    <w:rsid w:val="00B624A1"/>
    <w:pPr>
      <w:tabs>
        <w:tab w:val="right" w:leader="dot" w:pos="9071"/>
      </w:tabs>
      <w:suppressAutoHyphens w:val="0"/>
      <w:spacing w:after="100" w:line="360" w:lineRule="auto"/>
    </w:pPr>
    <w:rPr>
      <w:rFonts w:eastAsiaTheme="minorHAnsi"/>
      <w:b/>
      <w:sz w:val="24"/>
      <w:szCs w:val="24"/>
      <w:lang w:eastAsia="en-US"/>
    </w:rPr>
  </w:style>
  <w:style w:type="paragraph" w:styleId="SemEspaamento">
    <w:name w:val="No Spacing"/>
    <w:uiPriority w:val="1"/>
    <w:qFormat/>
    <w:rsid w:val="00B624A1"/>
    <w:rPr>
      <w:sz w:val="22"/>
      <w:szCs w:val="22"/>
    </w:rPr>
  </w:style>
  <w:style w:type="character" w:styleId="HiperlinkVisitado">
    <w:name w:val="FollowedHyperlink"/>
    <w:basedOn w:val="Fontepargpadro"/>
    <w:uiPriority w:val="99"/>
    <w:semiHidden/>
    <w:unhideWhenUsed/>
    <w:rsid w:val="00B624A1"/>
    <w:rPr>
      <w:color w:val="954F72" w:themeColor="followedHyperlink"/>
      <w:u w:val="single"/>
    </w:rPr>
  </w:style>
  <w:style w:type="paragraph" w:customStyle="1" w:styleId="Default">
    <w:name w:val="Default"/>
    <w:rsid w:val="00B624A1"/>
    <w:pPr>
      <w:autoSpaceDE w:val="0"/>
      <w:autoSpaceDN w:val="0"/>
      <w:adjustRightInd w:val="0"/>
    </w:pPr>
    <w:rPr>
      <w:rFonts w:ascii="Times New Roman" w:hAnsi="Times New Roman" w:cs="Times New Roman"/>
      <w:color w:val="000000"/>
    </w:rPr>
  </w:style>
  <w:style w:type="table" w:styleId="Tabelacomgrade">
    <w:name w:val="Table Grid"/>
    <w:basedOn w:val="Tabelanormal"/>
    <w:uiPriority w:val="59"/>
    <w:rsid w:val="00B624A1"/>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mrio2">
    <w:name w:val="toc 2"/>
    <w:basedOn w:val="Normal"/>
    <w:next w:val="Normal"/>
    <w:autoRedefine/>
    <w:uiPriority w:val="39"/>
    <w:unhideWhenUsed/>
    <w:qFormat/>
    <w:rsid w:val="00B624A1"/>
    <w:pPr>
      <w:tabs>
        <w:tab w:val="right" w:leader="dot" w:pos="9061"/>
      </w:tabs>
      <w:suppressAutoHyphens w:val="0"/>
      <w:spacing w:after="100" w:line="360" w:lineRule="auto"/>
    </w:pPr>
    <w:rPr>
      <w:rFonts w:asciiTheme="minorHAnsi" w:eastAsiaTheme="minorHAnsi" w:hAnsiTheme="minorHAnsi" w:cstheme="minorBidi"/>
      <w:sz w:val="22"/>
      <w:szCs w:val="22"/>
      <w:lang w:eastAsia="en-US"/>
    </w:rPr>
  </w:style>
  <w:style w:type="paragraph" w:styleId="Legenda">
    <w:name w:val="caption"/>
    <w:basedOn w:val="Normal"/>
    <w:next w:val="Normal"/>
    <w:uiPriority w:val="99"/>
    <w:qFormat/>
    <w:rsid w:val="00B624A1"/>
    <w:pPr>
      <w:suppressAutoHyphens w:val="0"/>
      <w:spacing w:line="360" w:lineRule="auto"/>
      <w:ind w:firstLine="709"/>
      <w:jc w:val="both"/>
    </w:pPr>
    <w:rPr>
      <w:b/>
      <w:bCs/>
    </w:rPr>
  </w:style>
  <w:style w:type="paragraph" w:styleId="Sumrio3">
    <w:name w:val="toc 3"/>
    <w:basedOn w:val="Normal"/>
    <w:next w:val="Normal"/>
    <w:autoRedefine/>
    <w:uiPriority w:val="39"/>
    <w:unhideWhenUsed/>
    <w:qFormat/>
    <w:rsid w:val="00B624A1"/>
    <w:pPr>
      <w:tabs>
        <w:tab w:val="right" w:leader="dot" w:pos="9061"/>
      </w:tabs>
      <w:suppressAutoHyphens w:val="0"/>
      <w:spacing w:after="100" w:line="360" w:lineRule="auto"/>
    </w:pPr>
    <w:rPr>
      <w:rFonts w:ascii="Arial" w:eastAsiaTheme="minorHAnsi" w:hAnsi="Arial" w:cs="Arial"/>
      <w:b/>
      <w:noProof/>
      <w:sz w:val="24"/>
      <w:szCs w:val="24"/>
      <w:lang w:eastAsia="en-US"/>
    </w:rPr>
  </w:style>
  <w:style w:type="character" w:customStyle="1" w:styleId="usercontent">
    <w:name w:val="usercontent"/>
    <w:basedOn w:val="Fontepargpadro"/>
    <w:rsid w:val="00B624A1"/>
  </w:style>
  <w:style w:type="paragraph" w:styleId="Textodenotaderodap">
    <w:name w:val="footnote text"/>
    <w:basedOn w:val="Normal"/>
    <w:link w:val="TextodenotaderodapChar"/>
    <w:semiHidden/>
    <w:unhideWhenUsed/>
    <w:rsid w:val="00B624A1"/>
    <w:pPr>
      <w:suppressAutoHyphens w:val="0"/>
    </w:pPr>
    <w:rPr>
      <w:rFonts w:asciiTheme="minorHAnsi" w:eastAsiaTheme="minorHAnsi" w:hAnsiTheme="minorHAnsi" w:cstheme="minorBidi"/>
      <w:lang w:eastAsia="en-US"/>
    </w:rPr>
  </w:style>
  <w:style w:type="character" w:customStyle="1" w:styleId="TextodenotaderodapChar">
    <w:name w:val="Texto de nota de rodapé Char"/>
    <w:basedOn w:val="Fontepargpadro"/>
    <w:link w:val="Textodenotaderodap"/>
    <w:semiHidden/>
    <w:rsid w:val="00B624A1"/>
    <w:rPr>
      <w:sz w:val="20"/>
      <w:szCs w:val="20"/>
    </w:rPr>
  </w:style>
  <w:style w:type="paragraph" w:customStyle="1" w:styleId="Pargrafo">
    <w:name w:val="Parágrafo"/>
    <w:basedOn w:val="Normal"/>
    <w:rsid w:val="00B624A1"/>
    <w:pPr>
      <w:suppressAutoHyphens w:val="0"/>
      <w:spacing w:after="120"/>
      <w:ind w:firstLine="1418"/>
      <w:jc w:val="both"/>
    </w:pPr>
    <w:rPr>
      <w:sz w:val="24"/>
      <w:lang w:eastAsia="en-US"/>
    </w:rPr>
  </w:style>
  <w:style w:type="paragraph" w:styleId="ndicedeilustraes">
    <w:name w:val="table of figures"/>
    <w:basedOn w:val="Normal"/>
    <w:next w:val="Normal"/>
    <w:uiPriority w:val="99"/>
    <w:unhideWhenUsed/>
    <w:rsid w:val="00B624A1"/>
    <w:pPr>
      <w:suppressAutoHyphens w:val="0"/>
      <w:spacing w:line="360" w:lineRule="auto"/>
      <w:ind w:firstLine="709"/>
      <w:jc w:val="both"/>
    </w:pPr>
    <w:rPr>
      <w:rFonts w:ascii="Arial" w:eastAsiaTheme="minorHAnsi" w:hAnsi="Arial" w:cstheme="minorBidi"/>
      <w:sz w:val="24"/>
      <w:szCs w:val="22"/>
      <w:lang w:eastAsia="en-US"/>
    </w:rPr>
  </w:style>
  <w:style w:type="paragraph" w:styleId="Pr-formataoHTML">
    <w:name w:val="HTML Preformatted"/>
    <w:basedOn w:val="Normal"/>
    <w:link w:val="Pr-formataoHTMLChar"/>
    <w:uiPriority w:val="99"/>
    <w:unhideWhenUsed/>
    <w:rsid w:val="00B6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rsid w:val="00B624A1"/>
    <w:rPr>
      <w:rFonts w:ascii="Courier New" w:eastAsia="Times New Roman" w:hAnsi="Courier New" w:cs="Courier New"/>
      <w:sz w:val="20"/>
      <w:szCs w:val="20"/>
      <w:lang w:eastAsia="pt-BR"/>
    </w:rPr>
  </w:style>
  <w:style w:type="character" w:customStyle="1" w:styleId="MenoPendente1">
    <w:name w:val="Menção Pendente1"/>
    <w:basedOn w:val="Fontepargpadro"/>
    <w:uiPriority w:val="99"/>
    <w:semiHidden/>
    <w:unhideWhenUsed/>
    <w:rsid w:val="00B624A1"/>
    <w:rPr>
      <w:color w:val="808080"/>
      <w:shd w:val="clear" w:color="auto" w:fill="E6E6E6"/>
    </w:rPr>
  </w:style>
  <w:style w:type="character" w:customStyle="1" w:styleId="fontstyle01">
    <w:name w:val="fontstyle01"/>
    <w:basedOn w:val="Fontepargpadro"/>
    <w:rsid w:val="002300A6"/>
    <w:rPr>
      <w:rFonts w:ascii="MinionPro-Regular" w:hAnsi="MinionPro-Regular" w:hint="default"/>
      <w:b w:val="0"/>
      <w:bCs w:val="0"/>
      <w:i w:val="0"/>
      <w:iCs w:val="0"/>
      <w:color w:val="6C6D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787961673">
      <w:bodyDiv w:val="1"/>
      <w:marLeft w:val="0"/>
      <w:marRight w:val="0"/>
      <w:marTop w:val="0"/>
      <w:marBottom w:val="0"/>
      <w:divBdr>
        <w:top w:val="none" w:sz="0" w:space="0" w:color="auto"/>
        <w:left w:val="none" w:sz="0" w:space="0" w:color="auto"/>
        <w:bottom w:val="none" w:sz="0" w:space="0" w:color="auto"/>
        <w:right w:val="none" w:sz="0" w:space="0" w:color="auto"/>
      </w:divBdr>
      <w:divsChild>
        <w:div w:id="1476528695">
          <w:marLeft w:val="0"/>
          <w:marRight w:val="0"/>
          <w:marTop w:val="0"/>
          <w:marBottom w:val="0"/>
          <w:divBdr>
            <w:top w:val="none" w:sz="0" w:space="0" w:color="auto"/>
            <w:left w:val="none" w:sz="0" w:space="0" w:color="auto"/>
            <w:bottom w:val="none" w:sz="0" w:space="0" w:color="auto"/>
            <w:right w:val="none" w:sz="0" w:space="0" w:color="auto"/>
          </w:divBdr>
        </w:div>
        <w:div w:id="1745251067">
          <w:marLeft w:val="0"/>
          <w:marRight w:val="0"/>
          <w:marTop w:val="0"/>
          <w:marBottom w:val="0"/>
          <w:divBdr>
            <w:top w:val="none" w:sz="0" w:space="0" w:color="auto"/>
            <w:left w:val="none" w:sz="0" w:space="0" w:color="auto"/>
            <w:bottom w:val="none" w:sz="0" w:space="0" w:color="auto"/>
            <w:right w:val="none" w:sz="0" w:space="0" w:color="auto"/>
          </w:divBdr>
        </w:div>
        <w:div w:id="1322931271">
          <w:marLeft w:val="0"/>
          <w:marRight w:val="0"/>
          <w:marTop w:val="0"/>
          <w:marBottom w:val="0"/>
          <w:divBdr>
            <w:top w:val="none" w:sz="0" w:space="0" w:color="auto"/>
            <w:left w:val="none" w:sz="0" w:space="0" w:color="auto"/>
            <w:bottom w:val="none" w:sz="0" w:space="0" w:color="auto"/>
            <w:right w:val="none" w:sz="0" w:space="0" w:color="auto"/>
          </w:divBdr>
        </w:div>
        <w:div w:id="985628240">
          <w:marLeft w:val="0"/>
          <w:marRight w:val="0"/>
          <w:marTop w:val="0"/>
          <w:marBottom w:val="0"/>
          <w:divBdr>
            <w:top w:val="none" w:sz="0" w:space="0" w:color="auto"/>
            <w:left w:val="none" w:sz="0" w:space="0" w:color="auto"/>
            <w:bottom w:val="none" w:sz="0" w:space="0" w:color="auto"/>
            <w:right w:val="none" w:sz="0" w:space="0" w:color="auto"/>
          </w:divBdr>
        </w:div>
        <w:div w:id="63602062">
          <w:marLeft w:val="0"/>
          <w:marRight w:val="0"/>
          <w:marTop w:val="0"/>
          <w:marBottom w:val="0"/>
          <w:divBdr>
            <w:top w:val="none" w:sz="0" w:space="0" w:color="auto"/>
            <w:left w:val="none" w:sz="0" w:space="0" w:color="auto"/>
            <w:bottom w:val="none" w:sz="0" w:space="0" w:color="auto"/>
            <w:right w:val="none" w:sz="0" w:space="0" w:color="auto"/>
          </w:divBdr>
        </w:div>
        <w:div w:id="1582719764">
          <w:marLeft w:val="0"/>
          <w:marRight w:val="0"/>
          <w:marTop w:val="0"/>
          <w:marBottom w:val="0"/>
          <w:divBdr>
            <w:top w:val="none" w:sz="0" w:space="0" w:color="auto"/>
            <w:left w:val="none" w:sz="0" w:space="0" w:color="auto"/>
            <w:bottom w:val="none" w:sz="0" w:space="0" w:color="auto"/>
            <w:right w:val="none" w:sz="0" w:space="0" w:color="auto"/>
          </w:divBdr>
        </w:div>
        <w:div w:id="659964960">
          <w:marLeft w:val="0"/>
          <w:marRight w:val="0"/>
          <w:marTop w:val="0"/>
          <w:marBottom w:val="0"/>
          <w:divBdr>
            <w:top w:val="none" w:sz="0" w:space="0" w:color="auto"/>
            <w:left w:val="none" w:sz="0" w:space="0" w:color="auto"/>
            <w:bottom w:val="none" w:sz="0" w:space="0" w:color="auto"/>
            <w:right w:val="none" w:sz="0" w:space="0" w:color="auto"/>
          </w:divBdr>
        </w:div>
        <w:div w:id="186985768">
          <w:marLeft w:val="0"/>
          <w:marRight w:val="0"/>
          <w:marTop w:val="0"/>
          <w:marBottom w:val="0"/>
          <w:divBdr>
            <w:top w:val="none" w:sz="0" w:space="0" w:color="auto"/>
            <w:left w:val="none" w:sz="0" w:space="0" w:color="auto"/>
            <w:bottom w:val="none" w:sz="0" w:space="0" w:color="auto"/>
            <w:right w:val="none" w:sz="0" w:space="0" w:color="auto"/>
          </w:divBdr>
        </w:div>
        <w:div w:id="2051297814">
          <w:marLeft w:val="0"/>
          <w:marRight w:val="0"/>
          <w:marTop w:val="0"/>
          <w:marBottom w:val="0"/>
          <w:divBdr>
            <w:top w:val="none" w:sz="0" w:space="0" w:color="auto"/>
            <w:left w:val="none" w:sz="0" w:space="0" w:color="auto"/>
            <w:bottom w:val="none" w:sz="0" w:space="0" w:color="auto"/>
            <w:right w:val="none" w:sz="0" w:space="0" w:color="auto"/>
          </w:divBdr>
        </w:div>
        <w:div w:id="1048381086">
          <w:marLeft w:val="0"/>
          <w:marRight w:val="0"/>
          <w:marTop w:val="0"/>
          <w:marBottom w:val="0"/>
          <w:divBdr>
            <w:top w:val="none" w:sz="0" w:space="0" w:color="auto"/>
            <w:left w:val="none" w:sz="0" w:space="0" w:color="auto"/>
            <w:bottom w:val="none" w:sz="0" w:space="0" w:color="auto"/>
            <w:right w:val="none" w:sz="0" w:space="0" w:color="auto"/>
          </w:divBdr>
        </w:div>
        <w:div w:id="1723560511">
          <w:marLeft w:val="0"/>
          <w:marRight w:val="0"/>
          <w:marTop w:val="0"/>
          <w:marBottom w:val="0"/>
          <w:divBdr>
            <w:top w:val="none" w:sz="0" w:space="0" w:color="auto"/>
            <w:left w:val="none" w:sz="0" w:space="0" w:color="auto"/>
            <w:bottom w:val="none" w:sz="0" w:space="0" w:color="auto"/>
            <w:right w:val="none" w:sz="0" w:space="0" w:color="auto"/>
          </w:divBdr>
        </w:div>
        <w:div w:id="147677428">
          <w:marLeft w:val="0"/>
          <w:marRight w:val="0"/>
          <w:marTop w:val="0"/>
          <w:marBottom w:val="0"/>
          <w:divBdr>
            <w:top w:val="none" w:sz="0" w:space="0" w:color="auto"/>
            <w:left w:val="none" w:sz="0" w:space="0" w:color="auto"/>
            <w:bottom w:val="none" w:sz="0" w:space="0" w:color="auto"/>
            <w:right w:val="none" w:sz="0" w:space="0" w:color="auto"/>
          </w:divBdr>
        </w:div>
        <w:div w:id="419982727">
          <w:marLeft w:val="0"/>
          <w:marRight w:val="0"/>
          <w:marTop w:val="0"/>
          <w:marBottom w:val="0"/>
          <w:divBdr>
            <w:top w:val="none" w:sz="0" w:space="0" w:color="auto"/>
            <w:left w:val="none" w:sz="0" w:space="0" w:color="auto"/>
            <w:bottom w:val="none" w:sz="0" w:space="0" w:color="auto"/>
            <w:right w:val="none" w:sz="0" w:space="0" w:color="auto"/>
          </w:divBdr>
        </w:div>
        <w:div w:id="2017146604">
          <w:marLeft w:val="0"/>
          <w:marRight w:val="0"/>
          <w:marTop w:val="0"/>
          <w:marBottom w:val="0"/>
          <w:divBdr>
            <w:top w:val="none" w:sz="0" w:space="0" w:color="auto"/>
            <w:left w:val="none" w:sz="0" w:space="0" w:color="auto"/>
            <w:bottom w:val="none" w:sz="0" w:space="0" w:color="auto"/>
            <w:right w:val="none" w:sz="0" w:space="0" w:color="auto"/>
          </w:divBdr>
        </w:div>
        <w:div w:id="148132935">
          <w:marLeft w:val="0"/>
          <w:marRight w:val="0"/>
          <w:marTop w:val="0"/>
          <w:marBottom w:val="0"/>
          <w:divBdr>
            <w:top w:val="none" w:sz="0" w:space="0" w:color="auto"/>
            <w:left w:val="none" w:sz="0" w:space="0" w:color="auto"/>
            <w:bottom w:val="none" w:sz="0" w:space="0" w:color="auto"/>
            <w:right w:val="none" w:sz="0" w:space="0" w:color="auto"/>
          </w:divBdr>
        </w:div>
        <w:div w:id="1471944094">
          <w:marLeft w:val="0"/>
          <w:marRight w:val="0"/>
          <w:marTop w:val="0"/>
          <w:marBottom w:val="0"/>
          <w:divBdr>
            <w:top w:val="none" w:sz="0" w:space="0" w:color="auto"/>
            <w:left w:val="none" w:sz="0" w:space="0" w:color="auto"/>
            <w:bottom w:val="none" w:sz="0" w:space="0" w:color="auto"/>
            <w:right w:val="none" w:sz="0" w:space="0" w:color="auto"/>
          </w:divBdr>
        </w:div>
        <w:div w:id="1726173337">
          <w:marLeft w:val="0"/>
          <w:marRight w:val="0"/>
          <w:marTop w:val="0"/>
          <w:marBottom w:val="0"/>
          <w:divBdr>
            <w:top w:val="none" w:sz="0" w:space="0" w:color="auto"/>
            <w:left w:val="none" w:sz="0" w:space="0" w:color="auto"/>
            <w:bottom w:val="none" w:sz="0" w:space="0" w:color="auto"/>
            <w:right w:val="none" w:sz="0" w:space="0" w:color="auto"/>
          </w:divBdr>
        </w:div>
        <w:div w:id="598218049">
          <w:marLeft w:val="0"/>
          <w:marRight w:val="0"/>
          <w:marTop w:val="0"/>
          <w:marBottom w:val="0"/>
          <w:divBdr>
            <w:top w:val="none" w:sz="0" w:space="0" w:color="auto"/>
            <w:left w:val="none" w:sz="0" w:space="0" w:color="auto"/>
            <w:bottom w:val="none" w:sz="0" w:space="0" w:color="auto"/>
            <w:right w:val="none" w:sz="0" w:space="0" w:color="auto"/>
          </w:divBdr>
        </w:div>
      </w:divsChild>
    </w:div>
    <w:div w:id="1986887406">
      <w:bodyDiv w:val="1"/>
      <w:marLeft w:val="0"/>
      <w:marRight w:val="0"/>
      <w:marTop w:val="0"/>
      <w:marBottom w:val="0"/>
      <w:divBdr>
        <w:top w:val="none" w:sz="0" w:space="0" w:color="auto"/>
        <w:left w:val="none" w:sz="0" w:space="0" w:color="auto"/>
        <w:bottom w:val="none" w:sz="0" w:space="0" w:color="auto"/>
        <w:right w:val="none" w:sz="0" w:space="0" w:color="auto"/>
      </w:divBdr>
      <w:divsChild>
        <w:div w:id="622149039">
          <w:marLeft w:val="0"/>
          <w:marRight w:val="0"/>
          <w:marTop w:val="0"/>
          <w:marBottom w:val="0"/>
          <w:divBdr>
            <w:top w:val="none" w:sz="0" w:space="0" w:color="auto"/>
            <w:left w:val="none" w:sz="0" w:space="0" w:color="auto"/>
            <w:bottom w:val="none" w:sz="0" w:space="0" w:color="auto"/>
            <w:right w:val="none" w:sz="0" w:space="0" w:color="auto"/>
          </w:divBdr>
        </w:div>
        <w:div w:id="2135177421">
          <w:marLeft w:val="0"/>
          <w:marRight w:val="0"/>
          <w:marTop w:val="0"/>
          <w:marBottom w:val="0"/>
          <w:divBdr>
            <w:top w:val="none" w:sz="0" w:space="0" w:color="auto"/>
            <w:left w:val="none" w:sz="0" w:space="0" w:color="auto"/>
            <w:bottom w:val="none" w:sz="0" w:space="0" w:color="auto"/>
            <w:right w:val="none" w:sz="0" w:space="0" w:color="auto"/>
          </w:divBdr>
        </w:div>
        <w:div w:id="642275798">
          <w:marLeft w:val="0"/>
          <w:marRight w:val="0"/>
          <w:marTop w:val="0"/>
          <w:marBottom w:val="0"/>
          <w:divBdr>
            <w:top w:val="none" w:sz="0" w:space="0" w:color="auto"/>
            <w:left w:val="none" w:sz="0" w:space="0" w:color="auto"/>
            <w:bottom w:val="none" w:sz="0" w:space="0" w:color="auto"/>
            <w:right w:val="none" w:sz="0" w:space="0" w:color="auto"/>
          </w:divBdr>
        </w:div>
        <w:div w:id="133451120">
          <w:marLeft w:val="0"/>
          <w:marRight w:val="0"/>
          <w:marTop w:val="0"/>
          <w:marBottom w:val="0"/>
          <w:divBdr>
            <w:top w:val="none" w:sz="0" w:space="0" w:color="auto"/>
            <w:left w:val="none" w:sz="0" w:space="0" w:color="auto"/>
            <w:bottom w:val="none" w:sz="0" w:space="0" w:color="auto"/>
            <w:right w:val="none" w:sz="0" w:space="0" w:color="auto"/>
          </w:divBdr>
        </w:div>
        <w:div w:id="1842088262">
          <w:marLeft w:val="0"/>
          <w:marRight w:val="0"/>
          <w:marTop w:val="0"/>
          <w:marBottom w:val="0"/>
          <w:divBdr>
            <w:top w:val="none" w:sz="0" w:space="0" w:color="auto"/>
            <w:left w:val="none" w:sz="0" w:space="0" w:color="auto"/>
            <w:bottom w:val="none" w:sz="0" w:space="0" w:color="auto"/>
            <w:right w:val="none" w:sz="0" w:space="0" w:color="auto"/>
          </w:divBdr>
        </w:div>
        <w:div w:id="1357151089">
          <w:marLeft w:val="0"/>
          <w:marRight w:val="0"/>
          <w:marTop w:val="0"/>
          <w:marBottom w:val="0"/>
          <w:divBdr>
            <w:top w:val="none" w:sz="0" w:space="0" w:color="auto"/>
            <w:left w:val="none" w:sz="0" w:space="0" w:color="auto"/>
            <w:bottom w:val="none" w:sz="0" w:space="0" w:color="auto"/>
            <w:right w:val="none" w:sz="0" w:space="0" w:color="auto"/>
          </w:divBdr>
        </w:div>
        <w:div w:id="1476491705">
          <w:marLeft w:val="0"/>
          <w:marRight w:val="0"/>
          <w:marTop w:val="0"/>
          <w:marBottom w:val="0"/>
          <w:divBdr>
            <w:top w:val="none" w:sz="0" w:space="0" w:color="auto"/>
            <w:left w:val="none" w:sz="0" w:space="0" w:color="auto"/>
            <w:bottom w:val="none" w:sz="0" w:space="0" w:color="auto"/>
            <w:right w:val="none" w:sz="0" w:space="0" w:color="auto"/>
          </w:divBdr>
        </w:div>
        <w:div w:id="1306819584">
          <w:marLeft w:val="0"/>
          <w:marRight w:val="0"/>
          <w:marTop w:val="0"/>
          <w:marBottom w:val="0"/>
          <w:divBdr>
            <w:top w:val="none" w:sz="0" w:space="0" w:color="auto"/>
            <w:left w:val="none" w:sz="0" w:space="0" w:color="auto"/>
            <w:bottom w:val="none" w:sz="0" w:space="0" w:color="auto"/>
            <w:right w:val="none" w:sz="0" w:space="0" w:color="auto"/>
          </w:divBdr>
        </w:div>
        <w:div w:id="1110467327">
          <w:marLeft w:val="0"/>
          <w:marRight w:val="0"/>
          <w:marTop w:val="0"/>
          <w:marBottom w:val="0"/>
          <w:divBdr>
            <w:top w:val="none" w:sz="0" w:space="0" w:color="auto"/>
            <w:left w:val="none" w:sz="0" w:space="0" w:color="auto"/>
            <w:bottom w:val="none" w:sz="0" w:space="0" w:color="auto"/>
            <w:right w:val="none" w:sz="0" w:space="0" w:color="auto"/>
          </w:divBdr>
        </w:div>
        <w:div w:id="2106798488">
          <w:marLeft w:val="0"/>
          <w:marRight w:val="0"/>
          <w:marTop w:val="0"/>
          <w:marBottom w:val="0"/>
          <w:divBdr>
            <w:top w:val="none" w:sz="0" w:space="0" w:color="auto"/>
            <w:left w:val="none" w:sz="0" w:space="0" w:color="auto"/>
            <w:bottom w:val="none" w:sz="0" w:space="0" w:color="auto"/>
            <w:right w:val="none" w:sz="0" w:space="0" w:color="auto"/>
          </w:divBdr>
        </w:div>
        <w:div w:id="593128629">
          <w:marLeft w:val="0"/>
          <w:marRight w:val="0"/>
          <w:marTop w:val="0"/>
          <w:marBottom w:val="0"/>
          <w:divBdr>
            <w:top w:val="none" w:sz="0" w:space="0" w:color="auto"/>
            <w:left w:val="none" w:sz="0" w:space="0" w:color="auto"/>
            <w:bottom w:val="none" w:sz="0" w:space="0" w:color="auto"/>
            <w:right w:val="none" w:sz="0" w:space="0" w:color="auto"/>
          </w:divBdr>
        </w:div>
        <w:div w:id="2010253851">
          <w:marLeft w:val="0"/>
          <w:marRight w:val="0"/>
          <w:marTop w:val="0"/>
          <w:marBottom w:val="0"/>
          <w:divBdr>
            <w:top w:val="none" w:sz="0" w:space="0" w:color="auto"/>
            <w:left w:val="none" w:sz="0" w:space="0" w:color="auto"/>
            <w:bottom w:val="none" w:sz="0" w:space="0" w:color="auto"/>
            <w:right w:val="none" w:sz="0" w:space="0" w:color="auto"/>
          </w:divBdr>
        </w:div>
        <w:div w:id="1007027539">
          <w:marLeft w:val="0"/>
          <w:marRight w:val="0"/>
          <w:marTop w:val="0"/>
          <w:marBottom w:val="0"/>
          <w:divBdr>
            <w:top w:val="none" w:sz="0" w:space="0" w:color="auto"/>
            <w:left w:val="none" w:sz="0" w:space="0" w:color="auto"/>
            <w:bottom w:val="none" w:sz="0" w:space="0" w:color="auto"/>
            <w:right w:val="none" w:sz="0" w:space="0" w:color="auto"/>
          </w:divBdr>
        </w:div>
        <w:div w:id="1038355945">
          <w:marLeft w:val="0"/>
          <w:marRight w:val="0"/>
          <w:marTop w:val="0"/>
          <w:marBottom w:val="0"/>
          <w:divBdr>
            <w:top w:val="none" w:sz="0" w:space="0" w:color="auto"/>
            <w:left w:val="none" w:sz="0" w:space="0" w:color="auto"/>
            <w:bottom w:val="none" w:sz="0" w:space="0" w:color="auto"/>
            <w:right w:val="none" w:sz="0" w:space="0" w:color="auto"/>
          </w:divBdr>
        </w:div>
        <w:div w:id="530843600">
          <w:marLeft w:val="0"/>
          <w:marRight w:val="0"/>
          <w:marTop w:val="0"/>
          <w:marBottom w:val="0"/>
          <w:divBdr>
            <w:top w:val="none" w:sz="0" w:space="0" w:color="auto"/>
            <w:left w:val="none" w:sz="0" w:space="0" w:color="auto"/>
            <w:bottom w:val="none" w:sz="0" w:space="0" w:color="auto"/>
            <w:right w:val="none" w:sz="0" w:space="0" w:color="auto"/>
          </w:divBdr>
        </w:div>
        <w:div w:id="904335192">
          <w:marLeft w:val="0"/>
          <w:marRight w:val="0"/>
          <w:marTop w:val="0"/>
          <w:marBottom w:val="0"/>
          <w:divBdr>
            <w:top w:val="none" w:sz="0" w:space="0" w:color="auto"/>
            <w:left w:val="none" w:sz="0" w:space="0" w:color="auto"/>
            <w:bottom w:val="none" w:sz="0" w:space="0" w:color="auto"/>
            <w:right w:val="none" w:sz="0" w:space="0" w:color="auto"/>
          </w:divBdr>
        </w:div>
        <w:div w:id="790785329">
          <w:marLeft w:val="0"/>
          <w:marRight w:val="0"/>
          <w:marTop w:val="0"/>
          <w:marBottom w:val="0"/>
          <w:divBdr>
            <w:top w:val="none" w:sz="0" w:space="0" w:color="auto"/>
            <w:left w:val="none" w:sz="0" w:space="0" w:color="auto"/>
            <w:bottom w:val="none" w:sz="0" w:space="0" w:color="auto"/>
            <w:right w:val="none" w:sz="0" w:space="0" w:color="auto"/>
          </w:divBdr>
        </w:div>
        <w:div w:id="2862766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hyperlink" Target="http://www.clicrbs.com.br/sites/swf/dc_diarias_ales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ibge.gov.br/home." TargetMode="Externa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hyperlink" Target="http://www.cnm.org.br/comunicacao/noticias/modernizar-a-gestao-pode-ser-um-caminho-de-enfrentar-a-crise-nos-municipios-aponta-seminari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lanalto.gov.br/ccivil_03/leis/L4320.htm" TargetMode="External"/><Relationship Id="rId20" Type="http://schemas.openxmlformats.org/officeDocument/2006/relationships/hyperlink" Target="http://www.gazetadopovo.com.br/vida-publica/tc-pr-notifica-45-prefeituras-e-camaras-por-abuso-de-gastos-com-diarias-0ti4crodmbn4mqndsuyli77ww"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www.tce.sc.gov.br/site/legislacao/arquivos/instrucao_normativa_n_14-2012_consolidada.pdf%20" TargetMode="External"/><Relationship Id="rId5" Type="http://schemas.openxmlformats.org/officeDocument/2006/relationships/footnotes" Target="footnotes.xml"/><Relationship Id="rId15" Type="http://schemas.openxmlformats.org/officeDocument/2006/relationships/hyperlink" Target="http://www.planalto.gov.br/ccivil_03/leis/LCP/Lcp101.htm" TargetMode="External"/><Relationship Id="rId23" Type="http://schemas.openxmlformats.org/officeDocument/2006/relationships/hyperlink" Target="http://www.tesouro.fazenda.gov.br/documents/10180/456785/CPU_MCASP+6%C2%AA%20edi%C3%A7%C3%A3o_Republ2/fa1ee713-2fd3-4f51-8182-a542ce123773" TargetMode="Externa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g1.globo.com/mato-grosso-do-sul/noticia/2017/02/camara-de-iguatemi-empenha-diaria-antes-ate-do-pedido-da-viagem-diz-mp.html"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jornalahora.com.br/2017/05/04/mp-investiga-vereadores-por-uso-excessivo-de-diarias" TargetMode="External"/><Relationship Id="rId22" Type="http://schemas.openxmlformats.org/officeDocument/2006/relationships/hyperlink" Target="https://www.mpsc.mp.br/noticias/diarias-irregulares-em-municipios-catarinenses-sao-investigadas-pelo-mps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3880583\Documents\udesc\ARTIGOS\artigos%20submetidos\enviados%20para%20congressos\CBC\coleta%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3880583\Documents\udesc\ARTIGOS\artigos%20submetidos\enviados%20para%20congressos\CBC\coleta%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20665182153029"/>
          <c:y val="5.1400554097404488E-2"/>
          <c:w val="0.85436945889662941"/>
          <c:h val="0.45492672790901362"/>
        </c:manualLayout>
      </c:layout>
      <c:lineChart>
        <c:grouping val="standard"/>
        <c:varyColors val="0"/>
        <c:ser>
          <c:idx val="0"/>
          <c:order val="0"/>
          <c:tx>
            <c:strRef>
              <c:f>totais!$B$2</c:f>
              <c:strCache>
                <c:ptCount val="1"/>
                <c:pt idx="0">
                  <c:v>Diárias</c:v>
                </c:pt>
              </c:strCache>
            </c:strRef>
          </c:tx>
          <c:marker>
            <c:symbol val="none"/>
          </c:marker>
          <c:cat>
            <c:strRef>
              <c:f>totais!$A$3:$A$109</c:f>
              <c:strCache>
                <c:ptCount val="107"/>
                <c:pt idx="0">
                  <c:v>Abdon Batista</c:v>
                </c:pt>
                <c:pt idx="1">
                  <c:v>Agronômica</c:v>
                </c:pt>
                <c:pt idx="2">
                  <c:v>Águas Frias</c:v>
                </c:pt>
                <c:pt idx="3">
                  <c:v>Alto Bela Vista</c:v>
                </c:pt>
                <c:pt idx="4">
                  <c:v>Anitápolis</c:v>
                </c:pt>
                <c:pt idx="5">
                  <c:v>Arabutã</c:v>
                </c:pt>
                <c:pt idx="6">
                  <c:v>Arroio Trinta</c:v>
                </c:pt>
                <c:pt idx="7">
                  <c:v>Arvoredo</c:v>
                </c:pt>
                <c:pt idx="8">
                  <c:v>Atalanta</c:v>
                </c:pt>
                <c:pt idx="9">
                  <c:v>Bandeirante</c:v>
                </c:pt>
                <c:pt idx="10">
                  <c:v>Barra Bonita</c:v>
                </c:pt>
                <c:pt idx="11">
                  <c:v>Belmonte</c:v>
                </c:pt>
                <c:pt idx="12">
                  <c:v>Bocaina do Sul</c:v>
                </c:pt>
                <c:pt idx="13">
                  <c:v>Bom Jardim da Serra</c:v>
                </c:pt>
                <c:pt idx="14">
                  <c:v>Bom Jesus</c:v>
                </c:pt>
                <c:pt idx="15">
                  <c:v>Bom Jesus do Oeste</c:v>
                </c:pt>
                <c:pt idx="16">
                  <c:v>Botuverá</c:v>
                </c:pt>
                <c:pt idx="17">
                  <c:v>Braço do Trombudo</c:v>
                </c:pt>
                <c:pt idx="18">
                  <c:v>Brunópolis</c:v>
                </c:pt>
                <c:pt idx="19">
                  <c:v>Calmon</c:v>
                </c:pt>
                <c:pt idx="20">
                  <c:v>Capão Alto</c:v>
                </c:pt>
                <c:pt idx="21">
                  <c:v>Caxambu do Sul</c:v>
                </c:pt>
                <c:pt idx="22">
                  <c:v>Celso Ramos</c:v>
                </c:pt>
                <c:pt idx="23">
                  <c:v>Cerro Negro</c:v>
                </c:pt>
                <c:pt idx="24">
                  <c:v>Chapadão do Lageado</c:v>
                </c:pt>
                <c:pt idx="25">
                  <c:v>Cordilheira Alta</c:v>
                </c:pt>
                <c:pt idx="26">
                  <c:v>Coronel Martins</c:v>
                </c:pt>
                <c:pt idx="27">
                  <c:v>Cunhataí</c:v>
                </c:pt>
                <c:pt idx="28">
                  <c:v>Dona Emma</c:v>
                </c:pt>
                <c:pt idx="29">
                  <c:v>Doutor Pedrinho</c:v>
                </c:pt>
                <c:pt idx="30">
                  <c:v>Entre Rios</c:v>
                </c:pt>
                <c:pt idx="31">
                  <c:v>Ermo</c:v>
                </c:pt>
                <c:pt idx="32">
                  <c:v>Erval Velho</c:v>
                </c:pt>
                <c:pt idx="33">
                  <c:v>Flor do Sertão</c:v>
                </c:pt>
                <c:pt idx="34">
                  <c:v>Formosa do Sul</c:v>
                </c:pt>
                <c:pt idx="35">
                  <c:v>Frei Rogério</c:v>
                </c:pt>
                <c:pt idx="36">
                  <c:v>Galvão</c:v>
                </c:pt>
                <c:pt idx="37">
                  <c:v>Guarujá do Sul</c:v>
                </c:pt>
                <c:pt idx="38">
                  <c:v>Guatambú</c:v>
                </c:pt>
                <c:pt idx="39">
                  <c:v>Ibiam</c:v>
                </c:pt>
                <c:pt idx="40">
                  <c:v>Ibicaré</c:v>
                </c:pt>
                <c:pt idx="41">
                  <c:v>Iomerê</c:v>
                </c:pt>
                <c:pt idx="42">
                  <c:v>Ipira</c:v>
                </c:pt>
                <c:pt idx="43">
                  <c:v>Iraceminha</c:v>
                </c:pt>
                <c:pt idx="44">
                  <c:v>Irati</c:v>
                </c:pt>
                <c:pt idx="45">
                  <c:v>Jaborá</c:v>
                </c:pt>
                <c:pt idx="46">
                  <c:v>Jardinópolis</c:v>
                </c:pt>
                <c:pt idx="47">
                  <c:v>José Boiteux</c:v>
                </c:pt>
                <c:pt idx="48">
                  <c:v>Jupiá</c:v>
                </c:pt>
                <c:pt idx="49">
                  <c:v>Lacerdópolis</c:v>
                </c:pt>
                <c:pt idx="50">
                  <c:v>Lajeado Grande</c:v>
                </c:pt>
                <c:pt idx="51">
                  <c:v>Leoberto Leal</c:v>
                </c:pt>
                <c:pt idx="52">
                  <c:v>Lindóia do Sul</c:v>
                </c:pt>
                <c:pt idx="53">
                  <c:v>Macieira</c:v>
                </c:pt>
                <c:pt idx="54">
                  <c:v>Major Gercino</c:v>
                </c:pt>
                <c:pt idx="55">
                  <c:v>Marema</c:v>
                </c:pt>
                <c:pt idx="56">
                  <c:v>Matos Costa</c:v>
                </c:pt>
                <c:pt idx="57">
                  <c:v>Mirim Doce</c:v>
                </c:pt>
                <c:pt idx="58">
                  <c:v>Modelo</c:v>
                </c:pt>
                <c:pt idx="59">
                  <c:v>Morro Grande</c:v>
                </c:pt>
                <c:pt idx="60">
                  <c:v>Nova Erechim</c:v>
                </c:pt>
                <c:pt idx="61">
                  <c:v>Nova Itaberaba</c:v>
                </c:pt>
                <c:pt idx="62">
                  <c:v>Novo Horizonte</c:v>
                </c:pt>
                <c:pt idx="63">
                  <c:v>Ouro Verde</c:v>
                </c:pt>
                <c:pt idx="64">
                  <c:v>Paial</c:v>
                </c:pt>
                <c:pt idx="65">
                  <c:v>Painel</c:v>
                </c:pt>
                <c:pt idx="66">
                  <c:v>Palmeira</c:v>
                </c:pt>
                <c:pt idx="67">
                  <c:v>Paraíso</c:v>
                </c:pt>
                <c:pt idx="68">
                  <c:v>Passos Maia</c:v>
                </c:pt>
                <c:pt idx="69">
                  <c:v>Pedras Grandes</c:v>
                </c:pt>
                <c:pt idx="70">
                  <c:v>Peritiba</c:v>
                </c:pt>
                <c:pt idx="71">
                  <c:v>Pinheiro Preto</c:v>
                </c:pt>
                <c:pt idx="72">
                  <c:v>Piratuba</c:v>
                </c:pt>
                <c:pt idx="73">
                  <c:v>Planalto Alegre</c:v>
                </c:pt>
                <c:pt idx="74">
                  <c:v>Ponte Alta</c:v>
                </c:pt>
                <c:pt idx="75">
                  <c:v>Ponte Alta do Norte</c:v>
                </c:pt>
                <c:pt idx="76">
                  <c:v>Presidente Castello Branco</c:v>
                </c:pt>
                <c:pt idx="77">
                  <c:v>Presidente Nereu</c:v>
                </c:pt>
                <c:pt idx="78">
                  <c:v>Princesa</c:v>
                </c:pt>
                <c:pt idx="79">
                  <c:v>Rancho Queimado</c:v>
                </c:pt>
                <c:pt idx="80">
                  <c:v>Rio Fortuna</c:v>
                </c:pt>
                <c:pt idx="81">
                  <c:v>Rio Rufino</c:v>
                </c:pt>
                <c:pt idx="82">
                  <c:v>Riqueza</c:v>
                </c:pt>
                <c:pt idx="83">
                  <c:v>Saltinho</c:v>
                </c:pt>
                <c:pt idx="84">
                  <c:v>Salto Veloso</c:v>
                </c:pt>
                <c:pt idx="85">
                  <c:v>Santa Helena</c:v>
                </c:pt>
                <c:pt idx="86">
                  <c:v>Santa Terezinha do Progresso</c:v>
                </c:pt>
                <c:pt idx="87">
                  <c:v>Santiago do Sul</c:v>
                </c:pt>
                <c:pt idx="88">
                  <c:v>São Bernardino</c:v>
                </c:pt>
                <c:pt idx="89">
                  <c:v>São Bonifácio</c:v>
                </c:pt>
                <c:pt idx="90">
                  <c:v>São João do Itaperiú</c:v>
                </c:pt>
                <c:pt idx="91">
                  <c:v>São Martinho</c:v>
                </c:pt>
                <c:pt idx="92">
                  <c:v>São Miguel da Boa Vista</c:v>
                </c:pt>
                <c:pt idx="93">
                  <c:v>São Pedro de Alcântara</c:v>
                </c:pt>
                <c:pt idx="94">
                  <c:v>Serra Alta</c:v>
                </c:pt>
                <c:pt idx="95">
                  <c:v>Sul Brasil</c:v>
                </c:pt>
                <c:pt idx="96">
                  <c:v>Tigrinhos</c:v>
                </c:pt>
                <c:pt idx="97">
                  <c:v>Treviso</c:v>
                </c:pt>
                <c:pt idx="98">
                  <c:v>Tunápolis</c:v>
                </c:pt>
                <c:pt idx="99">
                  <c:v>União do Oeste</c:v>
                </c:pt>
                <c:pt idx="100">
                  <c:v>Urupema</c:v>
                </c:pt>
                <c:pt idx="101">
                  <c:v>Vargeão</c:v>
                </c:pt>
                <c:pt idx="102">
                  <c:v>Vargem</c:v>
                </c:pt>
                <c:pt idx="103">
                  <c:v>Vargem Bonita</c:v>
                </c:pt>
                <c:pt idx="104">
                  <c:v>Witmarsum</c:v>
                </c:pt>
                <c:pt idx="105">
                  <c:v>Xavantina</c:v>
                </c:pt>
                <c:pt idx="106">
                  <c:v>Zortéa</c:v>
                </c:pt>
              </c:strCache>
            </c:strRef>
          </c:cat>
          <c:val>
            <c:numRef>
              <c:f>totais!$B$3:$B$109</c:f>
              <c:numCache>
                <c:formatCode>_(* #,##0.00_);_(* \(#,##0.00\);_(* "-"??_);_(@_)</c:formatCode>
                <c:ptCount val="107"/>
                <c:pt idx="0">
                  <c:v>625070.26999999897</c:v>
                </c:pt>
                <c:pt idx="1">
                  <c:v>290161.37</c:v>
                </c:pt>
                <c:pt idx="2">
                  <c:v>244220.03</c:v>
                </c:pt>
                <c:pt idx="3">
                  <c:v>205841.09</c:v>
                </c:pt>
                <c:pt idx="4">
                  <c:v>986597.24000000011</c:v>
                </c:pt>
                <c:pt idx="5">
                  <c:v>652077.52</c:v>
                </c:pt>
                <c:pt idx="6">
                  <c:v>261473.17</c:v>
                </c:pt>
                <c:pt idx="7">
                  <c:v>102807.82</c:v>
                </c:pt>
                <c:pt idx="8">
                  <c:v>158928.69</c:v>
                </c:pt>
                <c:pt idx="9">
                  <c:v>456699.63999999996</c:v>
                </c:pt>
                <c:pt idx="10">
                  <c:v>278859.7800000002</c:v>
                </c:pt>
                <c:pt idx="11">
                  <c:v>535868</c:v>
                </c:pt>
                <c:pt idx="12">
                  <c:v>95061</c:v>
                </c:pt>
                <c:pt idx="13">
                  <c:v>811705.15</c:v>
                </c:pt>
                <c:pt idx="14">
                  <c:v>479122.5</c:v>
                </c:pt>
                <c:pt idx="15">
                  <c:v>724429.74</c:v>
                </c:pt>
                <c:pt idx="16">
                  <c:v>300738.98000000021</c:v>
                </c:pt>
                <c:pt idx="17">
                  <c:v>793423.48</c:v>
                </c:pt>
                <c:pt idx="18">
                  <c:v>599521.17999999714</c:v>
                </c:pt>
                <c:pt idx="19">
                  <c:v>873014.75</c:v>
                </c:pt>
                <c:pt idx="20">
                  <c:v>1031968.54</c:v>
                </c:pt>
                <c:pt idx="21">
                  <c:v>273168.03999999998</c:v>
                </c:pt>
                <c:pt idx="22">
                  <c:v>1018358.02</c:v>
                </c:pt>
                <c:pt idx="23">
                  <c:v>475488.44</c:v>
                </c:pt>
                <c:pt idx="24">
                  <c:v>423560.98000000021</c:v>
                </c:pt>
                <c:pt idx="25">
                  <c:v>387229</c:v>
                </c:pt>
                <c:pt idx="26">
                  <c:v>597113.89</c:v>
                </c:pt>
                <c:pt idx="27">
                  <c:v>308767.25</c:v>
                </c:pt>
                <c:pt idx="28">
                  <c:v>224878.68</c:v>
                </c:pt>
                <c:pt idx="29">
                  <c:v>210460.47</c:v>
                </c:pt>
                <c:pt idx="30">
                  <c:v>321791</c:v>
                </c:pt>
                <c:pt idx="31">
                  <c:v>20750</c:v>
                </c:pt>
                <c:pt idx="32">
                  <c:v>610567.23</c:v>
                </c:pt>
                <c:pt idx="33">
                  <c:v>371457.21</c:v>
                </c:pt>
                <c:pt idx="34">
                  <c:v>320428.94</c:v>
                </c:pt>
                <c:pt idx="35">
                  <c:v>425020.95999999996</c:v>
                </c:pt>
                <c:pt idx="36">
                  <c:v>288059</c:v>
                </c:pt>
                <c:pt idx="37">
                  <c:v>593828.43999999936</c:v>
                </c:pt>
                <c:pt idx="38">
                  <c:v>115477.92000000001</c:v>
                </c:pt>
                <c:pt idx="39">
                  <c:v>270364.35000000003</c:v>
                </c:pt>
                <c:pt idx="40">
                  <c:v>66323.78</c:v>
                </c:pt>
                <c:pt idx="41">
                  <c:v>355324.13</c:v>
                </c:pt>
                <c:pt idx="42">
                  <c:v>402332.77999999997</c:v>
                </c:pt>
                <c:pt idx="43">
                  <c:v>655941.53</c:v>
                </c:pt>
                <c:pt idx="44">
                  <c:v>148576.78999999998</c:v>
                </c:pt>
                <c:pt idx="45">
                  <c:v>468867</c:v>
                </c:pt>
                <c:pt idx="46">
                  <c:v>442196.2</c:v>
                </c:pt>
                <c:pt idx="47">
                  <c:v>184816.41999999998</c:v>
                </c:pt>
                <c:pt idx="48">
                  <c:v>531524.87</c:v>
                </c:pt>
                <c:pt idx="49">
                  <c:v>420181.5</c:v>
                </c:pt>
                <c:pt idx="50">
                  <c:v>324490.42000000022</c:v>
                </c:pt>
                <c:pt idx="51">
                  <c:v>489603.95</c:v>
                </c:pt>
                <c:pt idx="52">
                  <c:v>263982.74</c:v>
                </c:pt>
                <c:pt idx="53">
                  <c:v>793546.09</c:v>
                </c:pt>
                <c:pt idx="54">
                  <c:v>474161.02999999997</c:v>
                </c:pt>
                <c:pt idx="55">
                  <c:v>22597.5</c:v>
                </c:pt>
                <c:pt idx="56">
                  <c:v>591872.23</c:v>
                </c:pt>
                <c:pt idx="57">
                  <c:v>524864.66</c:v>
                </c:pt>
                <c:pt idx="58">
                  <c:v>488854.63999999996</c:v>
                </c:pt>
                <c:pt idx="59">
                  <c:v>67215</c:v>
                </c:pt>
                <c:pt idx="60">
                  <c:v>312375.65999999986</c:v>
                </c:pt>
                <c:pt idx="61">
                  <c:v>374146.41000000021</c:v>
                </c:pt>
                <c:pt idx="62">
                  <c:v>328494.61</c:v>
                </c:pt>
                <c:pt idx="63">
                  <c:v>446883.35</c:v>
                </c:pt>
                <c:pt idx="64">
                  <c:v>201130.49000000002</c:v>
                </c:pt>
                <c:pt idx="65">
                  <c:v>280314.82999999996</c:v>
                </c:pt>
                <c:pt idx="66">
                  <c:v>193540</c:v>
                </c:pt>
                <c:pt idx="67">
                  <c:v>441822.29000000021</c:v>
                </c:pt>
                <c:pt idx="68">
                  <c:v>164390.31</c:v>
                </c:pt>
                <c:pt idx="69">
                  <c:v>106756.17000000023</c:v>
                </c:pt>
                <c:pt idx="70">
                  <c:v>147147.44999999998</c:v>
                </c:pt>
                <c:pt idx="71">
                  <c:v>630368</c:v>
                </c:pt>
                <c:pt idx="72">
                  <c:v>1297928.1700000011</c:v>
                </c:pt>
                <c:pt idx="73">
                  <c:v>195297.84000000003</c:v>
                </c:pt>
                <c:pt idx="74">
                  <c:v>552922.96000000043</c:v>
                </c:pt>
                <c:pt idx="75">
                  <c:v>611049.51</c:v>
                </c:pt>
                <c:pt idx="76">
                  <c:v>307888.52</c:v>
                </c:pt>
                <c:pt idx="77">
                  <c:v>149580</c:v>
                </c:pt>
                <c:pt idx="78">
                  <c:v>719617.34000000043</c:v>
                </c:pt>
                <c:pt idx="79">
                  <c:v>314554.68</c:v>
                </c:pt>
                <c:pt idx="80">
                  <c:v>1195.8399999999999</c:v>
                </c:pt>
                <c:pt idx="81">
                  <c:v>241001.05</c:v>
                </c:pt>
                <c:pt idx="82">
                  <c:v>550771.36000000045</c:v>
                </c:pt>
                <c:pt idx="83">
                  <c:v>859240.46000000043</c:v>
                </c:pt>
                <c:pt idx="84">
                  <c:v>189806.09000000003</c:v>
                </c:pt>
                <c:pt idx="85">
                  <c:v>381616.82000000007</c:v>
                </c:pt>
                <c:pt idx="86">
                  <c:v>894798.88</c:v>
                </c:pt>
                <c:pt idx="87">
                  <c:v>497960.27</c:v>
                </c:pt>
                <c:pt idx="88">
                  <c:v>737803.25000000012</c:v>
                </c:pt>
                <c:pt idx="89">
                  <c:v>237346.22</c:v>
                </c:pt>
                <c:pt idx="90">
                  <c:v>132851.29999999999</c:v>
                </c:pt>
                <c:pt idx="91">
                  <c:v>362275.14999999985</c:v>
                </c:pt>
                <c:pt idx="92">
                  <c:v>792354.49</c:v>
                </c:pt>
                <c:pt idx="93">
                  <c:v>232923.13999999998</c:v>
                </c:pt>
                <c:pt idx="94">
                  <c:v>827803.35000000044</c:v>
                </c:pt>
                <c:pt idx="95">
                  <c:v>225954.12</c:v>
                </c:pt>
                <c:pt idx="96">
                  <c:v>819982.27999999688</c:v>
                </c:pt>
                <c:pt idx="97">
                  <c:v>336340</c:v>
                </c:pt>
                <c:pt idx="98">
                  <c:v>429625.83</c:v>
                </c:pt>
                <c:pt idx="99">
                  <c:v>411113.87000000005</c:v>
                </c:pt>
                <c:pt idx="100">
                  <c:v>318234.64999999985</c:v>
                </c:pt>
                <c:pt idx="101">
                  <c:v>503061.2200000002</c:v>
                </c:pt>
                <c:pt idx="102">
                  <c:v>755868.35000000044</c:v>
                </c:pt>
                <c:pt idx="103">
                  <c:v>1164180.74</c:v>
                </c:pt>
                <c:pt idx="104">
                  <c:v>271662.38</c:v>
                </c:pt>
                <c:pt idx="105">
                  <c:v>327298.48000000021</c:v>
                </c:pt>
                <c:pt idx="106">
                  <c:v>555179.94999999937</c:v>
                </c:pt>
              </c:numCache>
            </c:numRef>
          </c:val>
          <c:smooth val="0"/>
          <c:extLst>
            <c:ext xmlns:c16="http://schemas.microsoft.com/office/drawing/2014/chart" uri="{C3380CC4-5D6E-409C-BE32-E72D297353CC}">
              <c16:uniqueId val="{00000000-716E-435A-BA1A-F8F53621983F}"/>
            </c:ext>
          </c:extLst>
        </c:ser>
        <c:ser>
          <c:idx val="1"/>
          <c:order val="1"/>
          <c:tx>
            <c:strRef>
              <c:f>totais!$C$2</c:f>
              <c:strCache>
                <c:ptCount val="1"/>
                <c:pt idx="0">
                  <c:v>Passagens</c:v>
                </c:pt>
              </c:strCache>
            </c:strRef>
          </c:tx>
          <c:marker>
            <c:symbol val="none"/>
          </c:marker>
          <c:cat>
            <c:strRef>
              <c:f>totais!$A$3:$A$109</c:f>
              <c:strCache>
                <c:ptCount val="107"/>
                <c:pt idx="0">
                  <c:v>Abdon Batista</c:v>
                </c:pt>
                <c:pt idx="1">
                  <c:v>Agronômica</c:v>
                </c:pt>
                <c:pt idx="2">
                  <c:v>Águas Frias</c:v>
                </c:pt>
                <c:pt idx="3">
                  <c:v>Alto Bela Vista</c:v>
                </c:pt>
                <c:pt idx="4">
                  <c:v>Anitápolis</c:v>
                </c:pt>
                <c:pt idx="5">
                  <c:v>Arabutã</c:v>
                </c:pt>
                <c:pt idx="6">
                  <c:v>Arroio Trinta</c:v>
                </c:pt>
                <c:pt idx="7">
                  <c:v>Arvoredo</c:v>
                </c:pt>
                <c:pt idx="8">
                  <c:v>Atalanta</c:v>
                </c:pt>
                <c:pt idx="9">
                  <c:v>Bandeirante</c:v>
                </c:pt>
                <c:pt idx="10">
                  <c:v>Barra Bonita</c:v>
                </c:pt>
                <c:pt idx="11">
                  <c:v>Belmonte</c:v>
                </c:pt>
                <c:pt idx="12">
                  <c:v>Bocaina do Sul</c:v>
                </c:pt>
                <c:pt idx="13">
                  <c:v>Bom Jardim da Serra</c:v>
                </c:pt>
                <c:pt idx="14">
                  <c:v>Bom Jesus</c:v>
                </c:pt>
                <c:pt idx="15">
                  <c:v>Bom Jesus do Oeste</c:v>
                </c:pt>
                <c:pt idx="16">
                  <c:v>Botuverá</c:v>
                </c:pt>
                <c:pt idx="17">
                  <c:v>Braço do Trombudo</c:v>
                </c:pt>
                <c:pt idx="18">
                  <c:v>Brunópolis</c:v>
                </c:pt>
                <c:pt idx="19">
                  <c:v>Calmon</c:v>
                </c:pt>
                <c:pt idx="20">
                  <c:v>Capão Alto</c:v>
                </c:pt>
                <c:pt idx="21">
                  <c:v>Caxambu do Sul</c:v>
                </c:pt>
                <c:pt idx="22">
                  <c:v>Celso Ramos</c:v>
                </c:pt>
                <c:pt idx="23">
                  <c:v>Cerro Negro</c:v>
                </c:pt>
                <c:pt idx="24">
                  <c:v>Chapadão do Lageado</c:v>
                </c:pt>
                <c:pt idx="25">
                  <c:v>Cordilheira Alta</c:v>
                </c:pt>
                <c:pt idx="26">
                  <c:v>Coronel Martins</c:v>
                </c:pt>
                <c:pt idx="27">
                  <c:v>Cunhataí</c:v>
                </c:pt>
                <c:pt idx="28">
                  <c:v>Dona Emma</c:v>
                </c:pt>
                <c:pt idx="29">
                  <c:v>Doutor Pedrinho</c:v>
                </c:pt>
                <c:pt idx="30">
                  <c:v>Entre Rios</c:v>
                </c:pt>
                <c:pt idx="31">
                  <c:v>Ermo</c:v>
                </c:pt>
                <c:pt idx="32">
                  <c:v>Erval Velho</c:v>
                </c:pt>
                <c:pt idx="33">
                  <c:v>Flor do Sertão</c:v>
                </c:pt>
                <c:pt idx="34">
                  <c:v>Formosa do Sul</c:v>
                </c:pt>
                <c:pt idx="35">
                  <c:v>Frei Rogério</c:v>
                </c:pt>
                <c:pt idx="36">
                  <c:v>Galvão</c:v>
                </c:pt>
                <c:pt idx="37">
                  <c:v>Guarujá do Sul</c:v>
                </c:pt>
                <c:pt idx="38">
                  <c:v>Guatambú</c:v>
                </c:pt>
                <c:pt idx="39">
                  <c:v>Ibiam</c:v>
                </c:pt>
                <c:pt idx="40">
                  <c:v>Ibicaré</c:v>
                </c:pt>
                <c:pt idx="41">
                  <c:v>Iomerê</c:v>
                </c:pt>
                <c:pt idx="42">
                  <c:v>Ipira</c:v>
                </c:pt>
                <c:pt idx="43">
                  <c:v>Iraceminha</c:v>
                </c:pt>
                <c:pt idx="44">
                  <c:v>Irati</c:v>
                </c:pt>
                <c:pt idx="45">
                  <c:v>Jaborá</c:v>
                </c:pt>
                <c:pt idx="46">
                  <c:v>Jardinópolis</c:v>
                </c:pt>
                <c:pt idx="47">
                  <c:v>José Boiteux</c:v>
                </c:pt>
                <c:pt idx="48">
                  <c:v>Jupiá</c:v>
                </c:pt>
                <c:pt idx="49">
                  <c:v>Lacerdópolis</c:v>
                </c:pt>
                <c:pt idx="50">
                  <c:v>Lajeado Grande</c:v>
                </c:pt>
                <c:pt idx="51">
                  <c:v>Leoberto Leal</c:v>
                </c:pt>
                <c:pt idx="52">
                  <c:v>Lindóia do Sul</c:v>
                </c:pt>
                <c:pt idx="53">
                  <c:v>Macieira</c:v>
                </c:pt>
                <c:pt idx="54">
                  <c:v>Major Gercino</c:v>
                </c:pt>
                <c:pt idx="55">
                  <c:v>Marema</c:v>
                </c:pt>
                <c:pt idx="56">
                  <c:v>Matos Costa</c:v>
                </c:pt>
                <c:pt idx="57">
                  <c:v>Mirim Doce</c:v>
                </c:pt>
                <c:pt idx="58">
                  <c:v>Modelo</c:v>
                </c:pt>
                <c:pt idx="59">
                  <c:v>Morro Grande</c:v>
                </c:pt>
                <c:pt idx="60">
                  <c:v>Nova Erechim</c:v>
                </c:pt>
                <c:pt idx="61">
                  <c:v>Nova Itaberaba</c:v>
                </c:pt>
                <c:pt idx="62">
                  <c:v>Novo Horizonte</c:v>
                </c:pt>
                <c:pt idx="63">
                  <c:v>Ouro Verde</c:v>
                </c:pt>
                <c:pt idx="64">
                  <c:v>Paial</c:v>
                </c:pt>
                <c:pt idx="65">
                  <c:v>Painel</c:v>
                </c:pt>
                <c:pt idx="66">
                  <c:v>Palmeira</c:v>
                </c:pt>
                <c:pt idx="67">
                  <c:v>Paraíso</c:v>
                </c:pt>
                <c:pt idx="68">
                  <c:v>Passos Maia</c:v>
                </c:pt>
                <c:pt idx="69">
                  <c:v>Pedras Grandes</c:v>
                </c:pt>
                <c:pt idx="70">
                  <c:v>Peritiba</c:v>
                </c:pt>
                <c:pt idx="71">
                  <c:v>Pinheiro Preto</c:v>
                </c:pt>
                <c:pt idx="72">
                  <c:v>Piratuba</c:v>
                </c:pt>
                <c:pt idx="73">
                  <c:v>Planalto Alegre</c:v>
                </c:pt>
                <c:pt idx="74">
                  <c:v>Ponte Alta</c:v>
                </c:pt>
                <c:pt idx="75">
                  <c:v>Ponte Alta do Norte</c:v>
                </c:pt>
                <c:pt idx="76">
                  <c:v>Presidente Castello Branco</c:v>
                </c:pt>
                <c:pt idx="77">
                  <c:v>Presidente Nereu</c:v>
                </c:pt>
                <c:pt idx="78">
                  <c:v>Princesa</c:v>
                </c:pt>
                <c:pt idx="79">
                  <c:v>Rancho Queimado</c:v>
                </c:pt>
                <c:pt idx="80">
                  <c:v>Rio Fortuna</c:v>
                </c:pt>
                <c:pt idx="81">
                  <c:v>Rio Rufino</c:v>
                </c:pt>
                <c:pt idx="82">
                  <c:v>Riqueza</c:v>
                </c:pt>
                <c:pt idx="83">
                  <c:v>Saltinho</c:v>
                </c:pt>
                <c:pt idx="84">
                  <c:v>Salto Veloso</c:v>
                </c:pt>
                <c:pt idx="85">
                  <c:v>Santa Helena</c:v>
                </c:pt>
                <c:pt idx="86">
                  <c:v>Santa Terezinha do Progresso</c:v>
                </c:pt>
                <c:pt idx="87">
                  <c:v>Santiago do Sul</c:v>
                </c:pt>
                <c:pt idx="88">
                  <c:v>São Bernardino</c:v>
                </c:pt>
                <c:pt idx="89">
                  <c:v>São Bonifácio</c:v>
                </c:pt>
                <c:pt idx="90">
                  <c:v>São João do Itaperiú</c:v>
                </c:pt>
                <c:pt idx="91">
                  <c:v>São Martinho</c:v>
                </c:pt>
                <c:pt idx="92">
                  <c:v>São Miguel da Boa Vista</c:v>
                </c:pt>
                <c:pt idx="93">
                  <c:v>São Pedro de Alcântara</c:v>
                </c:pt>
                <c:pt idx="94">
                  <c:v>Serra Alta</c:v>
                </c:pt>
                <c:pt idx="95">
                  <c:v>Sul Brasil</c:v>
                </c:pt>
                <c:pt idx="96">
                  <c:v>Tigrinhos</c:v>
                </c:pt>
                <c:pt idx="97">
                  <c:v>Treviso</c:v>
                </c:pt>
                <c:pt idx="98">
                  <c:v>Tunápolis</c:v>
                </c:pt>
                <c:pt idx="99">
                  <c:v>União do Oeste</c:v>
                </c:pt>
                <c:pt idx="100">
                  <c:v>Urupema</c:v>
                </c:pt>
                <c:pt idx="101">
                  <c:v>Vargeão</c:v>
                </c:pt>
                <c:pt idx="102">
                  <c:v>Vargem</c:v>
                </c:pt>
                <c:pt idx="103">
                  <c:v>Vargem Bonita</c:v>
                </c:pt>
                <c:pt idx="104">
                  <c:v>Witmarsum</c:v>
                </c:pt>
                <c:pt idx="105">
                  <c:v>Xavantina</c:v>
                </c:pt>
                <c:pt idx="106">
                  <c:v>Zortéa</c:v>
                </c:pt>
              </c:strCache>
            </c:strRef>
          </c:cat>
          <c:val>
            <c:numRef>
              <c:f>totais!$C$3:$C$109</c:f>
              <c:numCache>
                <c:formatCode>_(* #,##0.00_);_(* \(#,##0.00\);_(* "-"??_);_(@_)</c:formatCode>
                <c:ptCount val="107"/>
                <c:pt idx="0">
                  <c:v>19590.910000000003</c:v>
                </c:pt>
                <c:pt idx="1">
                  <c:v>92215.5</c:v>
                </c:pt>
                <c:pt idx="2">
                  <c:v>98538.84</c:v>
                </c:pt>
                <c:pt idx="3">
                  <c:v>35807.699999999997</c:v>
                </c:pt>
                <c:pt idx="4">
                  <c:v>74427.51999999999</c:v>
                </c:pt>
                <c:pt idx="5">
                  <c:v>169688.63</c:v>
                </c:pt>
                <c:pt idx="6">
                  <c:v>83197.489999999991</c:v>
                </c:pt>
                <c:pt idx="7">
                  <c:v>42742.58</c:v>
                </c:pt>
                <c:pt idx="8">
                  <c:v>66568.870000000024</c:v>
                </c:pt>
                <c:pt idx="9">
                  <c:v>520039.92000000022</c:v>
                </c:pt>
                <c:pt idx="10">
                  <c:v>89647.38</c:v>
                </c:pt>
                <c:pt idx="11">
                  <c:v>585335.30000000005</c:v>
                </c:pt>
                <c:pt idx="12">
                  <c:v>17488.5</c:v>
                </c:pt>
                <c:pt idx="13">
                  <c:v>23403.55</c:v>
                </c:pt>
                <c:pt idx="14">
                  <c:v>57099.070000000007</c:v>
                </c:pt>
                <c:pt idx="15">
                  <c:v>145283.51</c:v>
                </c:pt>
                <c:pt idx="16">
                  <c:v>2500.56</c:v>
                </c:pt>
                <c:pt idx="17">
                  <c:v>157637.44999999998</c:v>
                </c:pt>
                <c:pt idx="18">
                  <c:v>48945.08</c:v>
                </c:pt>
                <c:pt idx="19">
                  <c:v>42449.490000000005</c:v>
                </c:pt>
                <c:pt idx="20">
                  <c:v>52776.04</c:v>
                </c:pt>
                <c:pt idx="21">
                  <c:v>73730.720000000001</c:v>
                </c:pt>
                <c:pt idx="22">
                  <c:v>81232.47</c:v>
                </c:pt>
                <c:pt idx="23">
                  <c:v>59714.7</c:v>
                </c:pt>
                <c:pt idx="24">
                  <c:v>53482.97</c:v>
                </c:pt>
                <c:pt idx="25">
                  <c:v>93410.909999999989</c:v>
                </c:pt>
                <c:pt idx="26">
                  <c:v>83223.899999999994</c:v>
                </c:pt>
                <c:pt idx="27">
                  <c:v>73728.97</c:v>
                </c:pt>
                <c:pt idx="28">
                  <c:v>23205.780000000021</c:v>
                </c:pt>
                <c:pt idx="29">
                  <c:v>15806.93</c:v>
                </c:pt>
                <c:pt idx="30">
                  <c:v>3418.82</c:v>
                </c:pt>
                <c:pt idx="31">
                  <c:v>3965.8100000000022</c:v>
                </c:pt>
                <c:pt idx="32">
                  <c:v>43546.06</c:v>
                </c:pt>
                <c:pt idx="33">
                  <c:v>95123.64</c:v>
                </c:pt>
                <c:pt idx="34">
                  <c:v>63211.43</c:v>
                </c:pt>
                <c:pt idx="35">
                  <c:v>38383.53</c:v>
                </c:pt>
                <c:pt idx="36">
                  <c:v>100392.22000000002</c:v>
                </c:pt>
                <c:pt idx="37">
                  <c:v>35849.82</c:v>
                </c:pt>
                <c:pt idx="38">
                  <c:v>44703.210000000006</c:v>
                </c:pt>
                <c:pt idx="39">
                  <c:v>44687.679999999993</c:v>
                </c:pt>
                <c:pt idx="40">
                  <c:v>0</c:v>
                </c:pt>
                <c:pt idx="41">
                  <c:v>2779.06</c:v>
                </c:pt>
                <c:pt idx="42">
                  <c:v>128260.87000000002</c:v>
                </c:pt>
                <c:pt idx="43">
                  <c:v>5270.0300000000007</c:v>
                </c:pt>
                <c:pt idx="44">
                  <c:v>27839.4</c:v>
                </c:pt>
                <c:pt idx="45">
                  <c:v>41699.01</c:v>
                </c:pt>
                <c:pt idx="46">
                  <c:v>83388.5</c:v>
                </c:pt>
                <c:pt idx="47">
                  <c:v>33404.54</c:v>
                </c:pt>
                <c:pt idx="48">
                  <c:v>170930.22</c:v>
                </c:pt>
                <c:pt idx="49">
                  <c:v>82784.790000000008</c:v>
                </c:pt>
                <c:pt idx="50">
                  <c:v>81392.47</c:v>
                </c:pt>
                <c:pt idx="51">
                  <c:v>30740.959999999992</c:v>
                </c:pt>
                <c:pt idx="52">
                  <c:v>60266.380000000012</c:v>
                </c:pt>
                <c:pt idx="53">
                  <c:v>91251.63</c:v>
                </c:pt>
                <c:pt idx="54">
                  <c:v>2859.57</c:v>
                </c:pt>
                <c:pt idx="55">
                  <c:v>62230.96</c:v>
                </c:pt>
                <c:pt idx="56">
                  <c:v>376391.11999999994</c:v>
                </c:pt>
                <c:pt idx="57">
                  <c:v>135572.56</c:v>
                </c:pt>
                <c:pt idx="58">
                  <c:v>35369.46</c:v>
                </c:pt>
                <c:pt idx="59">
                  <c:v>14314.81</c:v>
                </c:pt>
                <c:pt idx="60">
                  <c:v>195194.38999999949</c:v>
                </c:pt>
                <c:pt idx="61">
                  <c:v>109370.77</c:v>
                </c:pt>
                <c:pt idx="62">
                  <c:v>143634.58000000002</c:v>
                </c:pt>
                <c:pt idx="63">
                  <c:v>4283.8100000000004</c:v>
                </c:pt>
                <c:pt idx="64">
                  <c:v>73451.88</c:v>
                </c:pt>
                <c:pt idx="65">
                  <c:v>11406.88</c:v>
                </c:pt>
                <c:pt idx="66">
                  <c:v>28840.180000000004</c:v>
                </c:pt>
                <c:pt idx="67">
                  <c:v>744929.97</c:v>
                </c:pt>
                <c:pt idx="68">
                  <c:v>248436.62</c:v>
                </c:pt>
                <c:pt idx="69">
                  <c:v>12927.720000000008</c:v>
                </c:pt>
                <c:pt idx="70">
                  <c:v>41470.199999999997</c:v>
                </c:pt>
                <c:pt idx="71">
                  <c:v>48224.08</c:v>
                </c:pt>
                <c:pt idx="72">
                  <c:v>102280.69</c:v>
                </c:pt>
                <c:pt idx="73">
                  <c:v>78274.340000000011</c:v>
                </c:pt>
                <c:pt idx="74">
                  <c:v>24563.019999999924</c:v>
                </c:pt>
                <c:pt idx="75">
                  <c:v>22671.58</c:v>
                </c:pt>
                <c:pt idx="76">
                  <c:v>356.68</c:v>
                </c:pt>
                <c:pt idx="77">
                  <c:v>40357.950000000012</c:v>
                </c:pt>
                <c:pt idx="78">
                  <c:v>192539.86000000002</c:v>
                </c:pt>
                <c:pt idx="79">
                  <c:v>1425.24</c:v>
                </c:pt>
                <c:pt idx="80">
                  <c:v>1079.6099999999999</c:v>
                </c:pt>
                <c:pt idx="81">
                  <c:v>18697.62</c:v>
                </c:pt>
                <c:pt idx="82">
                  <c:v>209938.56</c:v>
                </c:pt>
                <c:pt idx="83">
                  <c:v>91759.680000000022</c:v>
                </c:pt>
                <c:pt idx="84">
                  <c:v>15107.480000000001</c:v>
                </c:pt>
                <c:pt idx="85">
                  <c:v>0</c:v>
                </c:pt>
                <c:pt idx="86">
                  <c:v>68408.28</c:v>
                </c:pt>
                <c:pt idx="87">
                  <c:v>85602.150000000023</c:v>
                </c:pt>
                <c:pt idx="88">
                  <c:v>152970.91</c:v>
                </c:pt>
                <c:pt idx="89">
                  <c:v>0</c:v>
                </c:pt>
                <c:pt idx="90">
                  <c:v>32759.250000000004</c:v>
                </c:pt>
                <c:pt idx="91">
                  <c:v>50901.54</c:v>
                </c:pt>
                <c:pt idx="92">
                  <c:v>66262.05</c:v>
                </c:pt>
                <c:pt idx="93">
                  <c:v>82953.7</c:v>
                </c:pt>
                <c:pt idx="94">
                  <c:v>15760.2</c:v>
                </c:pt>
                <c:pt idx="95">
                  <c:v>123122.5</c:v>
                </c:pt>
                <c:pt idx="96">
                  <c:v>138897.60999999999</c:v>
                </c:pt>
                <c:pt idx="97">
                  <c:v>58887.360000000001</c:v>
                </c:pt>
                <c:pt idx="98">
                  <c:v>153857.51</c:v>
                </c:pt>
                <c:pt idx="99">
                  <c:v>2681.54</c:v>
                </c:pt>
                <c:pt idx="100">
                  <c:v>30859.08</c:v>
                </c:pt>
                <c:pt idx="101">
                  <c:v>35576.950000000012</c:v>
                </c:pt>
                <c:pt idx="102">
                  <c:v>10478.18</c:v>
                </c:pt>
                <c:pt idx="103">
                  <c:v>172543.25999999998</c:v>
                </c:pt>
                <c:pt idx="104">
                  <c:v>173326.77000000011</c:v>
                </c:pt>
                <c:pt idx="105">
                  <c:v>174226.55</c:v>
                </c:pt>
                <c:pt idx="106">
                  <c:v>28747.64</c:v>
                </c:pt>
              </c:numCache>
            </c:numRef>
          </c:val>
          <c:smooth val="0"/>
          <c:extLst>
            <c:ext xmlns:c16="http://schemas.microsoft.com/office/drawing/2014/chart" uri="{C3380CC4-5D6E-409C-BE32-E72D297353CC}">
              <c16:uniqueId val="{00000001-716E-435A-BA1A-F8F53621983F}"/>
            </c:ext>
          </c:extLst>
        </c:ser>
        <c:dLbls>
          <c:showLegendKey val="0"/>
          <c:showVal val="0"/>
          <c:showCatName val="0"/>
          <c:showSerName val="0"/>
          <c:showPercent val="0"/>
          <c:showBubbleSize val="0"/>
        </c:dLbls>
        <c:smooth val="0"/>
        <c:axId val="81898880"/>
        <c:axId val="81904768"/>
      </c:lineChart>
      <c:catAx>
        <c:axId val="81898880"/>
        <c:scaling>
          <c:orientation val="minMax"/>
        </c:scaling>
        <c:delete val="0"/>
        <c:axPos val="b"/>
        <c:numFmt formatCode="General" sourceLinked="0"/>
        <c:majorTickMark val="out"/>
        <c:minorTickMark val="none"/>
        <c:tickLblPos val="nextTo"/>
        <c:txPr>
          <a:bodyPr/>
          <a:lstStyle/>
          <a:p>
            <a:pPr>
              <a:defRPr sz="800"/>
            </a:pPr>
            <a:endParaRPr lang="pt-BR"/>
          </a:p>
        </c:txPr>
        <c:crossAx val="81904768"/>
        <c:crosses val="autoZero"/>
        <c:auto val="1"/>
        <c:lblAlgn val="ctr"/>
        <c:lblOffset val="100"/>
        <c:noMultiLvlLbl val="0"/>
      </c:catAx>
      <c:valAx>
        <c:axId val="81904768"/>
        <c:scaling>
          <c:orientation val="minMax"/>
        </c:scaling>
        <c:delete val="0"/>
        <c:axPos val="l"/>
        <c:majorGridlines/>
        <c:numFmt formatCode="_(* #,##0.00_);_(* \(#,##0.00\);_(* &quot;-&quot;??_);_(@_)" sourceLinked="1"/>
        <c:majorTickMark val="out"/>
        <c:minorTickMark val="none"/>
        <c:tickLblPos val="nextTo"/>
        <c:txPr>
          <a:bodyPr/>
          <a:lstStyle/>
          <a:p>
            <a:pPr>
              <a:defRPr sz="800"/>
            </a:pPr>
            <a:endParaRPr lang="pt-BR"/>
          </a:p>
        </c:txPr>
        <c:crossAx val="81898880"/>
        <c:crosses val="autoZero"/>
        <c:crossBetween val="between"/>
      </c:valAx>
    </c:plotArea>
    <c:legend>
      <c:legendPos val="r"/>
      <c:layout>
        <c:manualLayout>
          <c:xMode val="edge"/>
          <c:yMode val="edge"/>
          <c:x val="1.6328776398576574E-2"/>
          <c:y val="0.7866531787693205"/>
          <c:w val="0.18054713629228203"/>
          <c:h val="0.2133466462759570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Plan2!$A$113</c:f>
              <c:strCache>
                <c:ptCount val="1"/>
                <c:pt idx="0">
                  <c:v>Diárias</c:v>
                </c:pt>
              </c:strCache>
            </c:strRef>
          </c:tx>
          <c:marker>
            <c:symbol val="none"/>
          </c:marker>
          <c:cat>
            <c:numRef>
              <c:f>Plan2!$B$112:$G$112</c:f>
              <c:numCache>
                <c:formatCode>General</c:formatCode>
                <c:ptCount val="6"/>
                <c:pt idx="0">
                  <c:v>2011</c:v>
                </c:pt>
                <c:pt idx="1">
                  <c:v>2012</c:v>
                </c:pt>
                <c:pt idx="2">
                  <c:v>2013</c:v>
                </c:pt>
                <c:pt idx="3">
                  <c:v>2014</c:v>
                </c:pt>
                <c:pt idx="4">
                  <c:v>2015</c:v>
                </c:pt>
                <c:pt idx="5">
                  <c:v>2016</c:v>
                </c:pt>
              </c:numCache>
            </c:numRef>
          </c:cat>
          <c:val>
            <c:numRef>
              <c:f>Plan2!$B$113:$G$113</c:f>
              <c:numCache>
                <c:formatCode>General</c:formatCode>
                <c:ptCount val="6"/>
                <c:pt idx="0">
                  <c:v>6918324.8599999994</c:v>
                </c:pt>
                <c:pt idx="1">
                  <c:v>6406869.54</c:v>
                </c:pt>
                <c:pt idx="2">
                  <c:v>8325302.3699999992</c:v>
                </c:pt>
                <c:pt idx="3">
                  <c:v>8654565.329999987</c:v>
                </c:pt>
                <c:pt idx="4">
                  <c:v>8442879</c:v>
                </c:pt>
                <c:pt idx="5">
                  <c:v>7592312.0500000007</c:v>
                </c:pt>
              </c:numCache>
            </c:numRef>
          </c:val>
          <c:smooth val="0"/>
          <c:extLst>
            <c:ext xmlns:c16="http://schemas.microsoft.com/office/drawing/2014/chart" uri="{C3380CC4-5D6E-409C-BE32-E72D297353CC}">
              <c16:uniqueId val="{00000000-8DCB-4647-B0FC-1CC2AACB8F9F}"/>
            </c:ext>
          </c:extLst>
        </c:ser>
        <c:ser>
          <c:idx val="1"/>
          <c:order val="1"/>
          <c:tx>
            <c:strRef>
              <c:f>Plan2!$A$114</c:f>
              <c:strCache>
                <c:ptCount val="1"/>
                <c:pt idx="0">
                  <c:v>Passagens</c:v>
                </c:pt>
              </c:strCache>
            </c:strRef>
          </c:tx>
          <c:marker>
            <c:symbol val="none"/>
          </c:marker>
          <c:cat>
            <c:numRef>
              <c:f>Plan2!$B$112:$G$112</c:f>
              <c:numCache>
                <c:formatCode>General</c:formatCode>
                <c:ptCount val="6"/>
                <c:pt idx="0">
                  <c:v>2011</c:v>
                </c:pt>
                <c:pt idx="1">
                  <c:v>2012</c:v>
                </c:pt>
                <c:pt idx="2">
                  <c:v>2013</c:v>
                </c:pt>
                <c:pt idx="3">
                  <c:v>2014</c:v>
                </c:pt>
                <c:pt idx="4">
                  <c:v>2015</c:v>
                </c:pt>
                <c:pt idx="5">
                  <c:v>2016</c:v>
                </c:pt>
              </c:numCache>
            </c:numRef>
          </c:cat>
          <c:val>
            <c:numRef>
              <c:f>Plan2!$B$114:$G$114</c:f>
              <c:numCache>
                <c:formatCode>General</c:formatCode>
                <c:ptCount val="6"/>
                <c:pt idx="0">
                  <c:v>1442192.29</c:v>
                </c:pt>
                <c:pt idx="1">
                  <c:v>1024485.11</c:v>
                </c:pt>
                <c:pt idx="2">
                  <c:v>1663681.7400000005</c:v>
                </c:pt>
                <c:pt idx="3">
                  <c:v>1715838.4100000004</c:v>
                </c:pt>
                <c:pt idx="4">
                  <c:v>1736780.28</c:v>
                </c:pt>
                <c:pt idx="5">
                  <c:v>1472099.3900000008</c:v>
                </c:pt>
              </c:numCache>
            </c:numRef>
          </c:val>
          <c:smooth val="0"/>
          <c:extLst>
            <c:ext xmlns:c16="http://schemas.microsoft.com/office/drawing/2014/chart" uri="{C3380CC4-5D6E-409C-BE32-E72D297353CC}">
              <c16:uniqueId val="{00000001-8DCB-4647-B0FC-1CC2AACB8F9F}"/>
            </c:ext>
          </c:extLst>
        </c:ser>
        <c:ser>
          <c:idx val="2"/>
          <c:order val="2"/>
          <c:tx>
            <c:strRef>
              <c:f>Plan2!$A$115</c:f>
              <c:strCache>
                <c:ptCount val="1"/>
                <c:pt idx="0">
                  <c:v>Total</c:v>
                </c:pt>
              </c:strCache>
            </c:strRef>
          </c:tx>
          <c:marker>
            <c:symbol val="none"/>
          </c:marker>
          <c:cat>
            <c:numRef>
              <c:f>Plan2!$B$112:$G$112</c:f>
              <c:numCache>
                <c:formatCode>General</c:formatCode>
                <c:ptCount val="6"/>
                <c:pt idx="0">
                  <c:v>2011</c:v>
                </c:pt>
                <c:pt idx="1">
                  <c:v>2012</c:v>
                </c:pt>
                <c:pt idx="2">
                  <c:v>2013</c:v>
                </c:pt>
                <c:pt idx="3">
                  <c:v>2014</c:v>
                </c:pt>
                <c:pt idx="4">
                  <c:v>2015</c:v>
                </c:pt>
                <c:pt idx="5">
                  <c:v>2016</c:v>
                </c:pt>
              </c:numCache>
            </c:numRef>
          </c:cat>
          <c:val>
            <c:numRef>
              <c:f>Plan2!$B$115:$G$115</c:f>
              <c:numCache>
                <c:formatCode>General</c:formatCode>
                <c:ptCount val="6"/>
                <c:pt idx="0">
                  <c:v>8360517.1499999994</c:v>
                </c:pt>
                <c:pt idx="1">
                  <c:v>7431354.6499999994</c:v>
                </c:pt>
                <c:pt idx="2">
                  <c:v>9988984.1099999771</c:v>
                </c:pt>
                <c:pt idx="3">
                  <c:v>10370403.739999967</c:v>
                </c:pt>
                <c:pt idx="4">
                  <c:v>10179659.279999983</c:v>
                </c:pt>
                <c:pt idx="5">
                  <c:v>9064411.439999979</c:v>
                </c:pt>
              </c:numCache>
            </c:numRef>
          </c:val>
          <c:smooth val="0"/>
          <c:extLst>
            <c:ext xmlns:c16="http://schemas.microsoft.com/office/drawing/2014/chart" uri="{C3380CC4-5D6E-409C-BE32-E72D297353CC}">
              <c16:uniqueId val="{00000002-8DCB-4647-B0FC-1CC2AACB8F9F}"/>
            </c:ext>
          </c:extLst>
        </c:ser>
        <c:dLbls>
          <c:showLegendKey val="0"/>
          <c:showVal val="0"/>
          <c:showCatName val="0"/>
          <c:showSerName val="0"/>
          <c:showPercent val="0"/>
          <c:showBubbleSize val="0"/>
        </c:dLbls>
        <c:smooth val="0"/>
        <c:axId val="81741696"/>
        <c:axId val="81743232"/>
      </c:lineChart>
      <c:catAx>
        <c:axId val="81741696"/>
        <c:scaling>
          <c:orientation val="minMax"/>
        </c:scaling>
        <c:delete val="0"/>
        <c:axPos val="b"/>
        <c:numFmt formatCode="General" sourceLinked="1"/>
        <c:majorTickMark val="out"/>
        <c:minorTickMark val="none"/>
        <c:tickLblPos val="nextTo"/>
        <c:crossAx val="81743232"/>
        <c:crosses val="autoZero"/>
        <c:auto val="1"/>
        <c:lblAlgn val="ctr"/>
        <c:lblOffset val="100"/>
        <c:noMultiLvlLbl val="0"/>
      </c:catAx>
      <c:valAx>
        <c:axId val="81743232"/>
        <c:scaling>
          <c:orientation val="minMax"/>
        </c:scaling>
        <c:delete val="0"/>
        <c:axPos val="l"/>
        <c:majorGridlines/>
        <c:numFmt formatCode="General" sourceLinked="1"/>
        <c:majorTickMark val="out"/>
        <c:minorTickMark val="none"/>
        <c:tickLblPos val="nextTo"/>
        <c:crossAx val="81741696"/>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D9E742-C3F7-4277-9099-6035E0C386BD}"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pt-BR"/>
        </a:p>
      </dgm:t>
    </dgm:pt>
    <dgm:pt modelId="{72E2C9FA-F425-4881-8CF0-B8E832A41C46}">
      <dgm:prSet phldrT="[Texto]" custT="1"/>
      <dgm:spPr>
        <a:solidFill>
          <a:schemeClr val="bg1">
            <a:lumMod val="75000"/>
          </a:schemeClr>
        </a:solidFill>
      </dgm:spPr>
      <dgm:t>
        <a:bodyPr/>
        <a:lstStyle/>
        <a:p>
          <a:pPr algn="just">
            <a:lnSpc>
              <a:spcPct val="100000"/>
            </a:lnSpc>
            <a:spcAft>
              <a:spcPts val="0"/>
            </a:spcAft>
          </a:pPr>
          <a:r>
            <a:rPr lang="pt-BR" sz="1400" b="1">
              <a:solidFill>
                <a:sysClr val="windowText" lastClr="000000"/>
              </a:solidFill>
              <a:latin typeface="Times New Roman" panose="02020603050405020304" pitchFamily="18" charset="0"/>
              <a:cs typeface="Times New Roman" panose="02020603050405020304" pitchFamily="18" charset="0"/>
            </a:rPr>
            <a:t>Categoria econômica: </a:t>
          </a:r>
        </a:p>
        <a:p>
          <a:pPr algn="just">
            <a:lnSpc>
              <a:spcPct val="100000"/>
            </a:lnSpc>
            <a:spcAft>
              <a:spcPts val="0"/>
            </a:spcAft>
          </a:pPr>
          <a:r>
            <a:rPr lang="pt-BR" sz="1400">
              <a:solidFill>
                <a:sysClr val="windowText" lastClr="000000"/>
              </a:solidFill>
              <a:latin typeface="Times New Roman" panose="02020603050405020304" pitchFamily="18" charset="0"/>
              <a:cs typeface="Times New Roman" panose="02020603050405020304" pitchFamily="18" charset="0"/>
            </a:rPr>
            <a:t>3 - Despesas correntes</a:t>
          </a:r>
        </a:p>
      </dgm:t>
    </dgm:pt>
    <dgm:pt modelId="{90CEFDA5-3989-4B9E-966C-1D13B56CCACD}" type="parTrans" cxnId="{D1916E56-0390-469A-B69D-ADEF53293A95}">
      <dgm:prSet/>
      <dgm:spPr/>
      <dgm:t>
        <a:bodyPr/>
        <a:lstStyle/>
        <a:p>
          <a:pPr algn="just"/>
          <a:endParaRPr lang="pt-BR"/>
        </a:p>
      </dgm:t>
    </dgm:pt>
    <dgm:pt modelId="{7A3AB7DB-9D6C-4F5B-AD50-FEC90DA9F35D}" type="sibTrans" cxnId="{D1916E56-0390-469A-B69D-ADEF53293A95}">
      <dgm:prSet/>
      <dgm:spPr>
        <a:solidFill>
          <a:schemeClr val="tx1">
            <a:lumMod val="75000"/>
            <a:lumOff val="25000"/>
            <a:alpha val="90000"/>
          </a:schemeClr>
        </a:solidFill>
      </dgm:spPr>
      <dgm:t>
        <a:bodyPr/>
        <a:lstStyle/>
        <a:p>
          <a:pPr algn="just"/>
          <a:endParaRPr lang="pt-BR"/>
        </a:p>
      </dgm:t>
    </dgm:pt>
    <dgm:pt modelId="{E7A18AEC-3583-449F-B6A8-939AAD7D987E}">
      <dgm:prSet phldrT="[Texto]" custT="1"/>
      <dgm:spPr>
        <a:solidFill>
          <a:schemeClr val="bg1">
            <a:lumMod val="75000"/>
          </a:schemeClr>
        </a:solidFill>
      </dgm:spPr>
      <dgm:t>
        <a:bodyPr/>
        <a:lstStyle/>
        <a:p>
          <a:pPr algn="just">
            <a:lnSpc>
              <a:spcPct val="100000"/>
            </a:lnSpc>
            <a:spcAft>
              <a:spcPts val="0"/>
            </a:spcAft>
          </a:pPr>
          <a:r>
            <a:rPr lang="pt-BR" sz="1200" b="1">
              <a:solidFill>
                <a:sysClr val="windowText" lastClr="000000"/>
              </a:solidFill>
              <a:latin typeface="Times New Roman" panose="02020603050405020304" pitchFamily="18" charset="0"/>
              <a:cs typeface="Times New Roman" panose="02020603050405020304" pitchFamily="18" charset="0"/>
            </a:rPr>
            <a:t>Grupo de natureza da despesa: </a:t>
          </a:r>
        </a:p>
        <a:p>
          <a:pPr algn="just">
            <a:lnSpc>
              <a:spcPct val="100000"/>
            </a:lnSpc>
            <a:spcAft>
              <a:spcPts val="0"/>
            </a:spcAft>
          </a:pPr>
          <a:r>
            <a:rPr lang="pt-BR" sz="1200">
              <a:solidFill>
                <a:sysClr val="windowText" lastClr="000000"/>
              </a:solidFill>
              <a:latin typeface="Times New Roman" panose="02020603050405020304" pitchFamily="18" charset="0"/>
              <a:cs typeface="Times New Roman" panose="02020603050405020304" pitchFamily="18" charset="0"/>
            </a:rPr>
            <a:t>3 - Outras</a:t>
          </a:r>
          <a:r>
            <a:rPr lang="pt-BR" sz="1200">
              <a:latin typeface="Times New Roman" panose="02020603050405020304" pitchFamily="18" charset="0"/>
              <a:cs typeface="Times New Roman" panose="02020603050405020304" pitchFamily="18" charset="0"/>
            </a:rPr>
            <a:t> </a:t>
          </a:r>
          <a:r>
            <a:rPr lang="pt-BR" sz="1200">
              <a:solidFill>
                <a:sysClr val="windowText" lastClr="000000"/>
              </a:solidFill>
              <a:latin typeface="Times New Roman" panose="02020603050405020304" pitchFamily="18" charset="0"/>
              <a:cs typeface="Times New Roman" panose="02020603050405020304" pitchFamily="18" charset="0"/>
            </a:rPr>
            <a:t>despesas</a:t>
          </a:r>
          <a:r>
            <a:rPr lang="pt-BR" sz="1200">
              <a:latin typeface="Times New Roman" panose="02020603050405020304" pitchFamily="18" charset="0"/>
              <a:cs typeface="Times New Roman" panose="02020603050405020304" pitchFamily="18" charset="0"/>
            </a:rPr>
            <a:t> </a:t>
          </a:r>
          <a:r>
            <a:rPr lang="pt-BR" sz="1200">
              <a:solidFill>
                <a:sysClr val="windowText" lastClr="000000"/>
              </a:solidFill>
              <a:latin typeface="Times New Roman" panose="02020603050405020304" pitchFamily="18" charset="0"/>
              <a:cs typeface="Times New Roman" panose="02020603050405020304" pitchFamily="18" charset="0"/>
            </a:rPr>
            <a:t>correntes</a:t>
          </a:r>
        </a:p>
      </dgm:t>
    </dgm:pt>
    <dgm:pt modelId="{2200A5F2-0FFC-4546-99E3-841E847382D7}" type="parTrans" cxnId="{1213EA81-26E3-41C7-950A-CEB989E4F177}">
      <dgm:prSet/>
      <dgm:spPr/>
      <dgm:t>
        <a:bodyPr/>
        <a:lstStyle/>
        <a:p>
          <a:pPr algn="just"/>
          <a:endParaRPr lang="pt-BR"/>
        </a:p>
      </dgm:t>
    </dgm:pt>
    <dgm:pt modelId="{D54CEC8B-E1DD-44E7-A228-C4E1210A15FB}" type="sibTrans" cxnId="{1213EA81-26E3-41C7-950A-CEB989E4F177}">
      <dgm:prSet/>
      <dgm:spPr>
        <a:solidFill>
          <a:schemeClr val="tx1">
            <a:lumMod val="75000"/>
            <a:lumOff val="25000"/>
            <a:alpha val="90000"/>
          </a:schemeClr>
        </a:solidFill>
      </dgm:spPr>
      <dgm:t>
        <a:bodyPr/>
        <a:lstStyle/>
        <a:p>
          <a:pPr algn="just"/>
          <a:endParaRPr lang="pt-BR"/>
        </a:p>
      </dgm:t>
    </dgm:pt>
    <dgm:pt modelId="{D72635AC-4DAD-4EDF-A7D9-CD3AE351E359}">
      <dgm:prSet phldrT="[Texto]" custT="1"/>
      <dgm:spPr>
        <a:solidFill>
          <a:schemeClr val="bg1">
            <a:lumMod val="75000"/>
          </a:schemeClr>
        </a:solidFill>
      </dgm:spPr>
      <dgm:t>
        <a:bodyPr/>
        <a:lstStyle/>
        <a:p>
          <a:pPr algn="just">
            <a:lnSpc>
              <a:spcPct val="100000"/>
            </a:lnSpc>
            <a:spcAft>
              <a:spcPts val="0"/>
            </a:spcAft>
          </a:pPr>
          <a:r>
            <a:rPr lang="pt-BR" sz="1000" b="1">
              <a:solidFill>
                <a:sysClr val="windowText" lastClr="000000"/>
              </a:solidFill>
              <a:latin typeface="Times New Roman" panose="02020603050405020304" pitchFamily="18" charset="0"/>
              <a:cs typeface="Times New Roman" panose="02020603050405020304" pitchFamily="18" charset="0"/>
            </a:rPr>
            <a:t>Elemento de despesa: </a:t>
          </a:r>
        </a:p>
        <a:p>
          <a:pPr algn="just">
            <a:lnSpc>
              <a:spcPct val="100000"/>
            </a:lnSpc>
            <a:spcAft>
              <a:spcPts val="0"/>
            </a:spcAft>
          </a:pPr>
          <a:r>
            <a:rPr lang="pt-BR" sz="1000">
              <a:solidFill>
                <a:sysClr val="windowText" lastClr="000000"/>
              </a:solidFill>
              <a:latin typeface="Times New Roman" panose="02020603050405020304" pitchFamily="18" charset="0"/>
              <a:cs typeface="Times New Roman" panose="02020603050405020304" pitchFamily="18" charset="0"/>
            </a:rPr>
            <a:t>14 - Diárias</a:t>
          </a:r>
          <a:r>
            <a:rPr lang="pt-BR" sz="1000">
              <a:latin typeface="Times New Roman" panose="02020603050405020304" pitchFamily="18" charset="0"/>
              <a:cs typeface="Times New Roman" panose="02020603050405020304" pitchFamily="18" charset="0"/>
            </a:rPr>
            <a:t> </a:t>
          </a:r>
          <a:r>
            <a:rPr lang="pt-BR" sz="1000">
              <a:solidFill>
                <a:sysClr val="windowText" lastClr="000000"/>
              </a:solidFill>
              <a:latin typeface="Times New Roman" panose="02020603050405020304" pitchFamily="18" charset="0"/>
              <a:cs typeface="Times New Roman" panose="02020603050405020304" pitchFamily="18" charset="0"/>
            </a:rPr>
            <a:t>civis; </a:t>
          </a:r>
        </a:p>
        <a:p>
          <a:pPr algn="just">
            <a:lnSpc>
              <a:spcPct val="100000"/>
            </a:lnSpc>
            <a:spcAft>
              <a:spcPts val="0"/>
            </a:spcAft>
          </a:pPr>
          <a:r>
            <a:rPr lang="pt-BR" sz="1000">
              <a:solidFill>
                <a:sysClr val="windowText" lastClr="000000"/>
              </a:solidFill>
              <a:latin typeface="Times New Roman" panose="02020603050405020304" pitchFamily="18" charset="0"/>
              <a:cs typeface="Times New Roman" panose="02020603050405020304" pitchFamily="18" charset="0"/>
            </a:rPr>
            <a:t>33 - Passagens e despesas com locomoção</a:t>
          </a:r>
        </a:p>
      </dgm:t>
    </dgm:pt>
    <dgm:pt modelId="{C89A7B74-61F7-4E13-AC8E-C5E1B6495B3F}" type="parTrans" cxnId="{C98A3F91-3554-49FD-835F-608AE5039D35}">
      <dgm:prSet/>
      <dgm:spPr/>
      <dgm:t>
        <a:bodyPr/>
        <a:lstStyle/>
        <a:p>
          <a:pPr algn="just"/>
          <a:endParaRPr lang="pt-BR"/>
        </a:p>
      </dgm:t>
    </dgm:pt>
    <dgm:pt modelId="{B6B6EC22-B358-4F30-B5C0-22B912A66183}" type="sibTrans" cxnId="{C98A3F91-3554-49FD-835F-608AE5039D35}">
      <dgm:prSet/>
      <dgm:spPr/>
      <dgm:t>
        <a:bodyPr/>
        <a:lstStyle/>
        <a:p>
          <a:pPr algn="just"/>
          <a:endParaRPr lang="pt-BR"/>
        </a:p>
      </dgm:t>
    </dgm:pt>
    <dgm:pt modelId="{32AEA66D-3014-4BE6-8CEB-866598DCD2BA}" type="pres">
      <dgm:prSet presAssocID="{79D9E742-C3F7-4277-9099-6035E0C386BD}" presName="outerComposite" presStyleCnt="0">
        <dgm:presLayoutVars>
          <dgm:chMax val="5"/>
          <dgm:dir/>
          <dgm:resizeHandles val="exact"/>
        </dgm:presLayoutVars>
      </dgm:prSet>
      <dgm:spPr/>
    </dgm:pt>
    <dgm:pt modelId="{D972A1EE-A19F-420D-948A-41A4297B6A71}" type="pres">
      <dgm:prSet presAssocID="{79D9E742-C3F7-4277-9099-6035E0C386BD}" presName="dummyMaxCanvas" presStyleCnt="0">
        <dgm:presLayoutVars/>
      </dgm:prSet>
      <dgm:spPr/>
    </dgm:pt>
    <dgm:pt modelId="{378C61E3-182F-4A16-B121-8A5184B3EB31}" type="pres">
      <dgm:prSet presAssocID="{79D9E742-C3F7-4277-9099-6035E0C386BD}" presName="ThreeNodes_1" presStyleLbl="node1" presStyleIdx="0" presStyleCnt="3">
        <dgm:presLayoutVars>
          <dgm:bulletEnabled val="1"/>
        </dgm:presLayoutVars>
      </dgm:prSet>
      <dgm:spPr/>
    </dgm:pt>
    <dgm:pt modelId="{8CC8DE08-6CF2-437E-BC20-E5AB07B1A34B}" type="pres">
      <dgm:prSet presAssocID="{79D9E742-C3F7-4277-9099-6035E0C386BD}" presName="ThreeNodes_2" presStyleLbl="node1" presStyleIdx="1" presStyleCnt="3" custScaleX="104878">
        <dgm:presLayoutVars>
          <dgm:bulletEnabled val="1"/>
        </dgm:presLayoutVars>
      </dgm:prSet>
      <dgm:spPr/>
    </dgm:pt>
    <dgm:pt modelId="{680A11BC-EE48-4C20-AC65-77E297E4D4A8}" type="pres">
      <dgm:prSet presAssocID="{79D9E742-C3F7-4277-9099-6035E0C386BD}" presName="ThreeNodes_3" presStyleLbl="node1" presStyleIdx="2" presStyleCnt="3">
        <dgm:presLayoutVars>
          <dgm:bulletEnabled val="1"/>
        </dgm:presLayoutVars>
      </dgm:prSet>
      <dgm:spPr/>
    </dgm:pt>
    <dgm:pt modelId="{F60648B2-D3FE-467B-A0A7-F552ACA0FDB5}" type="pres">
      <dgm:prSet presAssocID="{79D9E742-C3F7-4277-9099-6035E0C386BD}" presName="ThreeConn_1-2" presStyleLbl="fgAccFollowNode1" presStyleIdx="0" presStyleCnt="2">
        <dgm:presLayoutVars>
          <dgm:bulletEnabled val="1"/>
        </dgm:presLayoutVars>
      </dgm:prSet>
      <dgm:spPr/>
    </dgm:pt>
    <dgm:pt modelId="{989611F3-41C0-4F32-9EA0-59F623E4EF1A}" type="pres">
      <dgm:prSet presAssocID="{79D9E742-C3F7-4277-9099-6035E0C386BD}" presName="ThreeConn_2-3" presStyleLbl="fgAccFollowNode1" presStyleIdx="1" presStyleCnt="2">
        <dgm:presLayoutVars>
          <dgm:bulletEnabled val="1"/>
        </dgm:presLayoutVars>
      </dgm:prSet>
      <dgm:spPr/>
    </dgm:pt>
    <dgm:pt modelId="{F35830DC-77AC-4D16-AAE0-29804D5457FB}" type="pres">
      <dgm:prSet presAssocID="{79D9E742-C3F7-4277-9099-6035E0C386BD}" presName="ThreeNodes_1_text" presStyleLbl="node1" presStyleIdx="2" presStyleCnt="3">
        <dgm:presLayoutVars>
          <dgm:bulletEnabled val="1"/>
        </dgm:presLayoutVars>
      </dgm:prSet>
      <dgm:spPr/>
    </dgm:pt>
    <dgm:pt modelId="{DFB11E20-1EB2-44C5-A662-99C79926A9DD}" type="pres">
      <dgm:prSet presAssocID="{79D9E742-C3F7-4277-9099-6035E0C386BD}" presName="ThreeNodes_2_text" presStyleLbl="node1" presStyleIdx="2" presStyleCnt="3">
        <dgm:presLayoutVars>
          <dgm:bulletEnabled val="1"/>
        </dgm:presLayoutVars>
      </dgm:prSet>
      <dgm:spPr/>
    </dgm:pt>
    <dgm:pt modelId="{57D0CA5C-44A5-4FDD-A715-6840D32BA6C9}" type="pres">
      <dgm:prSet presAssocID="{79D9E742-C3F7-4277-9099-6035E0C386BD}" presName="ThreeNodes_3_text" presStyleLbl="node1" presStyleIdx="2" presStyleCnt="3">
        <dgm:presLayoutVars>
          <dgm:bulletEnabled val="1"/>
        </dgm:presLayoutVars>
      </dgm:prSet>
      <dgm:spPr/>
    </dgm:pt>
  </dgm:ptLst>
  <dgm:cxnLst>
    <dgm:cxn modelId="{B067F71B-D9EF-47B0-8262-4A4AE228DF37}" type="presOf" srcId="{D54CEC8B-E1DD-44E7-A228-C4E1210A15FB}" destId="{989611F3-41C0-4F32-9EA0-59F623E4EF1A}" srcOrd="0" destOrd="0" presId="urn:microsoft.com/office/officeart/2005/8/layout/vProcess5"/>
    <dgm:cxn modelId="{585A973B-A669-4B34-9890-AE3EAC250B7F}" type="presOf" srcId="{D72635AC-4DAD-4EDF-A7D9-CD3AE351E359}" destId="{680A11BC-EE48-4C20-AC65-77E297E4D4A8}" srcOrd="0" destOrd="0" presId="urn:microsoft.com/office/officeart/2005/8/layout/vProcess5"/>
    <dgm:cxn modelId="{9B72CB60-9925-444B-9F27-9436CE18557C}" type="presOf" srcId="{72E2C9FA-F425-4881-8CF0-B8E832A41C46}" destId="{F35830DC-77AC-4D16-AAE0-29804D5457FB}" srcOrd="1" destOrd="0" presId="urn:microsoft.com/office/officeart/2005/8/layout/vProcess5"/>
    <dgm:cxn modelId="{60B80168-B923-4EA0-B323-7DDA99F9BE5A}" type="presOf" srcId="{7A3AB7DB-9D6C-4F5B-AD50-FEC90DA9F35D}" destId="{F60648B2-D3FE-467B-A0A7-F552ACA0FDB5}" srcOrd="0" destOrd="0" presId="urn:microsoft.com/office/officeart/2005/8/layout/vProcess5"/>
    <dgm:cxn modelId="{D1916E56-0390-469A-B69D-ADEF53293A95}" srcId="{79D9E742-C3F7-4277-9099-6035E0C386BD}" destId="{72E2C9FA-F425-4881-8CF0-B8E832A41C46}" srcOrd="0" destOrd="0" parTransId="{90CEFDA5-3989-4B9E-966C-1D13B56CCACD}" sibTransId="{7A3AB7DB-9D6C-4F5B-AD50-FEC90DA9F35D}"/>
    <dgm:cxn modelId="{1213EA81-26E3-41C7-950A-CEB989E4F177}" srcId="{79D9E742-C3F7-4277-9099-6035E0C386BD}" destId="{E7A18AEC-3583-449F-B6A8-939AAD7D987E}" srcOrd="1" destOrd="0" parTransId="{2200A5F2-0FFC-4546-99E3-841E847382D7}" sibTransId="{D54CEC8B-E1DD-44E7-A228-C4E1210A15FB}"/>
    <dgm:cxn modelId="{C98A3F91-3554-49FD-835F-608AE5039D35}" srcId="{79D9E742-C3F7-4277-9099-6035E0C386BD}" destId="{D72635AC-4DAD-4EDF-A7D9-CD3AE351E359}" srcOrd="2" destOrd="0" parTransId="{C89A7B74-61F7-4E13-AC8E-C5E1B6495B3F}" sibTransId="{B6B6EC22-B358-4F30-B5C0-22B912A66183}"/>
    <dgm:cxn modelId="{F51C56B0-326A-4785-8969-100B65698A80}" type="presOf" srcId="{72E2C9FA-F425-4881-8CF0-B8E832A41C46}" destId="{378C61E3-182F-4A16-B121-8A5184B3EB31}" srcOrd="0" destOrd="0" presId="urn:microsoft.com/office/officeart/2005/8/layout/vProcess5"/>
    <dgm:cxn modelId="{437583DB-D8BE-41C0-AAE7-AA7EE072444D}" type="presOf" srcId="{D72635AC-4DAD-4EDF-A7D9-CD3AE351E359}" destId="{57D0CA5C-44A5-4FDD-A715-6840D32BA6C9}" srcOrd="1" destOrd="0" presId="urn:microsoft.com/office/officeart/2005/8/layout/vProcess5"/>
    <dgm:cxn modelId="{F2931CDE-883B-442B-BA1F-F5F182BE6EF3}" type="presOf" srcId="{E7A18AEC-3583-449F-B6A8-939AAD7D987E}" destId="{DFB11E20-1EB2-44C5-A662-99C79926A9DD}" srcOrd="1" destOrd="0" presId="urn:microsoft.com/office/officeart/2005/8/layout/vProcess5"/>
    <dgm:cxn modelId="{C84062EC-96F9-460D-A4DC-369C27CD95DC}" type="presOf" srcId="{E7A18AEC-3583-449F-B6A8-939AAD7D987E}" destId="{8CC8DE08-6CF2-437E-BC20-E5AB07B1A34B}" srcOrd="0" destOrd="0" presId="urn:microsoft.com/office/officeart/2005/8/layout/vProcess5"/>
    <dgm:cxn modelId="{BC8DB6ED-E95E-41B9-AE71-BFBB89304996}" type="presOf" srcId="{79D9E742-C3F7-4277-9099-6035E0C386BD}" destId="{32AEA66D-3014-4BE6-8CEB-866598DCD2BA}" srcOrd="0" destOrd="0" presId="urn:microsoft.com/office/officeart/2005/8/layout/vProcess5"/>
    <dgm:cxn modelId="{AEC63D26-CB99-4D0D-B2BB-7832FBEF20E4}" type="presParOf" srcId="{32AEA66D-3014-4BE6-8CEB-866598DCD2BA}" destId="{D972A1EE-A19F-420D-948A-41A4297B6A71}" srcOrd="0" destOrd="0" presId="urn:microsoft.com/office/officeart/2005/8/layout/vProcess5"/>
    <dgm:cxn modelId="{429565E1-2A70-4822-819F-D677114677B7}" type="presParOf" srcId="{32AEA66D-3014-4BE6-8CEB-866598DCD2BA}" destId="{378C61E3-182F-4A16-B121-8A5184B3EB31}" srcOrd="1" destOrd="0" presId="urn:microsoft.com/office/officeart/2005/8/layout/vProcess5"/>
    <dgm:cxn modelId="{6E6E123C-8931-46BA-9113-5F99452EDDC8}" type="presParOf" srcId="{32AEA66D-3014-4BE6-8CEB-866598DCD2BA}" destId="{8CC8DE08-6CF2-437E-BC20-E5AB07B1A34B}" srcOrd="2" destOrd="0" presId="urn:microsoft.com/office/officeart/2005/8/layout/vProcess5"/>
    <dgm:cxn modelId="{B0FB125D-E6A2-4825-9886-EE33F40DB670}" type="presParOf" srcId="{32AEA66D-3014-4BE6-8CEB-866598DCD2BA}" destId="{680A11BC-EE48-4C20-AC65-77E297E4D4A8}" srcOrd="3" destOrd="0" presId="urn:microsoft.com/office/officeart/2005/8/layout/vProcess5"/>
    <dgm:cxn modelId="{AC2BE6C8-90FF-4399-9C0B-2393CE4DCC93}" type="presParOf" srcId="{32AEA66D-3014-4BE6-8CEB-866598DCD2BA}" destId="{F60648B2-D3FE-467B-A0A7-F552ACA0FDB5}" srcOrd="4" destOrd="0" presId="urn:microsoft.com/office/officeart/2005/8/layout/vProcess5"/>
    <dgm:cxn modelId="{6E87E92C-411C-4D6E-8295-77CA5A135E7E}" type="presParOf" srcId="{32AEA66D-3014-4BE6-8CEB-866598DCD2BA}" destId="{989611F3-41C0-4F32-9EA0-59F623E4EF1A}" srcOrd="5" destOrd="0" presId="urn:microsoft.com/office/officeart/2005/8/layout/vProcess5"/>
    <dgm:cxn modelId="{58A98C62-91FD-462A-83A9-52A32E23835A}" type="presParOf" srcId="{32AEA66D-3014-4BE6-8CEB-866598DCD2BA}" destId="{F35830DC-77AC-4D16-AAE0-29804D5457FB}" srcOrd="6" destOrd="0" presId="urn:microsoft.com/office/officeart/2005/8/layout/vProcess5"/>
    <dgm:cxn modelId="{28767D8D-86C6-489E-A34D-9016268B42EF}" type="presParOf" srcId="{32AEA66D-3014-4BE6-8CEB-866598DCD2BA}" destId="{DFB11E20-1EB2-44C5-A662-99C79926A9DD}" srcOrd="7" destOrd="0" presId="urn:microsoft.com/office/officeart/2005/8/layout/vProcess5"/>
    <dgm:cxn modelId="{5BB295BA-94C9-4EF4-8D07-1FFE45E59071}" type="presParOf" srcId="{32AEA66D-3014-4BE6-8CEB-866598DCD2BA}" destId="{57D0CA5C-44A5-4FDD-A715-6840D32BA6C9}" srcOrd="8"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8C61E3-182F-4A16-B121-8A5184B3EB31}">
      <dsp:nvSpPr>
        <dsp:cNvPr id="0" name=""/>
        <dsp:cNvSpPr/>
      </dsp:nvSpPr>
      <dsp:spPr>
        <a:xfrm>
          <a:off x="0" y="0"/>
          <a:ext cx="2841783" cy="504634"/>
        </a:xfrm>
        <a:prstGeom prst="roundRect">
          <a:avLst>
            <a:gd name="adj" fmla="val 100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just" defTabSz="622300">
            <a:lnSpc>
              <a:spcPct val="100000"/>
            </a:lnSpc>
            <a:spcBef>
              <a:spcPct val="0"/>
            </a:spcBef>
            <a:spcAft>
              <a:spcPts val="0"/>
            </a:spcAft>
            <a:buNone/>
          </a:pPr>
          <a:r>
            <a:rPr lang="pt-BR" sz="1400" b="1" kern="1200">
              <a:solidFill>
                <a:sysClr val="windowText" lastClr="000000"/>
              </a:solidFill>
              <a:latin typeface="Times New Roman" panose="02020603050405020304" pitchFamily="18" charset="0"/>
              <a:cs typeface="Times New Roman" panose="02020603050405020304" pitchFamily="18" charset="0"/>
            </a:rPr>
            <a:t>Categoria econômica: </a:t>
          </a:r>
        </a:p>
        <a:p>
          <a:pPr marL="0" lvl="0" indent="0" algn="just" defTabSz="622300">
            <a:lnSpc>
              <a:spcPct val="100000"/>
            </a:lnSpc>
            <a:spcBef>
              <a:spcPct val="0"/>
            </a:spcBef>
            <a:spcAft>
              <a:spcPts val="0"/>
            </a:spcAft>
            <a:buNone/>
          </a:pPr>
          <a:r>
            <a:rPr lang="pt-BR" sz="1400" kern="1200">
              <a:solidFill>
                <a:sysClr val="windowText" lastClr="000000"/>
              </a:solidFill>
              <a:latin typeface="Times New Roman" panose="02020603050405020304" pitchFamily="18" charset="0"/>
              <a:cs typeface="Times New Roman" panose="02020603050405020304" pitchFamily="18" charset="0"/>
            </a:rPr>
            <a:t>3 - Despesas correntes</a:t>
          </a:r>
        </a:p>
      </dsp:txBody>
      <dsp:txXfrm>
        <a:off x="14780" y="14780"/>
        <a:ext cx="2297244" cy="475074"/>
      </dsp:txXfrm>
    </dsp:sp>
    <dsp:sp modelId="{8CC8DE08-6CF2-437E-BC20-E5AB07B1A34B}">
      <dsp:nvSpPr>
        <dsp:cNvPr id="0" name=""/>
        <dsp:cNvSpPr/>
      </dsp:nvSpPr>
      <dsp:spPr>
        <a:xfrm>
          <a:off x="181434" y="588740"/>
          <a:ext cx="2980405" cy="504634"/>
        </a:xfrm>
        <a:prstGeom prst="roundRect">
          <a:avLst>
            <a:gd name="adj" fmla="val 100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100000"/>
            </a:lnSpc>
            <a:spcBef>
              <a:spcPct val="0"/>
            </a:spcBef>
            <a:spcAft>
              <a:spcPts val="0"/>
            </a:spcAft>
            <a:buNone/>
          </a:pPr>
          <a:r>
            <a:rPr lang="pt-BR" sz="1200" b="1" kern="1200">
              <a:solidFill>
                <a:sysClr val="windowText" lastClr="000000"/>
              </a:solidFill>
              <a:latin typeface="Times New Roman" panose="02020603050405020304" pitchFamily="18" charset="0"/>
              <a:cs typeface="Times New Roman" panose="02020603050405020304" pitchFamily="18" charset="0"/>
            </a:rPr>
            <a:t>Grupo de natureza da despesa: </a:t>
          </a:r>
        </a:p>
        <a:p>
          <a:pPr marL="0" lvl="0" indent="0" algn="just" defTabSz="533400">
            <a:lnSpc>
              <a:spcPct val="100000"/>
            </a:lnSpc>
            <a:spcBef>
              <a:spcPct val="0"/>
            </a:spcBef>
            <a:spcAft>
              <a:spcPts val="0"/>
            </a:spcAft>
            <a:buNone/>
          </a:pPr>
          <a:r>
            <a:rPr lang="pt-BR" sz="1200" kern="1200">
              <a:solidFill>
                <a:sysClr val="windowText" lastClr="000000"/>
              </a:solidFill>
              <a:latin typeface="Times New Roman" panose="02020603050405020304" pitchFamily="18" charset="0"/>
              <a:cs typeface="Times New Roman" panose="02020603050405020304" pitchFamily="18" charset="0"/>
            </a:rPr>
            <a:t>3 - Outras</a:t>
          </a:r>
          <a:r>
            <a:rPr lang="pt-BR" sz="1200" kern="1200">
              <a:latin typeface="Times New Roman" panose="02020603050405020304" pitchFamily="18" charset="0"/>
              <a:cs typeface="Times New Roman" panose="02020603050405020304" pitchFamily="18" charset="0"/>
            </a:rPr>
            <a:t> </a:t>
          </a:r>
          <a:r>
            <a:rPr lang="pt-BR" sz="1200" kern="1200">
              <a:solidFill>
                <a:sysClr val="windowText" lastClr="000000"/>
              </a:solidFill>
              <a:latin typeface="Times New Roman" panose="02020603050405020304" pitchFamily="18" charset="0"/>
              <a:cs typeface="Times New Roman" panose="02020603050405020304" pitchFamily="18" charset="0"/>
            </a:rPr>
            <a:t>despesas</a:t>
          </a:r>
          <a:r>
            <a:rPr lang="pt-BR" sz="1200" kern="1200">
              <a:latin typeface="Times New Roman" panose="02020603050405020304" pitchFamily="18" charset="0"/>
              <a:cs typeface="Times New Roman" panose="02020603050405020304" pitchFamily="18" charset="0"/>
            </a:rPr>
            <a:t> </a:t>
          </a:r>
          <a:r>
            <a:rPr lang="pt-BR" sz="1200" kern="1200">
              <a:solidFill>
                <a:sysClr val="windowText" lastClr="000000"/>
              </a:solidFill>
              <a:latin typeface="Times New Roman" panose="02020603050405020304" pitchFamily="18" charset="0"/>
              <a:cs typeface="Times New Roman" panose="02020603050405020304" pitchFamily="18" charset="0"/>
            </a:rPr>
            <a:t>correntes</a:t>
          </a:r>
        </a:p>
      </dsp:txBody>
      <dsp:txXfrm>
        <a:off x="196214" y="603520"/>
        <a:ext cx="2343856" cy="475074"/>
      </dsp:txXfrm>
    </dsp:sp>
    <dsp:sp modelId="{680A11BC-EE48-4C20-AC65-77E297E4D4A8}">
      <dsp:nvSpPr>
        <dsp:cNvPr id="0" name=""/>
        <dsp:cNvSpPr/>
      </dsp:nvSpPr>
      <dsp:spPr>
        <a:xfrm>
          <a:off x="501491" y="1177480"/>
          <a:ext cx="2841783" cy="504634"/>
        </a:xfrm>
        <a:prstGeom prst="roundRect">
          <a:avLst>
            <a:gd name="adj" fmla="val 100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just" defTabSz="444500">
            <a:lnSpc>
              <a:spcPct val="100000"/>
            </a:lnSpc>
            <a:spcBef>
              <a:spcPct val="0"/>
            </a:spcBef>
            <a:spcAft>
              <a:spcPts val="0"/>
            </a:spcAft>
            <a:buNone/>
          </a:pPr>
          <a:r>
            <a:rPr lang="pt-BR" sz="1000" b="1" kern="1200">
              <a:solidFill>
                <a:sysClr val="windowText" lastClr="000000"/>
              </a:solidFill>
              <a:latin typeface="Times New Roman" panose="02020603050405020304" pitchFamily="18" charset="0"/>
              <a:cs typeface="Times New Roman" panose="02020603050405020304" pitchFamily="18" charset="0"/>
            </a:rPr>
            <a:t>Elemento de despesa: </a:t>
          </a:r>
        </a:p>
        <a:p>
          <a:pPr marL="0" lvl="0" indent="0" algn="just" defTabSz="444500">
            <a:lnSpc>
              <a:spcPct val="100000"/>
            </a:lnSpc>
            <a:spcBef>
              <a:spcPct val="0"/>
            </a:spcBef>
            <a:spcAft>
              <a:spcPts val="0"/>
            </a:spcAft>
            <a:buNone/>
          </a:pPr>
          <a:r>
            <a:rPr lang="pt-BR" sz="1000" kern="1200">
              <a:solidFill>
                <a:sysClr val="windowText" lastClr="000000"/>
              </a:solidFill>
              <a:latin typeface="Times New Roman" panose="02020603050405020304" pitchFamily="18" charset="0"/>
              <a:cs typeface="Times New Roman" panose="02020603050405020304" pitchFamily="18" charset="0"/>
            </a:rPr>
            <a:t>14 - Diárias</a:t>
          </a:r>
          <a:r>
            <a:rPr lang="pt-BR" sz="1000" kern="1200">
              <a:latin typeface="Times New Roman" panose="02020603050405020304" pitchFamily="18" charset="0"/>
              <a:cs typeface="Times New Roman" panose="02020603050405020304" pitchFamily="18" charset="0"/>
            </a:rPr>
            <a:t> </a:t>
          </a:r>
          <a:r>
            <a:rPr lang="pt-BR" sz="1000" kern="1200">
              <a:solidFill>
                <a:sysClr val="windowText" lastClr="000000"/>
              </a:solidFill>
              <a:latin typeface="Times New Roman" panose="02020603050405020304" pitchFamily="18" charset="0"/>
              <a:cs typeface="Times New Roman" panose="02020603050405020304" pitchFamily="18" charset="0"/>
            </a:rPr>
            <a:t>civis; </a:t>
          </a:r>
        </a:p>
        <a:p>
          <a:pPr marL="0" lvl="0" indent="0" algn="just" defTabSz="444500">
            <a:lnSpc>
              <a:spcPct val="100000"/>
            </a:lnSpc>
            <a:spcBef>
              <a:spcPct val="0"/>
            </a:spcBef>
            <a:spcAft>
              <a:spcPts val="0"/>
            </a:spcAft>
            <a:buNone/>
          </a:pPr>
          <a:r>
            <a:rPr lang="pt-BR" sz="1000" kern="1200">
              <a:solidFill>
                <a:sysClr val="windowText" lastClr="000000"/>
              </a:solidFill>
              <a:latin typeface="Times New Roman" panose="02020603050405020304" pitchFamily="18" charset="0"/>
              <a:cs typeface="Times New Roman" panose="02020603050405020304" pitchFamily="18" charset="0"/>
            </a:rPr>
            <a:t>33 - Passagens e despesas com locomoção</a:t>
          </a:r>
        </a:p>
      </dsp:txBody>
      <dsp:txXfrm>
        <a:off x="516271" y="1192260"/>
        <a:ext cx="2233465" cy="475074"/>
      </dsp:txXfrm>
    </dsp:sp>
    <dsp:sp modelId="{F60648B2-D3FE-467B-A0A7-F552ACA0FDB5}">
      <dsp:nvSpPr>
        <dsp:cNvPr id="0" name=""/>
        <dsp:cNvSpPr/>
      </dsp:nvSpPr>
      <dsp:spPr>
        <a:xfrm>
          <a:off x="2513771" y="382681"/>
          <a:ext cx="328012" cy="328012"/>
        </a:xfrm>
        <a:prstGeom prst="downArrow">
          <a:avLst>
            <a:gd name="adj1" fmla="val 55000"/>
            <a:gd name="adj2" fmla="val 45000"/>
          </a:avLst>
        </a:prstGeom>
        <a:solidFill>
          <a:schemeClr val="tx1">
            <a:lumMod val="75000"/>
            <a:lumOff val="25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just" defTabSz="622300">
            <a:lnSpc>
              <a:spcPct val="90000"/>
            </a:lnSpc>
            <a:spcBef>
              <a:spcPct val="0"/>
            </a:spcBef>
            <a:spcAft>
              <a:spcPct val="35000"/>
            </a:spcAft>
            <a:buNone/>
          </a:pPr>
          <a:endParaRPr lang="pt-BR" sz="1400" kern="1200"/>
        </a:p>
      </dsp:txBody>
      <dsp:txXfrm>
        <a:off x="2587574" y="382681"/>
        <a:ext cx="180406" cy="246829"/>
      </dsp:txXfrm>
    </dsp:sp>
    <dsp:sp modelId="{989611F3-41C0-4F32-9EA0-59F623E4EF1A}">
      <dsp:nvSpPr>
        <dsp:cNvPr id="0" name=""/>
        <dsp:cNvSpPr/>
      </dsp:nvSpPr>
      <dsp:spPr>
        <a:xfrm>
          <a:off x="2764516" y="968057"/>
          <a:ext cx="328012" cy="328012"/>
        </a:xfrm>
        <a:prstGeom prst="downArrow">
          <a:avLst>
            <a:gd name="adj1" fmla="val 55000"/>
            <a:gd name="adj2" fmla="val 45000"/>
          </a:avLst>
        </a:prstGeom>
        <a:solidFill>
          <a:schemeClr val="tx1">
            <a:lumMod val="75000"/>
            <a:lumOff val="25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just" defTabSz="622300">
            <a:lnSpc>
              <a:spcPct val="90000"/>
            </a:lnSpc>
            <a:spcBef>
              <a:spcPct val="0"/>
            </a:spcBef>
            <a:spcAft>
              <a:spcPct val="35000"/>
            </a:spcAft>
            <a:buNone/>
          </a:pPr>
          <a:endParaRPr lang="pt-BR" sz="1400" kern="1200"/>
        </a:p>
      </dsp:txBody>
      <dsp:txXfrm>
        <a:off x="2838319" y="968057"/>
        <a:ext cx="180406" cy="24682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7527</Words>
  <Characters>40646</Characters>
  <DocSecurity>0</DocSecurity>
  <Lines>338</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2018-05-05T00:45:00Z</cp:lastPrinted>
  <dcterms:created xsi:type="dcterms:W3CDTF">2018-05-05T01:02:00Z</dcterms:created>
  <dcterms:modified xsi:type="dcterms:W3CDTF">2018-05-05T01:02:00Z</dcterms:modified>
</cp:coreProperties>
</file>